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C2BE3" w14:textId="77777777" w:rsidR="004C6FCA" w:rsidRPr="00B9245E" w:rsidRDefault="003F0F2F" w:rsidP="004C6FCA">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Are Commodity Hedge Funds interesting for institutional investors?</w:t>
      </w:r>
    </w:p>
    <w:p w14:paraId="20BC91B0" w14:textId="77777777" w:rsidR="00F81790" w:rsidRDefault="002123AC" w:rsidP="004C6FCA">
      <w:pPr>
        <w:spacing w:line="480" w:lineRule="auto"/>
        <w:jc w:val="center"/>
        <w:rPr>
          <w:rFonts w:ascii="Times New Roman" w:hAnsi="Times New Roman" w:cs="Times New Roman"/>
          <w:b/>
          <w:sz w:val="24"/>
          <w:szCs w:val="24"/>
        </w:rPr>
      </w:pPr>
      <w:r w:rsidRPr="00B9245E">
        <w:rPr>
          <w:rFonts w:ascii="Times New Roman" w:hAnsi="Times New Roman" w:cs="Times New Roman"/>
          <w:b/>
          <w:sz w:val="24"/>
          <w:szCs w:val="24"/>
        </w:rPr>
        <w:t>Lechner Gerhard</w:t>
      </w:r>
      <w:r w:rsidR="00B1310B">
        <w:rPr>
          <w:rStyle w:val="Funotenzeichen"/>
          <w:rFonts w:ascii="Times New Roman" w:hAnsi="Times New Roman" w:cs="Times New Roman"/>
          <w:b/>
          <w:sz w:val="24"/>
          <w:szCs w:val="24"/>
        </w:rPr>
        <w:footnoteReference w:id="1"/>
      </w:r>
      <w:r w:rsidR="00E02C5E">
        <w:rPr>
          <w:rFonts w:ascii="Times New Roman" w:hAnsi="Times New Roman" w:cs="Times New Roman"/>
          <w:b/>
          <w:sz w:val="24"/>
          <w:szCs w:val="24"/>
        </w:rPr>
        <w:t>, Beinhauer Rupert</w:t>
      </w:r>
      <w:r w:rsidR="00B1310B">
        <w:rPr>
          <w:rStyle w:val="Funotenzeichen"/>
          <w:rFonts w:ascii="Times New Roman" w:hAnsi="Times New Roman" w:cs="Times New Roman"/>
          <w:b/>
          <w:sz w:val="24"/>
          <w:szCs w:val="24"/>
        </w:rPr>
        <w:footnoteReference w:id="2"/>
      </w:r>
    </w:p>
    <w:p w14:paraId="7D2DC7D4" w14:textId="77777777" w:rsidR="004C6FCA" w:rsidRPr="00B9245E" w:rsidRDefault="002123AC" w:rsidP="004C6FCA">
      <w:pPr>
        <w:spacing w:line="480" w:lineRule="auto"/>
        <w:jc w:val="center"/>
        <w:rPr>
          <w:rFonts w:ascii="Times New Roman" w:hAnsi="Times New Roman" w:cs="Times New Roman"/>
          <w:b/>
          <w:sz w:val="24"/>
          <w:szCs w:val="24"/>
        </w:rPr>
      </w:pPr>
      <w:r w:rsidRPr="00B9245E">
        <w:rPr>
          <w:rFonts w:ascii="Times New Roman" w:hAnsi="Times New Roman" w:cs="Times New Roman"/>
          <w:b/>
          <w:sz w:val="24"/>
          <w:szCs w:val="24"/>
        </w:rPr>
        <w:t xml:space="preserve">FH </w:t>
      </w:r>
      <w:r w:rsidR="00E02C5E">
        <w:rPr>
          <w:rFonts w:ascii="Times New Roman" w:hAnsi="Times New Roman" w:cs="Times New Roman"/>
          <w:b/>
          <w:sz w:val="24"/>
          <w:szCs w:val="24"/>
        </w:rPr>
        <w:t>JOANNEUM</w:t>
      </w:r>
      <w:r w:rsidRPr="00B9245E">
        <w:rPr>
          <w:rFonts w:ascii="Times New Roman" w:hAnsi="Times New Roman" w:cs="Times New Roman"/>
          <w:b/>
          <w:sz w:val="24"/>
          <w:szCs w:val="24"/>
        </w:rPr>
        <w:t xml:space="preserve"> Gesellschaft mbH, Graz, Austria</w:t>
      </w:r>
    </w:p>
    <w:p w14:paraId="60580760" w14:textId="77777777" w:rsidR="004C6FCA" w:rsidRPr="00B9245E" w:rsidRDefault="004C6FCA" w:rsidP="004C6FCA">
      <w:pPr>
        <w:spacing w:line="480" w:lineRule="auto"/>
        <w:jc w:val="both"/>
        <w:rPr>
          <w:rFonts w:ascii="Times New Roman" w:hAnsi="Times New Roman" w:cs="Times New Roman"/>
          <w:b/>
          <w:bCs/>
          <w:sz w:val="24"/>
          <w:szCs w:val="24"/>
        </w:rPr>
      </w:pPr>
    </w:p>
    <w:p w14:paraId="2C1FD55A" w14:textId="77777777" w:rsidR="006F7B25" w:rsidRPr="00B9245E" w:rsidRDefault="006F7B25" w:rsidP="004C6FCA">
      <w:pPr>
        <w:spacing w:line="480" w:lineRule="auto"/>
        <w:jc w:val="center"/>
        <w:rPr>
          <w:rFonts w:ascii="Times New Roman" w:hAnsi="Times New Roman" w:cs="Times New Roman"/>
          <w:b/>
          <w:bCs/>
          <w:sz w:val="24"/>
          <w:szCs w:val="24"/>
          <w:lang w:val="en-GB"/>
        </w:rPr>
      </w:pPr>
      <w:r w:rsidRPr="00B9245E">
        <w:rPr>
          <w:rFonts w:ascii="Times New Roman" w:hAnsi="Times New Roman" w:cs="Times New Roman"/>
          <w:b/>
          <w:bCs/>
          <w:sz w:val="24"/>
          <w:szCs w:val="24"/>
          <w:lang w:val="en-GB"/>
        </w:rPr>
        <w:t>ABSTRACT</w:t>
      </w:r>
    </w:p>
    <w:p w14:paraId="5C48B19D" w14:textId="77777777" w:rsidR="006F7B25" w:rsidRPr="007F17B7" w:rsidRDefault="007F17B7" w:rsidP="007F17B7">
      <w:pPr>
        <w:spacing w:line="240" w:lineRule="auto"/>
        <w:jc w:val="both"/>
        <w:rPr>
          <w:rFonts w:ascii="Times New Roman" w:hAnsi="Times New Roman" w:cs="Times New Roman"/>
          <w:bCs/>
          <w:sz w:val="24"/>
          <w:szCs w:val="24"/>
          <w:lang w:val="en-US"/>
        </w:rPr>
      </w:pPr>
      <w:r w:rsidRPr="007F17B7">
        <w:rPr>
          <w:rFonts w:ascii="Times New Roman" w:hAnsi="Times New Roman" w:cs="Times New Roman"/>
          <w:bCs/>
          <w:sz w:val="24"/>
          <w:szCs w:val="24"/>
          <w:lang w:val="en-US"/>
        </w:rPr>
        <w:t xml:space="preserve">This paper aims to analyze whether an attribution of Commodity Hedge Funds could be useful for an institutional investor (insurance company, pension fund). We analyze the out of sample an in-sample asset allocation effects for attributing Commodity Hedge Funds to a simple bond-equity portfolio. The data of these strategies of Funds go back until 2008 which indicates that these strategies are relatively new in comparison to other strategies. However, it is interesting to use the time since 2008, because the environment has changed significantly for institutional investors. Our contribution to the literature is to show the relative attractiveness of this new asset class for institutional investors. We found that Commodity Hedge Fund could improve the Sharpe Ratio of an </w:t>
      </w:r>
      <w:proofErr w:type="spellStart"/>
      <w:r w:rsidRPr="007F17B7">
        <w:rPr>
          <w:rFonts w:ascii="Times New Roman" w:hAnsi="Times New Roman" w:cs="Times New Roman"/>
          <w:bCs/>
          <w:sz w:val="24"/>
          <w:szCs w:val="24"/>
          <w:lang w:val="en-US"/>
        </w:rPr>
        <w:t>investors</w:t>
      </w:r>
      <w:proofErr w:type="spellEnd"/>
      <w:r w:rsidRPr="007F17B7">
        <w:rPr>
          <w:rFonts w:ascii="Times New Roman" w:hAnsi="Times New Roman" w:cs="Times New Roman"/>
          <w:bCs/>
          <w:sz w:val="24"/>
          <w:szCs w:val="24"/>
          <w:lang w:val="en-US"/>
        </w:rPr>
        <w:t xml:space="preserve"> portfolio, but the relative advantage against a Composite Hedge Fund index is limited.</w:t>
      </w:r>
    </w:p>
    <w:p w14:paraId="6BD2BEA8" w14:textId="77777777" w:rsidR="004C6FCA" w:rsidRPr="00B9245E" w:rsidRDefault="004C6FCA" w:rsidP="004C6FCA">
      <w:pPr>
        <w:spacing w:line="480" w:lineRule="auto"/>
        <w:jc w:val="both"/>
        <w:rPr>
          <w:rFonts w:ascii="Times New Roman" w:hAnsi="Times New Roman" w:cs="Times New Roman"/>
          <w:sz w:val="24"/>
          <w:szCs w:val="24"/>
          <w:lang w:val="en-GB"/>
        </w:rPr>
      </w:pPr>
    </w:p>
    <w:p w14:paraId="0EE91F15" w14:textId="77777777" w:rsidR="004C6FCA" w:rsidRPr="00B9245E" w:rsidRDefault="004C6FCA" w:rsidP="004C6FCA">
      <w:pPr>
        <w:spacing w:line="480" w:lineRule="auto"/>
        <w:jc w:val="both"/>
        <w:rPr>
          <w:rFonts w:ascii="Times New Roman" w:hAnsi="Times New Roman" w:cs="Times New Roman"/>
          <w:sz w:val="24"/>
          <w:szCs w:val="24"/>
          <w:lang w:val="en-GB"/>
        </w:rPr>
      </w:pPr>
    </w:p>
    <w:p w14:paraId="205A1969" w14:textId="77777777" w:rsidR="004C6FCA" w:rsidRPr="00B9245E" w:rsidRDefault="004C6FCA" w:rsidP="004C6FCA">
      <w:pPr>
        <w:spacing w:line="480" w:lineRule="auto"/>
        <w:jc w:val="both"/>
        <w:rPr>
          <w:rFonts w:ascii="Times New Roman" w:hAnsi="Times New Roman" w:cs="Times New Roman"/>
          <w:sz w:val="24"/>
          <w:szCs w:val="24"/>
          <w:lang w:val="en-GB"/>
        </w:rPr>
      </w:pPr>
    </w:p>
    <w:p w14:paraId="3B8D8E23" w14:textId="77777777" w:rsidR="006F7B25" w:rsidRPr="00B9245E" w:rsidRDefault="006F7B25" w:rsidP="004C6FCA">
      <w:pPr>
        <w:spacing w:line="480" w:lineRule="auto"/>
        <w:jc w:val="both"/>
        <w:rPr>
          <w:rFonts w:ascii="Times New Roman" w:hAnsi="Times New Roman" w:cs="Times New Roman"/>
          <w:b/>
          <w:bCs/>
          <w:sz w:val="24"/>
          <w:szCs w:val="24"/>
          <w:lang w:val="en-GB"/>
        </w:rPr>
      </w:pPr>
      <w:r w:rsidRPr="00B9245E">
        <w:rPr>
          <w:rFonts w:ascii="Times New Roman" w:hAnsi="Times New Roman" w:cs="Times New Roman"/>
          <w:b/>
          <w:bCs/>
          <w:sz w:val="24"/>
          <w:szCs w:val="24"/>
          <w:lang w:val="en-GB"/>
        </w:rPr>
        <w:t xml:space="preserve">KEYWORDS: </w:t>
      </w:r>
      <w:r w:rsidR="003B6FDD" w:rsidRPr="00B9245E">
        <w:rPr>
          <w:rFonts w:ascii="Times New Roman" w:hAnsi="Times New Roman" w:cs="Times New Roman"/>
          <w:b/>
          <w:bCs/>
          <w:sz w:val="24"/>
          <w:szCs w:val="24"/>
          <w:lang w:val="en-GB"/>
        </w:rPr>
        <w:t>Hedge fund performance</w:t>
      </w:r>
      <w:r w:rsidRPr="00B9245E">
        <w:rPr>
          <w:rFonts w:ascii="Times New Roman" w:hAnsi="Times New Roman" w:cs="Times New Roman"/>
          <w:b/>
          <w:bCs/>
          <w:sz w:val="24"/>
          <w:szCs w:val="24"/>
          <w:lang w:val="en-GB"/>
        </w:rPr>
        <w:t xml:space="preserve">, </w:t>
      </w:r>
      <w:r w:rsidR="00430971">
        <w:rPr>
          <w:rFonts w:ascii="Times New Roman" w:hAnsi="Times New Roman" w:cs="Times New Roman"/>
          <w:b/>
          <w:bCs/>
          <w:sz w:val="24"/>
          <w:szCs w:val="24"/>
          <w:lang w:val="en-GB"/>
        </w:rPr>
        <w:t>H</w:t>
      </w:r>
      <w:r w:rsidR="00114333" w:rsidRPr="00B9245E">
        <w:rPr>
          <w:rFonts w:ascii="Times New Roman" w:hAnsi="Times New Roman" w:cs="Times New Roman"/>
          <w:b/>
          <w:bCs/>
          <w:sz w:val="24"/>
          <w:szCs w:val="24"/>
          <w:lang w:val="en-GB"/>
        </w:rPr>
        <w:t xml:space="preserve">edge </w:t>
      </w:r>
      <w:r w:rsidR="00430971">
        <w:rPr>
          <w:rFonts w:ascii="Times New Roman" w:hAnsi="Times New Roman" w:cs="Times New Roman"/>
          <w:b/>
          <w:bCs/>
          <w:sz w:val="24"/>
          <w:szCs w:val="24"/>
          <w:lang w:val="en-GB"/>
        </w:rPr>
        <w:t>F</w:t>
      </w:r>
      <w:r w:rsidR="00114333" w:rsidRPr="00B9245E">
        <w:rPr>
          <w:rFonts w:ascii="Times New Roman" w:hAnsi="Times New Roman" w:cs="Times New Roman"/>
          <w:b/>
          <w:bCs/>
          <w:sz w:val="24"/>
          <w:szCs w:val="24"/>
          <w:lang w:val="en-GB"/>
        </w:rPr>
        <w:t xml:space="preserve">und </w:t>
      </w:r>
      <w:r w:rsidR="00430971">
        <w:rPr>
          <w:rFonts w:ascii="Times New Roman" w:hAnsi="Times New Roman" w:cs="Times New Roman"/>
          <w:b/>
          <w:bCs/>
          <w:sz w:val="24"/>
          <w:szCs w:val="24"/>
          <w:lang w:val="en-GB"/>
        </w:rPr>
        <w:t>S</w:t>
      </w:r>
      <w:r w:rsidR="00114333" w:rsidRPr="00B9245E">
        <w:rPr>
          <w:rFonts w:ascii="Times New Roman" w:hAnsi="Times New Roman" w:cs="Times New Roman"/>
          <w:b/>
          <w:bCs/>
          <w:sz w:val="24"/>
          <w:szCs w:val="24"/>
          <w:lang w:val="en-GB"/>
        </w:rPr>
        <w:t xml:space="preserve">trategies, </w:t>
      </w:r>
      <w:r w:rsidR="00430971">
        <w:rPr>
          <w:rFonts w:ascii="Times New Roman" w:hAnsi="Times New Roman" w:cs="Times New Roman"/>
          <w:b/>
          <w:bCs/>
          <w:sz w:val="24"/>
          <w:szCs w:val="24"/>
          <w:lang w:val="en-GB"/>
        </w:rPr>
        <w:t>Commodity Hedge Funds</w:t>
      </w:r>
      <w:r w:rsidR="00114333" w:rsidRPr="00B9245E">
        <w:rPr>
          <w:rFonts w:ascii="Times New Roman" w:hAnsi="Times New Roman" w:cs="Times New Roman"/>
          <w:b/>
          <w:bCs/>
          <w:sz w:val="24"/>
          <w:szCs w:val="24"/>
          <w:lang w:val="en-GB"/>
        </w:rPr>
        <w:t xml:space="preserve">, </w:t>
      </w:r>
      <w:r w:rsidR="001D2AB9">
        <w:rPr>
          <w:rFonts w:ascii="Times New Roman" w:hAnsi="Times New Roman" w:cs="Times New Roman"/>
          <w:b/>
          <w:bCs/>
          <w:sz w:val="24"/>
          <w:szCs w:val="24"/>
          <w:lang w:val="en-GB"/>
        </w:rPr>
        <w:t>Asset allocation, Institutional Investors</w:t>
      </w:r>
    </w:p>
    <w:p w14:paraId="4092A902" w14:textId="77777777" w:rsidR="006F7B25" w:rsidRPr="00B9245E" w:rsidRDefault="006F7B25" w:rsidP="004C6FCA">
      <w:pPr>
        <w:spacing w:line="480" w:lineRule="auto"/>
        <w:jc w:val="both"/>
        <w:rPr>
          <w:rFonts w:ascii="Times New Roman" w:hAnsi="Times New Roman" w:cs="Times New Roman"/>
          <w:b/>
          <w:bCs/>
          <w:sz w:val="24"/>
          <w:szCs w:val="24"/>
          <w:lang w:val="en-GB"/>
        </w:rPr>
      </w:pPr>
      <w:r w:rsidRPr="00B9245E">
        <w:rPr>
          <w:rFonts w:ascii="Times New Roman" w:hAnsi="Times New Roman" w:cs="Times New Roman"/>
          <w:b/>
          <w:bCs/>
          <w:sz w:val="24"/>
          <w:szCs w:val="24"/>
          <w:lang w:val="en-GB"/>
        </w:rPr>
        <w:t>JEL CLASSIFICATION:</w:t>
      </w:r>
      <w:r w:rsidR="00944A7E" w:rsidRPr="00B9245E">
        <w:rPr>
          <w:rFonts w:ascii="Times New Roman" w:hAnsi="Times New Roman" w:cs="Times New Roman"/>
          <w:b/>
          <w:bCs/>
          <w:sz w:val="24"/>
          <w:szCs w:val="24"/>
          <w:lang w:val="en-GB"/>
        </w:rPr>
        <w:t xml:space="preserve"> </w:t>
      </w:r>
      <w:r w:rsidR="00114333" w:rsidRPr="00B9245E">
        <w:rPr>
          <w:rFonts w:ascii="Times New Roman" w:hAnsi="Times New Roman" w:cs="Times New Roman"/>
          <w:b/>
          <w:bCs/>
          <w:sz w:val="24"/>
          <w:szCs w:val="24"/>
          <w:lang w:val="en-GB"/>
        </w:rPr>
        <w:t>G11</w:t>
      </w:r>
      <w:r w:rsidR="00944A7E" w:rsidRPr="00B9245E">
        <w:rPr>
          <w:rFonts w:ascii="Times New Roman" w:hAnsi="Times New Roman" w:cs="Times New Roman"/>
          <w:b/>
          <w:bCs/>
          <w:sz w:val="24"/>
          <w:szCs w:val="24"/>
          <w:lang w:val="en-GB"/>
        </w:rPr>
        <w:t>,</w:t>
      </w:r>
      <w:r w:rsidR="00114333" w:rsidRPr="00B9245E">
        <w:rPr>
          <w:rFonts w:ascii="Times New Roman" w:hAnsi="Times New Roman" w:cs="Times New Roman"/>
          <w:b/>
          <w:bCs/>
          <w:sz w:val="24"/>
          <w:szCs w:val="24"/>
          <w:lang w:val="en-GB"/>
        </w:rPr>
        <w:t xml:space="preserve"> G15,</w:t>
      </w:r>
      <w:r w:rsidR="00944A7E" w:rsidRPr="00B9245E">
        <w:rPr>
          <w:rFonts w:ascii="Times New Roman" w:hAnsi="Times New Roman" w:cs="Times New Roman"/>
          <w:b/>
          <w:bCs/>
          <w:sz w:val="24"/>
          <w:szCs w:val="24"/>
          <w:lang w:val="en-GB"/>
        </w:rPr>
        <w:t xml:space="preserve"> </w:t>
      </w:r>
      <w:r w:rsidR="00114333" w:rsidRPr="00B9245E">
        <w:rPr>
          <w:rFonts w:ascii="Times New Roman" w:hAnsi="Times New Roman" w:cs="Times New Roman"/>
          <w:b/>
          <w:bCs/>
          <w:sz w:val="24"/>
          <w:szCs w:val="24"/>
          <w:lang w:val="en-GB"/>
        </w:rPr>
        <w:t>G23,</w:t>
      </w:r>
      <w:r w:rsidRPr="00B9245E">
        <w:rPr>
          <w:rFonts w:ascii="Times New Roman" w:hAnsi="Times New Roman" w:cs="Times New Roman"/>
          <w:b/>
          <w:bCs/>
          <w:sz w:val="24"/>
          <w:szCs w:val="24"/>
          <w:lang w:val="en-GB"/>
        </w:rPr>
        <w:t xml:space="preserve"> </w:t>
      </w:r>
      <w:r w:rsidR="00114333" w:rsidRPr="00B9245E">
        <w:rPr>
          <w:rFonts w:ascii="Times New Roman" w:hAnsi="Times New Roman" w:cs="Times New Roman"/>
          <w:b/>
          <w:bCs/>
          <w:sz w:val="24"/>
          <w:szCs w:val="24"/>
          <w:lang w:val="en-GB"/>
        </w:rPr>
        <w:t>C58</w:t>
      </w:r>
      <w:r w:rsidRPr="00B9245E">
        <w:rPr>
          <w:rFonts w:ascii="Times New Roman" w:hAnsi="Times New Roman" w:cs="Times New Roman"/>
          <w:b/>
          <w:bCs/>
          <w:sz w:val="24"/>
          <w:szCs w:val="24"/>
          <w:lang w:val="en-GB"/>
        </w:rPr>
        <w:t xml:space="preserve">, </w:t>
      </w:r>
    </w:p>
    <w:p w14:paraId="556A98D4" w14:textId="77777777" w:rsidR="004B523E" w:rsidRPr="00B9245E" w:rsidRDefault="004B523E" w:rsidP="004C6FCA">
      <w:pPr>
        <w:spacing w:line="480" w:lineRule="auto"/>
        <w:jc w:val="both"/>
        <w:rPr>
          <w:rFonts w:ascii="Times New Roman" w:hAnsi="Times New Roman" w:cs="Times New Roman"/>
          <w:b/>
          <w:bCs/>
          <w:sz w:val="24"/>
          <w:szCs w:val="24"/>
          <w:lang w:val="en-GB"/>
        </w:rPr>
      </w:pPr>
    </w:p>
    <w:p w14:paraId="7575D474" w14:textId="77777777" w:rsidR="004B523E" w:rsidRDefault="00430971" w:rsidP="00430971">
      <w:pPr>
        <w:pStyle w:val="Listenabsatz"/>
        <w:numPr>
          <w:ilvl w:val="0"/>
          <w:numId w:val="6"/>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4464655E" w14:textId="77777777" w:rsidR="0079365B" w:rsidRDefault="0079365B" w:rsidP="000649C5">
      <w:pPr>
        <w:spacing w:line="240" w:lineRule="auto"/>
        <w:jc w:val="both"/>
        <w:rPr>
          <w:rFonts w:ascii="Times New Roman" w:hAnsi="Times New Roman" w:cs="Times New Roman"/>
          <w:bCs/>
          <w:sz w:val="24"/>
          <w:szCs w:val="24"/>
          <w:lang w:val="en-US"/>
        </w:rPr>
      </w:pPr>
    </w:p>
    <w:p w14:paraId="5A91B178"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The universe of hedge fund</w:t>
      </w:r>
      <w:r w:rsidRPr="008977D9">
        <w:rPr>
          <w:rFonts w:ascii="Times New Roman" w:hAnsi="Times New Roman"/>
          <w:bCs/>
          <w:color w:val="000000"/>
          <w:sz w:val="24"/>
          <w:lang w:val="en-US"/>
        </w:rPr>
        <w:t xml:space="preserve"> </w:t>
      </w:r>
      <w:r>
        <w:rPr>
          <w:rFonts w:ascii="Times New Roman" w:hAnsi="Times New Roman"/>
          <w:bCs/>
          <w:sz w:val="24"/>
          <w:lang w:val="en-US"/>
        </w:rPr>
        <w:t>s</w:t>
      </w:r>
      <w:r w:rsidRPr="008977D9">
        <w:rPr>
          <w:rFonts w:ascii="Times New Roman" w:hAnsi="Times New Roman"/>
          <w:bCs/>
          <w:color w:val="000000"/>
          <w:sz w:val="24"/>
          <w:lang w:val="en-US"/>
        </w:rPr>
        <w:t>trategies</w:t>
      </w:r>
      <w:r>
        <w:rPr>
          <w:rFonts w:ascii="Times New Roman" w:hAnsi="Times New Roman"/>
          <w:bCs/>
          <w:sz w:val="24"/>
          <w:lang w:val="en-US"/>
        </w:rPr>
        <w:t xml:space="preserve"> </w:t>
      </w:r>
      <w:r w:rsidRPr="008977D9">
        <w:rPr>
          <w:rFonts w:ascii="Times New Roman" w:hAnsi="Times New Roman"/>
          <w:bCs/>
          <w:color w:val="000000"/>
          <w:sz w:val="24"/>
          <w:lang w:val="en-US"/>
        </w:rPr>
        <w:t xml:space="preserve">has been </w:t>
      </w:r>
      <w:r>
        <w:rPr>
          <w:rFonts w:ascii="Times New Roman" w:hAnsi="Times New Roman"/>
          <w:bCs/>
          <w:sz w:val="24"/>
          <w:lang w:val="en-US"/>
        </w:rPr>
        <w:t xml:space="preserve">increasing since the beginning of the new millennium. Many hedge funds used commodities as an asset class in their portfolio. Since 2008 </w:t>
      </w:r>
      <w:proofErr w:type="spellStart"/>
      <w:r>
        <w:rPr>
          <w:rFonts w:ascii="Times New Roman" w:hAnsi="Times New Roman"/>
          <w:bCs/>
          <w:sz w:val="24"/>
          <w:lang w:val="en-US"/>
        </w:rPr>
        <w:t>Hedgefund</w:t>
      </w:r>
      <w:proofErr w:type="spellEnd"/>
      <w:r>
        <w:rPr>
          <w:rFonts w:ascii="Times New Roman" w:hAnsi="Times New Roman"/>
          <w:bCs/>
          <w:sz w:val="24"/>
          <w:lang w:val="en-US"/>
        </w:rPr>
        <w:t xml:space="preserve"> Research (HFR)</w:t>
      </w:r>
      <w:r w:rsidRPr="008977D9">
        <w:rPr>
          <w:rFonts w:ascii="Times New Roman" w:hAnsi="Times New Roman"/>
          <w:bCs/>
          <w:color w:val="000000"/>
          <w:sz w:val="24"/>
          <w:lang w:val="en-US"/>
        </w:rPr>
        <w:t xml:space="preserve"> has</w:t>
      </w:r>
      <w:r>
        <w:rPr>
          <w:rFonts w:ascii="Times New Roman" w:hAnsi="Times New Roman"/>
          <w:bCs/>
          <w:sz w:val="24"/>
          <w:lang w:val="en-US"/>
        </w:rPr>
        <w:t xml:space="preserve"> used two indices which are measuring Commodity Hedge Funds. These hedge funds are specialized in trading commodities. There has already been done some research concerning the added value of commodities for multi-asset portfolios. For example, </w:t>
      </w:r>
      <w:proofErr w:type="spellStart"/>
      <w:r>
        <w:rPr>
          <w:rFonts w:ascii="Times New Roman" w:hAnsi="Times New Roman"/>
          <w:bCs/>
          <w:sz w:val="24"/>
          <w:lang w:val="en-US"/>
        </w:rPr>
        <w:t>Bessler</w:t>
      </w:r>
      <w:proofErr w:type="spellEnd"/>
      <w:r>
        <w:rPr>
          <w:rFonts w:ascii="Times New Roman" w:hAnsi="Times New Roman"/>
          <w:bCs/>
          <w:sz w:val="24"/>
          <w:lang w:val="en-US"/>
        </w:rPr>
        <w:t xml:space="preserve">/Wolff (2015) investigated the </w:t>
      </w:r>
      <w:proofErr w:type="spellStart"/>
      <w:r>
        <w:rPr>
          <w:rFonts w:ascii="Times New Roman" w:hAnsi="Times New Roman"/>
          <w:bCs/>
          <w:sz w:val="24"/>
          <w:lang w:val="en-US"/>
        </w:rPr>
        <w:t>out-of</w:t>
      </w:r>
      <w:proofErr w:type="spellEnd"/>
      <w:r>
        <w:rPr>
          <w:rFonts w:ascii="Times New Roman" w:hAnsi="Times New Roman"/>
          <w:bCs/>
          <w:sz w:val="24"/>
          <w:lang w:val="en-US"/>
        </w:rPr>
        <w:t xml:space="preserve"> sample effects of adding commodities to bond-stock portfolios by analyzing various asset allocation strategies. They analyzed many commodity groups such as energy, precious metals, industrial metals and agricultural and livestock commodities. Additionally, they used aggregated commodity indices. For most asset allocation strategies aggregate commodity indices and industrial metals provided an added value in comparison to a simple stock bond portfolio, but they hardly found positive effects for agriculture and livestock. The advantage of their study was that the data go back to 1983. As mentioned our data set goes only back to 2008 and therefore significance is more limited. </w:t>
      </w:r>
    </w:p>
    <w:p w14:paraId="22523F22" w14:textId="77777777" w:rsidR="007F17B7" w:rsidRPr="008977D9" w:rsidRDefault="007F17B7" w:rsidP="007F17B7">
      <w:pPr>
        <w:spacing w:line="240" w:lineRule="auto"/>
        <w:jc w:val="both"/>
        <w:rPr>
          <w:rFonts w:ascii="Times New Roman" w:hAnsi="Times New Roman"/>
          <w:bCs/>
          <w:sz w:val="24"/>
          <w:lang w:val="en-US"/>
        </w:rPr>
      </w:pPr>
      <w:r w:rsidRPr="008977D9">
        <w:rPr>
          <w:rFonts w:ascii="Times New Roman" w:hAnsi="Times New Roman"/>
          <w:bCs/>
          <w:sz w:val="24"/>
          <w:lang w:val="en-US"/>
        </w:rPr>
        <w:t xml:space="preserve">The literature on the </w:t>
      </w:r>
      <w:r w:rsidRPr="008977D9">
        <w:rPr>
          <w:rFonts w:ascii="Times New Roman" w:hAnsi="Times New Roman"/>
          <w:bCs/>
          <w:color w:val="000000"/>
          <w:sz w:val="24"/>
          <w:lang w:val="en-US"/>
        </w:rPr>
        <w:t xml:space="preserve">performance of hedge funds has grown </w:t>
      </w:r>
      <w:r w:rsidRPr="008977D9">
        <w:rPr>
          <w:rFonts w:ascii="Times New Roman" w:hAnsi="Times New Roman"/>
          <w:bCs/>
          <w:sz w:val="24"/>
          <w:lang w:val="en-US"/>
        </w:rPr>
        <w:t>considerably in the last ten years. There has been</w:t>
      </w:r>
      <w:r w:rsidRPr="008977D9">
        <w:rPr>
          <w:rFonts w:ascii="Times New Roman" w:hAnsi="Times New Roman"/>
          <w:bCs/>
          <w:color w:val="000000"/>
          <w:sz w:val="24"/>
          <w:lang w:val="en-US"/>
        </w:rPr>
        <w:t xml:space="preserve"> </w:t>
      </w:r>
      <w:r w:rsidRPr="008977D9">
        <w:rPr>
          <w:rFonts w:ascii="Times New Roman" w:hAnsi="Times New Roman"/>
          <w:bCs/>
          <w:sz w:val="24"/>
          <w:lang w:val="en-US"/>
        </w:rPr>
        <w:t xml:space="preserve">much research on the performance of the whole </w:t>
      </w:r>
      <w:r>
        <w:rPr>
          <w:rFonts w:ascii="Times New Roman" w:hAnsi="Times New Roman"/>
          <w:bCs/>
          <w:sz w:val="24"/>
          <w:lang w:val="en-US"/>
        </w:rPr>
        <w:t>hedge fund market (Bali et</w:t>
      </w:r>
      <w:r w:rsidRPr="008977D9">
        <w:rPr>
          <w:rFonts w:ascii="Times New Roman" w:hAnsi="Times New Roman"/>
          <w:bCs/>
          <w:sz w:val="24"/>
          <w:lang w:val="en-US"/>
        </w:rPr>
        <w:t xml:space="preserve"> al</w:t>
      </w:r>
      <w:r>
        <w:rPr>
          <w:rFonts w:ascii="Times New Roman" w:hAnsi="Times New Roman"/>
          <w:bCs/>
          <w:sz w:val="24"/>
          <w:lang w:val="en-US"/>
        </w:rPr>
        <w:t>.</w:t>
      </w:r>
      <w:r w:rsidRPr="008977D9">
        <w:rPr>
          <w:rFonts w:ascii="Times New Roman" w:hAnsi="Times New Roman"/>
          <w:bCs/>
          <w:sz w:val="24"/>
          <w:lang w:val="en-US"/>
        </w:rPr>
        <w:t>, 2014; Brown, 2012; Racicot/</w:t>
      </w:r>
      <w:proofErr w:type="spellStart"/>
      <w:r w:rsidRPr="008977D9">
        <w:rPr>
          <w:rFonts w:ascii="Times New Roman" w:hAnsi="Times New Roman"/>
          <w:bCs/>
          <w:sz w:val="24"/>
          <w:lang w:val="en-US"/>
        </w:rPr>
        <w:t>Theoret</w:t>
      </w:r>
      <w:proofErr w:type="spellEnd"/>
      <w:r w:rsidRPr="008977D9">
        <w:rPr>
          <w:rFonts w:ascii="Times New Roman" w:hAnsi="Times New Roman"/>
          <w:bCs/>
          <w:sz w:val="24"/>
          <w:lang w:val="en-US"/>
        </w:rPr>
        <w:t>, 2016). The sources used non-linear performance attribution models in the form of an up-bottom approach and other studies used non-linear models with bottom-up performance attribution models (Agarwal/</w:t>
      </w:r>
      <w:proofErr w:type="spellStart"/>
      <w:r w:rsidRPr="008977D9">
        <w:rPr>
          <w:rFonts w:ascii="Times New Roman" w:hAnsi="Times New Roman"/>
          <w:bCs/>
          <w:sz w:val="24"/>
          <w:lang w:val="en-US"/>
        </w:rPr>
        <w:t>Naik</w:t>
      </w:r>
      <w:proofErr w:type="spellEnd"/>
      <w:r w:rsidRPr="008977D9">
        <w:rPr>
          <w:rFonts w:ascii="Times New Roman" w:hAnsi="Times New Roman"/>
          <w:bCs/>
          <w:sz w:val="24"/>
          <w:lang w:val="en-US"/>
        </w:rPr>
        <w:t xml:space="preserve">, 2004; Fung/Hsieh, 2004). </w:t>
      </w:r>
      <w:proofErr w:type="spellStart"/>
      <w:r w:rsidRPr="008977D9">
        <w:rPr>
          <w:rFonts w:ascii="Times New Roman" w:hAnsi="Times New Roman"/>
          <w:bCs/>
          <w:sz w:val="24"/>
          <w:lang w:val="en-US"/>
        </w:rPr>
        <w:t>Stafylas</w:t>
      </w:r>
      <w:proofErr w:type="spellEnd"/>
      <w:r w:rsidRPr="008977D9">
        <w:rPr>
          <w:rFonts w:ascii="Times New Roman" w:hAnsi="Times New Roman"/>
          <w:bCs/>
          <w:sz w:val="24"/>
          <w:lang w:val="en-US"/>
        </w:rPr>
        <w:t xml:space="preserve"> et</w:t>
      </w:r>
      <w:r w:rsidRPr="008977D9">
        <w:rPr>
          <w:rFonts w:ascii="Times New Roman" w:hAnsi="Times New Roman"/>
          <w:bCs/>
          <w:color w:val="000000"/>
          <w:sz w:val="24"/>
          <w:lang w:val="en-US"/>
        </w:rPr>
        <w:t xml:space="preserve"> </w:t>
      </w:r>
      <w:r w:rsidRPr="008977D9">
        <w:rPr>
          <w:rFonts w:ascii="Times New Roman" w:hAnsi="Times New Roman"/>
          <w:bCs/>
          <w:sz w:val="24"/>
          <w:lang w:val="en-US"/>
        </w:rPr>
        <w:t>a</w:t>
      </w:r>
      <w:r w:rsidRPr="008977D9">
        <w:rPr>
          <w:rFonts w:ascii="Times New Roman" w:hAnsi="Times New Roman"/>
          <w:bCs/>
          <w:color w:val="000000"/>
          <w:sz w:val="24"/>
          <w:lang w:val="en-US"/>
        </w:rPr>
        <w:t xml:space="preserve">l. </w:t>
      </w:r>
      <w:r w:rsidRPr="008977D9">
        <w:rPr>
          <w:rFonts w:ascii="Times New Roman" w:hAnsi="Times New Roman"/>
          <w:bCs/>
          <w:sz w:val="24"/>
          <w:lang w:val="en-US"/>
        </w:rPr>
        <w:t xml:space="preserve">(2016) </w:t>
      </w:r>
      <w:r w:rsidRPr="008977D9">
        <w:rPr>
          <w:rFonts w:ascii="Times New Roman" w:hAnsi="Times New Roman"/>
          <w:bCs/>
          <w:color w:val="000000"/>
          <w:sz w:val="24"/>
          <w:lang w:val="en-US"/>
        </w:rPr>
        <w:t xml:space="preserve">have </w:t>
      </w:r>
      <w:r w:rsidRPr="008977D9">
        <w:rPr>
          <w:rFonts w:ascii="Times New Roman" w:hAnsi="Times New Roman"/>
          <w:bCs/>
          <w:sz w:val="24"/>
          <w:lang w:val="en-US"/>
        </w:rPr>
        <w:t xml:space="preserve">recently made an </w:t>
      </w:r>
      <w:proofErr w:type="spellStart"/>
      <w:r w:rsidRPr="008977D9">
        <w:rPr>
          <w:rFonts w:ascii="Times New Roman" w:hAnsi="Times New Roman"/>
          <w:bCs/>
          <w:sz w:val="24"/>
          <w:lang w:val="en-US"/>
        </w:rPr>
        <w:t>overseeable</w:t>
      </w:r>
      <w:proofErr w:type="spellEnd"/>
      <w:r w:rsidRPr="008977D9">
        <w:rPr>
          <w:rFonts w:ascii="Times New Roman" w:hAnsi="Times New Roman"/>
          <w:bCs/>
          <w:sz w:val="24"/>
          <w:lang w:val="en-US"/>
        </w:rPr>
        <w:t xml:space="preserve"> literature review about hedge fund returns. There is also a literature about special hedge fund strategies like Emerging Market hedge funds (</w:t>
      </w:r>
      <w:proofErr w:type="spellStart"/>
      <w:r w:rsidRPr="008977D9">
        <w:rPr>
          <w:rFonts w:ascii="Times New Roman" w:hAnsi="Times New Roman"/>
          <w:bCs/>
          <w:sz w:val="24"/>
          <w:lang w:val="en-US"/>
        </w:rPr>
        <w:t>Elling</w:t>
      </w:r>
      <w:proofErr w:type="spellEnd"/>
      <w:r w:rsidRPr="008977D9">
        <w:rPr>
          <w:rFonts w:ascii="Times New Roman" w:hAnsi="Times New Roman"/>
          <w:bCs/>
          <w:sz w:val="24"/>
          <w:lang w:val="en-US"/>
        </w:rPr>
        <w:t xml:space="preserve">, 2010; </w:t>
      </w:r>
      <w:proofErr w:type="spellStart"/>
      <w:r w:rsidRPr="008977D9">
        <w:rPr>
          <w:rFonts w:ascii="Times New Roman" w:hAnsi="Times New Roman"/>
          <w:bCs/>
          <w:sz w:val="24"/>
          <w:lang w:val="en-US"/>
        </w:rPr>
        <w:t>Abugri</w:t>
      </w:r>
      <w:proofErr w:type="spellEnd"/>
      <w:r w:rsidRPr="008977D9">
        <w:rPr>
          <w:rFonts w:ascii="Times New Roman" w:hAnsi="Times New Roman"/>
          <w:bCs/>
          <w:sz w:val="24"/>
          <w:lang w:val="en-US"/>
        </w:rPr>
        <w:t xml:space="preserve">/Dutta, 2009) or Fixed Income hedge funds (Duarte et al., 2007). </w:t>
      </w:r>
    </w:p>
    <w:p w14:paraId="484CBC77" w14:textId="77777777" w:rsidR="007F17B7" w:rsidRDefault="007F17B7" w:rsidP="007F17B7">
      <w:pPr>
        <w:spacing w:line="240" w:lineRule="auto"/>
        <w:jc w:val="both"/>
        <w:rPr>
          <w:rFonts w:ascii="Times New Roman" w:hAnsi="Times New Roman"/>
          <w:bCs/>
          <w:sz w:val="24"/>
          <w:lang w:val="en-US"/>
        </w:rPr>
      </w:pPr>
      <w:r w:rsidRPr="008977D9">
        <w:rPr>
          <w:rFonts w:ascii="Times New Roman" w:hAnsi="Times New Roman"/>
          <w:bCs/>
          <w:sz w:val="24"/>
          <w:lang w:val="en-US"/>
        </w:rPr>
        <w:t>Hedge funds brought a significant outperformance compared to nearly all asset classes before the financial crisis (</w:t>
      </w:r>
      <w:proofErr w:type="spellStart"/>
      <w:r w:rsidRPr="008977D9">
        <w:rPr>
          <w:rFonts w:ascii="Times New Roman" w:hAnsi="Times New Roman"/>
          <w:bCs/>
          <w:sz w:val="24"/>
          <w:lang w:val="en-US"/>
        </w:rPr>
        <w:t>Elling</w:t>
      </w:r>
      <w:proofErr w:type="spellEnd"/>
      <w:r w:rsidRPr="008977D9">
        <w:rPr>
          <w:rFonts w:ascii="Times New Roman" w:hAnsi="Times New Roman"/>
          <w:bCs/>
          <w:sz w:val="24"/>
          <w:lang w:val="en-US"/>
        </w:rPr>
        <w:t>, 2010). However, after the financial crisis the performance of hedge funds weakened considerably (</w:t>
      </w:r>
      <w:proofErr w:type="spellStart"/>
      <w:r w:rsidRPr="008977D9">
        <w:rPr>
          <w:rFonts w:ascii="Times New Roman" w:hAnsi="Times New Roman"/>
          <w:bCs/>
          <w:sz w:val="24"/>
          <w:lang w:val="en-US"/>
        </w:rPr>
        <w:t>A</w:t>
      </w:r>
      <w:r>
        <w:rPr>
          <w:rFonts w:ascii="Times New Roman" w:hAnsi="Times New Roman"/>
          <w:bCs/>
          <w:sz w:val="24"/>
          <w:lang w:val="en-US"/>
        </w:rPr>
        <w:t>tilgan</w:t>
      </w:r>
      <w:proofErr w:type="spellEnd"/>
      <w:r>
        <w:rPr>
          <w:rFonts w:ascii="Times New Roman" w:hAnsi="Times New Roman"/>
          <w:bCs/>
          <w:sz w:val="24"/>
          <w:lang w:val="en-US"/>
        </w:rPr>
        <w:t xml:space="preserve"> et al., 2013); Huang et </w:t>
      </w:r>
      <w:r w:rsidRPr="008977D9">
        <w:rPr>
          <w:rFonts w:ascii="Times New Roman" w:hAnsi="Times New Roman"/>
          <w:bCs/>
          <w:sz w:val="24"/>
          <w:lang w:val="en-US"/>
        </w:rPr>
        <w:t>al</w:t>
      </w:r>
      <w:r>
        <w:rPr>
          <w:rFonts w:ascii="Times New Roman" w:hAnsi="Times New Roman"/>
          <w:bCs/>
          <w:sz w:val="24"/>
          <w:lang w:val="en-US"/>
        </w:rPr>
        <w:t>.</w:t>
      </w:r>
      <w:r w:rsidRPr="008977D9">
        <w:rPr>
          <w:rFonts w:ascii="Times New Roman" w:hAnsi="Times New Roman"/>
          <w:bCs/>
          <w:sz w:val="24"/>
          <w:lang w:val="en-US"/>
        </w:rPr>
        <w:t xml:space="preserve">, (2017) investigated the performance of hedge funds between 1994 and 2008 and used the data of Lipper/TASS. They found that the performance considerably weakened from the beginning of the new </w:t>
      </w:r>
      <w:proofErr w:type="spellStart"/>
      <w:r w:rsidRPr="008977D9">
        <w:rPr>
          <w:rFonts w:ascii="Times New Roman" w:hAnsi="Times New Roman"/>
          <w:bCs/>
          <w:sz w:val="24"/>
          <w:lang w:val="en-US"/>
        </w:rPr>
        <w:t>millenium</w:t>
      </w:r>
      <w:proofErr w:type="spellEnd"/>
      <w:r w:rsidRPr="008977D9">
        <w:rPr>
          <w:rFonts w:ascii="Times New Roman" w:hAnsi="Times New Roman"/>
          <w:bCs/>
          <w:sz w:val="24"/>
          <w:lang w:val="en-US"/>
        </w:rPr>
        <w:t xml:space="preserve"> until 2008. Over the whole period Emerging Market hedge funds were the top performers of all strategies followed by Long/Shor</w:t>
      </w:r>
      <w:r>
        <w:rPr>
          <w:rFonts w:ascii="Times New Roman" w:hAnsi="Times New Roman"/>
          <w:bCs/>
          <w:sz w:val="24"/>
          <w:lang w:val="en-US"/>
        </w:rPr>
        <w:t>t Equity. Furthermore, Huang et</w:t>
      </w:r>
      <w:r w:rsidRPr="008977D9">
        <w:rPr>
          <w:rFonts w:ascii="Times New Roman" w:hAnsi="Times New Roman"/>
          <w:bCs/>
          <w:sz w:val="24"/>
          <w:lang w:val="en-US"/>
        </w:rPr>
        <w:t xml:space="preserve"> al</w:t>
      </w:r>
      <w:r>
        <w:rPr>
          <w:rFonts w:ascii="Times New Roman" w:hAnsi="Times New Roman"/>
          <w:bCs/>
          <w:sz w:val="24"/>
          <w:lang w:val="en-US"/>
        </w:rPr>
        <w:t>.</w:t>
      </w:r>
      <w:r w:rsidRPr="008977D9">
        <w:rPr>
          <w:rFonts w:ascii="Times New Roman" w:hAnsi="Times New Roman"/>
          <w:bCs/>
          <w:sz w:val="24"/>
          <w:lang w:val="en-US"/>
        </w:rPr>
        <w:t xml:space="preserve"> (2017) found that hedge funds returns are exposed to systematic risk factors and hedging does not always bring good results. </w:t>
      </w:r>
      <w:r>
        <w:rPr>
          <w:rFonts w:ascii="Times New Roman" w:hAnsi="Times New Roman"/>
          <w:bCs/>
          <w:sz w:val="24"/>
          <w:lang w:val="en-US"/>
        </w:rPr>
        <w:t>Brown (2016) wrote a short comment about the weakness of the performance of hedge funds in comparison to the S&amp;P 500. For him the large withdrawals of investors in July 2016 are attributable to the relative weakness of hedge funds performance.</w:t>
      </w:r>
    </w:p>
    <w:p w14:paraId="42E6F526"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Concerning the portfolio attribution of hedge funds to investors, </w:t>
      </w:r>
      <w:proofErr w:type="spellStart"/>
      <w:r>
        <w:rPr>
          <w:rFonts w:ascii="Times New Roman" w:hAnsi="Times New Roman"/>
          <w:bCs/>
          <w:sz w:val="24"/>
          <w:lang w:val="en-US"/>
        </w:rPr>
        <w:t>Elling</w:t>
      </w:r>
      <w:proofErr w:type="spellEnd"/>
      <w:r>
        <w:rPr>
          <w:rFonts w:ascii="Times New Roman" w:hAnsi="Times New Roman"/>
          <w:bCs/>
          <w:sz w:val="24"/>
          <w:lang w:val="en-US"/>
        </w:rPr>
        <w:t xml:space="preserve"> (2004) wrote an excellent paper about the added value of hedge funds for German insurance companies. He found that hedge funds deliver an added value on the performance and risk-adjusted performance of the insurers portfolios. However, he was skeptical about the liquidity aspect of hedge funds. Many hedge funds have lock-up periods of more than one year and are therefore a disadvantage for investors like insurance companies. </w:t>
      </w:r>
      <w:proofErr w:type="spellStart"/>
      <w:r>
        <w:rPr>
          <w:rFonts w:ascii="Times New Roman" w:hAnsi="Times New Roman"/>
          <w:bCs/>
          <w:sz w:val="24"/>
          <w:lang w:val="en-US"/>
        </w:rPr>
        <w:t>Jackwerth</w:t>
      </w:r>
      <w:proofErr w:type="spellEnd"/>
      <w:r>
        <w:rPr>
          <w:rFonts w:ascii="Times New Roman" w:hAnsi="Times New Roman"/>
          <w:bCs/>
          <w:sz w:val="24"/>
          <w:lang w:val="en-US"/>
        </w:rPr>
        <w:t>/</w:t>
      </w:r>
      <w:proofErr w:type="spellStart"/>
      <w:r>
        <w:rPr>
          <w:rFonts w:ascii="Times New Roman" w:hAnsi="Times New Roman"/>
          <w:bCs/>
          <w:sz w:val="24"/>
          <w:lang w:val="en-US"/>
        </w:rPr>
        <w:t>Slavutskaya</w:t>
      </w:r>
      <w:proofErr w:type="spellEnd"/>
      <w:r>
        <w:rPr>
          <w:rFonts w:ascii="Times New Roman" w:hAnsi="Times New Roman"/>
          <w:bCs/>
          <w:sz w:val="24"/>
          <w:lang w:val="en-US"/>
        </w:rPr>
        <w:t xml:space="preserve"> (2016) made an interesting analysis of the effect of an attribution of hedge funds in pension </w:t>
      </w:r>
      <w:proofErr w:type="spellStart"/>
      <w:r>
        <w:rPr>
          <w:rFonts w:ascii="Times New Roman" w:hAnsi="Times New Roman"/>
          <w:bCs/>
          <w:sz w:val="24"/>
          <w:lang w:val="en-US"/>
        </w:rPr>
        <w:t>funds</w:t>
      </w:r>
      <w:proofErr w:type="spellEnd"/>
      <w:r>
        <w:rPr>
          <w:rFonts w:ascii="Times New Roman" w:hAnsi="Times New Roman"/>
          <w:bCs/>
          <w:sz w:val="24"/>
          <w:lang w:val="en-US"/>
        </w:rPr>
        <w:t xml:space="preserve"> portfolios. They used the data period of 1994 until 2012 and found that hedge funds produced significantly higher benefits for pension funds than other alternative assets like commodities, real estates, mutual funds or foreign equities. The authors mentioned that pension funds increased their exposure of alternative assets after the financial crisis 2008 to around 10%. Another finding of this study was that the attribution of hedge funds to the portfolio of pension funds improved the </w:t>
      </w:r>
      <w:r>
        <w:rPr>
          <w:rFonts w:ascii="Times New Roman" w:hAnsi="Times New Roman"/>
          <w:bCs/>
          <w:sz w:val="24"/>
          <w:lang w:val="en-US"/>
        </w:rPr>
        <w:lastRenderedPageBreak/>
        <w:t xml:space="preserve">total performance which is superior to the attribution of other alternative assets like commodities, real estate or mutual funds. Concerning the strategies, only Emerging Market Hedge Funds, Fixed Income Hedge Funds and Long/Short Equity Hedge Funds were not beneficial for pension </w:t>
      </w:r>
      <w:proofErr w:type="spellStart"/>
      <w:r>
        <w:rPr>
          <w:rFonts w:ascii="Times New Roman" w:hAnsi="Times New Roman"/>
          <w:bCs/>
          <w:sz w:val="24"/>
          <w:lang w:val="en-US"/>
        </w:rPr>
        <w:t>funds</w:t>
      </w:r>
      <w:proofErr w:type="spellEnd"/>
      <w:r>
        <w:rPr>
          <w:rFonts w:ascii="Times New Roman" w:hAnsi="Times New Roman"/>
          <w:bCs/>
          <w:sz w:val="24"/>
          <w:lang w:val="en-US"/>
        </w:rPr>
        <w:t xml:space="preserve"> portfolios. Commodity </w:t>
      </w:r>
      <w:proofErr w:type="spellStart"/>
      <w:r>
        <w:rPr>
          <w:rFonts w:ascii="Times New Roman" w:hAnsi="Times New Roman"/>
          <w:bCs/>
          <w:sz w:val="24"/>
          <w:lang w:val="en-US"/>
        </w:rPr>
        <w:t>Hegde</w:t>
      </w:r>
      <w:proofErr w:type="spellEnd"/>
      <w:r>
        <w:rPr>
          <w:rFonts w:ascii="Times New Roman" w:hAnsi="Times New Roman"/>
          <w:bCs/>
          <w:sz w:val="24"/>
          <w:lang w:val="en-US"/>
        </w:rPr>
        <w:t xml:space="preserve"> Funds are part of the Macro Funds and were not explicitly analyzed. </w:t>
      </w:r>
    </w:p>
    <w:p w14:paraId="31579D6E"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So far, there has been no research about the performance of the relatively new hedge funds strategy “Commodity Hedge Funds” and the attribution of these funds for multi-asset portfolios. We aim to investigate whether </w:t>
      </w:r>
      <w:proofErr w:type="spellStart"/>
      <w:r>
        <w:rPr>
          <w:rFonts w:ascii="Times New Roman" w:hAnsi="Times New Roman"/>
          <w:bCs/>
          <w:sz w:val="24"/>
          <w:lang w:val="en-US"/>
        </w:rPr>
        <w:t>Commdity</w:t>
      </w:r>
      <w:proofErr w:type="spellEnd"/>
      <w:r>
        <w:rPr>
          <w:rFonts w:ascii="Times New Roman" w:hAnsi="Times New Roman"/>
          <w:bCs/>
          <w:sz w:val="24"/>
          <w:lang w:val="en-US"/>
        </w:rPr>
        <w:t xml:space="preserve"> Hedge Funds could be useful for an </w:t>
      </w:r>
      <w:proofErr w:type="spellStart"/>
      <w:r>
        <w:rPr>
          <w:rFonts w:ascii="Times New Roman" w:hAnsi="Times New Roman"/>
          <w:bCs/>
          <w:sz w:val="24"/>
          <w:lang w:val="en-US"/>
        </w:rPr>
        <w:t>investors</w:t>
      </w:r>
      <w:proofErr w:type="spellEnd"/>
      <w:r>
        <w:rPr>
          <w:rFonts w:ascii="Times New Roman" w:hAnsi="Times New Roman"/>
          <w:bCs/>
          <w:sz w:val="24"/>
          <w:lang w:val="en-US"/>
        </w:rPr>
        <w:t xml:space="preserve"> portfolio. Our contribution to the literature has two important aspects. First, we want to show that using individual hedge funds strategies have advantages for investors, because it is not easy to track the whole universe of hedge funds. Secondly, commodity hedge funds are adding value at least to conservative asset allocation approaches. An advantage of our study is also that the period after 2008 brought a completely different environment for institutional investors and there have not been m</w:t>
      </w:r>
      <w:r w:rsidRPr="008977D9">
        <w:rPr>
          <w:rFonts w:ascii="Times New Roman" w:hAnsi="Times New Roman"/>
          <w:bCs/>
          <w:color w:val="000000"/>
          <w:sz w:val="24"/>
          <w:lang w:val="en-US"/>
        </w:rPr>
        <w:t xml:space="preserve">any </w:t>
      </w:r>
      <w:r>
        <w:rPr>
          <w:rFonts w:ascii="Times New Roman" w:hAnsi="Times New Roman"/>
          <w:bCs/>
          <w:sz w:val="24"/>
          <w:lang w:val="en-US"/>
        </w:rPr>
        <w:t>asset allocation studies for the period</w:t>
      </w:r>
      <w:r w:rsidRPr="008977D9">
        <w:rPr>
          <w:rFonts w:ascii="Times New Roman" w:hAnsi="Times New Roman"/>
          <w:bCs/>
          <w:color w:val="000000"/>
          <w:sz w:val="24"/>
          <w:lang w:val="en-US"/>
        </w:rPr>
        <w:t xml:space="preserve"> of</w:t>
      </w:r>
      <w:r>
        <w:rPr>
          <w:rFonts w:ascii="Times New Roman" w:hAnsi="Times New Roman"/>
          <w:bCs/>
          <w:sz w:val="24"/>
          <w:lang w:val="en-US"/>
        </w:rPr>
        <w:t xml:space="preserve"> 2008 until now.</w:t>
      </w:r>
    </w:p>
    <w:p w14:paraId="093F4AA6" w14:textId="77777777" w:rsidR="007F17B7" w:rsidRDefault="007F17B7" w:rsidP="007F17B7">
      <w:pPr>
        <w:spacing w:line="240" w:lineRule="auto"/>
        <w:jc w:val="both"/>
        <w:rPr>
          <w:rFonts w:ascii="Times New Roman" w:hAnsi="Times New Roman"/>
          <w:bCs/>
          <w:sz w:val="24"/>
          <w:lang w:val="en-US"/>
        </w:rPr>
      </w:pPr>
    </w:p>
    <w:p w14:paraId="5C1F72EF" w14:textId="77777777" w:rsidR="007F17B7" w:rsidRPr="00F41706" w:rsidRDefault="007F17B7" w:rsidP="007F17B7">
      <w:pPr>
        <w:pStyle w:val="Listenabsatz"/>
        <w:numPr>
          <w:ilvl w:val="0"/>
          <w:numId w:val="6"/>
        </w:numPr>
        <w:spacing w:line="240" w:lineRule="auto"/>
        <w:jc w:val="both"/>
        <w:rPr>
          <w:rFonts w:ascii="Times New Roman" w:hAnsi="Times New Roman"/>
          <w:b/>
          <w:bCs/>
          <w:sz w:val="24"/>
          <w:lang w:val="en-US"/>
        </w:rPr>
      </w:pPr>
      <w:r w:rsidRPr="00F41706">
        <w:rPr>
          <w:rFonts w:ascii="Times New Roman" w:hAnsi="Times New Roman"/>
          <w:b/>
          <w:bCs/>
          <w:sz w:val="24"/>
          <w:lang w:val="en-US"/>
        </w:rPr>
        <w:t>Methodology</w:t>
      </w:r>
    </w:p>
    <w:p w14:paraId="3D89103E"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We want</w:t>
      </w:r>
      <w:r w:rsidRPr="008977D9">
        <w:rPr>
          <w:rFonts w:ascii="Times New Roman" w:hAnsi="Times New Roman"/>
          <w:bCs/>
          <w:color w:val="000000"/>
          <w:sz w:val="24"/>
          <w:lang w:val="en-US"/>
        </w:rPr>
        <w:t xml:space="preserve"> to</w:t>
      </w:r>
      <w:r>
        <w:rPr>
          <w:rFonts w:ascii="Times New Roman" w:hAnsi="Times New Roman"/>
          <w:bCs/>
          <w:sz w:val="24"/>
          <w:lang w:val="en-US"/>
        </w:rPr>
        <w:t xml:space="preserve"> point to the goals of institutional investors like pension funds and insurance companies. The latter regard liquidity, return and safety as the most important goals. Especially, liquidity represents an important goal, because for example insurance companies have to consider asset-liability aspects. Hedge funds are not attractive from this point of view, because many funds have lo</w:t>
      </w:r>
      <w:r w:rsidRPr="008977D9">
        <w:rPr>
          <w:rFonts w:ascii="Times New Roman" w:hAnsi="Times New Roman"/>
          <w:bCs/>
          <w:color w:val="000000"/>
          <w:sz w:val="24"/>
          <w:lang w:val="en-US"/>
        </w:rPr>
        <w:t>ck-</w:t>
      </w:r>
      <w:r>
        <w:rPr>
          <w:rFonts w:ascii="Times New Roman" w:hAnsi="Times New Roman"/>
          <w:bCs/>
          <w:sz w:val="24"/>
          <w:lang w:val="en-US"/>
        </w:rPr>
        <w:t>up periods of twelve months or more. Some hedge funds make a difference between a hard lock-up period and a soft lock-up period. The latter approach delivers the opportunity to cancel from the investment, but on the condition of a payment of a fee (Kaiser 2009, p. 49). These conditions are a disadvantage for institutional investors. Another difficult thing to deal is to track a hedge funds index, because some indices consist of more than</w:t>
      </w:r>
      <w:r w:rsidRPr="008977D9">
        <w:rPr>
          <w:rFonts w:ascii="Times New Roman" w:hAnsi="Times New Roman"/>
          <w:bCs/>
          <w:color w:val="000000"/>
          <w:sz w:val="24"/>
          <w:lang w:val="en-US"/>
        </w:rPr>
        <w:t xml:space="preserve"> one</w:t>
      </w:r>
      <w:r>
        <w:rPr>
          <w:rFonts w:ascii="Times New Roman" w:hAnsi="Times New Roman"/>
          <w:bCs/>
          <w:sz w:val="24"/>
          <w:lang w:val="en-US"/>
        </w:rPr>
        <w:t xml:space="preserve"> hundred funds. Especially a composite index or a total index of a certain hedge fund strategy (for example: HFRI Emerging Market total index) are not really trackable for an investor. There are some alternatives like cloned, synthetic or investable hedge funds which do not have the liquidity risk, but on the other side these instruments are performing not as well as hedge funds. Therefore, we recommend to investors to track smaller hedge fund indices like the HFRI Macro Commodity index or the HFRI Sector - Energy/Basic Materials Index, because they do not consist of so m</w:t>
      </w:r>
      <w:r w:rsidRPr="008977D9">
        <w:rPr>
          <w:rFonts w:ascii="Times New Roman" w:hAnsi="Times New Roman"/>
          <w:bCs/>
          <w:color w:val="000000"/>
          <w:sz w:val="24"/>
          <w:lang w:val="en-US"/>
        </w:rPr>
        <w:t>any</w:t>
      </w:r>
      <w:r>
        <w:rPr>
          <w:rFonts w:ascii="Times New Roman" w:hAnsi="Times New Roman"/>
          <w:bCs/>
          <w:sz w:val="24"/>
          <w:lang w:val="en-US"/>
        </w:rPr>
        <w:t xml:space="preserve"> funds.  </w:t>
      </w:r>
    </w:p>
    <w:p w14:paraId="4E40F70F" w14:textId="77777777" w:rsidR="00B94160" w:rsidRDefault="007F17B7" w:rsidP="007F17B7">
      <w:pPr>
        <w:spacing w:line="240" w:lineRule="auto"/>
        <w:jc w:val="both"/>
        <w:rPr>
          <w:rFonts w:ascii="Times New Roman" w:hAnsi="Times New Roman" w:cs="Times New Roman"/>
          <w:bCs/>
          <w:sz w:val="24"/>
          <w:szCs w:val="24"/>
          <w:lang w:val="en-US"/>
        </w:rPr>
      </w:pPr>
      <w:r>
        <w:rPr>
          <w:rFonts w:ascii="Times New Roman" w:hAnsi="Times New Roman"/>
          <w:bCs/>
          <w:sz w:val="24"/>
          <w:lang w:val="en-US"/>
        </w:rPr>
        <w:t>There are very different asset allocation models used in the literature, but there are only a few which are appropriate for investors like pension funds and insurance companies, because they underlie a regulation. Insurance companies and pension funds are not allowed to hold more than 40% of their asset allocation in participations and equities in countries like Germany or Austria. Another regulatory restraint comes from Solvency II where insurance companies have to implement capital adequacy ratios which are very high for equities and hedge funds.</w:t>
      </w:r>
      <w:r w:rsidR="00D9037C">
        <w:rPr>
          <w:rFonts w:ascii="Times New Roman" w:hAnsi="Times New Roman" w:cs="Times New Roman"/>
          <w:bCs/>
          <w:sz w:val="24"/>
          <w:szCs w:val="24"/>
          <w:lang w:val="en-US"/>
        </w:rPr>
        <w:t xml:space="preserve"> </w:t>
      </w:r>
    </w:p>
    <w:p w14:paraId="2D52E0CD" w14:textId="77777777" w:rsidR="000D6DC7" w:rsidRPr="00F41706" w:rsidRDefault="000D6DC7" w:rsidP="00F64383">
      <w:pPr>
        <w:spacing w:line="240" w:lineRule="auto"/>
        <w:jc w:val="both"/>
        <w:rPr>
          <w:rFonts w:ascii="Times New Roman" w:hAnsi="Times New Roman" w:cs="Times New Roman"/>
          <w:b/>
          <w:bCs/>
          <w:sz w:val="24"/>
          <w:szCs w:val="24"/>
          <w:lang w:val="en-US"/>
        </w:rPr>
      </w:pPr>
      <w:r w:rsidRPr="00F41706">
        <w:rPr>
          <w:rFonts w:ascii="Times New Roman" w:hAnsi="Times New Roman" w:cs="Times New Roman"/>
          <w:b/>
          <w:bCs/>
          <w:sz w:val="24"/>
          <w:szCs w:val="24"/>
          <w:lang w:val="en-US"/>
        </w:rPr>
        <w:t xml:space="preserve">Table 1: </w:t>
      </w:r>
      <w:r w:rsidR="00872635" w:rsidRPr="00F41706">
        <w:rPr>
          <w:rFonts w:ascii="Times New Roman" w:hAnsi="Times New Roman" w:cs="Times New Roman"/>
          <w:b/>
          <w:bCs/>
          <w:sz w:val="24"/>
          <w:szCs w:val="24"/>
          <w:lang w:val="en-US"/>
        </w:rPr>
        <w:t>Out-of-sample a</w:t>
      </w:r>
      <w:r w:rsidRPr="00F41706">
        <w:rPr>
          <w:rFonts w:ascii="Times New Roman" w:hAnsi="Times New Roman" w:cs="Times New Roman"/>
          <w:b/>
          <w:bCs/>
          <w:sz w:val="24"/>
          <w:szCs w:val="24"/>
          <w:lang w:val="en-US"/>
        </w:rPr>
        <w:t>sset allocation strategies</w:t>
      </w:r>
    </w:p>
    <w:tbl>
      <w:tblPr>
        <w:tblW w:w="5480" w:type="dxa"/>
        <w:tblCellMar>
          <w:left w:w="70" w:type="dxa"/>
          <w:right w:w="70" w:type="dxa"/>
        </w:tblCellMar>
        <w:tblLook w:val="04A0" w:firstRow="1" w:lastRow="0" w:firstColumn="1" w:lastColumn="0" w:noHBand="0" w:noVBand="1"/>
      </w:tblPr>
      <w:tblGrid>
        <w:gridCol w:w="1760"/>
        <w:gridCol w:w="1240"/>
        <w:gridCol w:w="1240"/>
        <w:gridCol w:w="1240"/>
      </w:tblGrid>
      <w:tr w:rsidR="00B94160" w:rsidRPr="00B94160" w14:paraId="75F27AE3" w14:textId="77777777" w:rsidTr="00B94160">
        <w:trPr>
          <w:trHeight w:val="288"/>
        </w:trPr>
        <w:tc>
          <w:tcPr>
            <w:tcW w:w="1760" w:type="dxa"/>
            <w:tcBorders>
              <w:top w:val="nil"/>
              <w:left w:val="nil"/>
              <w:bottom w:val="nil"/>
              <w:right w:val="nil"/>
            </w:tcBorders>
            <w:shd w:val="clear" w:color="auto" w:fill="auto"/>
            <w:noWrap/>
            <w:vAlign w:val="bottom"/>
            <w:hideMark/>
          </w:tcPr>
          <w:p w14:paraId="5F86F6F5" w14:textId="77777777" w:rsidR="00B94160" w:rsidRPr="00B94160" w:rsidRDefault="00B94160" w:rsidP="00B94160">
            <w:pPr>
              <w:spacing w:after="0" w:line="240" w:lineRule="auto"/>
              <w:rPr>
                <w:rFonts w:eastAsia="Times New Roman" w:cs="Arial"/>
                <w:b/>
                <w:bCs/>
                <w:color w:val="000000"/>
                <w:lang w:eastAsia="de-AT"/>
              </w:rPr>
            </w:pPr>
            <w:r w:rsidRPr="00B94160">
              <w:rPr>
                <w:rFonts w:eastAsia="Times New Roman" w:cs="Arial"/>
                <w:b/>
                <w:bCs/>
                <w:color w:val="000000"/>
                <w:lang w:eastAsia="de-AT"/>
              </w:rPr>
              <w:t>Portfolios</w:t>
            </w:r>
          </w:p>
        </w:tc>
        <w:tc>
          <w:tcPr>
            <w:tcW w:w="1240" w:type="dxa"/>
            <w:tcBorders>
              <w:top w:val="nil"/>
              <w:left w:val="nil"/>
              <w:bottom w:val="nil"/>
              <w:right w:val="nil"/>
            </w:tcBorders>
            <w:shd w:val="clear" w:color="auto" w:fill="auto"/>
            <w:noWrap/>
            <w:vAlign w:val="bottom"/>
            <w:hideMark/>
          </w:tcPr>
          <w:p w14:paraId="57BCF0B7" w14:textId="77777777" w:rsidR="00B94160" w:rsidRPr="00B94160" w:rsidRDefault="00B94160" w:rsidP="00B94160">
            <w:pPr>
              <w:spacing w:after="0" w:line="240" w:lineRule="auto"/>
              <w:rPr>
                <w:rFonts w:eastAsia="Times New Roman" w:cs="Arial"/>
                <w:b/>
                <w:bCs/>
                <w:color w:val="000000"/>
                <w:lang w:eastAsia="de-AT"/>
              </w:rPr>
            </w:pPr>
          </w:p>
        </w:tc>
        <w:tc>
          <w:tcPr>
            <w:tcW w:w="1240" w:type="dxa"/>
            <w:tcBorders>
              <w:top w:val="nil"/>
              <w:left w:val="nil"/>
              <w:bottom w:val="nil"/>
              <w:right w:val="nil"/>
            </w:tcBorders>
            <w:shd w:val="clear" w:color="auto" w:fill="auto"/>
            <w:noWrap/>
            <w:vAlign w:val="bottom"/>
            <w:hideMark/>
          </w:tcPr>
          <w:p w14:paraId="066B82E9" w14:textId="77777777" w:rsidR="00B94160" w:rsidRPr="00B94160" w:rsidRDefault="00B94160" w:rsidP="00B94160">
            <w:pPr>
              <w:spacing w:after="0" w:line="240" w:lineRule="auto"/>
              <w:rPr>
                <w:rFonts w:ascii="Times New Roman" w:eastAsia="Times New Roman" w:hAnsi="Times New Roman" w:cs="Times New Roman"/>
                <w:sz w:val="20"/>
                <w:szCs w:val="20"/>
                <w:lang w:eastAsia="de-AT"/>
              </w:rPr>
            </w:pPr>
          </w:p>
        </w:tc>
        <w:tc>
          <w:tcPr>
            <w:tcW w:w="1240" w:type="dxa"/>
            <w:tcBorders>
              <w:top w:val="nil"/>
              <w:left w:val="nil"/>
              <w:bottom w:val="nil"/>
              <w:right w:val="nil"/>
            </w:tcBorders>
            <w:shd w:val="clear" w:color="auto" w:fill="auto"/>
            <w:noWrap/>
            <w:vAlign w:val="bottom"/>
            <w:hideMark/>
          </w:tcPr>
          <w:p w14:paraId="6589E3BB" w14:textId="77777777" w:rsidR="00B94160" w:rsidRPr="00B94160" w:rsidRDefault="00B94160" w:rsidP="00B94160">
            <w:pPr>
              <w:spacing w:after="0" w:line="240" w:lineRule="auto"/>
              <w:rPr>
                <w:rFonts w:ascii="Times New Roman" w:eastAsia="Times New Roman" w:hAnsi="Times New Roman" w:cs="Times New Roman"/>
                <w:sz w:val="20"/>
                <w:szCs w:val="20"/>
                <w:lang w:eastAsia="de-AT"/>
              </w:rPr>
            </w:pPr>
          </w:p>
        </w:tc>
      </w:tr>
      <w:tr w:rsidR="00B94160" w:rsidRPr="00B94160" w14:paraId="05D41542" w14:textId="77777777" w:rsidTr="00B94160">
        <w:trPr>
          <w:trHeight w:val="264"/>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3D44" w14:textId="77777777" w:rsidR="00B94160" w:rsidRPr="00B94160" w:rsidRDefault="00B94160" w:rsidP="00B94160">
            <w:pPr>
              <w:spacing w:after="0" w:line="240" w:lineRule="auto"/>
              <w:rPr>
                <w:rFonts w:ascii="Arial" w:eastAsia="Times New Roman" w:hAnsi="Arial" w:cs="Arial"/>
                <w:sz w:val="20"/>
                <w:szCs w:val="20"/>
                <w:lang w:eastAsia="de-AT"/>
              </w:rPr>
            </w:pPr>
            <w:r w:rsidRPr="00B94160">
              <w:rPr>
                <w:rFonts w:ascii="Arial" w:eastAsia="Times New Roman" w:hAnsi="Arial" w:cs="Arial"/>
                <w:sz w:val="20"/>
                <w:szCs w:val="20"/>
                <w:lang w:eastAsia="de-AT"/>
              </w:rPr>
              <w:t>Investor type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7783BA3" w14:textId="77777777" w:rsidR="00B94160" w:rsidRPr="00B94160" w:rsidRDefault="00B94160" w:rsidP="00B94160">
            <w:pPr>
              <w:spacing w:after="0" w:line="240" w:lineRule="auto"/>
              <w:jc w:val="center"/>
              <w:rPr>
                <w:rFonts w:ascii="Arial" w:eastAsia="Times New Roman" w:hAnsi="Arial" w:cs="Arial"/>
                <w:sz w:val="20"/>
                <w:szCs w:val="20"/>
                <w:lang w:eastAsia="de-AT"/>
              </w:rPr>
            </w:pPr>
            <w:r w:rsidRPr="00B94160">
              <w:rPr>
                <w:rFonts w:ascii="Arial" w:eastAsia="Times New Roman" w:hAnsi="Arial" w:cs="Arial"/>
                <w:sz w:val="20"/>
                <w:szCs w:val="20"/>
                <w:lang w:eastAsia="de-AT"/>
              </w:rPr>
              <w:t>Stocks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A949F46" w14:textId="77777777" w:rsidR="00B94160" w:rsidRPr="00B94160" w:rsidRDefault="00B94160" w:rsidP="00B94160">
            <w:pPr>
              <w:spacing w:after="0" w:line="240" w:lineRule="auto"/>
              <w:jc w:val="center"/>
              <w:rPr>
                <w:rFonts w:ascii="Arial" w:eastAsia="Times New Roman" w:hAnsi="Arial" w:cs="Arial"/>
                <w:sz w:val="20"/>
                <w:szCs w:val="20"/>
                <w:lang w:eastAsia="de-AT"/>
              </w:rPr>
            </w:pPr>
            <w:r w:rsidRPr="00B94160">
              <w:rPr>
                <w:rFonts w:ascii="Arial" w:eastAsia="Times New Roman" w:hAnsi="Arial" w:cs="Arial"/>
                <w:sz w:val="20"/>
                <w:szCs w:val="20"/>
                <w:lang w:eastAsia="de-AT"/>
              </w:rPr>
              <w:t>Bonds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2AF3013" w14:textId="77777777" w:rsidR="00B94160" w:rsidRPr="00B94160" w:rsidRDefault="00B94160" w:rsidP="00B94160">
            <w:pPr>
              <w:spacing w:after="0" w:line="240" w:lineRule="auto"/>
              <w:jc w:val="center"/>
              <w:rPr>
                <w:rFonts w:ascii="Arial" w:eastAsia="Times New Roman" w:hAnsi="Arial" w:cs="Arial"/>
                <w:sz w:val="20"/>
                <w:szCs w:val="20"/>
                <w:lang w:eastAsia="de-AT"/>
              </w:rPr>
            </w:pPr>
            <w:proofErr w:type="spellStart"/>
            <w:r w:rsidRPr="00B94160">
              <w:rPr>
                <w:rFonts w:ascii="Arial" w:eastAsia="Times New Roman" w:hAnsi="Arial" w:cs="Arial"/>
                <w:sz w:val="20"/>
                <w:szCs w:val="20"/>
                <w:lang w:eastAsia="de-AT"/>
              </w:rPr>
              <w:t>Hedge</w:t>
            </w:r>
            <w:proofErr w:type="spellEnd"/>
            <w:r w:rsidRPr="00B94160">
              <w:rPr>
                <w:rFonts w:ascii="Arial" w:eastAsia="Times New Roman" w:hAnsi="Arial" w:cs="Arial"/>
                <w:sz w:val="20"/>
                <w:szCs w:val="20"/>
                <w:lang w:eastAsia="de-AT"/>
              </w:rPr>
              <w:t xml:space="preserve"> Funds %</w:t>
            </w:r>
          </w:p>
        </w:tc>
      </w:tr>
      <w:tr w:rsidR="00B94160" w:rsidRPr="00B94160" w14:paraId="7F809BBD" w14:textId="77777777" w:rsidTr="00B94160">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4403BFA" w14:textId="77777777" w:rsidR="00B94160" w:rsidRPr="00B94160" w:rsidRDefault="00B94160" w:rsidP="00B94160">
            <w:pPr>
              <w:spacing w:after="0" w:line="240" w:lineRule="auto"/>
              <w:rPr>
                <w:rFonts w:ascii="Arial" w:eastAsia="Times New Roman" w:hAnsi="Arial" w:cs="Arial"/>
                <w:sz w:val="20"/>
                <w:szCs w:val="20"/>
                <w:lang w:eastAsia="de-AT"/>
              </w:rPr>
            </w:pPr>
            <w:proofErr w:type="spellStart"/>
            <w:r w:rsidRPr="00B94160">
              <w:rPr>
                <w:rFonts w:ascii="Arial" w:eastAsia="Times New Roman" w:hAnsi="Arial" w:cs="Arial"/>
                <w:sz w:val="20"/>
                <w:szCs w:val="20"/>
                <w:lang w:eastAsia="de-AT"/>
              </w:rPr>
              <w:t>Conservative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F49A5BD" w14:textId="77777777" w:rsidR="00B94160" w:rsidRPr="00B94160" w:rsidRDefault="00B94160" w:rsidP="00B94160">
            <w:pPr>
              <w:spacing w:after="0" w:line="240" w:lineRule="auto"/>
              <w:jc w:val="center"/>
              <w:rPr>
                <w:rFonts w:ascii="Arial" w:eastAsia="Times New Roman" w:hAnsi="Arial" w:cs="Arial"/>
                <w:sz w:val="20"/>
                <w:szCs w:val="20"/>
                <w:lang w:eastAsia="de-AT"/>
              </w:rPr>
            </w:pPr>
            <w:r w:rsidRPr="00B94160">
              <w:rPr>
                <w:rFonts w:ascii="Arial" w:eastAsia="Times New Roman" w:hAnsi="Arial" w:cs="Arial"/>
                <w:sz w:val="20"/>
                <w:szCs w:val="20"/>
                <w:lang w:eastAsia="de-AT"/>
              </w:rPr>
              <w:t>15 (20)</w:t>
            </w:r>
          </w:p>
        </w:tc>
        <w:tc>
          <w:tcPr>
            <w:tcW w:w="1240" w:type="dxa"/>
            <w:tcBorders>
              <w:top w:val="nil"/>
              <w:left w:val="nil"/>
              <w:bottom w:val="single" w:sz="4" w:space="0" w:color="auto"/>
              <w:right w:val="single" w:sz="4" w:space="0" w:color="auto"/>
            </w:tcBorders>
            <w:shd w:val="clear" w:color="auto" w:fill="auto"/>
            <w:noWrap/>
            <w:vAlign w:val="bottom"/>
            <w:hideMark/>
          </w:tcPr>
          <w:p w14:paraId="6767F4D0" w14:textId="77777777" w:rsidR="00B94160" w:rsidRPr="00B94160" w:rsidRDefault="00B94160" w:rsidP="00B94160">
            <w:pPr>
              <w:spacing w:after="0" w:line="240" w:lineRule="auto"/>
              <w:jc w:val="center"/>
              <w:rPr>
                <w:rFonts w:ascii="Arial" w:eastAsia="Times New Roman" w:hAnsi="Arial" w:cs="Arial"/>
                <w:sz w:val="20"/>
                <w:szCs w:val="20"/>
                <w:lang w:eastAsia="de-AT"/>
              </w:rPr>
            </w:pPr>
            <w:r w:rsidRPr="00B94160">
              <w:rPr>
                <w:rFonts w:ascii="Arial" w:eastAsia="Times New Roman" w:hAnsi="Arial" w:cs="Arial"/>
                <w:sz w:val="20"/>
                <w:szCs w:val="20"/>
                <w:lang w:eastAsia="de-AT"/>
              </w:rPr>
              <w:t>80 (80)</w:t>
            </w:r>
          </w:p>
        </w:tc>
        <w:tc>
          <w:tcPr>
            <w:tcW w:w="1240" w:type="dxa"/>
            <w:tcBorders>
              <w:top w:val="nil"/>
              <w:left w:val="nil"/>
              <w:bottom w:val="single" w:sz="4" w:space="0" w:color="auto"/>
              <w:right w:val="single" w:sz="4" w:space="0" w:color="auto"/>
            </w:tcBorders>
            <w:shd w:val="clear" w:color="auto" w:fill="auto"/>
            <w:noWrap/>
            <w:vAlign w:val="bottom"/>
            <w:hideMark/>
          </w:tcPr>
          <w:p w14:paraId="1A27AF66" w14:textId="77777777" w:rsidR="00B94160" w:rsidRPr="00B94160" w:rsidRDefault="00B94160" w:rsidP="00B94160">
            <w:pPr>
              <w:spacing w:after="0" w:line="240" w:lineRule="auto"/>
              <w:jc w:val="center"/>
              <w:rPr>
                <w:rFonts w:ascii="Arial" w:eastAsia="Times New Roman" w:hAnsi="Arial" w:cs="Arial"/>
                <w:sz w:val="20"/>
                <w:szCs w:val="20"/>
                <w:lang w:eastAsia="de-AT"/>
              </w:rPr>
            </w:pPr>
            <w:r w:rsidRPr="00B94160">
              <w:rPr>
                <w:rFonts w:ascii="Arial" w:eastAsia="Times New Roman" w:hAnsi="Arial" w:cs="Arial"/>
                <w:sz w:val="20"/>
                <w:szCs w:val="20"/>
                <w:lang w:eastAsia="de-AT"/>
              </w:rPr>
              <w:t>5 (0)</w:t>
            </w:r>
          </w:p>
        </w:tc>
      </w:tr>
      <w:tr w:rsidR="00B94160" w:rsidRPr="00B94160" w14:paraId="03A19FDE" w14:textId="77777777" w:rsidTr="00B94160">
        <w:trPr>
          <w:trHeight w:val="264"/>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3E3B101" w14:textId="77777777" w:rsidR="00B94160" w:rsidRPr="00B94160" w:rsidRDefault="00B94160" w:rsidP="00B94160">
            <w:pPr>
              <w:spacing w:after="0" w:line="240" w:lineRule="auto"/>
              <w:rPr>
                <w:rFonts w:ascii="Arial" w:eastAsia="Times New Roman" w:hAnsi="Arial" w:cs="Arial"/>
                <w:sz w:val="20"/>
                <w:szCs w:val="20"/>
                <w:lang w:eastAsia="de-AT"/>
              </w:rPr>
            </w:pPr>
            <w:r w:rsidRPr="00B94160">
              <w:rPr>
                <w:rFonts w:ascii="Arial" w:eastAsia="Times New Roman" w:hAnsi="Arial" w:cs="Arial"/>
                <w:sz w:val="20"/>
                <w:szCs w:val="20"/>
                <w:lang w:eastAsia="de-AT"/>
              </w:rPr>
              <w:t>Aggressive</w:t>
            </w:r>
          </w:p>
        </w:tc>
        <w:tc>
          <w:tcPr>
            <w:tcW w:w="1240" w:type="dxa"/>
            <w:tcBorders>
              <w:top w:val="nil"/>
              <w:left w:val="nil"/>
              <w:bottom w:val="single" w:sz="4" w:space="0" w:color="auto"/>
              <w:right w:val="single" w:sz="4" w:space="0" w:color="auto"/>
            </w:tcBorders>
            <w:shd w:val="clear" w:color="auto" w:fill="auto"/>
            <w:noWrap/>
            <w:vAlign w:val="bottom"/>
            <w:hideMark/>
          </w:tcPr>
          <w:p w14:paraId="510A12E8" w14:textId="77777777" w:rsidR="00B94160" w:rsidRPr="00B94160" w:rsidRDefault="00B94160" w:rsidP="00B94160">
            <w:pPr>
              <w:spacing w:after="0" w:line="240" w:lineRule="auto"/>
              <w:jc w:val="center"/>
              <w:rPr>
                <w:rFonts w:ascii="Arial" w:eastAsia="Times New Roman" w:hAnsi="Arial" w:cs="Arial"/>
                <w:sz w:val="20"/>
                <w:szCs w:val="20"/>
                <w:lang w:eastAsia="de-AT"/>
              </w:rPr>
            </w:pPr>
            <w:r w:rsidRPr="00B94160">
              <w:rPr>
                <w:rFonts w:ascii="Arial" w:eastAsia="Times New Roman" w:hAnsi="Arial" w:cs="Arial"/>
                <w:sz w:val="20"/>
                <w:szCs w:val="20"/>
                <w:lang w:eastAsia="de-AT"/>
              </w:rPr>
              <w:t>40 (40)</w:t>
            </w:r>
          </w:p>
        </w:tc>
        <w:tc>
          <w:tcPr>
            <w:tcW w:w="1240" w:type="dxa"/>
            <w:tcBorders>
              <w:top w:val="nil"/>
              <w:left w:val="nil"/>
              <w:bottom w:val="single" w:sz="4" w:space="0" w:color="auto"/>
              <w:right w:val="single" w:sz="4" w:space="0" w:color="auto"/>
            </w:tcBorders>
            <w:shd w:val="clear" w:color="auto" w:fill="auto"/>
            <w:noWrap/>
            <w:vAlign w:val="bottom"/>
            <w:hideMark/>
          </w:tcPr>
          <w:p w14:paraId="0A843A2E" w14:textId="77777777" w:rsidR="00B94160" w:rsidRPr="00B94160" w:rsidRDefault="00B94160" w:rsidP="00B94160">
            <w:pPr>
              <w:spacing w:after="0" w:line="240" w:lineRule="auto"/>
              <w:jc w:val="center"/>
              <w:rPr>
                <w:rFonts w:ascii="Arial" w:eastAsia="Times New Roman" w:hAnsi="Arial" w:cs="Arial"/>
                <w:sz w:val="20"/>
                <w:szCs w:val="20"/>
                <w:lang w:eastAsia="de-AT"/>
              </w:rPr>
            </w:pPr>
            <w:r w:rsidRPr="00B94160">
              <w:rPr>
                <w:rFonts w:ascii="Arial" w:eastAsia="Times New Roman" w:hAnsi="Arial" w:cs="Arial"/>
                <w:sz w:val="20"/>
                <w:szCs w:val="20"/>
                <w:lang w:eastAsia="de-AT"/>
              </w:rPr>
              <w:t>45 (60)</w:t>
            </w:r>
          </w:p>
        </w:tc>
        <w:tc>
          <w:tcPr>
            <w:tcW w:w="1240" w:type="dxa"/>
            <w:tcBorders>
              <w:top w:val="nil"/>
              <w:left w:val="nil"/>
              <w:bottom w:val="single" w:sz="4" w:space="0" w:color="auto"/>
              <w:right w:val="single" w:sz="4" w:space="0" w:color="auto"/>
            </w:tcBorders>
            <w:shd w:val="clear" w:color="auto" w:fill="auto"/>
            <w:noWrap/>
            <w:vAlign w:val="bottom"/>
            <w:hideMark/>
          </w:tcPr>
          <w:p w14:paraId="0DB8BFC5" w14:textId="77777777" w:rsidR="00B94160" w:rsidRPr="00B94160" w:rsidRDefault="00B94160" w:rsidP="00B94160">
            <w:pPr>
              <w:spacing w:after="0" w:line="240" w:lineRule="auto"/>
              <w:jc w:val="center"/>
              <w:rPr>
                <w:rFonts w:ascii="Arial" w:eastAsia="Times New Roman" w:hAnsi="Arial" w:cs="Arial"/>
                <w:sz w:val="20"/>
                <w:szCs w:val="20"/>
                <w:lang w:eastAsia="de-AT"/>
              </w:rPr>
            </w:pPr>
            <w:r w:rsidRPr="00B94160">
              <w:rPr>
                <w:rFonts w:ascii="Arial" w:eastAsia="Times New Roman" w:hAnsi="Arial" w:cs="Arial"/>
                <w:sz w:val="20"/>
                <w:szCs w:val="20"/>
                <w:lang w:eastAsia="de-AT"/>
              </w:rPr>
              <w:t>15 (0)</w:t>
            </w:r>
          </w:p>
        </w:tc>
      </w:tr>
    </w:tbl>
    <w:p w14:paraId="6A7EBD12" w14:textId="77777777" w:rsidR="00B94160" w:rsidRDefault="00D91346" w:rsidP="00F64383">
      <w:pPr>
        <w:spacing w:line="240" w:lineRule="auto"/>
        <w:jc w:val="both"/>
        <w:rPr>
          <w:rFonts w:ascii="Times New Roman" w:hAnsi="Times New Roman" w:cs="Times New Roman"/>
          <w:bCs/>
          <w:sz w:val="24"/>
          <w:szCs w:val="24"/>
          <w:lang w:val="en-US"/>
        </w:rPr>
      </w:pPr>
      <w:r>
        <w:rPr>
          <w:rFonts w:ascii="Times New Roman" w:hAnsi="Times New Roman" w:cs="Times New Roman"/>
          <w:bCs/>
          <w:sz w:val="16"/>
          <w:szCs w:val="16"/>
          <w:lang w:val="en-US"/>
        </w:rPr>
        <w:t xml:space="preserve">Notes: This table provides a conservative and an aggressive variant of </w:t>
      </w:r>
      <w:r w:rsidR="00D232C1">
        <w:rPr>
          <w:rFonts w:ascii="Times New Roman" w:hAnsi="Times New Roman" w:cs="Times New Roman"/>
          <w:bCs/>
          <w:sz w:val="16"/>
          <w:szCs w:val="16"/>
          <w:lang w:val="en-US"/>
        </w:rPr>
        <w:t>a</w:t>
      </w:r>
      <w:r>
        <w:rPr>
          <w:rFonts w:ascii="Times New Roman" w:hAnsi="Times New Roman" w:cs="Times New Roman"/>
          <w:bCs/>
          <w:sz w:val="16"/>
          <w:szCs w:val="16"/>
          <w:lang w:val="en-US"/>
        </w:rPr>
        <w:t xml:space="preserve"> portfolio. In parenthesis are the weights of the simple stock bond portfolio. In the aggressive portfolio the stock share represents a maximum for institutional investors like insurance companies and pension funds. </w:t>
      </w:r>
    </w:p>
    <w:p w14:paraId="1B2848F0"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lastRenderedPageBreak/>
        <w:t xml:space="preserve">Table 1 shows our out-of-sample variants. We use a conservative and an aggressive portfolio. The conservative stock bonds portfolio consists of </w:t>
      </w:r>
      <w:r w:rsidRPr="00F41706">
        <w:rPr>
          <w:rFonts w:ascii="Times New Roman" w:hAnsi="Times New Roman"/>
          <w:bCs/>
          <w:sz w:val="24"/>
          <w:lang w:val="en-US"/>
        </w:rPr>
        <w:t>80 % bonds and 20 % stocks</w:t>
      </w:r>
      <w:r>
        <w:rPr>
          <w:rFonts w:ascii="Times New Roman" w:hAnsi="Times New Roman"/>
          <w:bCs/>
          <w:sz w:val="24"/>
          <w:lang w:val="en-US"/>
        </w:rPr>
        <w:t xml:space="preserve">. We compare that portfolio with a conservative portfolio where we added 5% Commodity Hedge Funds or Commodities. We reduced the stock share to 15%.  For the aggressive variant we used 60% bonds and 40% stocks for the simple portfolio. We compared that portfolio with an attribution of 15% Commodity hedge funds or Commodities. On the other side, we reduced that stock bond share to 45%, because the aggressive variant should contain </w:t>
      </w:r>
      <w:proofErr w:type="gramStart"/>
      <w:r>
        <w:rPr>
          <w:rFonts w:ascii="Times New Roman" w:hAnsi="Times New Roman"/>
          <w:bCs/>
          <w:sz w:val="24"/>
          <w:lang w:val="en-US"/>
        </w:rPr>
        <w:t>more risky</w:t>
      </w:r>
      <w:proofErr w:type="gramEnd"/>
      <w:r>
        <w:rPr>
          <w:rFonts w:ascii="Times New Roman" w:hAnsi="Times New Roman"/>
          <w:bCs/>
          <w:sz w:val="24"/>
          <w:lang w:val="en-US"/>
        </w:rPr>
        <w:t xml:space="preserve"> assets. </w:t>
      </w:r>
    </w:p>
    <w:p w14:paraId="7382DA27"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Concerning the in-sample variant we examined the Sharpe for the relevant variables for each year. We compared the Sharpe Ratio of the several variables with the Sharpe Ratio of the S&amp;P 500 and the US Government Bond index. When the Sharpe Ratio of the Hedge Fund was better than either the S&amp;P 500 or the Bond Index we remain invested in Hedge Funds or we reinvested. If not, we took the hedge fund out of our asset allocation. The transactions costs were not considered and in the first year w</w:t>
      </w:r>
      <w:r w:rsidRPr="008977D9">
        <w:rPr>
          <w:rFonts w:ascii="Times New Roman" w:hAnsi="Times New Roman"/>
          <w:bCs/>
          <w:color w:val="000000"/>
          <w:sz w:val="24"/>
          <w:lang w:val="en-US"/>
        </w:rPr>
        <w:t>e</w:t>
      </w:r>
      <w:r>
        <w:rPr>
          <w:rFonts w:ascii="Times New Roman" w:hAnsi="Times New Roman"/>
          <w:bCs/>
          <w:sz w:val="24"/>
          <w:lang w:val="en-US"/>
        </w:rPr>
        <w:t xml:space="preserve"> invested in our variables. We cho</w:t>
      </w:r>
      <w:r w:rsidRPr="008977D9">
        <w:rPr>
          <w:rFonts w:ascii="Times New Roman" w:hAnsi="Times New Roman"/>
          <w:bCs/>
          <w:color w:val="000000"/>
          <w:sz w:val="24"/>
          <w:lang w:val="en-US"/>
        </w:rPr>
        <w:t>se</w:t>
      </w:r>
      <w:r>
        <w:rPr>
          <w:rFonts w:ascii="Times New Roman" w:hAnsi="Times New Roman"/>
          <w:bCs/>
          <w:sz w:val="24"/>
          <w:lang w:val="en-US"/>
        </w:rPr>
        <w:t xml:space="preserve"> to decide only o</w:t>
      </w:r>
      <w:r w:rsidRPr="008977D9">
        <w:rPr>
          <w:rFonts w:ascii="Times New Roman" w:hAnsi="Times New Roman"/>
          <w:bCs/>
          <w:color w:val="000000"/>
          <w:sz w:val="24"/>
          <w:lang w:val="en-US"/>
        </w:rPr>
        <w:t>nce</w:t>
      </w:r>
      <w:r>
        <w:rPr>
          <w:rFonts w:ascii="Times New Roman" w:hAnsi="Times New Roman"/>
          <w:bCs/>
          <w:sz w:val="24"/>
          <w:lang w:val="en-US"/>
        </w:rPr>
        <w:t xml:space="preserve"> a year on the asset allocation, because typical institutional investors are not changing their asset allocation very often. </w:t>
      </w:r>
    </w:p>
    <w:p w14:paraId="7DF8087E"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Finally, we </w:t>
      </w:r>
      <w:r w:rsidRPr="008977D9">
        <w:rPr>
          <w:rFonts w:ascii="Times New Roman" w:hAnsi="Times New Roman"/>
          <w:bCs/>
          <w:color w:val="000000"/>
          <w:sz w:val="24"/>
          <w:lang w:val="en-US"/>
        </w:rPr>
        <w:t xml:space="preserve">used </w:t>
      </w:r>
      <w:r>
        <w:rPr>
          <w:rFonts w:ascii="Times New Roman" w:hAnsi="Times New Roman"/>
          <w:bCs/>
          <w:sz w:val="24"/>
          <w:lang w:val="en-US"/>
        </w:rPr>
        <w:t>the Minimum Variance (</w:t>
      </w:r>
      <w:proofErr w:type="spellStart"/>
      <w:r>
        <w:rPr>
          <w:rFonts w:ascii="Times New Roman" w:hAnsi="Times New Roman"/>
          <w:bCs/>
          <w:sz w:val="24"/>
          <w:lang w:val="en-US"/>
        </w:rPr>
        <w:t>MinVar</w:t>
      </w:r>
      <w:proofErr w:type="spellEnd"/>
      <w:r>
        <w:rPr>
          <w:rFonts w:ascii="Times New Roman" w:hAnsi="Times New Roman"/>
          <w:bCs/>
          <w:sz w:val="24"/>
          <w:lang w:val="en-US"/>
        </w:rPr>
        <w:t>) portfolio and the tangency portfolio which became more and more popular among investors like quantitative investment funds and exchange traded funds (</w:t>
      </w:r>
      <w:proofErr w:type="spellStart"/>
      <w:r>
        <w:rPr>
          <w:rFonts w:ascii="Times New Roman" w:hAnsi="Times New Roman"/>
          <w:bCs/>
          <w:sz w:val="24"/>
          <w:lang w:val="en-US"/>
        </w:rPr>
        <w:t>Bessler</w:t>
      </w:r>
      <w:proofErr w:type="spellEnd"/>
      <w:r>
        <w:rPr>
          <w:rFonts w:ascii="Times New Roman" w:hAnsi="Times New Roman"/>
          <w:bCs/>
          <w:sz w:val="24"/>
          <w:lang w:val="en-US"/>
        </w:rPr>
        <w:t xml:space="preserve">/Wolff, 2015, p. 4). The </w:t>
      </w:r>
      <w:proofErr w:type="spellStart"/>
      <w:r>
        <w:rPr>
          <w:rFonts w:ascii="Times New Roman" w:hAnsi="Times New Roman"/>
          <w:bCs/>
          <w:sz w:val="24"/>
          <w:lang w:val="en-US"/>
        </w:rPr>
        <w:t>MinVar</w:t>
      </w:r>
      <w:proofErr w:type="spellEnd"/>
      <w:r>
        <w:rPr>
          <w:rFonts w:ascii="Times New Roman" w:hAnsi="Times New Roman"/>
          <w:bCs/>
          <w:sz w:val="24"/>
          <w:lang w:val="en-US"/>
        </w:rPr>
        <w:t xml:space="preserve"> portfolio has the objective to minimize the risk of a portfolio, which is measured through the variance. The formula for the minimization is:</w:t>
      </w:r>
    </w:p>
    <w:p w14:paraId="2F6AD391"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min </w:t>
      </w:r>
      <w:proofErr w:type="spellStart"/>
      <w:r>
        <w:rPr>
          <w:rFonts w:ascii="Times New Roman" w:hAnsi="Times New Roman"/>
          <w:bCs/>
          <w:sz w:val="24"/>
          <w:lang w:val="en-US"/>
        </w:rPr>
        <w:t>ώ´Ʃώ</w:t>
      </w:r>
      <w:proofErr w:type="spellEnd"/>
      <w:r>
        <w:rPr>
          <w:rFonts w:ascii="Times New Roman" w:hAnsi="Times New Roman"/>
          <w:bCs/>
          <w:sz w:val="24"/>
          <w:lang w:val="en-US"/>
        </w:rPr>
        <w:t xml:space="preserve">                                                                                                                                </w:t>
      </w:r>
      <w:proofErr w:type="gramStart"/>
      <w:r>
        <w:rPr>
          <w:rFonts w:ascii="Times New Roman" w:hAnsi="Times New Roman"/>
          <w:bCs/>
          <w:sz w:val="24"/>
          <w:lang w:val="en-US"/>
        </w:rPr>
        <w:t xml:space="preserve">   (</w:t>
      </w:r>
      <w:proofErr w:type="gramEnd"/>
      <w:r>
        <w:rPr>
          <w:rFonts w:ascii="Times New Roman" w:hAnsi="Times New Roman"/>
          <w:bCs/>
          <w:sz w:val="24"/>
          <w:lang w:val="en-US"/>
        </w:rPr>
        <w:t>1)</w:t>
      </w:r>
    </w:p>
    <w:p w14:paraId="30433D04"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where ώ is the vector of portfolio weights and Ʃ signifies the covariance matrix of asset returns (</w:t>
      </w:r>
      <w:proofErr w:type="spellStart"/>
      <w:r>
        <w:rPr>
          <w:rFonts w:ascii="Times New Roman" w:hAnsi="Times New Roman"/>
          <w:bCs/>
          <w:sz w:val="24"/>
          <w:lang w:val="en-US"/>
        </w:rPr>
        <w:t>Bessler</w:t>
      </w:r>
      <w:proofErr w:type="spellEnd"/>
      <w:r>
        <w:rPr>
          <w:rFonts w:ascii="Times New Roman" w:hAnsi="Times New Roman"/>
          <w:bCs/>
          <w:sz w:val="24"/>
          <w:lang w:val="en-US"/>
        </w:rPr>
        <w:t xml:space="preserve">/Wolf, 2015). The </w:t>
      </w:r>
      <w:proofErr w:type="spellStart"/>
      <w:r>
        <w:rPr>
          <w:rFonts w:ascii="Times New Roman" w:hAnsi="Times New Roman"/>
          <w:bCs/>
          <w:sz w:val="24"/>
          <w:lang w:val="en-US"/>
        </w:rPr>
        <w:t>MinVar</w:t>
      </w:r>
      <w:proofErr w:type="spellEnd"/>
      <w:r>
        <w:rPr>
          <w:rFonts w:ascii="Times New Roman" w:hAnsi="Times New Roman"/>
          <w:bCs/>
          <w:sz w:val="24"/>
          <w:lang w:val="en-US"/>
        </w:rPr>
        <w:t xml:space="preserve"> approach has one important disadvantage for insurance companies and pension funds, namely, the regulation issue. The typical hedge funds risk-return profile delivers very high Sharpe Ratios in comparison to traditional asset classes like equities and bonds. That leads to very high weights of hedge funds in </w:t>
      </w:r>
      <w:proofErr w:type="spellStart"/>
      <w:r>
        <w:rPr>
          <w:rFonts w:ascii="Times New Roman" w:hAnsi="Times New Roman"/>
          <w:bCs/>
          <w:sz w:val="24"/>
          <w:lang w:val="en-US"/>
        </w:rPr>
        <w:t>MinVar</w:t>
      </w:r>
      <w:proofErr w:type="spellEnd"/>
      <w:r>
        <w:rPr>
          <w:rFonts w:ascii="Times New Roman" w:hAnsi="Times New Roman"/>
          <w:bCs/>
          <w:sz w:val="24"/>
          <w:lang w:val="en-US"/>
        </w:rPr>
        <w:t xml:space="preserve"> portfolios. However, the weights are limited due to regulatory restraints. Nevertheless, we want to add the results of the </w:t>
      </w:r>
      <w:proofErr w:type="spellStart"/>
      <w:r>
        <w:rPr>
          <w:rFonts w:ascii="Times New Roman" w:hAnsi="Times New Roman"/>
          <w:bCs/>
          <w:sz w:val="24"/>
          <w:lang w:val="en-US"/>
        </w:rPr>
        <w:t>MinVar</w:t>
      </w:r>
      <w:proofErr w:type="spellEnd"/>
      <w:r>
        <w:rPr>
          <w:rFonts w:ascii="Times New Roman" w:hAnsi="Times New Roman"/>
          <w:bCs/>
          <w:sz w:val="24"/>
          <w:lang w:val="en-US"/>
        </w:rPr>
        <w:t xml:space="preserve"> portfolio to get a comparison to our simple portfolios. </w:t>
      </w:r>
    </w:p>
    <w:p w14:paraId="1E88860A" w14:textId="77777777" w:rsidR="007F17B7" w:rsidRPr="00F41706" w:rsidRDefault="007F17B7" w:rsidP="007F17B7">
      <w:pPr>
        <w:pStyle w:val="Listenabsatz"/>
        <w:numPr>
          <w:ilvl w:val="0"/>
          <w:numId w:val="6"/>
        </w:numPr>
        <w:spacing w:line="240" w:lineRule="auto"/>
        <w:jc w:val="both"/>
        <w:rPr>
          <w:rFonts w:ascii="Times New Roman" w:hAnsi="Times New Roman"/>
          <w:b/>
          <w:bCs/>
          <w:sz w:val="24"/>
        </w:rPr>
      </w:pPr>
      <w:r w:rsidRPr="00F41706">
        <w:rPr>
          <w:rFonts w:ascii="Times New Roman" w:hAnsi="Times New Roman"/>
          <w:b/>
          <w:bCs/>
          <w:sz w:val="24"/>
        </w:rPr>
        <w:t>Data</w:t>
      </w:r>
    </w:p>
    <w:p w14:paraId="768B0153"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We used monthly data and the hedge fund data are from </w:t>
      </w:r>
      <w:proofErr w:type="spellStart"/>
      <w:r>
        <w:rPr>
          <w:rFonts w:ascii="Times New Roman" w:hAnsi="Times New Roman"/>
          <w:bCs/>
          <w:sz w:val="24"/>
          <w:lang w:val="en-US"/>
        </w:rPr>
        <w:t>Hedgefund</w:t>
      </w:r>
      <w:proofErr w:type="spellEnd"/>
      <w:r>
        <w:rPr>
          <w:rFonts w:ascii="Times New Roman" w:hAnsi="Times New Roman"/>
          <w:bCs/>
          <w:sz w:val="24"/>
          <w:lang w:val="en-US"/>
        </w:rPr>
        <w:t xml:space="preserve"> Research (HFR). </w:t>
      </w:r>
      <w:proofErr w:type="spellStart"/>
      <w:r>
        <w:rPr>
          <w:rFonts w:ascii="Times New Roman" w:hAnsi="Times New Roman"/>
          <w:bCs/>
          <w:sz w:val="24"/>
          <w:lang w:val="en-US"/>
        </w:rPr>
        <w:t>Abugri</w:t>
      </w:r>
      <w:proofErr w:type="spellEnd"/>
      <w:r>
        <w:rPr>
          <w:rFonts w:ascii="Times New Roman" w:hAnsi="Times New Roman"/>
          <w:bCs/>
          <w:sz w:val="24"/>
          <w:lang w:val="en-US"/>
        </w:rPr>
        <w:t xml:space="preserve">/Dutta (2009) and Aiken et al. (2016) also used this database. Many hedge fund performance studies used data of International Securities and Derivatives Markets (CISDM) (for example: </w:t>
      </w:r>
      <w:proofErr w:type="spellStart"/>
      <w:r>
        <w:rPr>
          <w:rFonts w:ascii="Times New Roman" w:hAnsi="Times New Roman"/>
          <w:bCs/>
          <w:sz w:val="24"/>
          <w:lang w:val="en-US"/>
        </w:rPr>
        <w:t>Elling</w:t>
      </w:r>
      <w:proofErr w:type="spellEnd"/>
      <w:r>
        <w:rPr>
          <w:rFonts w:ascii="Times New Roman" w:hAnsi="Times New Roman"/>
          <w:bCs/>
          <w:sz w:val="24"/>
          <w:lang w:val="en-US"/>
        </w:rPr>
        <w:t>/Faust, 2010; Chen/Chen, 2009). Racicot/</w:t>
      </w:r>
      <w:proofErr w:type="spellStart"/>
      <w:r>
        <w:rPr>
          <w:rFonts w:ascii="Times New Roman" w:hAnsi="Times New Roman"/>
          <w:bCs/>
          <w:sz w:val="24"/>
          <w:lang w:val="en-US"/>
        </w:rPr>
        <w:t>Theoret</w:t>
      </w:r>
      <w:proofErr w:type="spellEnd"/>
      <w:r>
        <w:rPr>
          <w:rFonts w:ascii="Times New Roman" w:hAnsi="Times New Roman"/>
          <w:bCs/>
          <w:sz w:val="24"/>
          <w:lang w:val="en-US"/>
        </w:rPr>
        <w:t xml:space="preserve"> (2016) used data of Greenwich Alternative Investment. Thus, our categorization could be compared with </w:t>
      </w:r>
      <w:proofErr w:type="spellStart"/>
      <w:r>
        <w:rPr>
          <w:rFonts w:ascii="Times New Roman" w:hAnsi="Times New Roman"/>
          <w:bCs/>
          <w:sz w:val="24"/>
          <w:lang w:val="en-US"/>
        </w:rPr>
        <w:t>Abugri</w:t>
      </w:r>
      <w:proofErr w:type="spellEnd"/>
      <w:r>
        <w:rPr>
          <w:rFonts w:ascii="Times New Roman" w:hAnsi="Times New Roman"/>
          <w:bCs/>
          <w:sz w:val="24"/>
          <w:lang w:val="en-US"/>
        </w:rPr>
        <w:t xml:space="preserve">/Dutta (2009) and Aiken et al. </w:t>
      </w:r>
      <w:r w:rsidRPr="008977D9">
        <w:rPr>
          <w:rFonts w:ascii="Times New Roman" w:hAnsi="Times New Roman"/>
          <w:bCs/>
          <w:sz w:val="24"/>
          <w:lang w:val="en-US"/>
        </w:rPr>
        <w:t xml:space="preserve">(2015). </w:t>
      </w:r>
      <w:r>
        <w:rPr>
          <w:rFonts w:ascii="Times New Roman" w:hAnsi="Times New Roman"/>
          <w:bCs/>
          <w:sz w:val="24"/>
          <w:lang w:val="en-US"/>
        </w:rPr>
        <w:t>HFR was founded in 1994 and the data were re-calculated back to 1990 for some indices. The HFRI Fund Weighted Composite Index is a total index for all hedge funds, without the Fund of Fund component. The calculation of the returns of the total Composite index is based on geometrical average of all hedge funds.  Each individual hedge fund has the same weight in the Composite Index. This means that this index is not volume based. The data are in USD (Kaiser, 2004, pp. 224-225).  The data from S &amp; P 500, CRB index</w:t>
      </w:r>
      <w:r>
        <w:rPr>
          <w:rStyle w:val="Funotenzeichen"/>
          <w:rFonts w:ascii="Times New Roman" w:hAnsi="Times New Roman"/>
          <w:bCs/>
          <w:sz w:val="24"/>
          <w:lang w:val="en-US"/>
        </w:rPr>
        <w:footnoteReference w:id="3"/>
      </w:r>
      <w:r>
        <w:rPr>
          <w:rFonts w:ascii="Times New Roman" w:hAnsi="Times New Roman"/>
          <w:bCs/>
          <w:sz w:val="24"/>
          <w:lang w:val="en-US"/>
        </w:rPr>
        <w:t xml:space="preserve"> and the US total return government bond index are from Bloomberg. We used the US three month LIBOR as risk free yield. The commodity </w:t>
      </w:r>
      <w:proofErr w:type="spellStart"/>
      <w:r>
        <w:rPr>
          <w:rFonts w:ascii="Times New Roman" w:hAnsi="Times New Roman"/>
          <w:bCs/>
          <w:sz w:val="24"/>
          <w:lang w:val="en-US"/>
        </w:rPr>
        <w:t>subindices</w:t>
      </w:r>
      <w:proofErr w:type="spellEnd"/>
      <w:r>
        <w:rPr>
          <w:rFonts w:ascii="Times New Roman" w:hAnsi="Times New Roman"/>
          <w:bCs/>
          <w:sz w:val="24"/>
          <w:lang w:val="en-US"/>
        </w:rPr>
        <w:t xml:space="preserve"> Energy, Metals, industrial metals and Agriculture raw material are from the Federal Reserve Bank of St. Louis. </w:t>
      </w:r>
      <w:r>
        <w:rPr>
          <w:rFonts w:ascii="Times New Roman" w:hAnsi="Times New Roman"/>
          <w:bCs/>
          <w:sz w:val="24"/>
          <w:lang w:val="en-US"/>
        </w:rPr>
        <w:lastRenderedPageBreak/>
        <w:t>The HFRI Macro Commodity index is part of the Macro total index and includes systematic and discretionary commodity strategies. Systematic commodity strategies are based on mathematical, algorithmic and technical models where the individual has no influence on positioning in the portfolio. System</w:t>
      </w:r>
      <w:r>
        <w:rPr>
          <w:rFonts w:ascii="Times New Roman" w:hAnsi="Times New Roman"/>
          <w:bCs/>
          <w:color w:val="000000"/>
          <w:sz w:val="24"/>
          <w:lang w:val="en-US"/>
        </w:rPr>
        <w:t xml:space="preserve">atic </w:t>
      </w:r>
      <w:r>
        <w:rPr>
          <w:rFonts w:ascii="Times New Roman" w:hAnsi="Times New Roman"/>
          <w:bCs/>
          <w:sz w:val="24"/>
          <w:lang w:val="en-US"/>
        </w:rPr>
        <w:t>commodity strategies have more than 35 percent of direct exposure in commodities. The rest of the exposure could be an indirect exposure in equities, fixed income and currencies. Discretionary commodity strategies are relian</w:t>
      </w:r>
      <w:r w:rsidRPr="008977D9">
        <w:rPr>
          <w:rFonts w:ascii="Times New Roman" w:hAnsi="Times New Roman"/>
          <w:bCs/>
          <w:color w:val="000000"/>
          <w:sz w:val="24"/>
          <w:lang w:val="en-US"/>
        </w:rPr>
        <w:t xml:space="preserve">t on </w:t>
      </w:r>
      <w:r>
        <w:rPr>
          <w:rFonts w:ascii="Times New Roman" w:hAnsi="Times New Roman"/>
          <w:bCs/>
          <w:sz w:val="24"/>
          <w:lang w:val="en-US"/>
        </w:rPr>
        <w:t>the fundamental evaluation of the market data by the hedge fund manager.  This strategy also has more than 35 percent of direct exposure in commodities. Similar to the systematic strategy the rest of the portfolio could be an indirect exposure in equities, fixed income and currencies. The managers invest in Developed Markets and Emerging Markets (</w:t>
      </w:r>
      <w:proofErr w:type="spellStart"/>
      <w:r>
        <w:rPr>
          <w:rFonts w:ascii="Times New Roman" w:hAnsi="Times New Roman"/>
          <w:bCs/>
          <w:sz w:val="24"/>
          <w:lang w:val="en-US"/>
        </w:rPr>
        <w:t>Hedgefundresearch</w:t>
      </w:r>
      <w:proofErr w:type="spellEnd"/>
      <w:r>
        <w:rPr>
          <w:rFonts w:ascii="Times New Roman" w:hAnsi="Times New Roman"/>
          <w:bCs/>
          <w:sz w:val="24"/>
          <w:lang w:val="en-US"/>
        </w:rPr>
        <w:t>, 2017). Macro Funds and Relative Value Funds typically use a high leverage in their portfolios (</w:t>
      </w:r>
      <w:proofErr w:type="spellStart"/>
      <w:r>
        <w:rPr>
          <w:rFonts w:ascii="Times New Roman" w:hAnsi="Times New Roman"/>
          <w:bCs/>
          <w:sz w:val="24"/>
          <w:lang w:val="en-US"/>
        </w:rPr>
        <w:t>Barbarino</w:t>
      </w:r>
      <w:proofErr w:type="spellEnd"/>
      <w:r>
        <w:rPr>
          <w:rFonts w:ascii="Times New Roman" w:hAnsi="Times New Roman"/>
          <w:bCs/>
          <w:sz w:val="24"/>
          <w:lang w:val="en-US"/>
        </w:rPr>
        <w:t xml:space="preserve">, 2009). The papers of </w:t>
      </w:r>
      <w:proofErr w:type="spellStart"/>
      <w:r>
        <w:rPr>
          <w:rFonts w:ascii="Times New Roman" w:hAnsi="Times New Roman"/>
          <w:bCs/>
          <w:sz w:val="24"/>
          <w:lang w:val="en-US"/>
        </w:rPr>
        <w:t>Schneeweis</w:t>
      </w:r>
      <w:proofErr w:type="spellEnd"/>
      <w:r>
        <w:rPr>
          <w:rFonts w:ascii="Times New Roman" w:hAnsi="Times New Roman"/>
          <w:bCs/>
          <w:sz w:val="24"/>
          <w:lang w:val="en-US"/>
        </w:rPr>
        <w:t xml:space="preserve"> et al. (2005) and </w:t>
      </w:r>
      <w:proofErr w:type="spellStart"/>
      <w:r>
        <w:rPr>
          <w:rFonts w:ascii="Times New Roman" w:hAnsi="Times New Roman"/>
          <w:bCs/>
          <w:sz w:val="24"/>
          <w:lang w:val="en-US"/>
        </w:rPr>
        <w:t>Tolonen</w:t>
      </w:r>
      <w:proofErr w:type="spellEnd"/>
      <w:r>
        <w:rPr>
          <w:rFonts w:ascii="Times New Roman" w:hAnsi="Times New Roman"/>
          <w:bCs/>
          <w:sz w:val="24"/>
          <w:lang w:val="en-US"/>
        </w:rPr>
        <w:t xml:space="preserve"> (2014) showed a positive relationship between the level of the leverage and the performance of hedge funds. This should be a positive indicator for Macro </w:t>
      </w:r>
      <w:proofErr w:type="spellStart"/>
      <w:r>
        <w:rPr>
          <w:rFonts w:ascii="Times New Roman" w:hAnsi="Times New Roman"/>
          <w:bCs/>
          <w:sz w:val="24"/>
          <w:lang w:val="en-US"/>
        </w:rPr>
        <w:t>Commoity</w:t>
      </w:r>
      <w:proofErr w:type="spellEnd"/>
      <w:r>
        <w:rPr>
          <w:rFonts w:ascii="Times New Roman" w:hAnsi="Times New Roman"/>
          <w:bCs/>
          <w:sz w:val="24"/>
          <w:lang w:val="en-US"/>
        </w:rPr>
        <w:t xml:space="preserve"> Funds. The second hedge fund index which we use is the HFRI Sector - Energy/Basic Materials Index. This strategy tries to identify opportunities in commodity equities. The expertise of the hedge fund manager is higher than that of a market generalist. The direct exposure of commodity equities is normally above 50 percent of the total portfolio. This sub index is part of the Equity Market Neutral Index (</w:t>
      </w:r>
      <w:proofErr w:type="spellStart"/>
      <w:r>
        <w:rPr>
          <w:rFonts w:ascii="Times New Roman" w:hAnsi="Times New Roman"/>
          <w:bCs/>
          <w:sz w:val="24"/>
          <w:lang w:val="en-US"/>
        </w:rPr>
        <w:t>Hedgefundresearch</w:t>
      </w:r>
      <w:proofErr w:type="spellEnd"/>
      <w:r>
        <w:rPr>
          <w:rFonts w:ascii="Times New Roman" w:hAnsi="Times New Roman"/>
          <w:bCs/>
          <w:sz w:val="24"/>
          <w:lang w:val="en-US"/>
        </w:rPr>
        <w:t xml:space="preserve">, 2017). </w:t>
      </w:r>
    </w:p>
    <w:p w14:paraId="4DBEC93C"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Like other hedge fund </w:t>
      </w:r>
      <w:proofErr w:type="gramStart"/>
      <w:r>
        <w:rPr>
          <w:rFonts w:ascii="Times New Roman" w:hAnsi="Times New Roman"/>
          <w:bCs/>
          <w:sz w:val="24"/>
          <w:lang w:val="en-US"/>
        </w:rPr>
        <w:t>data</w:t>
      </w:r>
      <w:proofErr w:type="gramEnd"/>
      <w:r>
        <w:rPr>
          <w:rFonts w:ascii="Times New Roman" w:hAnsi="Times New Roman"/>
          <w:bCs/>
          <w:sz w:val="24"/>
          <w:lang w:val="en-US"/>
        </w:rPr>
        <w:t xml:space="preserve"> the HFR data suffer from the survivorship bias, </w:t>
      </w:r>
      <w:proofErr w:type="spellStart"/>
      <w:r>
        <w:rPr>
          <w:rFonts w:ascii="Times New Roman" w:hAnsi="Times New Roman"/>
          <w:bCs/>
          <w:sz w:val="24"/>
          <w:lang w:val="en-US"/>
        </w:rPr>
        <w:t>backfiling</w:t>
      </w:r>
      <w:proofErr w:type="spellEnd"/>
      <w:r>
        <w:rPr>
          <w:rFonts w:ascii="Times New Roman" w:hAnsi="Times New Roman"/>
          <w:bCs/>
          <w:sz w:val="24"/>
          <w:lang w:val="en-US"/>
        </w:rPr>
        <w:t xml:space="preserve"> bias, selection bias and </w:t>
      </w:r>
      <w:proofErr w:type="spellStart"/>
      <w:r>
        <w:rPr>
          <w:rFonts w:ascii="Times New Roman" w:hAnsi="Times New Roman"/>
          <w:bCs/>
          <w:sz w:val="24"/>
          <w:lang w:val="en-US"/>
        </w:rPr>
        <w:t>multiperiode</w:t>
      </w:r>
      <w:proofErr w:type="spellEnd"/>
      <w:r>
        <w:rPr>
          <w:rFonts w:ascii="Times New Roman" w:hAnsi="Times New Roman"/>
          <w:bCs/>
          <w:sz w:val="24"/>
          <w:lang w:val="en-US"/>
        </w:rPr>
        <w:t xml:space="preserve"> sample bias. As other hedge fund performance studies the validity of the analysis has a limited character at least to some degree (</w:t>
      </w:r>
      <w:proofErr w:type="spellStart"/>
      <w:r>
        <w:rPr>
          <w:rFonts w:ascii="Times New Roman" w:hAnsi="Times New Roman"/>
          <w:bCs/>
          <w:sz w:val="24"/>
          <w:lang w:val="en-US"/>
        </w:rPr>
        <w:t>Lhabitant</w:t>
      </w:r>
      <w:proofErr w:type="spellEnd"/>
      <w:r>
        <w:rPr>
          <w:rFonts w:ascii="Times New Roman" w:hAnsi="Times New Roman"/>
          <w:bCs/>
          <w:sz w:val="24"/>
          <w:lang w:val="en-US"/>
        </w:rPr>
        <w:t>, 2004, 87-95).</w:t>
      </w:r>
    </w:p>
    <w:p w14:paraId="2B3AD4D8" w14:textId="77777777" w:rsidR="00363D68" w:rsidRPr="00F251EC" w:rsidRDefault="00363D68" w:rsidP="00363D68">
      <w:pPr>
        <w:pStyle w:val="Listenabsatz"/>
        <w:numPr>
          <w:ilvl w:val="0"/>
          <w:numId w:val="6"/>
        </w:numPr>
        <w:spacing w:line="240" w:lineRule="auto"/>
        <w:jc w:val="both"/>
        <w:rPr>
          <w:rFonts w:ascii="Times New Roman" w:hAnsi="Times New Roman" w:cs="Times New Roman"/>
          <w:b/>
          <w:bCs/>
          <w:sz w:val="24"/>
          <w:szCs w:val="24"/>
          <w:lang w:val="en-US"/>
        </w:rPr>
      </w:pPr>
      <w:r w:rsidRPr="00F251EC">
        <w:rPr>
          <w:rFonts w:ascii="Times New Roman" w:hAnsi="Times New Roman" w:cs="Times New Roman"/>
          <w:b/>
          <w:bCs/>
          <w:sz w:val="24"/>
          <w:szCs w:val="24"/>
          <w:lang w:val="en-US"/>
        </w:rPr>
        <w:t>Results</w:t>
      </w:r>
    </w:p>
    <w:p w14:paraId="0B043857" w14:textId="77777777" w:rsidR="0046620B" w:rsidRDefault="0046620B" w:rsidP="0046620B">
      <w:pPr>
        <w:pStyle w:val="Listenabsatz"/>
        <w:spacing w:line="240" w:lineRule="auto"/>
        <w:jc w:val="both"/>
        <w:rPr>
          <w:rFonts w:ascii="Times New Roman" w:hAnsi="Times New Roman" w:cs="Times New Roman"/>
          <w:bCs/>
          <w:sz w:val="24"/>
          <w:szCs w:val="24"/>
          <w:lang w:val="en-US"/>
        </w:rPr>
      </w:pPr>
    </w:p>
    <w:p w14:paraId="3BF21B3A" w14:textId="77777777" w:rsidR="0046620B" w:rsidRPr="00F41706" w:rsidRDefault="000D6DC7" w:rsidP="000D6DC7">
      <w:pPr>
        <w:spacing w:line="240" w:lineRule="auto"/>
        <w:jc w:val="both"/>
        <w:rPr>
          <w:rFonts w:ascii="Times New Roman" w:hAnsi="Times New Roman" w:cs="Times New Roman"/>
          <w:b/>
          <w:bCs/>
          <w:sz w:val="24"/>
          <w:szCs w:val="24"/>
          <w:lang w:val="en-US"/>
        </w:rPr>
      </w:pPr>
      <w:r w:rsidRPr="00F41706">
        <w:rPr>
          <w:rFonts w:ascii="Times New Roman" w:hAnsi="Times New Roman" w:cs="Times New Roman"/>
          <w:b/>
          <w:bCs/>
          <w:sz w:val="24"/>
          <w:szCs w:val="24"/>
          <w:lang w:val="en-US"/>
        </w:rPr>
        <w:t>Table 2: Descriptive Statistics</w:t>
      </w:r>
    </w:p>
    <w:tbl>
      <w:tblPr>
        <w:tblW w:w="9710" w:type="dxa"/>
        <w:tblCellMar>
          <w:left w:w="70" w:type="dxa"/>
          <w:right w:w="70" w:type="dxa"/>
        </w:tblCellMar>
        <w:tblLook w:val="04A0" w:firstRow="1" w:lastRow="0" w:firstColumn="1" w:lastColumn="0" w:noHBand="0" w:noVBand="1"/>
      </w:tblPr>
      <w:tblGrid>
        <w:gridCol w:w="146"/>
        <w:gridCol w:w="1365"/>
        <w:gridCol w:w="995"/>
        <w:gridCol w:w="876"/>
        <w:gridCol w:w="875"/>
        <w:gridCol w:w="898"/>
        <w:gridCol w:w="1053"/>
        <w:gridCol w:w="917"/>
        <w:gridCol w:w="698"/>
        <w:gridCol w:w="1230"/>
        <w:gridCol w:w="657"/>
      </w:tblGrid>
      <w:tr w:rsidR="008617D0" w:rsidRPr="008617D0" w14:paraId="287755B4" w14:textId="77777777" w:rsidTr="000D6DC7">
        <w:trPr>
          <w:trHeight w:val="420"/>
        </w:trPr>
        <w:tc>
          <w:tcPr>
            <w:tcW w:w="1511" w:type="dxa"/>
            <w:gridSpan w:val="2"/>
            <w:tcBorders>
              <w:top w:val="nil"/>
              <w:left w:val="nil"/>
              <w:bottom w:val="single" w:sz="4" w:space="0" w:color="152935"/>
              <w:right w:val="nil"/>
            </w:tcBorders>
            <w:shd w:val="clear" w:color="auto" w:fill="auto"/>
            <w:vAlign w:val="bottom"/>
            <w:hideMark/>
          </w:tcPr>
          <w:p w14:paraId="520B4DB2" w14:textId="77777777" w:rsidR="008617D0" w:rsidRPr="008617D0" w:rsidRDefault="008617D0" w:rsidP="008617D0">
            <w:pPr>
              <w:spacing w:after="0" w:line="240" w:lineRule="auto"/>
              <w:rPr>
                <w:rFonts w:ascii="Arial" w:eastAsia="Times New Roman" w:hAnsi="Arial" w:cs="Arial"/>
                <w:color w:val="264A60"/>
                <w:sz w:val="16"/>
                <w:szCs w:val="16"/>
                <w:lang w:eastAsia="de-AT"/>
              </w:rPr>
            </w:pPr>
            <w:r w:rsidRPr="008617D0">
              <w:rPr>
                <w:rFonts w:ascii="Arial" w:eastAsia="Times New Roman" w:hAnsi="Arial" w:cs="Arial"/>
                <w:color w:val="264A60"/>
                <w:sz w:val="16"/>
                <w:szCs w:val="16"/>
                <w:lang w:eastAsia="de-AT"/>
              </w:rPr>
              <w:t> </w:t>
            </w:r>
          </w:p>
        </w:tc>
        <w:tc>
          <w:tcPr>
            <w:tcW w:w="995" w:type="dxa"/>
            <w:tcBorders>
              <w:top w:val="nil"/>
              <w:left w:val="nil"/>
              <w:bottom w:val="single" w:sz="4" w:space="0" w:color="152935"/>
              <w:right w:val="single" w:sz="4" w:space="0" w:color="E0E0E0"/>
            </w:tcBorders>
            <w:shd w:val="clear" w:color="auto" w:fill="auto"/>
            <w:vAlign w:val="bottom"/>
            <w:hideMark/>
          </w:tcPr>
          <w:p w14:paraId="16B08666"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r w:rsidRPr="008617D0">
              <w:rPr>
                <w:rFonts w:ascii="Arial" w:eastAsia="Times New Roman" w:hAnsi="Arial" w:cs="Arial"/>
                <w:color w:val="264A60"/>
                <w:sz w:val="16"/>
                <w:szCs w:val="16"/>
                <w:lang w:eastAsia="de-AT"/>
              </w:rPr>
              <w:t>Industrial</w:t>
            </w:r>
          </w:p>
        </w:tc>
        <w:tc>
          <w:tcPr>
            <w:tcW w:w="876" w:type="dxa"/>
            <w:tcBorders>
              <w:top w:val="nil"/>
              <w:left w:val="nil"/>
              <w:bottom w:val="single" w:sz="4" w:space="0" w:color="152935"/>
              <w:right w:val="single" w:sz="4" w:space="0" w:color="E0E0E0"/>
            </w:tcBorders>
            <w:shd w:val="clear" w:color="auto" w:fill="auto"/>
            <w:vAlign w:val="bottom"/>
            <w:hideMark/>
          </w:tcPr>
          <w:p w14:paraId="0D20BDA4"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proofErr w:type="spellStart"/>
            <w:r w:rsidRPr="008617D0">
              <w:rPr>
                <w:rFonts w:ascii="Arial" w:eastAsia="Times New Roman" w:hAnsi="Arial" w:cs="Arial"/>
                <w:color w:val="264A60"/>
                <w:sz w:val="16"/>
                <w:szCs w:val="16"/>
                <w:lang w:eastAsia="de-AT"/>
              </w:rPr>
              <w:t>Energy</w:t>
            </w:r>
            <w:proofErr w:type="spellEnd"/>
          </w:p>
        </w:tc>
        <w:tc>
          <w:tcPr>
            <w:tcW w:w="875" w:type="dxa"/>
            <w:tcBorders>
              <w:top w:val="nil"/>
              <w:left w:val="nil"/>
              <w:bottom w:val="single" w:sz="4" w:space="0" w:color="152935"/>
              <w:right w:val="single" w:sz="4" w:space="0" w:color="E0E0E0"/>
            </w:tcBorders>
            <w:shd w:val="clear" w:color="auto" w:fill="auto"/>
            <w:vAlign w:val="bottom"/>
            <w:hideMark/>
          </w:tcPr>
          <w:p w14:paraId="3C17F41A"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proofErr w:type="spellStart"/>
            <w:r w:rsidRPr="008617D0">
              <w:rPr>
                <w:rFonts w:ascii="Arial" w:eastAsia="Times New Roman" w:hAnsi="Arial" w:cs="Arial"/>
                <w:color w:val="264A60"/>
                <w:sz w:val="16"/>
                <w:szCs w:val="16"/>
                <w:lang w:eastAsia="de-AT"/>
              </w:rPr>
              <w:t>Metal</w:t>
            </w:r>
            <w:proofErr w:type="spellEnd"/>
          </w:p>
        </w:tc>
        <w:tc>
          <w:tcPr>
            <w:tcW w:w="898" w:type="dxa"/>
            <w:tcBorders>
              <w:top w:val="nil"/>
              <w:left w:val="nil"/>
              <w:bottom w:val="single" w:sz="4" w:space="0" w:color="152935"/>
              <w:right w:val="single" w:sz="4" w:space="0" w:color="E0E0E0"/>
            </w:tcBorders>
            <w:shd w:val="clear" w:color="auto" w:fill="auto"/>
            <w:vAlign w:val="bottom"/>
            <w:hideMark/>
          </w:tcPr>
          <w:p w14:paraId="7DFC53C5"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proofErr w:type="spellStart"/>
            <w:r w:rsidRPr="008617D0">
              <w:rPr>
                <w:rFonts w:ascii="Arial" w:eastAsia="Times New Roman" w:hAnsi="Arial" w:cs="Arial"/>
                <w:color w:val="264A60"/>
                <w:sz w:val="16"/>
                <w:szCs w:val="16"/>
                <w:lang w:eastAsia="de-AT"/>
              </w:rPr>
              <w:t>HFEnergy</w:t>
            </w:r>
            <w:proofErr w:type="spellEnd"/>
          </w:p>
        </w:tc>
        <w:tc>
          <w:tcPr>
            <w:tcW w:w="1053" w:type="dxa"/>
            <w:tcBorders>
              <w:top w:val="nil"/>
              <w:left w:val="nil"/>
              <w:bottom w:val="single" w:sz="4" w:space="0" w:color="152935"/>
              <w:right w:val="single" w:sz="4" w:space="0" w:color="E0E0E0"/>
            </w:tcBorders>
            <w:shd w:val="clear" w:color="auto" w:fill="auto"/>
            <w:vAlign w:val="bottom"/>
            <w:hideMark/>
          </w:tcPr>
          <w:p w14:paraId="5426B3F6"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r w:rsidRPr="008617D0">
              <w:rPr>
                <w:rFonts w:ascii="Arial" w:eastAsia="Times New Roman" w:hAnsi="Arial" w:cs="Arial"/>
                <w:color w:val="264A60"/>
                <w:sz w:val="16"/>
                <w:szCs w:val="16"/>
                <w:lang w:eastAsia="de-AT"/>
              </w:rPr>
              <w:t xml:space="preserve">HF </w:t>
            </w:r>
            <w:proofErr w:type="spellStart"/>
            <w:r w:rsidRPr="008617D0">
              <w:rPr>
                <w:rFonts w:ascii="Arial" w:eastAsia="Times New Roman" w:hAnsi="Arial" w:cs="Arial"/>
                <w:color w:val="264A60"/>
                <w:sz w:val="16"/>
                <w:szCs w:val="16"/>
                <w:lang w:eastAsia="de-AT"/>
              </w:rPr>
              <w:t>Macro</w:t>
            </w:r>
            <w:proofErr w:type="spellEnd"/>
          </w:p>
        </w:tc>
        <w:tc>
          <w:tcPr>
            <w:tcW w:w="917" w:type="dxa"/>
            <w:tcBorders>
              <w:top w:val="nil"/>
              <w:left w:val="nil"/>
              <w:bottom w:val="single" w:sz="4" w:space="0" w:color="152935"/>
              <w:right w:val="single" w:sz="4" w:space="0" w:color="E0E0E0"/>
            </w:tcBorders>
            <w:shd w:val="clear" w:color="auto" w:fill="auto"/>
            <w:vAlign w:val="bottom"/>
            <w:hideMark/>
          </w:tcPr>
          <w:p w14:paraId="6BD2C6E5"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proofErr w:type="spellStart"/>
            <w:r w:rsidRPr="008617D0">
              <w:rPr>
                <w:rFonts w:ascii="Arial" w:eastAsia="Times New Roman" w:hAnsi="Arial" w:cs="Arial"/>
                <w:color w:val="264A60"/>
                <w:sz w:val="16"/>
                <w:szCs w:val="16"/>
                <w:lang w:eastAsia="de-AT"/>
              </w:rPr>
              <w:t>GBIndex</w:t>
            </w:r>
            <w:proofErr w:type="spellEnd"/>
          </w:p>
        </w:tc>
        <w:tc>
          <w:tcPr>
            <w:tcW w:w="698" w:type="dxa"/>
            <w:tcBorders>
              <w:top w:val="nil"/>
              <w:left w:val="nil"/>
              <w:bottom w:val="single" w:sz="4" w:space="0" w:color="152935"/>
              <w:right w:val="single" w:sz="4" w:space="0" w:color="E0E0E0"/>
            </w:tcBorders>
            <w:shd w:val="clear" w:color="auto" w:fill="auto"/>
            <w:vAlign w:val="bottom"/>
            <w:hideMark/>
          </w:tcPr>
          <w:p w14:paraId="102539ED"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r w:rsidRPr="008617D0">
              <w:rPr>
                <w:rFonts w:ascii="Arial" w:eastAsia="Times New Roman" w:hAnsi="Arial" w:cs="Arial"/>
                <w:color w:val="264A60"/>
                <w:sz w:val="16"/>
                <w:szCs w:val="16"/>
                <w:lang w:eastAsia="de-AT"/>
              </w:rPr>
              <w:t>SP500</w:t>
            </w:r>
          </w:p>
        </w:tc>
        <w:tc>
          <w:tcPr>
            <w:tcW w:w="1230" w:type="dxa"/>
            <w:tcBorders>
              <w:top w:val="nil"/>
              <w:left w:val="nil"/>
              <w:bottom w:val="single" w:sz="4" w:space="0" w:color="152935"/>
              <w:right w:val="single" w:sz="4" w:space="0" w:color="E0E0E0"/>
            </w:tcBorders>
            <w:shd w:val="clear" w:color="auto" w:fill="auto"/>
            <w:vAlign w:val="bottom"/>
            <w:hideMark/>
          </w:tcPr>
          <w:p w14:paraId="7F2C00F3"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r w:rsidRPr="008617D0">
              <w:rPr>
                <w:rFonts w:ascii="Arial" w:eastAsia="Times New Roman" w:hAnsi="Arial" w:cs="Arial"/>
                <w:color w:val="264A60"/>
                <w:sz w:val="16"/>
                <w:szCs w:val="16"/>
                <w:lang w:eastAsia="de-AT"/>
              </w:rPr>
              <w:t>CRB</w:t>
            </w:r>
          </w:p>
        </w:tc>
        <w:tc>
          <w:tcPr>
            <w:tcW w:w="657" w:type="dxa"/>
            <w:tcBorders>
              <w:top w:val="nil"/>
              <w:left w:val="nil"/>
              <w:bottom w:val="single" w:sz="4" w:space="0" w:color="152935"/>
              <w:right w:val="nil"/>
            </w:tcBorders>
            <w:shd w:val="clear" w:color="auto" w:fill="auto"/>
            <w:vAlign w:val="bottom"/>
            <w:hideMark/>
          </w:tcPr>
          <w:p w14:paraId="562D71E6"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r w:rsidRPr="008617D0">
              <w:rPr>
                <w:rFonts w:ascii="Arial" w:eastAsia="Times New Roman" w:hAnsi="Arial" w:cs="Arial"/>
                <w:color w:val="264A60"/>
                <w:sz w:val="16"/>
                <w:szCs w:val="16"/>
                <w:lang w:eastAsia="de-AT"/>
              </w:rPr>
              <w:t xml:space="preserve">HF </w:t>
            </w:r>
            <w:proofErr w:type="spellStart"/>
            <w:r w:rsidRPr="008617D0">
              <w:rPr>
                <w:rFonts w:ascii="Arial" w:eastAsia="Times New Roman" w:hAnsi="Arial" w:cs="Arial"/>
                <w:color w:val="264A60"/>
                <w:sz w:val="16"/>
                <w:szCs w:val="16"/>
                <w:lang w:eastAsia="de-AT"/>
              </w:rPr>
              <w:t>Comp</w:t>
            </w:r>
            <w:proofErr w:type="spellEnd"/>
          </w:p>
        </w:tc>
      </w:tr>
      <w:tr w:rsidR="008617D0" w:rsidRPr="008617D0" w14:paraId="318F749C" w14:textId="77777777" w:rsidTr="000D6DC7">
        <w:trPr>
          <w:trHeight w:val="264"/>
        </w:trPr>
        <w:tc>
          <w:tcPr>
            <w:tcW w:w="146" w:type="dxa"/>
            <w:tcBorders>
              <w:top w:val="nil"/>
              <w:left w:val="nil"/>
              <w:bottom w:val="nil"/>
              <w:right w:val="nil"/>
            </w:tcBorders>
            <w:shd w:val="clear" w:color="auto" w:fill="auto"/>
            <w:noWrap/>
            <w:vAlign w:val="bottom"/>
            <w:hideMark/>
          </w:tcPr>
          <w:p w14:paraId="051FA95E" w14:textId="77777777" w:rsidR="008617D0" w:rsidRPr="008617D0" w:rsidRDefault="008617D0" w:rsidP="008617D0">
            <w:pPr>
              <w:spacing w:after="0" w:line="240" w:lineRule="auto"/>
              <w:jc w:val="center"/>
              <w:rPr>
                <w:rFonts w:ascii="Arial" w:eastAsia="Times New Roman" w:hAnsi="Arial" w:cs="Arial"/>
                <w:color w:val="264A60"/>
                <w:sz w:val="16"/>
                <w:szCs w:val="16"/>
                <w:lang w:eastAsia="de-AT"/>
              </w:rPr>
            </w:pPr>
          </w:p>
        </w:tc>
        <w:tc>
          <w:tcPr>
            <w:tcW w:w="1365" w:type="dxa"/>
            <w:tcBorders>
              <w:top w:val="single" w:sz="4" w:space="0" w:color="C0C0C0"/>
              <w:left w:val="nil"/>
              <w:bottom w:val="single" w:sz="4" w:space="0" w:color="C0C0C0"/>
              <w:right w:val="single" w:sz="4" w:space="0" w:color="E0E0E0"/>
            </w:tcBorders>
            <w:shd w:val="clear" w:color="auto" w:fill="auto"/>
            <w:noWrap/>
            <w:hideMark/>
          </w:tcPr>
          <w:p w14:paraId="2AB13FDC" w14:textId="77777777" w:rsidR="008617D0" w:rsidRPr="008617D0" w:rsidRDefault="008617D0" w:rsidP="008617D0">
            <w:pPr>
              <w:spacing w:after="0" w:line="240" w:lineRule="auto"/>
              <w:rPr>
                <w:rFonts w:ascii="Arial" w:eastAsia="Times New Roman" w:hAnsi="Arial" w:cs="Arial"/>
                <w:color w:val="010205"/>
                <w:sz w:val="16"/>
                <w:szCs w:val="16"/>
                <w:lang w:eastAsia="de-AT"/>
              </w:rPr>
            </w:pPr>
            <w:proofErr w:type="spellStart"/>
            <w:r w:rsidRPr="008617D0">
              <w:rPr>
                <w:rFonts w:ascii="Arial" w:eastAsia="Times New Roman" w:hAnsi="Arial" w:cs="Arial"/>
                <w:color w:val="010205"/>
                <w:sz w:val="16"/>
                <w:szCs w:val="16"/>
                <w:lang w:eastAsia="de-AT"/>
              </w:rPr>
              <w:t>Mean</w:t>
            </w:r>
            <w:proofErr w:type="spellEnd"/>
          </w:p>
        </w:tc>
        <w:tc>
          <w:tcPr>
            <w:tcW w:w="995" w:type="dxa"/>
            <w:tcBorders>
              <w:top w:val="single" w:sz="4" w:space="0" w:color="C0C0C0"/>
              <w:left w:val="nil"/>
              <w:bottom w:val="single" w:sz="4" w:space="0" w:color="C0C0C0"/>
              <w:right w:val="single" w:sz="4" w:space="0" w:color="E0E0E0"/>
            </w:tcBorders>
            <w:shd w:val="clear" w:color="auto" w:fill="auto"/>
            <w:noWrap/>
            <w:hideMark/>
          </w:tcPr>
          <w:p w14:paraId="6CEBA40D"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0,02</w:t>
            </w:r>
          </w:p>
        </w:tc>
        <w:tc>
          <w:tcPr>
            <w:tcW w:w="876" w:type="dxa"/>
            <w:tcBorders>
              <w:top w:val="single" w:sz="4" w:space="0" w:color="C0C0C0"/>
              <w:left w:val="nil"/>
              <w:bottom w:val="single" w:sz="4" w:space="0" w:color="C0C0C0"/>
              <w:right w:val="single" w:sz="4" w:space="0" w:color="E0E0E0"/>
            </w:tcBorders>
            <w:shd w:val="clear" w:color="auto" w:fill="auto"/>
            <w:noWrap/>
            <w:hideMark/>
          </w:tcPr>
          <w:p w14:paraId="27016B5A"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-0,18</w:t>
            </w:r>
          </w:p>
        </w:tc>
        <w:tc>
          <w:tcPr>
            <w:tcW w:w="875" w:type="dxa"/>
            <w:tcBorders>
              <w:top w:val="single" w:sz="4" w:space="0" w:color="C0C0C0"/>
              <w:left w:val="nil"/>
              <w:bottom w:val="single" w:sz="4" w:space="0" w:color="C0C0C0"/>
              <w:right w:val="single" w:sz="4" w:space="0" w:color="E0E0E0"/>
            </w:tcBorders>
            <w:shd w:val="clear" w:color="auto" w:fill="auto"/>
            <w:noWrap/>
            <w:hideMark/>
          </w:tcPr>
          <w:p w14:paraId="7C80336F"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-0,05</w:t>
            </w:r>
          </w:p>
        </w:tc>
        <w:tc>
          <w:tcPr>
            <w:tcW w:w="898" w:type="dxa"/>
            <w:tcBorders>
              <w:top w:val="single" w:sz="4" w:space="0" w:color="C0C0C0"/>
              <w:left w:val="nil"/>
              <w:bottom w:val="single" w:sz="4" w:space="0" w:color="C0C0C0"/>
              <w:right w:val="single" w:sz="4" w:space="0" w:color="E0E0E0"/>
            </w:tcBorders>
            <w:shd w:val="clear" w:color="auto" w:fill="auto"/>
            <w:noWrap/>
            <w:hideMark/>
          </w:tcPr>
          <w:p w14:paraId="5D421E10"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-0,17</w:t>
            </w:r>
          </w:p>
        </w:tc>
        <w:tc>
          <w:tcPr>
            <w:tcW w:w="1053" w:type="dxa"/>
            <w:tcBorders>
              <w:top w:val="single" w:sz="4" w:space="0" w:color="C0C0C0"/>
              <w:left w:val="nil"/>
              <w:bottom w:val="single" w:sz="4" w:space="0" w:color="C0C0C0"/>
              <w:right w:val="single" w:sz="4" w:space="0" w:color="E0E0E0"/>
            </w:tcBorders>
            <w:shd w:val="clear" w:color="auto" w:fill="auto"/>
            <w:noWrap/>
            <w:hideMark/>
          </w:tcPr>
          <w:p w14:paraId="4C8825A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0,22</w:t>
            </w:r>
          </w:p>
        </w:tc>
        <w:tc>
          <w:tcPr>
            <w:tcW w:w="917" w:type="dxa"/>
            <w:tcBorders>
              <w:top w:val="single" w:sz="4" w:space="0" w:color="C0C0C0"/>
              <w:left w:val="nil"/>
              <w:bottom w:val="single" w:sz="4" w:space="0" w:color="C0C0C0"/>
              <w:right w:val="single" w:sz="4" w:space="0" w:color="E0E0E0"/>
            </w:tcBorders>
            <w:shd w:val="clear" w:color="auto" w:fill="auto"/>
            <w:noWrap/>
            <w:hideMark/>
          </w:tcPr>
          <w:p w14:paraId="1E194958"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0,32</w:t>
            </w:r>
          </w:p>
        </w:tc>
        <w:tc>
          <w:tcPr>
            <w:tcW w:w="698" w:type="dxa"/>
            <w:tcBorders>
              <w:top w:val="single" w:sz="4" w:space="0" w:color="C0C0C0"/>
              <w:left w:val="nil"/>
              <w:bottom w:val="single" w:sz="4" w:space="0" w:color="C0C0C0"/>
              <w:right w:val="single" w:sz="4" w:space="0" w:color="E0E0E0"/>
            </w:tcBorders>
            <w:shd w:val="clear" w:color="auto" w:fill="auto"/>
            <w:noWrap/>
            <w:hideMark/>
          </w:tcPr>
          <w:p w14:paraId="4B1F67FF"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0,52</w:t>
            </w:r>
          </w:p>
        </w:tc>
        <w:tc>
          <w:tcPr>
            <w:tcW w:w="1230" w:type="dxa"/>
            <w:tcBorders>
              <w:top w:val="single" w:sz="4" w:space="0" w:color="C0C0C0"/>
              <w:left w:val="nil"/>
              <w:bottom w:val="single" w:sz="4" w:space="0" w:color="C0C0C0"/>
              <w:right w:val="single" w:sz="4" w:space="0" w:color="E0E0E0"/>
            </w:tcBorders>
            <w:shd w:val="clear" w:color="auto" w:fill="auto"/>
            <w:noWrap/>
            <w:hideMark/>
          </w:tcPr>
          <w:p w14:paraId="0EE56FDD"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0,10</w:t>
            </w:r>
          </w:p>
        </w:tc>
        <w:tc>
          <w:tcPr>
            <w:tcW w:w="657" w:type="dxa"/>
            <w:tcBorders>
              <w:top w:val="single" w:sz="4" w:space="0" w:color="C0C0C0"/>
              <w:left w:val="nil"/>
              <w:bottom w:val="single" w:sz="4" w:space="0" w:color="C0C0C0"/>
              <w:right w:val="single" w:sz="4" w:space="0" w:color="E0E0E0"/>
            </w:tcBorders>
            <w:shd w:val="clear" w:color="auto" w:fill="auto"/>
            <w:noWrap/>
            <w:hideMark/>
          </w:tcPr>
          <w:p w14:paraId="13013D0A"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0,28</w:t>
            </w:r>
          </w:p>
        </w:tc>
      </w:tr>
      <w:tr w:rsidR="008617D0" w:rsidRPr="008617D0" w14:paraId="5DA72143" w14:textId="77777777" w:rsidTr="000D6DC7">
        <w:trPr>
          <w:trHeight w:val="264"/>
        </w:trPr>
        <w:tc>
          <w:tcPr>
            <w:tcW w:w="146" w:type="dxa"/>
            <w:tcBorders>
              <w:top w:val="nil"/>
              <w:left w:val="nil"/>
              <w:bottom w:val="nil"/>
              <w:right w:val="nil"/>
            </w:tcBorders>
            <w:shd w:val="clear" w:color="auto" w:fill="auto"/>
            <w:noWrap/>
            <w:vAlign w:val="bottom"/>
            <w:hideMark/>
          </w:tcPr>
          <w:p w14:paraId="6779658D"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p>
        </w:tc>
        <w:tc>
          <w:tcPr>
            <w:tcW w:w="1365" w:type="dxa"/>
            <w:tcBorders>
              <w:top w:val="nil"/>
              <w:left w:val="nil"/>
              <w:bottom w:val="single" w:sz="4" w:space="0" w:color="C0C0C0"/>
              <w:right w:val="single" w:sz="4" w:space="0" w:color="E0E0E0"/>
            </w:tcBorders>
            <w:shd w:val="clear" w:color="auto" w:fill="auto"/>
            <w:noWrap/>
            <w:hideMark/>
          </w:tcPr>
          <w:p w14:paraId="3739CD1B" w14:textId="77777777" w:rsidR="008617D0" w:rsidRPr="008617D0" w:rsidRDefault="008617D0" w:rsidP="008617D0">
            <w:pPr>
              <w:spacing w:after="0" w:line="240" w:lineRule="auto"/>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Median</w:t>
            </w:r>
          </w:p>
        </w:tc>
        <w:tc>
          <w:tcPr>
            <w:tcW w:w="995" w:type="dxa"/>
            <w:tcBorders>
              <w:top w:val="nil"/>
              <w:left w:val="nil"/>
              <w:bottom w:val="single" w:sz="4" w:space="0" w:color="C0C0C0"/>
              <w:right w:val="single" w:sz="4" w:space="0" w:color="E0E0E0"/>
            </w:tcBorders>
            <w:shd w:val="clear" w:color="auto" w:fill="auto"/>
            <w:noWrap/>
            <w:hideMark/>
          </w:tcPr>
          <w:p w14:paraId="3F7E5A74"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-0,74</w:t>
            </w:r>
          </w:p>
        </w:tc>
        <w:tc>
          <w:tcPr>
            <w:tcW w:w="876" w:type="dxa"/>
            <w:tcBorders>
              <w:top w:val="nil"/>
              <w:left w:val="nil"/>
              <w:bottom w:val="single" w:sz="4" w:space="0" w:color="C0C0C0"/>
              <w:right w:val="single" w:sz="4" w:space="0" w:color="E0E0E0"/>
            </w:tcBorders>
            <w:shd w:val="clear" w:color="auto" w:fill="auto"/>
            <w:noWrap/>
            <w:hideMark/>
          </w:tcPr>
          <w:p w14:paraId="6D60DF3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0,69</w:t>
            </w:r>
          </w:p>
        </w:tc>
        <w:tc>
          <w:tcPr>
            <w:tcW w:w="875" w:type="dxa"/>
            <w:tcBorders>
              <w:top w:val="nil"/>
              <w:left w:val="nil"/>
              <w:bottom w:val="single" w:sz="4" w:space="0" w:color="C0C0C0"/>
              <w:right w:val="single" w:sz="4" w:space="0" w:color="E0E0E0"/>
            </w:tcBorders>
            <w:shd w:val="clear" w:color="auto" w:fill="auto"/>
            <w:noWrap/>
            <w:hideMark/>
          </w:tcPr>
          <w:p w14:paraId="38604155"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-0,69</w:t>
            </w:r>
          </w:p>
        </w:tc>
        <w:tc>
          <w:tcPr>
            <w:tcW w:w="898" w:type="dxa"/>
            <w:tcBorders>
              <w:top w:val="nil"/>
              <w:left w:val="nil"/>
              <w:bottom w:val="single" w:sz="4" w:space="0" w:color="C0C0C0"/>
              <w:right w:val="single" w:sz="4" w:space="0" w:color="E0E0E0"/>
            </w:tcBorders>
            <w:shd w:val="clear" w:color="auto" w:fill="auto"/>
            <w:noWrap/>
            <w:hideMark/>
          </w:tcPr>
          <w:p w14:paraId="5FB73990"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0,45</w:t>
            </w:r>
          </w:p>
        </w:tc>
        <w:tc>
          <w:tcPr>
            <w:tcW w:w="1053" w:type="dxa"/>
            <w:tcBorders>
              <w:top w:val="nil"/>
              <w:left w:val="nil"/>
              <w:bottom w:val="single" w:sz="4" w:space="0" w:color="C0C0C0"/>
              <w:right w:val="single" w:sz="4" w:space="0" w:color="E0E0E0"/>
            </w:tcBorders>
            <w:shd w:val="clear" w:color="auto" w:fill="auto"/>
            <w:noWrap/>
            <w:hideMark/>
          </w:tcPr>
          <w:p w14:paraId="1328216E"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-0,01</w:t>
            </w:r>
          </w:p>
        </w:tc>
        <w:tc>
          <w:tcPr>
            <w:tcW w:w="917" w:type="dxa"/>
            <w:tcBorders>
              <w:top w:val="nil"/>
              <w:left w:val="nil"/>
              <w:bottom w:val="single" w:sz="4" w:space="0" w:color="C0C0C0"/>
              <w:right w:val="single" w:sz="4" w:space="0" w:color="E0E0E0"/>
            </w:tcBorders>
            <w:shd w:val="clear" w:color="auto" w:fill="auto"/>
            <w:noWrap/>
            <w:hideMark/>
          </w:tcPr>
          <w:p w14:paraId="059743D1"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0,21</w:t>
            </w:r>
          </w:p>
        </w:tc>
        <w:tc>
          <w:tcPr>
            <w:tcW w:w="698" w:type="dxa"/>
            <w:tcBorders>
              <w:top w:val="nil"/>
              <w:left w:val="nil"/>
              <w:bottom w:val="single" w:sz="4" w:space="0" w:color="C0C0C0"/>
              <w:right w:val="single" w:sz="4" w:space="0" w:color="E0E0E0"/>
            </w:tcBorders>
            <w:shd w:val="clear" w:color="auto" w:fill="auto"/>
            <w:noWrap/>
            <w:hideMark/>
          </w:tcPr>
          <w:p w14:paraId="17116E03"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1,17</w:t>
            </w:r>
          </w:p>
        </w:tc>
        <w:tc>
          <w:tcPr>
            <w:tcW w:w="1230" w:type="dxa"/>
            <w:tcBorders>
              <w:top w:val="nil"/>
              <w:left w:val="nil"/>
              <w:bottom w:val="single" w:sz="4" w:space="0" w:color="C0C0C0"/>
              <w:right w:val="single" w:sz="4" w:space="0" w:color="E0E0E0"/>
            </w:tcBorders>
            <w:shd w:val="clear" w:color="auto" w:fill="auto"/>
            <w:noWrap/>
            <w:hideMark/>
          </w:tcPr>
          <w:p w14:paraId="12B62EB4"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0,21</w:t>
            </w:r>
          </w:p>
        </w:tc>
        <w:tc>
          <w:tcPr>
            <w:tcW w:w="657" w:type="dxa"/>
            <w:tcBorders>
              <w:top w:val="nil"/>
              <w:left w:val="nil"/>
              <w:bottom w:val="single" w:sz="4" w:space="0" w:color="C0C0C0"/>
              <w:right w:val="single" w:sz="4" w:space="0" w:color="E0E0E0"/>
            </w:tcBorders>
            <w:shd w:val="clear" w:color="auto" w:fill="auto"/>
            <w:noWrap/>
            <w:hideMark/>
          </w:tcPr>
          <w:p w14:paraId="722A590C"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0,41</w:t>
            </w:r>
          </w:p>
        </w:tc>
      </w:tr>
      <w:tr w:rsidR="008617D0" w:rsidRPr="008617D0" w14:paraId="77CA15FD" w14:textId="77777777" w:rsidTr="000D6DC7">
        <w:trPr>
          <w:trHeight w:val="264"/>
        </w:trPr>
        <w:tc>
          <w:tcPr>
            <w:tcW w:w="146" w:type="dxa"/>
            <w:tcBorders>
              <w:top w:val="nil"/>
              <w:left w:val="nil"/>
              <w:bottom w:val="nil"/>
              <w:right w:val="nil"/>
            </w:tcBorders>
            <w:shd w:val="clear" w:color="auto" w:fill="auto"/>
            <w:noWrap/>
            <w:vAlign w:val="bottom"/>
            <w:hideMark/>
          </w:tcPr>
          <w:p w14:paraId="6FB3E393"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p>
        </w:tc>
        <w:tc>
          <w:tcPr>
            <w:tcW w:w="1365" w:type="dxa"/>
            <w:tcBorders>
              <w:top w:val="nil"/>
              <w:left w:val="nil"/>
              <w:bottom w:val="single" w:sz="4" w:space="0" w:color="C0C0C0"/>
              <w:right w:val="single" w:sz="4" w:space="0" w:color="E0E0E0"/>
            </w:tcBorders>
            <w:shd w:val="clear" w:color="auto" w:fill="auto"/>
            <w:noWrap/>
            <w:hideMark/>
          </w:tcPr>
          <w:p w14:paraId="632E6F3E" w14:textId="77777777" w:rsidR="008617D0" w:rsidRPr="008617D0" w:rsidRDefault="008617D0" w:rsidP="008617D0">
            <w:pPr>
              <w:spacing w:after="0" w:line="240" w:lineRule="auto"/>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 xml:space="preserve">Standard </w:t>
            </w:r>
            <w:proofErr w:type="spellStart"/>
            <w:r w:rsidRPr="008617D0">
              <w:rPr>
                <w:rFonts w:ascii="Arial" w:eastAsia="Times New Roman" w:hAnsi="Arial" w:cs="Arial"/>
                <w:color w:val="010205"/>
                <w:sz w:val="16"/>
                <w:szCs w:val="16"/>
                <w:lang w:eastAsia="de-AT"/>
              </w:rPr>
              <w:t>deviation</w:t>
            </w:r>
            <w:proofErr w:type="spellEnd"/>
          </w:p>
        </w:tc>
        <w:tc>
          <w:tcPr>
            <w:tcW w:w="995" w:type="dxa"/>
            <w:tcBorders>
              <w:top w:val="nil"/>
              <w:left w:val="nil"/>
              <w:bottom w:val="single" w:sz="4" w:space="0" w:color="C0C0C0"/>
              <w:right w:val="single" w:sz="4" w:space="0" w:color="E0E0E0"/>
            </w:tcBorders>
            <w:shd w:val="clear" w:color="auto" w:fill="auto"/>
            <w:noWrap/>
            <w:hideMark/>
          </w:tcPr>
          <w:p w14:paraId="076E8CA5"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4,61</w:t>
            </w:r>
          </w:p>
        </w:tc>
        <w:tc>
          <w:tcPr>
            <w:tcW w:w="876" w:type="dxa"/>
            <w:tcBorders>
              <w:top w:val="nil"/>
              <w:left w:val="nil"/>
              <w:bottom w:val="single" w:sz="4" w:space="0" w:color="C0C0C0"/>
              <w:right w:val="single" w:sz="4" w:space="0" w:color="E0E0E0"/>
            </w:tcBorders>
            <w:shd w:val="clear" w:color="auto" w:fill="auto"/>
            <w:noWrap/>
            <w:hideMark/>
          </w:tcPr>
          <w:p w14:paraId="371657BB"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7,47</w:t>
            </w:r>
          </w:p>
        </w:tc>
        <w:tc>
          <w:tcPr>
            <w:tcW w:w="875" w:type="dxa"/>
            <w:tcBorders>
              <w:top w:val="nil"/>
              <w:left w:val="nil"/>
              <w:bottom w:val="single" w:sz="4" w:space="0" w:color="C0C0C0"/>
              <w:right w:val="single" w:sz="4" w:space="0" w:color="E0E0E0"/>
            </w:tcBorders>
            <w:shd w:val="clear" w:color="auto" w:fill="auto"/>
            <w:noWrap/>
            <w:hideMark/>
          </w:tcPr>
          <w:p w14:paraId="6F3066D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5,70</w:t>
            </w:r>
          </w:p>
        </w:tc>
        <w:tc>
          <w:tcPr>
            <w:tcW w:w="898" w:type="dxa"/>
            <w:tcBorders>
              <w:top w:val="nil"/>
              <w:left w:val="nil"/>
              <w:bottom w:val="single" w:sz="4" w:space="0" w:color="C0C0C0"/>
              <w:right w:val="single" w:sz="4" w:space="0" w:color="E0E0E0"/>
            </w:tcBorders>
            <w:shd w:val="clear" w:color="auto" w:fill="auto"/>
            <w:noWrap/>
            <w:hideMark/>
          </w:tcPr>
          <w:p w14:paraId="2EE63201"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4,56</w:t>
            </w:r>
          </w:p>
        </w:tc>
        <w:tc>
          <w:tcPr>
            <w:tcW w:w="1053" w:type="dxa"/>
            <w:tcBorders>
              <w:top w:val="nil"/>
              <w:left w:val="nil"/>
              <w:bottom w:val="single" w:sz="4" w:space="0" w:color="C0C0C0"/>
              <w:right w:val="single" w:sz="4" w:space="0" w:color="E0E0E0"/>
            </w:tcBorders>
            <w:shd w:val="clear" w:color="auto" w:fill="auto"/>
            <w:noWrap/>
            <w:hideMark/>
          </w:tcPr>
          <w:p w14:paraId="5019196B"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1,81</w:t>
            </w:r>
          </w:p>
        </w:tc>
        <w:tc>
          <w:tcPr>
            <w:tcW w:w="917" w:type="dxa"/>
            <w:tcBorders>
              <w:top w:val="nil"/>
              <w:left w:val="nil"/>
              <w:bottom w:val="single" w:sz="4" w:space="0" w:color="C0C0C0"/>
              <w:right w:val="single" w:sz="4" w:space="0" w:color="E0E0E0"/>
            </w:tcBorders>
            <w:shd w:val="clear" w:color="auto" w:fill="auto"/>
            <w:noWrap/>
            <w:hideMark/>
          </w:tcPr>
          <w:p w14:paraId="6DF0FB8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1,35</w:t>
            </w:r>
          </w:p>
        </w:tc>
        <w:tc>
          <w:tcPr>
            <w:tcW w:w="698" w:type="dxa"/>
            <w:tcBorders>
              <w:top w:val="nil"/>
              <w:left w:val="nil"/>
              <w:bottom w:val="single" w:sz="4" w:space="0" w:color="C0C0C0"/>
              <w:right w:val="single" w:sz="4" w:space="0" w:color="E0E0E0"/>
            </w:tcBorders>
            <w:shd w:val="clear" w:color="auto" w:fill="auto"/>
            <w:noWrap/>
            <w:hideMark/>
          </w:tcPr>
          <w:p w14:paraId="50EE6C31"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4,80</w:t>
            </w:r>
          </w:p>
        </w:tc>
        <w:tc>
          <w:tcPr>
            <w:tcW w:w="1230" w:type="dxa"/>
            <w:tcBorders>
              <w:top w:val="nil"/>
              <w:left w:val="nil"/>
              <w:bottom w:val="single" w:sz="4" w:space="0" w:color="C0C0C0"/>
              <w:right w:val="single" w:sz="4" w:space="0" w:color="E0E0E0"/>
            </w:tcBorders>
            <w:shd w:val="clear" w:color="auto" w:fill="auto"/>
            <w:noWrap/>
            <w:hideMark/>
          </w:tcPr>
          <w:p w14:paraId="65B98145"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4,03</w:t>
            </w:r>
          </w:p>
        </w:tc>
        <w:tc>
          <w:tcPr>
            <w:tcW w:w="657" w:type="dxa"/>
            <w:tcBorders>
              <w:top w:val="nil"/>
              <w:left w:val="nil"/>
              <w:bottom w:val="single" w:sz="4" w:space="0" w:color="C0C0C0"/>
              <w:right w:val="single" w:sz="4" w:space="0" w:color="E0E0E0"/>
            </w:tcBorders>
            <w:shd w:val="clear" w:color="auto" w:fill="auto"/>
            <w:noWrap/>
            <w:hideMark/>
          </w:tcPr>
          <w:p w14:paraId="18A11C5F"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1,92</w:t>
            </w:r>
          </w:p>
        </w:tc>
      </w:tr>
      <w:tr w:rsidR="008617D0" w:rsidRPr="008617D0" w14:paraId="37CDCCB6" w14:textId="77777777" w:rsidTr="000D6DC7">
        <w:trPr>
          <w:trHeight w:val="264"/>
        </w:trPr>
        <w:tc>
          <w:tcPr>
            <w:tcW w:w="146" w:type="dxa"/>
            <w:tcBorders>
              <w:top w:val="nil"/>
              <w:left w:val="nil"/>
              <w:bottom w:val="nil"/>
              <w:right w:val="nil"/>
            </w:tcBorders>
            <w:shd w:val="clear" w:color="auto" w:fill="auto"/>
            <w:noWrap/>
            <w:vAlign w:val="bottom"/>
            <w:hideMark/>
          </w:tcPr>
          <w:p w14:paraId="1EBA94EE"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p>
        </w:tc>
        <w:tc>
          <w:tcPr>
            <w:tcW w:w="1365" w:type="dxa"/>
            <w:tcBorders>
              <w:top w:val="nil"/>
              <w:left w:val="nil"/>
              <w:bottom w:val="single" w:sz="4" w:space="0" w:color="C0C0C0"/>
              <w:right w:val="single" w:sz="4" w:space="0" w:color="E0E0E0"/>
            </w:tcBorders>
            <w:shd w:val="clear" w:color="auto" w:fill="auto"/>
            <w:noWrap/>
            <w:hideMark/>
          </w:tcPr>
          <w:p w14:paraId="76F0386A" w14:textId="77777777" w:rsidR="008617D0" w:rsidRPr="008617D0" w:rsidRDefault="008617D0" w:rsidP="008617D0">
            <w:pPr>
              <w:spacing w:after="0" w:line="240" w:lineRule="auto"/>
              <w:rPr>
                <w:rFonts w:ascii="Arial" w:eastAsia="Times New Roman" w:hAnsi="Arial" w:cs="Arial"/>
                <w:color w:val="010205"/>
                <w:sz w:val="16"/>
                <w:szCs w:val="16"/>
                <w:lang w:eastAsia="de-AT"/>
              </w:rPr>
            </w:pPr>
            <w:proofErr w:type="spellStart"/>
            <w:r w:rsidRPr="008617D0">
              <w:rPr>
                <w:rFonts w:ascii="Arial" w:eastAsia="Times New Roman" w:hAnsi="Arial" w:cs="Arial"/>
                <w:color w:val="010205"/>
                <w:sz w:val="16"/>
                <w:szCs w:val="16"/>
                <w:lang w:eastAsia="de-AT"/>
              </w:rPr>
              <w:t>Skewness</w:t>
            </w:r>
            <w:proofErr w:type="spellEnd"/>
          </w:p>
        </w:tc>
        <w:tc>
          <w:tcPr>
            <w:tcW w:w="995" w:type="dxa"/>
            <w:tcBorders>
              <w:top w:val="nil"/>
              <w:left w:val="nil"/>
              <w:bottom w:val="single" w:sz="4" w:space="0" w:color="C0C0C0"/>
              <w:right w:val="single" w:sz="4" w:space="0" w:color="E0E0E0"/>
            </w:tcBorders>
            <w:shd w:val="clear" w:color="auto" w:fill="auto"/>
            <w:noWrap/>
            <w:hideMark/>
          </w:tcPr>
          <w:p w14:paraId="78B11F0F"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-0,15</w:t>
            </w:r>
          </w:p>
        </w:tc>
        <w:tc>
          <w:tcPr>
            <w:tcW w:w="876" w:type="dxa"/>
            <w:tcBorders>
              <w:top w:val="nil"/>
              <w:left w:val="nil"/>
              <w:bottom w:val="single" w:sz="4" w:space="0" w:color="C0C0C0"/>
              <w:right w:val="single" w:sz="4" w:space="0" w:color="E0E0E0"/>
            </w:tcBorders>
            <w:shd w:val="clear" w:color="auto" w:fill="auto"/>
            <w:noWrap/>
            <w:hideMark/>
          </w:tcPr>
          <w:p w14:paraId="3E0179A9"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-0,98</w:t>
            </w:r>
          </w:p>
        </w:tc>
        <w:tc>
          <w:tcPr>
            <w:tcW w:w="875" w:type="dxa"/>
            <w:tcBorders>
              <w:top w:val="nil"/>
              <w:left w:val="nil"/>
              <w:bottom w:val="single" w:sz="4" w:space="0" w:color="C0C0C0"/>
              <w:right w:val="single" w:sz="4" w:space="0" w:color="E0E0E0"/>
            </w:tcBorders>
            <w:shd w:val="clear" w:color="auto" w:fill="auto"/>
            <w:noWrap/>
            <w:hideMark/>
          </w:tcPr>
          <w:p w14:paraId="59A521EF"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-0,15</w:t>
            </w:r>
          </w:p>
        </w:tc>
        <w:tc>
          <w:tcPr>
            <w:tcW w:w="898" w:type="dxa"/>
            <w:tcBorders>
              <w:top w:val="nil"/>
              <w:left w:val="nil"/>
              <w:bottom w:val="single" w:sz="4" w:space="0" w:color="C0C0C0"/>
              <w:right w:val="single" w:sz="4" w:space="0" w:color="E0E0E0"/>
            </w:tcBorders>
            <w:shd w:val="clear" w:color="auto" w:fill="auto"/>
            <w:noWrap/>
            <w:hideMark/>
          </w:tcPr>
          <w:p w14:paraId="2F13A9FD"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-0,99</w:t>
            </w:r>
          </w:p>
        </w:tc>
        <w:tc>
          <w:tcPr>
            <w:tcW w:w="1053" w:type="dxa"/>
            <w:tcBorders>
              <w:top w:val="nil"/>
              <w:left w:val="nil"/>
              <w:bottom w:val="single" w:sz="4" w:space="0" w:color="C0C0C0"/>
              <w:right w:val="single" w:sz="4" w:space="0" w:color="E0E0E0"/>
            </w:tcBorders>
            <w:shd w:val="clear" w:color="auto" w:fill="auto"/>
            <w:noWrap/>
            <w:hideMark/>
          </w:tcPr>
          <w:p w14:paraId="206D126C"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1,01</w:t>
            </w:r>
          </w:p>
        </w:tc>
        <w:tc>
          <w:tcPr>
            <w:tcW w:w="917" w:type="dxa"/>
            <w:tcBorders>
              <w:top w:val="nil"/>
              <w:left w:val="nil"/>
              <w:bottom w:val="single" w:sz="4" w:space="0" w:color="C0C0C0"/>
              <w:right w:val="single" w:sz="4" w:space="0" w:color="E0E0E0"/>
            </w:tcBorders>
            <w:shd w:val="clear" w:color="auto" w:fill="auto"/>
            <w:noWrap/>
            <w:hideMark/>
          </w:tcPr>
          <w:p w14:paraId="136885F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0,50</w:t>
            </w:r>
          </w:p>
        </w:tc>
        <w:tc>
          <w:tcPr>
            <w:tcW w:w="698" w:type="dxa"/>
            <w:tcBorders>
              <w:top w:val="nil"/>
              <w:left w:val="nil"/>
              <w:bottom w:val="single" w:sz="4" w:space="0" w:color="C0C0C0"/>
              <w:right w:val="single" w:sz="4" w:space="0" w:color="E0E0E0"/>
            </w:tcBorders>
            <w:shd w:val="clear" w:color="auto" w:fill="auto"/>
            <w:noWrap/>
            <w:hideMark/>
          </w:tcPr>
          <w:p w14:paraId="2BE80835"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-0,80</w:t>
            </w:r>
          </w:p>
        </w:tc>
        <w:tc>
          <w:tcPr>
            <w:tcW w:w="1230" w:type="dxa"/>
            <w:tcBorders>
              <w:top w:val="nil"/>
              <w:left w:val="nil"/>
              <w:bottom w:val="single" w:sz="4" w:space="0" w:color="C0C0C0"/>
              <w:right w:val="single" w:sz="4" w:space="0" w:color="E0E0E0"/>
            </w:tcBorders>
            <w:shd w:val="clear" w:color="auto" w:fill="auto"/>
            <w:noWrap/>
            <w:hideMark/>
          </w:tcPr>
          <w:p w14:paraId="7F8FAAEC"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-1,26</w:t>
            </w:r>
          </w:p>
        </w:tc>
        <w:tc>
          <w:tcPr>
            <w:tcW w:w="657" w:type="dxa"/>
            <w:tcBorders>
              <w:top w:val="nil"/>
              <w:left w:val="nil"/>
              <w:bottom w:val="single" w:sz="4" w:space="0" w:color="C0C0C0"/>
              <w:right w:val="single" w:sz="4" w:space="0" w:color="E0E0E0"/>
            </w:tcBorders>
            <w:shd w:val="clear" w:color="auto" w:fill="auto"/>
            <w:noWrap/>
            <w:hideMark/>
          </w:tcPr>
          <w:p w14:paraId="459D1F7D"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-0,95</w:t>
            </w:r>
          </w:p>
        </w:tc>
      </w:tr>
      <w:tr w:rsidR="008617D0" w:rsidRPr="008617D0" w14:paraId="73B295F0" w14:textId="77777777" w:rsidTr="000D6DC7">
        <w:trPr>
          <w:trHeight w:val="264"/>
        </w:trPr>
        <w:tc>
          <w:tcPr>
            <w:tcW w:w="146" w:type="dxa"/>
            <w:tcBorders>
              <w:top w:val="nil"/>
              <w:left w:val="nil"/>
              <w:bottom w:val="nil"/>
              <w:right w:val="nil"/>
            </w:tcBorders>
            <w:shd w:val="clear" w:color="auto" w:fill="auto"/>
            <w:noWrap/>
            <w:vAlign w:val="bottom"/>
            <w:hideMark/>
          </w:tcPr>
          <w:p w14:paraId="6D3334D6"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p>
        </w:tc>
        <w:tc>
          <w:tcPr>
            <w:tcW w:w="1365" w:type="dxa"/>
            <w:tcBorders>
              <w:top w:val="nil"/>
              <w:left w:val="nil"/>
              <w:bottom w:val="single" w:sz="4" w:space="0" w:color="C0C0C0"/>
              <w:right w:val="single" w:sz="4" w:space="0" w:color="E0E0E0"/>
            </w:tcBorders>
            <w:shd w:val="clear" w:color="auto" w:fill="auto"/>
            <w:noWrap/>
            <w:hideMark/>
          </w:tcPr>
          <w:p w14:paraId="607EE3F6" w14:textId="77777777" w:rsidR="008617D0" w:rsidRPr="008617D0" w:rsidRDefault="008617D0" w:rsidP="008617D0">
            <w:pPr>
              <w:spacing w:after="0" w:line="240" w:lineRule="auto"/>
              <w:rPr>
                <w:rFonts w:ascii="Arial" w:eastAsia="Times New Roman" w:hAnsi="Arial" w:cs="Arial"/>
                <w:color w:val="010205"/>
                <w:sz w:val="16"/>
                <w:szCs w:val="16"/>
                <w:lang w:eastAsia="de-AT"/>
              </w:rPr>
            </w:pPr>
            <w:proofErr w:type="spellStart"/>
            <w:r w:rsidRPr="008617D0">
              <w:rPr>
                <w:rFonts w:ascii="Arial" w:eastAsia="Times New Roman" w:hAnsi="Arial" w:cs="Arial"/>
                <w:color w:val="010205"/>
                <w:sz w:val="16"/>
                <w:szCs w:val="16"/>
                <w:lang w:eastAsia="de-AT"/>
              </w:rPr>
              <w:t>Kurtosis</w:t>
            </w:r>
            <w:proofErr w:type="spellEnd"/>
          </w:p>
        </w:tc>
        <w:tc>
          <w:tcPr>
            <w:tcW w:w="995" w:type="dxa"/>
            <w:tcBorders>
              <w:top w:val="nil"/>
              <w:left w:val="nil"/>
              <w:bottom w:val="single" w:sz="4" w:space="0" w:color="C0C0C0"/>
              <w:right w:val="single" w:sz="4" w:space="0" w:color="E0E0E0"/>
            </w:tcBorders>
            <w:shd w:val="clear" w:color="auto" w:fill="auto"/>
            <w:noWrap/>
            <w:hideMark/>
          </w:tcPr>
          <w:p w14:paraId="7EFC35B2"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0,90</w:t>
            </w:r>
          </w:p>
        </w:tc>
        <w:tc>
          <w:tcPr>
            <w:tcW w:w="876" w:type="dxa"/>
            <w:tcBorders>
              <w:top w:val="nil"/>
              <w:left w:val="nil"/>
              <w:bottom w:val="single" w:sz="4" w:space="0" w:color="C0C0C0"/>
              <w:right w:val="single" w:sz="4" w:space="0" w:color="E0E0E0"/>
            </w:tcBorders>
            <w:shd w:val="clear" w:color="auto" w:fill="auto"/>
            <w:noWrap/>
            <w:hideMark/>
          </w:tcPr>
          <w:p w14:paraId="2CA4EBFF"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1,63</w:t>
            </w:r>
          </w:p>
        </w:tc>
        <w:tc>
          <w:tcPr>
            <w:tcW w:w="875" w:type="dxa"/>
            <w:tcBorders>
              <w:top w:val="nil"/>
              <w:left w:val="nil"/>
              <w:bottom w:val="single" w:sz="4" w:space="0" w:color="C0C0C0"/>
              <w:right w:val="single" w:sz="4" w:space="0" w:color="E0E0E0"/>
            </w:tcBorders>
            <w:shd w:val="clear" w:color="auto" w:fill="auto"/>
            <w:noWrap/>
            <w:hideMark/>
          </w:tcPr>
          <w:p w14:paraId="4DFE52B4"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0,93</w:t>
            </w:r>
          </w:p>
        </w:tc>
        <w:tc>
          <w:tcPr>
            <w:tcW w:w="898" w:type="dxa"/>
            <w:tcBorders>
              <w:top w:val="nil"/>
              <w:left w:val="nil"/>
              <w:bottom w:val="single" w:sz="4" w:space="0" w:color="C0C0C0"/>
              <w:right w:val="single" w:sz="4" w:space="0" w:color="E0E0E0"/>
            </w:tcBorders>
            <w:shd w:val="clear" w:color="auto" w:fill="auto"/>
            <w:noWrap/>
            <w:hideMark/>
          </w:tcPr>
          <w:p w14:paraId="30B79EA8"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2,51</w:t>
            </w:r>
          </w:p>
        </w:tc>
        <w:tc>
          <w:tcPr>
            <w:tcW w:w="1053" w:type="dxa"/>
            <w:tcBorders>
              <w:top w:val="nil"/>
              <w:left w:val="nil"/>
              <w:bottom w:val="single" w:sz="4" w:space="0" w:color="C0C0C0"/>
              <w:right w:val="single" w:sz="4" w:space="0" w:color="E0E0E0"/>
            </w:tcBorders>
            <w:shd w:val="clear" w:color="auto" w:fill="auto"/>
            <w:noWrap/>
            <w:hideMark/>
          </w:tcPr>
          <w:p w14:paraId="0F4E4FA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2,80</w:t>
            </w:r>
          </w:p>
        </w:tc>
        <w:tc>
          <w:tcPr>
            <w:tcW w:w="917" w:type="dxa"/>
            <w:tcBorders>
              <w:top w:val="nil"/>
              <w:left w:val="nil"/>
              <w:bottom w:val="single" w:sz="4" w:space="0" w:color="C0C0C0"/>
              <w:right w:val="single" w:sz="4" w:space="0" w:color="E0E0E0"/>
            </w:tcBorders>
            <w:shd w:val="clear" w:color="auto" w:fill="auto"/>
            <w:noWrap/>
            <w:hideMark/>
          </w:tcPr>
          <w:p w14:paraId="4A526B1F"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2,05</w:t>
            </w:r>
          </w:p>
        </w:tc>
        <w:tc>
          <w:tcPr>
            <w:tcW w:w="698" w:type="dxa"/>
            <w:tcBorders>
              <w:top w:val="nil"/>
              <w:left w:val="nil"/>
              <w:bottom w:val="single" w:sz="4" w:space="0" w:color="C0C0C0"/>
              <w:right w:val="single" w:sz="4" w:space="0" w:color="E0E0E0"/>
            </w:tcBorders>
            <w:shd w:val="clear" w:color="auto" w:fill="auto"/>
            <w:noWrap/>
            <w:hideMark/>
          </w:tcPr>
          <w:p w14:paraId="56E4599B"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1,34</w:t>
            </w:r>
          </w:p>
        </w:tc>
        <w:tc>
          <w:tcPr>
            <w:tcW w:w="1230" w:type="dxa"/>
            <w:tcBorders>
              <w:top w:val="nil"/>
              <w:left w:val="nil"/>
              <w:bottom w:val="single" w:sz="4" w:space="0" w:color="C0C0C0"/>
              <w:right w:val="single" w:sz="4" w:space="0" w:color="E0E0E0"/>
            </w:tcBorders>
            <w:shd w:val="clear" w:color="auto" w:fill="auto"/>
            <w:noWrap/>
            <w:hideMark/>
          </w:tcPr>
          <w:p w14:paraId="114E64E1"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6,82</w:t>
            </w:r>
          </w:p>
        </w:tc>
        <w:tc>
          <w:tcPr>
            <w:tcW w:w="657" w:type="dxa"/>
            <w:tcBorders>
              <w:top w:val="nil"/>
              <w:left w:val="nil"/>
              <w:bottom w:val="single" w:sz="4" w:space="0" w:color="C0C0C0"/>
              <w:right w:val="single" w:sz="4" w:space="0" w:color="E0E0E0"/>
            </w:tcBorders>
            <w:shd w:val="clear" w:color="auto" w:fill="auto"/>
            <w:noWrap/>
            <w:hideMark/>
          </w:tcPr>
          <w:p w14:paraId="0780CFDA"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2,52</w:t>
            </w:r>
          </w:p>
        </w:tc>
      </w:tr>
      <w:tr w:rsidR="008617D0" w:rsidRPr="008617D0" w14:paraId="5832AA2B" w14:textId="77777777" w:rsidTr="000D6DC7">
        <w:trPr>
          <w:trHeight w:val="264"/>
        </w:trPr>
        <w:tc>
          <w:tcPr>
            <w:tcW w:w="146" w:type="dxa"/>
            <w:tcBorders>
              <w:top w:val="nil"/>
              <w:left w:val="nil"/>
              <w:bottom w:val="nil"/>
              <w:right w:val="nil"/>
            </w:tcBorders>
            <w:shd w:val="clear" w:color="auto" w:fill="auto"/>
            <w:noWrap/>
            <w:vAlign w:val="bottom"/>
            <w:hideMark/>
          </w:tcPr>
          <w:p w14:paraId="252F1DC9"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p>
        </w:tc>
        <w:tc>
          <w:tcPr>
            <w:tcW w:w="1365" w:type="dxa"/>
            <w:tcBorders>
              <w:top w:val="nil"/>
              <w:left w:val="nil"/>
              <w:bottom w:val="single" w:sz="4" w:space="0" w:color="C0C0C0"/>
              <w:right w:val="single" w:sz="4" w:space="0" w:color="E0E0E0"/>
            </w:tcBorders>
            <w:shd w:val="clear" w:color="auto" w:fill="auto"/>
            <w:noWrap/>
            <w:hideMark/>
          </w:tcPr>
          <w:p w14:paraId="1B967CC4" w14:textId="77777777" w:rsidR="008617D0" w:rsidRPr="008617D0" w:rsidRDefault="008617D0" w:rsidP="008617D0">
            <w:pPr>
              <w:spacing w:after="0" w:line="240" w:lineRule="auto"/>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Minimum</w:t>
            </w:r>
          </w:p>
        </w:tc>
        <w:tc>
          <w:tcPr>
            <w:tcW w:w="995" w:type="dxa"/>
            <w:tcBorders>
              <w:top w:val="nil"/>
              <w:left w:val="nil"/>
              <w:bottom w:val="single" w:sz="4" w:space="0" w:color="C0C0C0"/>
              <w:right w:val="single" w:sz="4" w:space="0" w:color="E0E0E0"/>
            </w:tcBorders>
            <w:shd w:val="clear" w:color="auto" w:fill="auto"/>
            <w:noWrap/>
            <w:hideMark/>
          </w:tcPr>
          <w:p w14:paraId="773D2F63"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-15,03</w:t>
            </w:r>
          </w:p>
        </w:tc>
        <w:tc>
          <w:tcPr>
            <w:tcW w:w="876" w:type="dxa"/>
            <w:tcBorders>
              <w:top w:val="nil"/>
              <w:left w:val="nil"/>
              <w:bottom w:val="single" w:sz="4" w:space="0" w:color="C0C0C0"/>
              <w:right w:val="single" w:sz="4" w:space="0" w:color="E0E0E0"/>
            </w:tcBorders>
            <w:shd w:val="clear" w:color="auto" w:fill="auto"/>
            <w:noWrap/>
            <w:hideMark/>
          </w:tcPr>
          <w:p w14:paraId="014FCE0C"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-23,61</w:t>
            </w:r>
          </w:p>
        </w:tc>
        <w:tc>
          <w:tcPr>
            <w:tcW w:w="875" w:type="dxa"/>
            <w:tcBorders>
              <w:top w:val="nil"/>
              <w:left w:val="nil"/>
              <w:bottom w:val="single" w:sz="4" w:space="0" w:color="C0C0C0"/>
              <w:right w:val="single" w:sz="4" w:space="0" w:color="E0E0E0"/>
            </w:tcBorders>
            <w:shd w:val="clear" w:color="auto" w:fill="auto"/>
            <w:noWrap/>
            <w:hideMark/>
          </w:tcPr>
          <w:p w14:paraId="6DA0572E"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-19,88</w:t>
            </w:r>
          </w:p>
        </w:tc>
        <w:tc>
          <w:tcPr>
            <w:tcW w:w="898" w:type="dxa"/>
            <w:tcBorders>
              <w:top w:val="nil"/>
              <w:left w:val="nil"/>
              <w:bottom w:val="single" w:sz="4" w:space="0" w:color="C0C0C0"/>
              <w:right w:val="single" w:sz="4" w:space="0" w:color="E0E0E0"/>
            </w:tcBorders>
            <w:shd w:val="clear" w:color="auto" w:fill="auto"/>
            <w:noWrap/>
            <w:hideMark/>
          </w:tcPr>
          <w:p w14:paraId="3B3D821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-17,09</w:t>
            </w:r>
          </w:p>
        </w:tc>
        <w:tc>
          <w:tcPr>
            <w:tcW w:w="1053" w:type="dxa"/>
            <w:tcBorders>
              <w:top w:val="nil"/>
              <w:left w:val="nil"/>
              <w:bottom w:val="single" w:sz="4" w:space="0" w:color="C0C0C0"/>
              <w:right w:val="single" w:sz="4" w:space="0" w:color="E0E0E0"/>
            </w:tcBorders>
            <w:shd w:val="clear" w:color="auto" w:fill="auto"/>
            <w:noWrap/>
            <w:hideMark/>
          </w:tcPr>
          <w:p w14:paraId="41B46D78"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-3,61</w:t>
            </w:r>
          </w:p>
        </w:tc>
        <w:tc>
          <w:tcPr>
            <w:tcW w:w="917" w:type="dxa"/>
            <w:tcBorders>
              <w:top w:val="nil"/>
              <w:left w:val="nil"/>
              <w:bottom w:val="single" w:sz="4" w:space="0" w:color="C0C0C0"/>
              <w:right w:val="single" w:sz="4" w:space="0" w:color="E0E0E0"/>
            </w:tcBorders>
            <w:shd w:val="clear" w:color="auto" w:fill="auto"/>
            <w:noWrap/>
            <w:hideMark/>
          </w:tcPr>
          <w:p w14:paraId="41D86883"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-3,18</w:t>
            </w:r>
          </w:p>
        </w:tc>
        <w:tc>
          <w:tcPr>
            <w:tcW w:w="698" w:type="dxa"/>
            <w:tcBorders>
              <w:top w:val="nil"/>
              <w:left w:val="nil"/>
              <w:bottom w:val="single" w:sz="4" w:space="0" w:color="C0C0C0"/>
              <w:right w:val="single" w:sz="4" w:space="0" w:color="E0E0E0"/>
            </w:tcBorders>
            <w:shd w:val="clear" w:color="auto" w:fill="auto"/>
            <w:noWrap/>
            <w:hideMark/>
          </w:tcPr>
          <w:p w14:paraId="262E543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-16,94</w:t>
            </w:r>
          </w:p>
        </w:tc>
        <w:tc>
          <w:tcPr>
            <w:tcW w:w="1230" w:type="dxa"/>
            <w:tcBorders>
              <w:top w:val="nil"/>
              <w:left w:val="nil"/>
              <w:bottom w:val="single" w:sz="4" w:space="0" w:color="C0C0C0"/>
              <w:right w:val="single" w:sz="4" w:space="0" w:color="E0E0E0"/>
            </w:tcBorders>
            <w:shd w:val="clear" w:color="auto" w:fill="auto"/>
            <w:noWrap/>
            <w:hideMark/>
          </w:tcPr>
          <w:p w14:paraId="5A6187AA"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-20,39</w:t>
            </w:r>
          </w:p>
        </w:tc>
        <w:tc>
          <w:tcPr>
            <w:tcW w:w="657" w:type="dxa"/>
            <w:tcBorders>
              <w:top w:val="nil"/>
              <w:left w:val="nil"/>
              <w:bottom w:val="single" w:sz="4" w:space="0" w:color="C0C0C0"/>
              <w:right w:val="single" w:sz="4" w:space="0" w:color="E0E0E0"/>
            </w:tcBorders>
            <w:shd w:val="clear" w:color="auto" w:fill="auto"/>
            <w:noWrap/>
            <w:hideMark/>
          </w:tcPr>
          <w:p w14:paraId="6A9E5BBF"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-6,84</w:t>
            </w:r>
          </w:p>
        </w:tc>
      </w:tr>
      <w:tr w:rsidR="008617D0" w:rsidRPr="008617D0" w14:paraId="404C96D4" w14:textId="77777777" w:rsidTr="000D6DC7">
        <w:trPr>
          <w:trHeight w:val="264"/>
        </w:trPr>
        <w:tc>
          <w:tcPr>
            <w:tcW w:w="146" w:type="dxa"/>
            <w:tcBorders>
              <w:top w:val="nil"/>
              <w:left w:val="nil"/>
              <w:bottom w:val="nil"/>
              <w:right w:val="nil"/>
            </w:tcBorders>
            <w:shd w:val="clear" w:color="auto" w:fill="auto"/>
            <w:noWrap/>
            <w:vAlign w:val="bottom"/>
            <w:hideMark/>
          </w:tcPr>
          <w:p w14:paraId="2AB71029"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p>
        </w:tc>
        <w:tc>
          <w:tcPr>
            <w:tcW w:w="1365" w:type="dxa"/>
            <w:tcBorders>
              <w:top w:val="nil"/>
              <w:left w:val="nil"/>
              <w:bottom w:val="single" w:sz="4" w:space="0" w:color="C0C0C0"/>
              <w:right w:val="single" w:sz="4" w:space="0" w:color="E0E0E0"/>
            </w:tcBorders>
            <w:shd w:val="clear" w:color="auto" w:fill="auto"/>
            <w:noWrap/>
            <w:hideMark/>
          </w:tcPr>
          <w:p w14:paraId="4BF3B4E2" w14:textId="77777777" w:rsidR="008617D0" w:rsidRPr="008617D0" w:rsidRDefault="008617D0" w:rsidP="008617D0">
            <w:pPr>
              <w:spacing w:after="0" w:line="240" w:lineRule="auto"/>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Maximum</w:t>
            </w:r>
          </w:p>
        </w:tc>
        <w:tc>
          <w:tcPr>
            <w:tcW w:w="995" w:type="dxa"/>
            <w:tcBorders>
              <w:top w:val="nil"/>
              <w:left w:val="nil"/>
              <w:bottom w:val="single" w:sz="4" w:space="0" w:color="C0C0C0"/>
              <w:right w:val="single" w:sz="4" w:space="0" w:color="E0E0E0"/>
            </w:tcBorders>
            <w:shd w:val="clear" w:color="auto" w:fill="auto"/>
            <w:noWrap/>
            <w:hideMark/>
          </w:tcPr>
          <w:p w14:paraId="5F6F2096"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12,98</w:t>
            </w:r>
          </w:p>
        </w:tc>
        <w:tc>
          <w:tcPr>
            <w:tcW w:w="876" w:type="dxa"/>
            <w:tcBorders>
              <w:top w:val="nil"/>
              <w:left w:val="nil"/>
              <w:bottom w:val="single" w:sz="4" w:space="0" w:color="C0C0C0"/>
              <w:right w:val="single" w:sz="4" w:space="0" w:color="E0E0E0"/>
            </w:tcBorders>
            <w:shd w:val="clear" w:color="auto" w:fill="auto"/>
            <w:noWrap/>
            <w:hideMark/>
          </w:tcPr>
          <w:p w14:paraId="4541F634"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16,55</w:t>
            </w:r>
          </w:p>
        </w:tc>
        <w:tc>
          <w:tcPr>
            <w:tcW w:w="875" w:type="dxa"/>
            <w:tcBorders>
              <w:top w:val="nil"/>
              <w:left w:val="nil"/>
              <w:bottom w:val="single" w:sz="4" w:space="0" w:color="C0C0C0"/>
              <w:right w:val="single" w:sz="4" w:space="0" w:color="E0E0E0"/>
            </w:tcBorders>
            <w:shd w:val="clear" w:color="auto" w:fill="auto"/>
            <w:noWrap/>
            <w:hideMark/>
          </w:tcPr>
          <w:p w14:paraId="0E8F0F52"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15,20</w:t>
            </w:r>
          </w:p>
        </w:tc>
        <w:tc>
          <w:tcPr>
            <w:tcW w:w="898" w:type="dxa"/>
            <w:tcBorders>
              <w:top w:val="nil"/>
              <w:left w:val="nil"/>
              <w:bottom w:val="single" w:sz="4" w:space="0" w:color="C0C0C0"/>
              <w:right w:val="single" w:sz="4" w:space="0" w:color="E0E0E0"/>
            </w:tcBorders>
            <w:shd w:val="clear" w:color="auto" w:fill="auto"/>
            <w:noWrap/>
            <w:hideMark/>
          </w:tcPr>
          <w:p w14:paraId="214B7BE2"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10,08</w:t>
            </w:r>
          </w:p>
        </w:tc>
        <w:tc>
          <w:tcPr>
            <w:tcW w:w="1053" w:type="dxa"/>
            <w:tcBorders>
              <w:top w:val="nil"/>
              <w:left w:val="nil"/>
              <w:bottom w:val="single" w:sz="4" w:space="0" w:color="C0C0C0"/>
              <w:right w:val="single" w:sz="4" w:space="0" w:color="E0E0E0"/>
            </w:tcBorders>
            <w:shd w:val="clear" w:color="auto" w:fill="auto"/>
            <w:noWrap/>
            <w:hideMark/>
          </w:tcPr>
          <w:p w14:paraId="67DC3E54"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7,50</w:t>
            </w:r>
          </w:p>
        </w:tc>
        <w:tc>
          <w:tcPr>
            <w:tcW w:w="917" w:type="dxa"/>
            <w:tcBorders>
              <w:top w:val="nil"/>
              <w:left w:val="nil"/>
              <w:bottom w:val="single" w:sz="4" w:space="0" w:color="C0C0C0"/>
              <w:right w:val="single" w:sz="4" w:space="0" w:color="E0E0E0"/>
            </w:tcBorders>
            <w:shd w:val="clear" w:color="auto" w:fill="auto"/>
            <w:noWrap/>
            <w:hideMark/>
          </w:tcPr>
          <w:p w14:paraId="07500352"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5,53</w:t>
            </w:r>
          </w:p>
        </w:tc>
        <w:tc>
          <w:tcPr>
            <w:tcW w:w="698" w:type="dxa"/>
            <w:tcBorders>
              <w:top w:val="nil"/>
              <w:left w:val="nil"/>
              <w:bottom w:val="single" w:sz="4" w:space="0" w:color="C0C0C0"/>
              <w:right w:val="single" w:sz="4" w:space="0" w:color="E0E0E0"/>
            </w:tcBorders>
            <w:shd w:val="clear" w:color="auto" w:fill="auto"/>
            <w:noWrap/>
            <w:hideMark/>
          </w:tcPr>
          <w:p w14:paraId="239C1C5C"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10,77</w:t>
            </w:r>
          </w:p>
        </w:tc>
        <w:tc>
          <w:tcPr>
            <w:tcW w:w="1230" w:type="dxa"/>
            <w:tcBorders>
              <w:top w:val="nil"/>
              <w:left w:val="nil"/>
              <w:bottom w:val="single" w:sz="4" w:space="0" w:color="C0C0C0"/>
              <w:right w:val="single" w:sz="4" w:space="0" w:color="E0E0E0"/>
            </w:tcBorders>
            <w:shd w:val="clear" w:color="auto" w:fill="auto"/>
            <w:noWrap/>
            <w:hideMark/>
          </w:tcPr>
          <w:p w14:paraId="36F8B869"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9,37</w:t>
            </w:r>
          </w:p>
        </w:tc>
        <w:tc>
          <w:tcPr>
            <w:tcW w:w="657" w:type="dxa"/>
            <w:tcBorders>
              <w:top w:val="nil"/>
              <w:left w:val="nil"/>
              <w:bottom w:val="single" w:sz="4" w:space="0" w:color="C0C0C0"/>
              <w:right w:val="single" w:sz="4" w:space="0" w:color="E0E0E0"/>
            </w:tcBorders>
            <w:shd w:val="clear" w:color="auto" w:fill="auto"/>
            <w:noWrap/>
            <w:hideMark/>
          </w:tcPr>
          <w:p w14:paraId="7EC75674"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5,15</w:t>
            </w:r>
          </w:p>
        </w:tc>
      </w:tr>
      <w:tr w:rsidR="008617D0" w:rsidRPr="008617D0" w14:paraId="3128D251" w14:textId="77777777" w:rsidTr="000D6DC7">
        <w:trPr>
          <w:trHeight w:val="264"/>
        </w:trPr>
        <w:tc>
          <w:tcPr>
            <w:tcW w:w="146" w:type="dxa"/>
            <w:tcBorders>
              <w:top w:val="nil"/>
              <w:left w:val="nil"/>
              <w:bottom w:val="nil"/>
              <w:right w:val="nil"/>
            </w:tcBorders>
            <w:shd w:val="clear" w:color="auto" w:fill="auto"/>
            <w:noWrap/>
            <w:vAlign w:val="bottom"/>
            <w:hideMark/>
          </w:tcPr>
          <w:p w14:paraId="55431210"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p>
        </w:tc>
        <w:tc>
          <w:tcPr>
            <w:tcW w:w="1365" w:type="dxa"/>
            <w:tcBorders>
              <w:top w:val="nil"/>
              <w:left w:val="nil"/>
              <w:bottom w:val="single" w:sz="4" w:space="0" w:color="auto"/>
              <w:right w:val="single" w:sz="4" w:space="0" w:color="E0E0E0"/>
            </w:tcBorders>
            <w:shd w:val="clear" w:color="auto" w:fill="auto"/>
            <w:noWrap/>
            <w:hideMark/>
          </w:tcPr>
          <w:p w14:paraId="0918E1DB" w14:textId="77777777" w:rsidR="008617D0" w:rsidRPr="008617D0" w:rsidRDefault="008617D0" w:rsidP="008617D0">
            <w:pPr>
              <w:spacing w:after="0" w:line="240" w:lineRule="auto"/>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Sharpe Ratio</w:t>
            </w:r>
          </w:p>
        </w:tc>
        <w:tc>
          <w:tcPr>
            <w:tcW w:w="995" w:type="dxa"/>
            <w:tcBorders>
              <w:top w:val="nil"/>
              <w:left w:val="nil"/>
              <w:bottom w:val="single" w:sz="4" w:space="0" w:color="auto"/>
              <w:right w:val="single" w:sz="4" w:space="0" w:color="E0E0E0"/>
            </w:tcBorders>
            <w:shd w:val="clear" w:color="auto" w:fill="auto"/>
            <w:noWrap/>
            <w:hideMark/>
          </w:tcPr>
          <w:p w14:paraId="1A9D5392"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-0,01</w:t>
            </w:r>
          </w:p>
        </w:tc>
        <w:tc>
          <w:tcPr>
            <w:tcW w:w="876" w:type="dxa"/>
            <w:tcBorders>
              <w:top w:val="nil"/>
              <w:left w:val="nil"/>
              <w:bottom w:val="single" w:sz="4" w:space="0" w:color="auto"/>
              <w:right w:val="single" w:sz="4" w:space="0" w:color="E0E0E0"/>
            </w:tcBorders>
            <w:shd w:val="clear" w:color="auto" w:fill="auto"/>
            <w:noWrap/>
            <w:hideMark/>
          </w:tcPr>
          <w:p w14:paraId="209BC6AE"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-0,03</w:t>
            </w:r>
          </w:p>
        </w:tc>
        <w:tc>
          <w:tcPr>
            <w:tcW w:w="875" w:type="dxa"/>
            <w:tcBorders>
              <w:top w:val="nil"/>
              <w:left w:val="nil"/>
              <w:bottom w:val="single" w:sz="4" w:space="0" w:color="auto"/>
              <w:right w:val="single" w:sz="4" w:space="0" w:color="E0E0E0"/>
            </w:tcBorders>
            <w:shd w:val="clear" w:color="auto" w:fill="auto"/>
            <w:noWrap/>
            <w:hideMark/>
          </w:tcPr>
          <w:p w14:paraId="1321D55C"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-0,02</w:t>
            </w:r>
          </w:p>
        </w:tc>
        <w:tc>
          <w:tcPr>
            <w:tcW w:w="898" w:type="dxa"/>
            <w:tcBorders>
              <w:top w:val="nil"/>
              <w:left w:val="nil"/>
              <w:bottom w:val="single" w:sz="4" w:space="0" w:color="auto"/>
              <w:right w:val="single" w:sz="4" w:space="0" w:color="E0E0E0"/>
            </w:tcBorders>
            <w:shd w:val="clear" w:color="auto" w:fill="auto"/>
            <w:noWrap/>
            <w:hideMark/>
          </w:tcPr>
          <w:p w14:paraId="1402DD3A"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-0,05</w:t>
            </w:r>
          </w:p>
        </w:tc>
        <w:tc>
          <w:tcPr>
            <w:tcW w:w="1053" w:type="dxa"/>
            <w:tcBorders>
              <w:top w:val="nil"/>
              <w:left w:val="nil"/>
              <w:bottom w:val="single" w:sz="4" w:space="0" w:color="auto"/>
              <w:right w:val="single" w:sz="4" w:space="0" w:color="E0E0E0"/>
            </w:tcBorders>
            <w:shd w:val="clear" w:color="auto" w:fill="auto"/>
            <w:noWrap/>
            <w:hideMark/>
          </w:tcPr>
          <w:p w14:paraId="4CEDB364"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0,09</w:t>
            </w:r>
          </w:p>
        </w:tc>
        <w:tc>
          <w:tcPr>
            <w:tcW w:w="917" w:type="dxa"/>
            <w:tcBorders>
              <w:top w:val="nil"/>
              <w:left w:val="nil"/>
              <w:bottom w:val="single" w:sz="4" w:space="0" w:color="auto"/>
              <w:right w:val="single" w:sz="4" w:space="0" w:color="E0E0E0"/>
            </w:tcBorders>
            <w:shd w:val="clear" w:color="auto" w:fill="auto"/>
            <w:noWrap/>
            <w:hideMark/>
          </w:tcPr>
          <w:p w14:paraId="5607DB71"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0,20</w:t>
            </w:r>
          </w:p>
        </w:tc>
        <w:tc>
          <w:tcPr>
            <w:tcW w:w="698" w:type="dxa"/>
            <w:tcBorders>
              <w:top w:val="nil"/>
              <w:left w:val="nil"/>
              <w:bottom w:val="single" w:sz="4" w:space="0" w:color="auto"/>
              <w:right w:val="single" w:sz="4" w:space="0" w:color="E0E0E0"/>
            </w:tcBorders>
            <w:shd w:val="clear" w:color="auto" w:fill="auto"/>
            <w:noWrap/>
            <w:hideMark/>
          </w:tcPr>
          <w:p w14:paraId="067A6F45"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0,10</w:t>
            </w:r>
          </w:p>
        </w:tc>
        <w:tc>
          <w:tcPr>
            <w:tcW w:w="1230" w:type="dxa"/>
            <w:tcBorders>
              <w:top w:val="nil"/>
              <w:left w:val="nil"/>
              <w:bottom w:val="single" w:sz="4" w:space="0" w:color="auto"/>
              <w:right w:val="single" w:sz="4" w:space="0" w:color="E0E0E0"/>
            </w:tcBorders>
            <w:shd w:val="clear" w:color="auto" w:fill="auto"/>
            <w:noWrap/>
            <w:hideMark/>
          </w:tcPr>
          <w:p w14:paraId="220B6F2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0,01</w:t>
            </w:r>
          </w:p>
        </w:tc>
        <w:tc>
          <w:tcPr>
            <w:tcW w:w="657" w:type="dxa"/>
            <w:tcBorders>
              <w:top w:val="nil"/>
              <w:left w:val="nil"/>
              <w:bottom w:val="single" w:sz="4" w:space="0" w:color="auto"/>
              <w:right w:val="single" w:sz="4" w:space="0" w:color="E0E0E0"/>
            </w:tcBorders>
            <w:shd w:val="clear" w:color="auto" w:fill="auto"/>
            <w:noWrap/>
            <w:hideMark/>
          </w:tcPr>
          <w:p w14:paraId="2BB3F0C7" w14:textId="77777777" w:rsidR="008617D0" w:rsidRPr="008617D0" w:rsidRDefault="008617D0" w:rsidP="008617D0">
            <w:pPr>
              <w:spacing w:after="0" w:line="240" w:lineRule="auto"/>
              <w:jc w:val="center"/>
              <w:rPr>
                <w:rFonts w:ascii="Arial" w:eastAsia="Times New Roman" w:hAnsi="Arial" w:cs="Arial"/>
                <w:color w:val="010205"/>
                <w:sz w:val="16"/>
                <w:szCs w:val="16"/>
                <w:lang w:eastAsia="de-AT"/>
              </w:rPr>
            </w:pPr>
            <w:r w:rsidRPr="008617D0">
              <w:rPr>
                <w:rFonts w:ascii="Arial" w:eastAsia="Times New Roman" w:hAnsi="Arial" w:cs="Arial"/>
                <w:color w:val="010205"/>
                <w:sz w:val="16"/>
                <w:szCs w:val="16"/>
                <w:lang w:eastAsia="de-AT"/>
              </w:rPr>
              <w:t>0,11</w:t>
            </w:r>
          </w:p>
        </w:tc>
      </w:tr>
    </w:tbl>
    <w:p w14:paraId="061946F8" w14:textId="77777777" w:rsidR="0046620B" w:rsidRDefault="0046620B" w:rsidP="00806BF3">
      <w:pPr>
        <w:spacing w:line="240" w:lineRule="auto"/>
        <w:jc w:val="both"/>
        <w:rPr>
          <w:rFonts w:ascii="Times New Roman" w:hAnsi="Times New Roman" w:cs="Times New Roman"/>
          <w:bCs/>
          <w:sz w:val="24"/>
          <w:szCs w:val="24"/>
          <w:lang w:val="en-US"/>
        </w:rPr>
      </w:pPr>
    </w:p>
    <w:p w14:paraId="12C44DE5" w14:textId="77777777" w:rsidR="0046620B" w:rsidRPr="0046620B" w:rsidRDefault="0046620B" w:rsidP="00806BF3">
      <w:pPr>
        <w:spacing w:line="240" w:lineRule="auto"/>
        <w:jc w:val="both"/>
        <w:rPr>
          <w:rFonts w:ascii="Times New Roman" w:hAnsi="Times New Roman" w:cs="Times New Roman"/>
          <w:bCs/>
          <w:sz w:val="16"/>
          <w:szCs w:val="16"/>
          <w:lang w:val="en-US"/>
        </w:rPr>
      </w:pPr>
      <w:r w:rsidRPr="0046620B">
        <w:rPr>
          <w:rFonts w:ascii="Times New Roman" w:hAnsi="Times New Roman" w:cs="Times New Roman"/>
          <w:bCs/>
          <w:sz w:val="16"/>
          <w:szCs w:val="16"/>
          <w:lang w:val="en-US"/>
        </w:rPr>
        <w:t>Note:</w:t>
      </w:r>
      <w:r w:rsidR="008617D0">
        <w:rPr>
          <w:rFonts w:ascii="Times New Roman" w:hAnsi="Times New Roman" w:cs="Times New Roman"/>
          <w:bCs/>
          <w:sz w:val="16"/>
          <w:szCs w:val="16"/>
          <w:lang w:val="en-US"/>
        </w:rPr>
        <w:t xml:space="preserve"> Industrial = Sub commodity index, Energy = Sub commodity index, Metal = Sub commodity index, </w:t>
      </w:r>
      <w:proofErr w:type="spellStart"/>
      <w:r w:rsidR="008617D0">
        <w:rPr>
          <w:rFonts w:ascii="Times New Roman" w:hAnsi="Times New Roman" w:cs="Times New Roman"/>
          <w:bCs/>
          <w:sz w:val="16"/>
          <w:szCs w:val="16"/>
          <w:lang w:val="en-US"/>
        </w:rPr>
        <w:t>HFEnergy</w:t>
      </w:r>
      <w:proofErr w:type="spellEnd"/>
      <w:r w:rsidR="008617D0">
        <w:rPr>
          <w:rFonts w:ascii="Times New Roman" w:hAnsi="Times New Roman" w:cs="Times New Roman"/>
          <w:bCs/>
          <w:sz w:val="16"/>
          <w:szCs w:val="16"/>
          <w:lang w:val="en-US"/>
        </w:rPr>
        <w:t xml:space="preserve"> = </w:t>
      </w:r>
      <w:r w:rsidR="008617D0" w:rsidRPr="008617D0">
        <w:rPr>
          <w:rFonts w:ascii="Times New Roman" w:hAnsi="Times New Roman" w:cs="Times New Roman"/>
          <w:bCs/>
          <w:sz w:val="16"/>
          <w:szCs w:val="16"/>
          <w:lang w:val="en-US"/>
        </w:rPr>
        <w:t>HFRI EH: Sector - Energy/Basic Materials Index</w:t>
      </w:r>
      <w:r w:rsidR="008617D0">
        <w:rPr>
          <w:rFonts w:ascii="Times New Roman" w:hAnsi="Times New Roman" w:cs="Times New Roman"/>
          <w:bCs/>
          <w:sz w:val="16"/>
          <w:szCs w:val="16"/>
          <w:lang w:val="en-US"/>
        </w:rPr>
        <w:t xml:space="preserve">, HF Macro = HFRI Macro: Commodity Index, </w:t>
      </w:r>
      <w:proofErr w:type="spellStart"/>
      <w:r w:rsidR="008617D0">
        <w:rPr>
          <w:rFonts w:ascii="Times New Roman" w:hAnsi="Times New Roman" w:cs="Times New Roman"/>
          <w:bCs/>
          <w:sz w:val="16"/>
          <w:szCs w:val="16"/>
          <w:lang w:val="en-US"/>
        </w:rPr>
        <w:t>GBIndex</w:t>
      </w:r>
      <w:proofErr w:type="spellEnd"/>
      <w:r w:rsidR="008617D0">
        <w:rPr>
          <w:rFonts w:ascii="Times New Roman" w:hAnsi="Times New Roman" w:cs="Times New Roman"/>
          <w:bCs/>
          <w:sz w:val="16"/>
          <w:szCs w:val="16"/>
          <w:lang w:val="en-US"/>
        </w:rPr>
        <w:t xml:space="preserve"> = US Government bond index (total return), CRB = CRB index, HF Comp = HFRI Composite Index. </w:t>
      </w:r>
      <w:r w:rsidRPr="0046620B">
        <w:rPr>
          <w:rFonts w:ascii="Times New Roman" w:hAnsi="Times New Roman" w:cs="Times New Roman"/>
          <w:bCs/>
          <w:sz w:val="16"/>
          <w:szCs w:val="16"/>
          <w:lang w:val="en-US"/>
        </w:rPr>
        <w:t xml:space="preserve"> All indices are</w:t>
      </w:r>
      <w:r>
        <w:rPr>
          <w:rFonts w:ascii="Times New Roman" w:hAnsi="Times New Roman" w:cs="Times New Roman"/>
          <w:bCs/>
          <w:sz w:val="16"/>
          <w:szCs w:val="16"/>
          <w:lang w:val="en-US"/>
        </w:rPr>
        <w:t xml:space="preserve"> based on monthly</w:t>
      </w:r>
      <w:r w:rsidR="00D232C1">
        <w:rPr>
          <w:rFonts w:ascii="Times New Roman" w:hAnsi="Times New Roman" w:cs="Times New Roman"/>
          <w:bCs/>
          <w:sz w:val="16"/>
          <w:szCs w:val="16"/>
          <w:lang w:val="en-US"/>
        </w:rPr>
        <w:t xml:space="preserve"> return</w:t>
      </w:r>
      <w:r>
        <w:rPr>
          <w:rFonts w:ascii="Times New Roman" w:hAnsi="Times New Roman" w:cs="Times New Roman"/>
          <w:bCs/>
          <w:sz w:val="16"/>
          <w:szCs w:val="16"/>
          <w:lang w:val="en-US"/>
        </w:rPr>
        <w:t xml:space="preserve"> data. Mean, median, minimum and maximum are</w:t>
      </w:r>
      <w:r w:rsidRPr="0046620B">
        <w:rPr>
          <w:rFonts w:ascii="Times New Roman" w:hAnsi="Times New Roman" w:cs="Times New Roman"/>
          <w:bCs/>
          <w:sz w:val="16"/>
          <w:szCs w:val="16"/>
          <w:lang w:val="en-US"/>
        </w:rPr>
        <w:t xml:space="preserve"> monthly </w:t>
      </w:r>
      <w:r>
        <w:rPr>
          <w:rFonts w:ascii="Times New Roman" w:hAnsi="Times New Roman" w:cs="Times New Roman"/>
          <w:bCs/>
          <w:sz w:val="16"/>
          <w:szCs w:val="16"/>
          <w:lang w:val="en-US"/>
        </w:rPr>
        <w:t>performance data of the several indices</w:t>
      </w:r>
      <w:r w:rsidRPr="0046620B">
        <w:rPr>
          <w:rFonts w:ascii="Times New Roman" w:hAnsi="Times New Roman" w:cs="Times New Roman"/>
          <w:bCs/>
          <w:sz w:val="16"/>
          <w:szCs w:val="16"/>
          <w:lang w:val="en-US"/>
        </w:rPr>
        <w:t xml:space="preserve">. We took the </w:t>
      </w:r>
      <w:r w:rsidR="001E75BE">
        <w:rPr>
          <w:rFonts w:ascii="Times New Roman" w:hAnsi="Times New Roman" w:cs="Times New Roman"/>
          <w:bCs/>
          <w:sz w:val="16"/>
          <w:szCs w:val="16"/>
          <w:lang w:val="en-US"/>
        </w:rPr>
        <w:t>US 3 mon LIBOR</w:t>
      </w:r>
      <w:r w:rsidRPr="0046620B">
        <w:rPr>
          <w:rFonts w:ascii="Times New Roman" w:hAnsi="Times New Roman" w:cs="Times New Roman"/>
          <w:bCs/>
          <w:sz w:val="16"/>
          <w:szCs w:val="16"/>
          <w:lang w:val="en-US"/>
        </w:rPr>
        <w:t xml:space="preserve"> (on a monthly basis) as the risk free interest rate.</w:t>
      </w:r>
      <w:r>
        <w:rPr>
          <w:rFonts w:ascii="Times New Roman" w:hAnsi="Times New Roman" w:cs="Times New Roman"/>
          <w:bCs/>
          <w:sz w:val="16"/>
          <w:szCs w:val="16"/>
          <w:lang w:val="en-US"/>
        </w:rPr>
        <w:t xml:space="preserve"> </w:t>
      </w:r>
      <w:r w:rsidR="00873A18">
        <w:rPr>
          <w:rFonts w:ascii="Times New Roman" w:hAnsi="Times New Roman" w:cs="Times New Roman"/>
          <w:bCs/>
          <w:sz w:val="16"/>
          <w:szCs w:val="16"/>
          <w:lang w:val="en-US"/>
        </w:rPr>
        <w:t>Sharpe Ratio shows the Sh</w:t>
      </w:r>
      <w:r w:rsidR="001E75BE">
        <w:rPr>
          <w:rFonts w:ascii="Times New Roman" w:hAnsi="Times New Roman" w:cs="Times New Roman"/>
          <w:bCs/>
          <w:sz w:val="16"/>
          <w:szCs w:val="16"/>
          <w:lang w:val="en-US"/>
        </w:rPr>
        <w:t xml:space="preserve">arpe Ratios </w:t>
      </w:r>
      <w:r w:rsidR="00D232C1">
        <w:rPr>
          <w:rFonts w:ascii="Times New Roman" w:hAnsi="Times New Roman" w:cs="Times New Roman"/>
          <w:bCs/>
          <w:sz w:val="16"/>
          <w:szCs w:val="16"/>
          <w:lang w:val="en-US"/>
        </w:rPr>
        <w:t>of the average monthly returns</w:t>
      </w:r>
      <w:r w:rsidR="001E75BE">
        <w:rPr>
          <w:rFonts w:ascii="Times New Roman" w:hAnsi="Times New Roman" w:cs="Times New Roman"/>
          <w:bCs/>
          <w:sz w:val="16"/>
          <w:szCs w:val="16"/>
          <w:lang w:val="en-US"/>
        </w:rPr>
        <w:t>.</w:t>
      </w:r>
    </w:p>
    <w:p w14:paraId="0FED0DB4"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The descriptive statistics in table 2 reports that the geometrical mean of the Macro Commodity Funds and HFRI Sector - Energy/Basic Materials Index is not as good as the HFRI Composite Index which means that Commodity Hedge Funds are relative underperformers in comparison to other Hedge Funds. However, the Macro Commodity Funds outperforms the CRB index which means that this </w:t>
      </w:r>
      <w:proofErr w:type="spellStart"/>
      <w:r>
        <w:rPr>
          <w:rFonts w:ascii="Times New Roman" w:hAnsi="Times New Roman"/>
          <w:bCs/>
          <w:sz w:val="24"/>
          <w:lang w:val="en-US"/>
        </w:rPr>
        <w:t>hedgefunds</w:t>
      </w:r>
      <w:proofErr w:type="spellEnd"/>
      <w:r>
        <w:rPr>
          <w:rFonts w:ascii="Times New Roman" w:hAnsi="Times New Roman"/>
          <w:bCs/>
          <w:sz w:val="24"/>
          <w:lang w:val="en-US"/>
        </w:rPr>
        <w:t xml:space="preserve"> index is a useful instrument when investors want some commodity exposure. The HFRI Sector Index was almost the weakest index in our sample. Concerning the </w:t>
      </w:r>
      <w:proofErr w:type="gramStart"/>
      <w:r>
        <w:rPr>
          <w:rFonts w:ascii="Times New Roman" w:hAnsi="Times New Roman"/>
          <w:bCs/>
          <w:sz w:val="24"/>
          <w:lang w:val="en-US"/>
        </w:rPr>
        <w:t>median</w:t>
      </w:r>
      <w:proofErr w:type="gramEnd"/>
      <w:r>
        <w:rPr>
          <w:rFonts w:ascii="Times New Roman" w:hAnsi="Times New Roman"/>
          <w:bCs/>
          <w:sz w:val="24"/>
          <w:lang w:val="en-US"/>
        </w:rPr>
        <w:t xml:space="preserve"> the picture is somewhat different. In this case the HFRI Sector Index performs much better than the Macro Commodity index. However, the median is not a useful </w:t>
      </w:r>
      <w:r>
        <w:rPr>
          <w:rFonts w:ascii="Times New Roman" w:hAnsi="Times New Roman"/>
          <w:bCs/>
          <w:sz w:val="24"/>
          <w:lang w:val="en-US"/>
        </w:rPr>
        <w:lastRenderedPageBreak/>
        <w:t xml:space="preserve">indicator for measuring performance, because the sum (total performance) confirms the picture which we get from the geometrical average. The lowest standard deviation of all indices has the Macro Commodity Index which is again an argument for an investor to invest in this hedge fund </w:t>
      </w:r>
      <w:proofErr w:type="spellStart"/>
      <w:r>
        <w:rPr>
          <w:rFonts w:ascii="Times New Roman" w:hAnsi="Times New Roman"/>
          <w:bCs/>
          <w:sz w:val="24"/>
          <w:lang w:val="en-US"/>
        </w:rPr>
        <w:t>subindex</w:t>
      </w:r>
      <w:proofErr w:type="spellEnd"/>
      <w:r>
        <w:rPr>
          <w:rFonts w:ascii="Times New Roman" w:hAnsi="Times New Roman"/>
          <w:bCs/>
          <w:sz w:val="24"/>
          <w:lang w:val="en-US"/>
        </w:rPr>
        <w:t>. The HFRI Sector index performs again not good when we look at the standard deviation, because it is as high as the volatile equity and commodity indices. The ex</w:t>
      </w:r>
      <w:r w:rsidRPr="008977D9">
        <w:rPr>
          <w:rFonts w:ascii="Times New Roman" w:hAnsi="Times New Roman"/>
          <w:bCs/>
          <w:color w:val="000000"/>
          <w:sz w:val="24"/>
          <w:lang w:val="en-US"/>
        </w:rPr>
        <w:t xml:space="preserve">treme </w:t>
      </w:r>
      <w:r>
        <w:rPr>
          <w:rFonts w:ascii="Times New Roman" w:hAnsi="Times New Roman"/>
          <w:bCs/>
          <w:sz w:val="24"/>
          <w:lang w:val="en-US"/>
        </w:rPr>
        <w:t xml:space="preserve">values (maximum, minimum) and the Sharpe Ratio confirm the picture that the Macro Commodity Index is attractive for investors and the HFRI Sector Index is not attractive. Concerning the Sharpe Ratio, which could be seen as a very important performance measure for hedge funds, the HFRI Sector Index is the worst performer and the HFRI Commodity Index is only worse than the S &amp; P 500 and the HFRI Composite Index. </w:t>
      </w:r>
    </w:p>
    <w:p w14:paraId="14337F1F" w14:textId="77777777" w:rsidR="00F251EC" w:rsidRPr="00F41706" w:rsidRDefault="000D6DC7" w:rsidP="00806BF3">
      <w:pPr>
        <w:spacing w:line="240" w:lineRule="auto"/>
        <w:jc w:val="both"/>
        <w:rPr>
          <w:rFonts w:ascii="Times New Roman" w:hAnsi="Times New Roman" w:cs="Times New Roman"/>
          <w:b/>
          <w:bCs/>
          <w:sz w:val="24"/>
          <w:szCs w:val="24"/>
          <w:lang w:val="en-US"/>
        </w:rPr>
      </w:pPr>
      <w:r w:rsidRPr="00F41706">
        <w:rPr>
          <w:rFonts w:ascii="Times New Roman" w:hAnsi="Times New Roman" w:cs="Times New Roman"/>
          <w:b/>
          <w:bCs/>
          <w:sz w:val="24"/>
          <w:szCs w:val="24"/>
          <w:lang w:val="en-US"/>
        </w:rPr>
        <w:t xml:space="preserve">Table 3: Performance Commodity </w:t>
      </w:r>
      <w:proofErr w:type="spellStart"/>
      <w:r w:rsidRPr="00F41706">
        <w:rPr>
          <w:rFonts w:ascii="Times New Roman" w:hAnsi="Times New Roman" w:cs="Times New Roman"/>
          <w:b/>
          <w:bCs/>
          <w:sz w:val="24"/>
          <w:szCs w:val="24"/>
          <w:lang w:val="en-US"/>
        </w:rPr>
        <w:t>Hedgefunds</w:t>
      </w:r>
      <w:proofErr w:type="spellEnd"/>
    </w:p>
    <w:tbl>
      <w:tblPr>
        <w:tblW w:w="8464" w:type="dxa"/>
        <w:tblInd w:w="-5" w:type="dxa"/>
        <w:tblCellMar>
          <w:left w:w="70" w:type="dxa"/>
          <w:right w:w="70" w:type="dxa"/>
        </w:tblCellMar>
        <w:tblLook w:val="04A0" w:firstRow="1" w:lastRow="0" w:firstColumn="1" w:lastColumn="0" w:noHBand="0" w:noVBand="1"/>
      </w:tblPr>
      <w:tblGrid>
        <w:gridCol w:w="585"/>
        <w:gridCol w:w="5059"/>
        <w:gridCol w:w="2820"/>
      </w:tblGrid>
      <w:tr w:rsidR="00B01A93" w:rsidRPr="00B01A93" w14:paraId="00C24E4C" w14:textId="77777777" w:rsidTr="000D6DC7">
        <w:trPr>
          <w:trHeight w:val="264"/>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07BBE" w14:textId="77777777" w:rsidR="00B01A93" w:rsidRPr="00B01A93" w:rsidRDefault="00B01A93" w:rsidP="00B01A93">
            <w:pPr>
              <w:spacing w:after="0" w:line="240" w:lineRule="auto"/>
              <w:rPr>
                <w:rFonts w:ascii="Arial" w:eastAsia="Times New Roman" w:hAnsi="Arial" w:cs="Arial"/>
                <w:sz w:val="20"/>
                <w:szCs w:val="20"/>
                <w:lang w:eastAsia="de-AT"/>
              </w:rPr>
            </w:pPr>
            <w:r w:rsidRPr="00B01A93">
              <w:rPr>
                <w:rFonts w:ascii="Arial" w:eastAsia="Times New Roman" w:hAnsi="Arial" w:cs="Arial"/>
                <w:sz w:val="20"/>
                <w:szCs w:val="20"/>
                <w:lang w:eastAsia="de-AT"/>
              </w:rPr>
              <w:t> </w:t>
            </w:r>
          </w:p>
        </w:tc>
        <w:tc>
          <w:tcPr>
            <w:tcW w:w="5059" w:type="dxa"/>
            <w:tcBorders>
              <w:top w:val="single" w:sz="4" w:space="0" w:color="auto"/>
              <w:left w:val="nil"/>
              <w:bottom w:val="single" w:sz="4" w:space="0" w:color="auto"/>
              <w:right w:val="single" w:sz="4" w:space="0" w:color="auto"/>
            </w:tcBorders>
            <w:shd w:val="clear" w:color="auto" w:fill="auto"/>
            <w:noWrap/>
            <w:vAlign w:val="bottom"/>
            <w:hideMark/>
          </w:tcPr>
          <w:p w14:paraId="25B7D355" w14:textId="77777777" w:rsidR="00B01A93" w:rsidRPr="00B01A93" w:rsidRDefault="00B01A93" w:rsidP="00B01A93">
            <w:pPr>
              <w:spacing w:after="0" w:line="240" w:lineRule="auto"/>
              <w:rPr>
                <w:rFonts w:ascii="Arial" w:eastAsia="Times New Roman" w:hAnsi="Arial" w:cs="Arial"/>
                <w:sz w:val="20"/>
                <w:szCs w:val="20"/>
                <w:lang w:eastAsia="de-AT"/>
              </w:rPr>
            </w:pPr>
            <w:r w:rsidRPr="00B01A93">
              <w:rPr>
                <w:rFonts w:ascii="Arial" w:eastAsia="Times New Roman" w:hAnsi="Arial" w:cs="Arial"/>
                <w:sz w:val="20"/>
                <w:szCs w:val="20"/>
                <w:lang w:eastAsia="de-AT"/>
              </w:rPr>
              <w:t xml:space="preserve">HFRI EH: </w:t>
            </w:r>
            <w:proofErr w:type="spellStart"/>
            <w:r w:rsidRPr="00B01A93">
              <w:rPr>
                <w:rFonts w:ascii="Arial" w:eastAsia="Times New Roman" w:hAnsi="Arial" w:cs="Arial"/>
                <w:sz w:val="20"/>
                <w:szCs w:val="20"/>
                <w:lang w:eastAsia="de-AT"/>
              </w:rPr>
              <w:t>Sector</w:t>
            </w:r>
            <w:proofErr w:type="spellEnd"/>
            <w:r w:rsidRPr="00B01A93">
              <w:rPr>
                <w:rFonts w:ascii="Arial" w:eastAsia="Times New Roman" w:hAnsi="Arial" w:cs="Arial"/>
                <w:sz w:val="20"/>
                <w:szCs w:val="20"/>
                <w:lang w:eastAsia="de-AT"/>
              </w:rPr>
              <w:t xml:space="preserve"> - </w:t>
            </w:r>
            <w:proofErr w:type="spellStart"/>
            <w:r w:rsidRPr="00B01A93">
              <w:rPr>
                <w:rFonts w:ascii="Arial" w:eastAsia="Times New Roman" w:hAnsi="Arial" w:cs="Arial"/>
                <w:sz w:val="20"/>
                <w:szCs w:val="20"/>
                <w:lang w:eastAsia="de-AT"/>
              </w:rPr>
              <w:t>Energy</w:t>
            </w:r>
            <w:proofErr w:type="spellEnd"/>
            <w:r w:rsidRPr="00B01A93">
              <w:rPr>
                <w:rFonts w:ascii="Arial" w:eastAsia="Times New Roman" w:hAnsi="Arial" w:cs="Arial"/>
                <w:sz w:val="20"/>
                <w:szCs w:val="20"/>
                <w:lang w:eastAsia="de-AT"/>
              </w:rPr>
              <w:t>/Basic Materials Index</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8333D45" w14:textId="77777777" w:rsidR="00B01A93" w:rsidRPr="00B01A93" w:rsidRDefault="00B01A93" w:rsidP="00B01A93">
            <w:pPr>
              <w:spacing w:after="0" w:line="240" w:lineRule="auto"/>
              <w:rPr>
                <w:rFonts w:ascii="Arial" w:eastAsia="Times New Roman" w:hAnsi="Arial" w:cs="Arial"/>
                <w:sz w:val="20"/>
                <w:szCs w:val="20"/>
                <w:lang w:eastAsia="de-AT"/>
              </w:rPr>
            </w:pPr>
            <w:r w:rsidRPr="00B01A93">
              <w:rPr>
                <w:rFonts w:ascii="Arial" w:eastAsia="Times New Roman" w:hAnsi="Arial" w:cs="Arial"/>
                <w:sz w:val="20"/>
                <w:szCs w:val="20"/>
                <w:lang w:eastAsia="de-AT"/>
              </w:rPr>
              <w:t xml:space="preserve">HFRI </w:t>
            </w:r>
            <w:proofErr w:type="spellStart"/>
            <w:r w:rsidRPr="00B01A93">
              <w:rPr>
                <w:rFonts w:ascii="Arial" w:eastAsia="Times New Roman" w:hAnsi="Arial" w:cs="Arial"/>
                <w:sz w:val="20"/>
                <w:szCs w:val="20"/>
                <w:lang w:eastAsia="de-AT"/>
              </w:rPr>
              <w:t>Macro</w:t>
            </w:r>
            <w:proofErr w:type="spellEnd"/>
            <w:r w:rsidRPr="00B01A93">
              <w:rPr>
                <w:rFonts w:ascii="Arial" w:eastAsia="Times New Roman" w:hAnsi="Arial" w:cs="Arial"/>
                <w:sz w:val="20"/>
                <w:szCs w:val="20"/>
                <w:lang w:eastAsia="de-AT"/>
              </w:rPr>
              <w:t xml:space="preserve">: </w:t>
            </w:r>
            <w:proofErr w:type="spellStart"/>
            <w:r w:rsidRPr="00B01A93">
              <w:rPr>
                <w:rFonts w:ascii="Arial" w:eastAsia="Times New Roman" w:hAnsi="Arial" w:cs="Arial"/>
                <w:sz w:val="20"/>
                <w:szCs w:val="20"/>
                <w:lang w:eastAsia="de-AT"/>
              </w:rPr>
              <w:t>Commodity</w:t>
            </w:r>
            <w:proofErr w:type="spellEnd"/>
            <w:r w:rsidRPr="00B01A93">
              <w:rPr>
                <w:rFonts w:ascii="Arial" w:eastAsia="Times New Roman" w:hAnsi="Arial" w:cs="Arial"/>
                <w:sz w:val="20"/>
                <w:szCs w:val="20"/>
                <w:lang w:eastAsia="de-AT"/>
              </w:rPr>
              <w:t xml:space="preserve"> Index</w:t>
            </w:r>
          </w:p>
        </w:tc>
      </w:tr>
      <w:tr w:rsidR="00B01A93" w:rsidRPr="00B01A93" w14:paraId="6081731F" w14:textId="77777777" w:rsidTr="000D6DC7">
        <w:trPr>
          <w:trHeight w:val="264"/>
        </w:trPr>
        <w:tc>
          <w:tcPr>
            <w:tcW w:w="585" w:type="dxa"/>
            <w:tcBorders>
              <w:top w:val="nil"/>
              <w:left w:val="single" w:sz="4" w:space="0" w:color="auto"/>
              <w:bottom w:val="nil"/>
              <w:right w:val="single" w:sz="4" w:space="0" w:color="auto"/>
            </w:tcBorders>
            <w:shd w:val="clear" w:color="auto" w:fill="auto"/>
            <w:noWrap/>
            <w:vAlign w:val="bottom"/>
            <w:hideMark/>
          </w:tcPr>
          <w:p w14:paraId="39425F00" w14:textId="77777777" w:rsidR="00B01A93" w:rsidRPr="00B01A93" w:rsidRDefault="00B01A93" w:rsidP="00B01A93">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2008</w:t>
            </w:r>
          </w:p>
        </w:tc>
        <w:tc>
          <w:tcPr>
            <w:tcW w:w="5059" w:type="dxa"/>
            <w:tcBorders>
              <w:top w:val="nil"/>
              <w:left w:val="nil"/>
              <w:bottom w:val="nil"/>
              <w:right w:val="single" w:sz="4" w:space="0" w:color="auto"/>
            </w:tcBorders>
            <w:shd w:val="clear" w:color="auto" w:fill="auto"/>
            <w:noWrap/>
            <w:vAlign w:val="bottom"/>
            <w:hideMark/>
          </w:tcPr>
          <w:p w14:paraId="42434EFB"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-38,31</w:t>
            </w:r>
            <w:r w:rsidR="00D232C1">
              <w:rPr>
                <w:rFonts w:ascii="Arial" w:eastAsia="Times New Roman" w:hAnsi="Arial" w:cs="Arial"/>
                <w:sz w:val="20"/>
                <w:szCs w:val="20"/>
                <w:lang w:eastAsia="de-AT"/>
              </w:rPr>
              <w:t>%</w:t>
            </w:r>
          </w:p>
        </w:tc>
        <w:tc>
          <w:tcPr>
            <w:tcW w:w="2820" w:type="dxa"/>
            <w:tcBorders>
              <w:top w:val="nil"/>
              <w:left w:val="nil"/>
              <w:bottom w:val="nil"/>
              <w:right w:val="single" w:sz="4" w:space="0" w:color="auto"/>
            </w:tcBorders>
            <w:shd w:val="clear" w:color="auto" w:fill="auto"/>
            <w:noWrap/>
            <w:vAlign w:val="bottom"/>
            <w:hideMark/>
          </w:tcPr>
          <w:p w14:paraId="2B39B92B"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6,42</w:t>
            </w:r>
            <w:r w:rsidR="00D232C1">
              <w:rPr>
                <w:rFonts w:ascii="Arial" w:eastAsia="Times New Roman" w:hAnsi="Arial" w:cs="Arial"/>
                <w:sz w:val="20"/>
                <w:szCs w:val="20"/>
                <w:lang w:eastAsia="de-AT"/>
              </w:rPr>
              <w:t>%</w:t>
            </w:r>
          </w:p>
        </w:tc>
      </w:tr>
      <w:tr w:rsidR="00B01A93" w:rsidRPr="00B01A93" w14:paraId="42A7E95A" w14:textId="77777777" w:rsidTr="000D6DC7">
        <w:trPr>
          <w:trHeight w:val="264"/>
        </w:trPr>
        <w:tc>
          <w:tcPr>
            <w:tcW w:w="585" w:type="dxa"/>
            <w:tcBorders>
              <w:top w:val="nil"/>
              <w:left w:val="single" w:sz="4" w:space="0" w:color="auto"/>
              <w:bottom w:val="nil"/>
              <w:right w:val="single" w:sz="4" w:space="0" w:color="auto"/>
            </w:tcBorders>
            <w:shd w:val="clear" w:color="auto" w:fill="auto"/>
            <w:noWrap/>
            <w:vAlign w:val="bottom"/>
            <w:hideMark/>
          </w:tcPr>
          <w:p w14:paraId="612A578F" w14:textId="77777777" w:rsidR="00B01A93" w:rsidRPr="00B01A93" w:rsidRDefault="00B01A93" w:rsidP="00B01A93">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2009</w:t>
            </w:r>
          </w:p>
        </w:tc>
        <w:tc>
          <w:tcPr>
            <w:tcW w:w="5059" w:type="dxa"/>
            <w:tcBorders>
              <w:top w:val="nil"/>
              <w:left w:val="nil"/>
              <w:bottom w:val="nil"/>
              <w:right w:val="single" w:sz="4" w:space="0" w:color="auto"/>
            </w:tcBorders>
            <w:shd w:val="clear" w:color="auto" w:fill="auto"/>
            <w:noWrap/>
            <w:vAlign w:val="bottom"/>
            <w:hideMark/>
          </w:tcPr>
          <w:p w14:paraId="306DE6FC"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41,83</w:t>
            </w:r>
            <w:r w:rsidR="00D232C1">
              <w:rPr>
                <w:rFonts w:ascii="Arial" w:eastAsia="Times New Roman" w:hAnsi="Arial" w:cs="Arial"/>
                <w:sz w:val="20"/>
                <w:szCs w:val="20"/>
                <w:lang w:eastAsia="de-AT"/>
              </w:rPr>
              <w:t>%</w:t>
            </w:r>
          </w:p>
        </w:tc>
        <w:tc>
          <w:tcPr>
            <w:tcW w:w="2820" w:type="dxa"/>
            <w:tcBorders>
              <w:top w:val="nil"/>
              <w:left w:val="nil"/>
              <w:bottom w:val="nil"/>
              <w:right w:val="single" w:sz="4" w:space="0" w:color="auto"/>
            </w:tcBorders>
            <w:shd w:val="clear" w:color="auto" w:fill="auto"/>
            <w:noWrap/>
            <w:vAlign w:val="bottom"/>
            <w:hideMark/>
          </w:tcPr>
          <w:p w14:paraId="034329D1"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8,07</w:t>
            </w:r>
            <w:r w:rsidR="00D232C1">
              <w:rPr>
                <w:rFonts w:ascii="Arial" w:eastAsia="Times New Roman" w:hAnsi="Arial" w:cs="Arial"/>
                <w:sz w:val="20"/>
                <w:szCs w:val="20"/>
                <w:lang w:eastAsia="de-AT"/>
              </w:rPr>
              <w:t>%</w:t>
            </w:r>
          </w:p>
        </w:tc>
      </w:tr>
      <w:tr w:rsidR="00B01A93" w:rsidRPr="00B01A93" w14:paraId="24BF530F" w14:textId="77777777" w:rsidTr="000D6DC7">
        <w:trPr>
          <w:trHeight w:val="264"/>
        </w:trPr>
        <w:tc>
          <w:tcPr>
            <w:tcW w:w="585" w:type="dxa"/>
            <w:tcBorders>
              <w:top w:val="nil"/>
              <w:left w:val="single" w:sz="4" w:space="0" w:color="auto"/>
              <w:bottom w:val="nil"/>
              <w:right w:val="single" w:sz="4" w:space="0" w:color="auto"/>
            </w:tcBorders>
            <w:shd w:val="clear" w:color="auto" w:fill="auto"/>
            <w:noWrap/>
            <w:vAlign w:val="bottom"/>
            <w:hideMark/>
          </w:tcPr>
          <w:p w14:paraId="3EB004E7" w14:textId="77777777" w:rsidR="00B01A93" w:rsidRPr="00B01A93" w:rsidRDefault="00B01A93" w:rsidP="00B01A93">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2010</w:t>
            </w:r>
          </w:p>
        </w:tc>
        <w:tc>
          <w:tcPr>
            <w:tcW w:w="5059" w:type="dxa"/>
            <w:tcBorders>
              <w:top w:val="nil"/>
              <w:left w:val="nil"/>
              <w:bottom w:val="nil"/>
              <w:right w:val="single" w:sz="4" w:space="0" w:color="auto"/>
            </w:tcBorders>
            <w:shd w:val="clear" w:color="auto" w:fill="auto"/>
            <w:noWrap/>
            <w:vAlign w:val="bottom"/>
            <w:hideMark/>
          </w:tcPr>
          <w:p w14:paraId="01B8EF48"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17,41</w:t>
            </w:r>
            <w:r w:rsidR="00D232C1">
              <w:rPr>
                <w:rFonts w:ascii="Arial" w:eastAsia="Times New Roman" w:hAnsi="Arial" w:cs="Arial"/>
                <w:sz w:val="20"/>
                <w:szCs w:val="20"/>
                <w:lang w:eastAsia="de-AT"/>
              </w:rPr>
              <w:t>%</w:t>
            </w:r>
          </w:p>
        </w:tc>
        <w:tc>
          <w:tcPr>
            <w:tcW w:w="2820" w:type="dxa"/>
            <w:tcBorders>
              <w:top w:val="nil"/>
              <w:left w:val="nil"/>
              <w:bottom w:val="nil"/>
              <w:right w:val="single" w:sz="4" w:space="0" w:color="auto"/>
            </w:tcBorders>
            <w:shd w:val="clear" w:color="auto" w:fill="auto"/>
            <w:noWrap/>
            <w:vAlign w:val="bottom"/>
            <w:hideMark/>
          </w:tcPr>
          <w:p w14:paraId="2EC05D12"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10,62</w:t>
            </w:r>
            <w:r w:rsidR="00D232C1">
              <w:rPr>
                <w:rFonts w:ascii="Arial" w:eastAsia="Times New Roman" w:hAnsi="Arial" w:cs="Arial"/>
                <w:sz w:val="20"/>
                <w:szCs w:val="20"/>
                <w:lang w:eastAsia="de-AT"/>
              </w:rPr>
              <w:t>%</w:t>
            </w:r>
          </w:p>
        </w:tc>
      </w:tr>
      <w:tr w:rsidR="00B01A93" w:rsidRPr="00B01A93" w14:paraId="378D23B3" w14:textId="77777777" w:rsidTr="000D6DC7">
        <w:trPr>
          <w:trHeight w:val="264"/>
        </w:trPr>
        <w:tc>
          <w:tcPr>
            <w:tcW w:w="585" w:type="dxa"/>
            <w:tcBorders>
              <w:top w:val="nil"/>
              <w:left w:val="single" w:sz="4" w:space="0" w:color="auto"/>
              <w:bottom w:val="nil"/>
              <w:right w:val="single" w:sz="4" w:space="0" w:color="auto"/>
            </w:tcBorders>
            <w:shd w:val="clear" w:color="auto" w:fill="auto"/>
            <w:noWrap/>
            <w:vAlign w:val="bottom"/>
            <w:hideMark/>
          </w:tcPr>
          <w:p w14:paraId="5AE236EC" w14:textId="77777777" w:rsidR="00B01A93" w:rsidRPr="00B01A93" w:rsidRDefault="00B01A93" w:rsidP="00B01A93">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2011</w:t>
            </w:r>
          </w:p>
        </w:tc>
        <w:tc>
          <w:tcPr>
            <w:tcW w:w="5059" w:type="dxa"/>
            <w:tcBorders>
              <w:top w:val="nil"/>
              <w:left w:val="nil"/>
              <w:bottom w:val="nil"/>
              <w:right w:val="single" w:sz="4" w:space="0" w:color="auto"/>
            </w:tcBorders>
            <w:shd w:val="clear" w:color="auto" w:fill="auto"/>
            <w:noWrap/>
            <w:vAlign w:val="bottom"/>
            <w:hideMark/>
          </w:tcPr>
          <w:p w14:paraId="3361D8B9"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-16,66</w:t>
            </w:r>
            <w:r w:rsidR="00D232C1">
              <w:rPr>
                <w:rFonts w:ascii="Arial" w:eastAsia="Times New Roman" w:hAnsi="Arial" w:cs="Arial"/>
                <w:sz w:val="20"/>
                <w:szCs w:val="20"/>
                <w:lang w:eastAsia="de-AT"/>
              </w:rPr>
              <w:t>%</w:t>
            </w:r>
          </w:p>
        </w:tc>
        <w:tc>
          <w:tcPr>
            <w:tcW w:w="2820" w:type="dxa"/>
            <w:tcBorders>
              <w:top w:val="nil"/>
              <w:left w:val="nil"/>
              <w:bottom w:val="nil"/>
              <w:right w:val="single" w:sz="4" w:space="0" w:color="auto"/>
            </w:tcBorders>
            <w:shd w:val="clear" w:color="auto" w:fill="auto"/>
            <w:noWrap/>
            <w:vAlign w:val="bottom"/>
            <w:hideMark/>
          </w:tcPr>
          <w:p w14:paraId="4BC3F4A4"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-2,56</w:t>
            </w:r>
            <w:r w:rsidR="00D232C1">
              <w:rPr>
                <w:rFonts w:ascii="Arial" w:eastAsia="Times New Roman" w:hAnsi="Arial" w:cs="Arial"/>
                <w:sz w:val="20"/>
                <w:szCs w:val="20"/>
                <w:lang w:eastAsia="de-AT"/>
              </w:rPr>
              <w:t>%</w:t>
            </w:r>
          </w:p>
        </w:tc>
      </w:tr>
      <w:tr w:rsidR="00B01A93" w:rsidRPr="00B01A93" w14:paraId="78AEDA16" w14:textId="77777777" w:rsidTr="000D6DC7">
        <w:trPr>
          <w:trHeight w:val="264"/>
        </w:trPr>
        <w:tc>
          <w:tcPr>
            <w:tcW w:w="585" w:type="dxa"/>
            <w:tcBorders>
              <w:top w:val="nil"/>
              <w:left w:val="single" w:sz="4" w:space="0" w:color="auto"/>
              <w:bottom w:val="nil"/>
              <w:right w:val="single" w:sz="4" w:space="0" w:color="auto"/>
            </w:tcBorders>
            <w:shd w:val="clear" w:color="auto" w:fill="auto"/>
            <w:noWrap/>
            <w:vAlign w:val="bottom"/>
            <w:hideMark/>
          </w:tcPr>
          <w:p w14:paraId="3C9F67FD" w14:textId="77777777" w:rsidR="00B01A93" w:rsidRPr="00B01A93" w:rsidRDefault="00B01A93" w:rsidP="00B01A93">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2012</w:t>
            </w:r>
          </w:p>
        </w:tc>
        <w:tc>
          <w:tcPr>
            <w:tcW w:w="5059" w:type="dxa"/>
            <w:tcBorders>
              <w:top w:val="nil"/>
              <w:left w:val="nil"/>
              <w:bottom w:val="nil"/>
              <w:right w:val="single" w:sz="4" w:space="0" w:color="auto"/>
            </w:tcBorders>
            <w:shd w:val="clear" w:color="auto" w:fill="auto"/>
            <w:noWrap/>
            <w:vAlign w:val="bottom"/>
            <w:hideMark/>
          </w:tcPr>
          <w:p w14:paraId="4A652635"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-5,63</w:t>
            </w:r>
            <w:r w:rsidR="00D232C1">
              <w:rPr>
                <w:rFonts w:ascii="Arial" w:eastAsia="Times New Roman" w:hAnsi="Arial" w:cs="Arial"/>
                <w:sz w:val="20"/>
                <w:szCs w:val="20"/>
                <w:lang w:eastAsia="de-AT"/>
              </w:rPr>
              <w:t>%</w:t>
            </w:r>
          </w:p>
        </w:tc>
        <w:tc>
          <w:tcPr>
            <w:tcW w:w="2820" w:type="dxa"/>
            <w:tcBorders>
              <w:top w:val="nil"/>
              <w:left w:val="nil"/>
              <w:bottom w:val="nil"/>
              <w:right w:val="single" w:sz="4" w:space="0" w:color="auto"/>
            </w:tcBorders>
            <w:shd w:val="clear" w:color="auto" w:fill="auto"/>
            <w:noWrap/>
            <w:vAlign w:val="bottom"/>
            <w:hideMark/>
          </w:tcPr>
          <w:p w14:paraId="25779C2B"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-2,57</w:t>
            </w:r>
            <w:r w:rsidR="00D232C1">
              <w:rPr>
                <w:rFonts w:ascii="Arial" w:eastAsia="Times New Roman" w:hAnsi="Arial" w:cs="Arial"/>
                <w:sz w:val="20"/>
                <w:szCs w:val="20"/>
                <w:lang w:eastAsia="de-AT"/>
              </w:rPr>
              <w:t>%</w:t>
            </w:r>
          </w:p>
        </w:tc>
      </w:tr>
      <w:tr w:rsidR="00B01A93" w:rsidRPr="00B01A93" w14:paraId="7CBFDB2A" w14:textId="77777777" w:rsidTr="000D6DC7">
        <w:trPr>
          <w:trHeight w:val="264"/>
        </w:trPr>
        <w:tc>
          <w:tcPr>
            <w:tcW w:w="585" w:type="dxa"/>
            <w:tcBorders>
              <w:top w:val="nil"/>
              <w:left w:val="single" w:sz="4" w:space="0" w:color="auto"/>
              <w:bottom w:val="nil"/>
              <w:right w:val="single" w:sz="4" w:space="0" w:color="auto"/>
            </w:tcBorders>
            <w:shd w:val="clear" w:color="auto" w:fill="auto"/>
            <w:noWrap/>
            <w:vAlign w:val="bottom"/>
            <w:hideMark/>
          </w:tcPr>
          <w:p w14:paraId="66F16E3C" w14:textId="77777777" w:rsidR="00B01A93" w:rsidRPr="00B01A93" w:rsidRDefault="00B01A93" w:rsidP="00B01A93">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2013</w:t>
            </w:r>
          </w:p>
        </w:tc>
        <w:tc>
          <w:tcPr>
            <w:tcW w:w="5059" w:type="dxa"/>
            <w:tcBorders>
              <w:top w:val="nil"/>
              <w:left w:val="nil"/>
              <w:bottom w:val="nil"/>
              <w:right w:val="single" w:sz="4" w:space="0" w:color="auto"/>
            </w:tcBorders>
            <w:shd w:val="clear" w:color="auto" w:fill="auto"/>
            <w:noWrap/>
            <w:vAlign w:val="bottom"/>
            <w:hideMark/>
          </w:tcPr>
          <w:p w14:paraId="571ED188"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0,91</w:t>
            </w:r>
            <w:r w:rsidR="00D232C1">
              <w:rPr>
                <w:rFonts w:ascii="Arial" w:eastAsia="Times New Roman" w:hAnsi="Arial" w:cs="Arial"/>
                <w:sz w:val="20"/>
                <w:szCs w:val="20"/>
                <w:lang w:eastAsia="de-AT"/>
              </w:rPr>
              <w:t>%</w:t>
            </w:r>
          </w:p>
        </w:tc>
        <w:tc>
          <w:tcPr>
            <w:tcW w:w="2820" w:type="dxa"/>
            <w:tcBorders>
              <w:top w:val="nil"/>
              <w:left w:val="nil"/>
              <w:bottom w:val="nil"/>
              <w:right w:val="single" w:sz="4" w:space="0" w:color="auto"/>
            </w:tcBorders>
            <w:shd w:val="clear" w:color="auto" w:fill="auto"/>
            <w:noWrap/>
            <w:vAlign w:val="bottom"/>
            <w:hideMark/>
          </w:tcPr>
          <w:p w14:paraId="54593129"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-5,84</w:t>
            </w:r>
            <w:r w:rsidR="00D232C1">
              <w:rPr>
                <w:rFonts w:ascii="Arial" w:eastAsia="Times New Roman" w:hAnsi="Arial" w:cs="Arial"/>
                <w:sz w:val="20"/>
                <w:szCs w:val="20"/>
                <w:lang w:eastAsia="de-AT"/>
              </w:rPr>
              <w:t>%</w:t>
            </w:r>
          </w:p>
        </w:tc>
      </w:tr>
      <w:tr w:rsidR="00B01A93" w:rsidRPr="00B01A93" w14:paraId="6ECF9531" w14:textId="77777777" w:rsidTr="000D6DC7">
        <w:trPr>
          <w:trHeight w:val="264"/>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747E253" w14:textId="77777777" w:rsidR="00B01A93" w:rsidRPr="00B01A93" w:rsidRDefault="00B01A93" w:rsidP="00B01A93">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2014</w:t>
            </w:r>
          </w:p>
        </w:tc>
        <w:tc>
          <w:tcPr>
            <w:tcW w:w="5059" w:type="dxa"/>
            <w:tcBorders>
              <w:top w:val="nil"/>
              <w:left w:val="nil"/>
              <w:bottom w:val="single" w:sz="4" w:space="0" w:color="auto"/>
              <w:right w:val="single" w:sz="4" w:space="0" w:color="auto"/>
            </w:tcBorders>
            <w:shd w:val="clear" w:color="auto" w:fill="auto"/>
            <w:noWrap/>
            <w:vAlign w:val="bottom"/>
            <w:hideMark/>
          </w:tcPr>
          <w:p w14:paraId="4BC284F6"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-6,54</w:t>
            </w:r>
            <w:r w:rsidR="00D232C1">
              <w:rPr>
                <w:rFonts w:ascii="Arial" w:eastAsia="Times New Roman" w:hAnsi="Arial" w:cs="Arial"/>
                <w:sz w:val="20"/>
                <w:szCs w:val="20"/>
                <w:lang w:eastAsia="de-AT"/>
              </w:rPr>
              <w:t>%</w:t>
            </w:r>
          </w:p>
        </w:tc>
        <w:tc>
          <w:tcPr>
            <w:tcW w:w="2820" w:type="dxa"/>
            <w:tcBorders>
              <w:top w:val="nil"/>
              <w:left w:val="nil"/>
              <w:bottom w:val="single" w:sz="4" w:space="0" w:color="auto"/>
              <w:right w:val="single" w:sz="4" w:space="0" w:color="auto"/>
            </w:tcBorders>
            <w:shd w:val="clear" w:color="auto" w:fill="auto"/>
            <w:noWrap/>
            <w:vAlign w:val="bottom"/>
            <w:hideMark/>
          </w:tcPr>
          <w:p w14:paraId="0073A00C" w14:textId="77777777" w:rsidR="00B01A93" w:rsidRPr="00B01A93" w:rsidRDefault="00B01A93" w:rsidP="008C6CFE">
            <w:pPr>
              <w:spacing w:after="0" w:line="240" w:lineRule="auto"/>
              <w:jc w:val="center"/>
              <w:rPr>
                <w:rFonts w:ascii="Arial" w:eastAsia="Times New Roman" w:hAnsi="Arial" w:cs="Arial"/>
                <w:sz w:val="20"/>
                <w:szCs w:val="20"/>
                <w:lang w:eastAsia="de-AT"/>
              </w:rPr>
            </w:pPr>
            <w:r w:rsidRPr="00B01A93">
              <w:rPr>
                <w:rFonts w:ascii="Arial" w:eastAsia="Times New Roman" w:hAnsi="Arial" w:cs="Arial"/>
                <w:sz w:val="20"/>
                <w:szCs w:val="20"/>
                <w:lang w:eastAsia="de-AT"/>
              </w:rPr>
              <w:t>3,54</w:t>
            </w:r>
            <w:r w:rsidR="00D232C1">
              <w:rPr>
                <w:rFonts w:ascii="Arial" w:eastAsia="Times New Roman" w:hAnsi="Arial" w:cs="Arial"/>
                <w:sz w:val="20"/>
                <w:szCs w:val="20"/>
                <w:lang w:eastAsia="de-AT"/>
              </w:rPr>
              <w:t>%</w:t>
            </w:r>
          </w:p>
        </w:tc>
      </w:tr>
    </w:tbl>
    <w:p w14:paraId="2C9B78C8" w14:textId="77777777" w:rsidR="00B01A93" w:rsidRDefault="00B01A93" w:rsidP="00806BF3">
      <w:pPr>
        <w:spacing w:line="240" w:lineRule="auto"/>
        <w:jc w:val="both"/>
        <w:rPr>
          <w:rFonts w:ascii="Times New Roman" w:hAnsi="Times New Roman" w:cs="Times New Roman"/>
          <w:bCs/>
          <w:sz w:val="24"/>
          <w:szCs w:val="24"/>
          <w:lang w:val="en-US"/>
        </w:rPr>
      </w:pPr>
    </w:p>
    <w:p w14:paraId="637558F6"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Table 3 delivers an additional interesting aspect. From the perspective of the investor, the performance of a hedge fund should be positive at least year by year, because the major goal of an “Absolute Return Funds” is a positive performance in any kind of market situation (</w:t>
      </w:r>
      <w:proofErr w:type="spellStart"/>
      <w:r>
        <w:rPr>
          <w:rFonts w:ascii="Times New Roman" w:hAnsi="Times New Roman"/>
          <w:bCs/>
          <w:sz w:val="24"/>
          <w:lang w:val="en-US"/>
        </w:rPr>
        <w:t>Lhabitant</w:t>
      </w:r>
      <w:proofErr w:type="spellEnd"/>
      <w:r>
        <w:rPr>
          <w:rFonts w:ascii="Times New Roman" w:hAnsi="Times New Roman"/>
          <w:bCs/>
          <w:sz w:val="24"/>
          <w:lang w:val="en-US"/>
        </w:rPr>
        <w:t xml:space="preserve">, 2004, 255). Interestingly, the Macro Commodity index performed positive in the crisis year 2008, which totally contradicts with the performance of the HFRI Sector index (it </w:t>
      </w:r>
      <w:r w:rsidRPr="008977D9">
        <w:rPr>
          <w:rFonts w:ascii="Times New Roman" w:hAnsi="Times New Roman"/>
          <w:bCs/>
          <w:color w:val="000000"/>
          <w:sz w:val="24"/>
          <w:lang w:val="en-US"/>
        </w:rPr>
        <w:t>l</w:t>
      </w:r>
      <w:r>
        <w:rPr>
          <w:rFonts w:ascii="Times New Roman" w:hAnsi="Times New Roman"/>
          <w:bCs/>
          <w:sz w:val="24"/>
          <w:lang w:val="en-US"/>
        </w:rPr>
        <w:t xml:space="preserve">oses more than 41%). For an investor a positive performance in the crisis year 2008 could be regarded as a perfect portfolio hedge. In sum, yearly performance data attest the Macro Commodity index a good work. However, the years 2011-2013 were not successful if we take the Absolute Return </w:t>
      </w:r>
      <w:proofErr w:type="spellStart"/>
      <w:r>
        <w:rPr>
          <w:rFonts w:ascii="Times New Roman" w:hAnsi="Times New Roman"/>
          <w:bCs/>
          <w:sz w:val="24"/>
          <w:lang w:val="en-US"/>
        </w:rPr>
        <w:t>philosopohy</w:t>
      </w:r>
      <w:proofErr w:type="spellEnd"/>
      <w:r>
        <w:rPr>
          <w:rFonts w:ascii="Times New Roman" w:hAnsi="Times New Roman"/>
          <w:bCs/>
          <w:sz w:val="24"/>
          <w:lang w:val="en-US"/>
        </w:rPr>
        <w:t xml:space="preserve">. The performance data of the HFRI Sector index are not attractive for an institutional investor, because it brought four negative years and no positive performance over the whole period. We can conclude that the Macro Commodity Index reached at least partly the goal to be an “Absolute Return Fund”. </w:t>
      </w:r>
    </w:p>
    <w:p w14:paraId="27E2BA13"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We have to add one important point to our performance analysis. The performance was calculated from a Commodity Hedge Fund index. Of course there could be individual hedge funds with completely different performance data. Therefore, an investor has to track the index completely to be diversified. If an investor chooses only one or a few Commodity Hedge Funds, the risk is much higher than with a diversified portfolio.</w:t>
      </w:r>
    </w:p>
    <w:p w14:paraId="4009232C" w14:textId="77777777" w:rsidR="000D6DC7" w:rsidRPr="00B1310B" w:rsidRDefault="000D6DC7" w:rsidP="007F17B7">
      <w:pPr>
        <w:spacing w:line="240" w:lineRule="auto"/>
        <w:jc w:val="both"/>
        <w:rPr>
          <w:rFonts w:ascii="Times New Roman" w:hAnsi="Times New Roman" w:cs="Times New Roman"/>
          <w:b/>
          <w:bCs/>
          <w:sz w:val="24"/>
          <w:szCs w:val="24"/>
          <w:lang w:val="en-US"/>
        </w:rPr>
      </w:pPr>
      <w:r w:rsidRPr="00B1310B">
        <w:rPr>
          <w:rFonts w:ascii="Times New Roman" w:hAnsi="Times New Roman" w:cs="Times New Roman"/>
          <w:b/>
          <w:bCs/>
          <w:sz w:val="24"/>
          <w:szCs w:val="24"/>
          <w:lang w:val="en-US"/>
        </w:rPr>
        <w:t>Table 4: Correlations</w:t>
      </w:r>
    </w:p>
    <w:tbl>
      <w:tblPr>
        <w:tblW w:w="9920" w:type="dxa"/>
        <w:tblInd w:w="-5" w:type="dxa"/>
        <w:tblCellMar>
          <w:left w:w="70" w:type="dxa"/>
          <w:right w:w="70" w:type="dxa"/>
        </w:tblCellMar>
        <w:tblLook w:val="04A0" w:firstRow="1" w:lastRow="0" w:firstColumn="1" w:lastColumn="0" w:noHBand="0" w:noVBand="1"/>
      </w:tblPr>
      <w:tblGrid>
        <w:gridCol w:w="1256"/>
        <w:gridCol w:w="1224"/>
        <w:gridCol w:w="1240"/>
        <w:gridCol w:w="1240"/>
        <w:gridCol w:w="1240"/>
        <w:gridCol w:w="1240"/>
        <w:gridCol w:w="1240"/>
        <w:gridCol w:w="1240"/>
      </w:tblGrid>
      <w:tr w:rsidR="003F0F2F" w:rsidRPr="003F0F2F" w14:paraId="0379E078" w14:textId="77777777" w:rsidTr="000D6DC7">
        <w:trPr>
          <w:trHeight w:val="264"/>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738A2"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 </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14:paraId="79647D09"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 xml:space="preserve">HF </w:t>
            </w:r>
            <w:proofErr w:type="spellStart"/>
            <w:r w:rsidRPr="003F0F2F">
              <w:rPr>
                <w:rFonts w:ascii="Arial" w:eastAsia="Times New Roman" w:hAnsi="Arial" w:cs="Arial"/>
                <w:sz w:val="20"/>
                <w:szCs w:val="20"/>
                <w:lang w:eastAsia="de-AT"/>
              </w:rPr>
              <w:t>Macro</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F1DA879" w14:textId="77777777" w:rsidR="003F0F2F" w:rsidRPr="003F0F2F" w:rsidRDefault="003F0F2F" w:rsidP="003F0F2F">
            <w:pPr>
              <w:spacing w:after="0" w:line="240" w:lineRule="auto"/>
              <w:rPr>
                <w:rFonts w:ascii="Arial" w:eastAsia="Times New Roman" w:hAnsi="Arial" w:cs="Arial"/>
                <w:sz w:val="20"/>
                <w:szCs w:val="20"/>
                <w:lang w:eastAsia="de-AT"/>
              </w:rPr>
            </w:pPr>
            <w:proofErr w:type="spellStart"/>
            <w:r w:rsidRPr="003F0F2F">
              <w:rPr>
                <w:rFonts w:ascii="Arial" w:eastAsia="Times New Roman" w:hAnsi="Arial" w:cs="Arial"/>
                <w:sz w:val="20"/>
                <w:szCs w:val="20"/>
                <w:lang w:eastAsia="de-AT"/>
              </w:rPr>
              <w:t>HFEnergy</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FD4FA81" w14:textId="77777777" w:rsidR="003F0F2F" w:rsidRPr="003F0F2F" w:rsidRDefault="003F0F2F" w:rsidP="003F0F2F">
            <w:pPr>
              <w:spacing w:after="0" w:line="240" w:lineRule="auto"/>
              <w:rPr>
                <w:rFonts w:ascii="Arial" w:eastAsia="Times New Roman" w:hAnsi="Arial" w:cs="Arial"/>
                <w:sz w:val="20"/>
                <w:szCs w:val="20"/>
                <w:lang w:eastAsia="de-AT"/>
              </w:rPr>
            </w:pPr>
            <w:proofErr w:type="spellStart"/>
            <w:r w:rsidRPr="003F0F2F">
              <w:rPr>
                <w:rFonts w:ascii="Arial" w:eastAsia="Times New Roman" w:hAnsi="Arial" w:cs="Arial"/>
                <w:sz w:val="20"/>
                <w:szCs w:val="20"/>
                <w:lang w:eastAsia="de-AT"/>
              </w:rPr>
              <w:t>GBIndex</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89B0AD2"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S &amp; P 500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EFAD99B"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CRB</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87AD570"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 xml:space="preserve">HF </w:t>
            </w:r>
            <w:proofErr w:type="spellStart"/>
            <w:r w:rsidRPr="003F0F2F">
              <w:rPr>
                <w:rFonts w:ascii="Arial" w:eastAsia="Times New Roman" w:hAnsi="Arial" w:cs="Arial"/>
                <w:sz w:val="20"/>
                <w:szCs w:val="20"/>
                <w:lang w:eastAsia="de-AT"/>
              </w:rPr>
              <w:t>Comp</w:t>
            </w:r>
            <w:proofErr w:type="spellEnd"/>
          </w:p>
        </w:tc>
        <w:tc>
          <w:tcPr>
            <w:tcW w:w="1240" w:type="dxa"/>
            <w:tcBorders>
              <w:top w:val="nil"/>
              <w:left w:val="nil"/>
              <w:bottom w:val="nil"/>
              <w:right w:val="nil"/>
            </w:tcBorders>
            <w:shd w:val="clear" w:color="auto" w:fill="auto"/>
            <w:noWrap/>
            <w:vAlign w:val="bottom"/>
            <w:hideMark/>
          </w:tcPr>
          <w:p w14:paraId="4B5B2A7D" w14:textId="77777777" w:rsidR="003F0F2F" w:rsidRPr="003F0F2F" w:rsidRDefault="003F0F2F" w:rsidP="003F0F2F">
            <w:pPr>
              <w:spacing w:after="0" w:line="240" w:lineRule="auto"/>
              <w:rPr>
                <w:rFonts w:ascii="Arial" w:eastAsia="Times New Roman" w:hAnsi="Arial" w:cs="Arial"/>
                <w:sz w:val="20"/>
                <w:szCs w:val="20"/>
                <w:lang w:eastAsia="de-AT"/>
              </w:rPr>
            </w:pPr>
          </w:p>
        </w:tc>
      </w:tr>
      <w:tr w:rsidR="003F0F2F" w:rsidRPr="003F0F2F" w14:paraId="62C88D45" w14:textId="77777777" w:rsidTr="008C6CFE">
        <w:trPr>
          <w:trHeight w:val="264"/>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75A51403"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 xml:space="preserve">HF </w:t>
            </w:r>
            <w:proofErr w:type="spellStart"/>
            <w:r w:rsidRPr="003F0F2F">
              <w:rPr>
                <w:rFonts w:ascii="Arial" w:eastAsia="Times New Roman" w:hAnsi="Arial" w:cs="Arial"/>
                <w:sz w:val="20"/>
                <w:szCs w:val="20"/>
                <w:lang w:eastAsia="de-AT"/>
              </w:rPr>
              <w:t>Macro</w:t>
            </w:r>
            <w:proofErr w:type="spellEnd"/>
          </w:p>
        </w:tc>
        <w:tc>
          <w:tcPr>
            <w:tcW w:w="1224" w:type="dxa"/>
            <w:tcBorders>
              <w:top w:val="nil"/>
              <w:left w:val="nil"/>
              <w:bottom w:val="single" w:sz="4" w:space="0" w:color="auto"/>
              <w:right w:val="single" w:sz="4" w:space="0" w:color="auto"/>
            </w:tcBorders>
            <w:shd w:val="clear" w:color="auto" w:fill="auto"/>
            <w:noWrap/>
            <w:hideMark/>
          </w:tcPr>
          <w:p w14:paraId="58FDAEAD"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1</w:t>
            </w:r>
          </w:p>
        </w:tc>
        <w:tc>
          <w:tcPr>
            <w:tcW w:w="1240" w:type="dxa"/>
            <w:tcBorders>
              <w:top w:val="nil"/>
              <w:left w:val="nil"/>
              <w:bottom w:val="single" w:sz="4" w:space="0" w:color="auto"/>
              <w:right w:val="single" w:sz="4" w:space="0" w:color="auto"/>
            </w:tcBorders>
            <w:shd w:val="clear" w:color="auto" w:fill="auto"/>
            <w:noWrap/>
          </w:tcPr>
          <w:p w14:paraId="1722F8CB"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33AF4456"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65DD60BF"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78D5607E"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2CE3AB33"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nil"/>
              <w:right w:val="nil"/>
            </w:tcBorders>
            <w:shd w:val="clear" w:color="auto" w:fill="auto"/>
            <w:noWrap/>
            <w:vAlign w:val="bottom"/>
            <w:hideMark/>
          </w:tcPr>
          <w:p w14:paraId="352B8CE2"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r>
      <w:tr w:rsidR="003F0F2F" w:rsidRPr="003F0F2F" w14:paraId="0396930B" w14:textId="77777777" w:rsidTr="008C6CFE">
        <w:trPr>
          <w:trHeight w:val="264"/>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2E081BC" w14:textId="77777777" w:rsidR="003F0F2F" w:rsidRPr="003F0F2F" w:rsidRDefault="003F0F2F" w:rsidP="003F0F2F">
            <w:pPr>
              <w:spacing w:after="0" w:line="240" w:lineRule="auto"/>
              <w:rPr>
                <w:rFonts w:ascii="Arial" w:eastAsia="Times New Roman" w:hAnsi="Arial" w:cs="Arial"/>
                <w:sz w:val="20"/>
                <w:szCs w:val="20"/>
                <w:lang w:eastAsia="de-AT"/>
              </w:rPr>
            </w:pPr>
            <w:proofErr w:type="spellStart"/>
            <w:r w:rsidRPr="003F0F2F">
              <w:rPr>
                <w:rFonts w:ascii="Arial" w:eastAsia="Times New Roman" w:hAnsi="Arial" w:cs="Arial"/>
                <w:sz w:val="20"/>
                <w:szCs w:val="20"/>
                <w:lang w:eastAsia="de-AT"/>
              </w:rPr>
              <w:t>HFEnergy</w:t>
            </w:r>
            <w:proofErr w:type="spellEnd"/>
          </w:p>
        </w:tc>
        <w:tc>
          <w:tcPr>
            <w:tcW w:w="1224" w:type="dxa"/>
            <w:tcBorders>
              <w:top w:val="nil"/>
              <w:left w:val="nil"/>
              <w:bottom w:val="single" w:sz="4" w:space="0" w:color="auto"/>
              <w:right w:val="single" w:sz="4" w:space="0" w:color="auto"/>
            </w:tcBorders>
            <w:shd w:val="clear" w:color="auto" w:fill="auto"/>
            <w:noWrap/>
            <w:hideMark/>
          </w:tcPr>
          <w:p w14:paraId="39DDD1D4"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,549</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0DC78544"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1</w:t>
            </w:r>
          </w:p>
        </w:tc>
        <w:tc>
          <w:tcPr>
            <w:tcW w:w="1240" w:type="dxa"/>
            <w:tcBorders>
              <w:top w:val="nil"/>
              <w:left w:val="nil"/>
              <w:bottom w:val="single" w:sz="4" w:space="0" w:color="auto"/>
              <w:right w:val="single" w:sz="4" w:space="0" w:color="auto"/>
            </w:tcBorders>
            <w:shd w:val="clear" w:color="auto" w:fill="auto"/>
            <w:noWrap/>
          </w:tcPr>
          <w:p w14:paraId="3A502D9D"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30F2A472"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679B7D08"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53189105"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nil"/>
              <w:right w:val="nil"/>
            </w:tcBorders>
            <w:shd w:val="clear" w:color="auto" w:fill="auto"/>
            <w:noWrap/>
            <w:vAlign w:val="bottom"/>
            <w:hideMark/>
          </w:tcPr>
          <w:p w14:paraId="708042FB"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r>
      <w:tr w:rsidR="003F0F2F" w:rsidRPr="003F0F2F" w14:paraId="679A9A3D" w14:textId="77777777" w:rsidTr="008C6CFE">
        <w:trPr>
          <w:trHeight w:val="264"/>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4293CA36" w14:textId="77777777" w:rsidR="003F0F2F" w:rsidRPr="003F0F2F" w:rsidRDefault="003F0F2F" w:rsidP="003F0F2F">
            <w:pPr>
              <w:spacing w:after="0" w:line="240" w:lineRule="auto"/>
              <w:rPr>
                <w:rFonts w:ascii="Arial" w:eastAsia="Times New Roman" w:hAnsi="Arial" w:cs="Arial"/>
                <w:sz w:val="20"/>
                <w:szCs w:val="20"/>
                <w:lang w:eastAsia="de-AT"/>
              </w:rPr>
            </w:pPr>
            <w:proofErr w:type="spellStart"/>
            <w:r w:rsidRPr="003F0F2F">
              <w:rPr>
                <w:rFonts w:ascii="Arial" w:eastAsia="Times New Roman" w:hAnsi="Arial" w:cs="Arial"/>
                <w:sz w:val="20"/>
                <w:szCs w:val="20"/>
                <w:lang w:eastAsia="de-AT"/>
              </w:rPr>
              <w:t>GBIndex</w:t>
            </w:r>
            <w:proofErr w:type="spellEnd"/>
          </w:p>
        </w:tc>
        <w:tc>
          <w:tcPr>
            <w:tcW w:w="1224" w:type="dxa"/>
            <w:tcBorders>
              <w:top w:val="nil"/>
              <w:left w:val="nil"/>
              <w:bottom w:val="single" w:sz="4" w:space="0" w:color="auto"/>
              <w:right w:val="single" w:sz="4" w:space="0" w:color="auto"/>
            </w:tcBorders>
            <w:shd w:val="clear" w:color="auto" w:fill="auto"/>
            <w:noWrap/>
            <w:hideMark/>
          </w:tcPr>
          <w:p w14:paraId="3AC162D1" w14:textId="77777777" w:rsidR="003F0F2F" w:rsidRPr="003F0F2F" w:rsidRDefault="003F0F2F" w:rsidP="008C6CFE">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-,044</w:t>
            </w:r>
          </w:p>
        </w:tc>
        <w:tc>
          <w:tcPr>
            <w:tcW w:w="1240" w:type="dxa"/>
            <w:tcBorders>
              <w:top w:val="nil"/>
              <w:left w:val="nil"/>
              <w:bottom w:val="single" w:sz="4" w:space="0" w:color="auto"/>
              <w:right w:val="single" w:sz="4" w:space="0" w:color="auto"/>
            </w:tcBorders>
            <w:shd w:val="clear" w:color="auto" w:fill="auto"/>
            <w:noWrap/>
            <w:hideMark/>
          </w:tcPr>
          <w:p w14:paraId="27F8C6AA"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-,312</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0DEA4054"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1</w:t>
            </w:r>
          </w:p>
        </w:tc>
        <w:tc>
          <w:tcPr>
            <w:tcW w:w="1240" w:type="dxa"/>
            <w:tcBorders>
              <w:top w:val="nil"/>
              <w:left w:val="nil"/>
              <w:bottom w:val="single" w:sz="4" w:space="0" w:color="auto"/>
              <w:right w:val="single" w:sz="4" w:space="0" w:color="auto"/>
            </w:tcBorders>
            <w:shd w:val="clear" w:color="auto" w:fill="auto"/>
            <w:noWrap/>
          </w:tcPr>
          <w:p w14:paraId="6EB27E73"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50A9FADC"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2409B825"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nil"/>
              <w:right w:val="nil"/>
            </w:tcBorders>
            <w:shd w:val="clear" w:color="auto" w:fill="auto"/>
            <w:noWrap/>
            <w:vAlign w:val="bottom"/>
            <w:hideMark/>
          </w:tcPr>
          <w:p w14:paraId="23EA1E56"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r>
      <w:tr w:rsidR="003F0F2F" w:rsidRPr="003F0F2F" w14:paraId="0CCB2DD6" w14:textId="77777777" w:rsidTr="008C6CFE">
        <w:trPr>
          <w:trHeight w:val="264"/>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11BFD90"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S &amp; P 500</w:t>
            </w:r>
          </w:p>
        </w:tc>
        <w:tc>
          <w:tcPr>
            <w:tcW w:w="1224" w:type="dxa"/>
            <w:tcBorders>
              <w:top w:val="nil"/>
              <w:left w:val="nil"/>
              <w:bottom w:val="single" w:sz="4" w:space="0" w:color="auto"/>
              <w:right w:val="single" w:sz="4" w:space="0" w:color="auto"/>
            </w:tcBorders>
            <w:shd w:val="clear" w:color="auto" w:fill="auto"/>
            <w:noWrap/>
            <w:hideMark/>
          </w:tcPr>
          <w:p w14:paraId="19DB4A44"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,201</w:t>
            </w:r>
          </w:p>
        </w:tc>
        <w:tc>
          <w:tcPr>
            <w:tcW w:w="1240" w:type="dxa"/>
            <w:tcBorders>
              <w:top w:val="nil"/>
              <w:left w:val="nil"/>
              <w:bottom w:val="single" w:sz="4" w:space="0" w:color="auto"/>
              <w:right w:val="single" w:sz="4" w:space="0" w:color="auto"/>
            </w:tcBorders>
            <w:shd w:val="clear" w:color="auto" w:fill="auto"/>
            <w:noWrap/>
            <w:hideMark/>
          </w:tcPr>
          <w:p w14:paraId="0CBCDB16"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,725</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442DA04D"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-,387</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256B847D"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1</w:t>
            </w:r>
          </w:p>
        </w:tc>
        <w:tc>
          <w:tcPr>
            <w:tcW w:w="1240" w:type="dxa"/>
            <w:tcBorders>
              <w:top w:val="nil"/>
              <w:left w:val="nil"/>
              <w:bottom w:val="single" w:sz="4" w:space="0" w:color="auto"/>
              <w:right w:val="single" w:sz="4" w:space="0" w:color="auto"/>
            </w:tcBorders>
            <w:shd w:val="clear" w:color="auto" w:fill="auto"/>
            <w:noWrap/>
          </w:tcPr>
          <w:p w14:paraId="28C67312"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single" w:sz="4" w:space="0" w:color="auto"/>
              <w:right w:val="single" w:sz="4" w:space="0" w:color="auto"/>
            </w:tcBorders>
            <w:shd w:val="clear" w:color="auto" w:fill="auto"/>
            <w:noWrap/>
          </w:tcPr>
          <w:p w14:paraId="60395433"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nil"/>
              <w:right w:val="nil"/>
            </w:tcBorders>
            <w:shd w:val="clear" w:color="auto" w:fill="auto"/>
            <w:noWrap/>
            <w:vAlign w:val="bottom"/>
            <w:hideMark/>
          </w:tcPr>
          <w:p w14:paraId="1260207E"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r>
      <w:tr w:rsidR="003F0F2F" w:rsidRPr="003F0F2F" w14:paraId="30B541DD" w14:textId="77777777" w:rsidTr="000D6DC7">
        <w:trPr>
          <w:trHeight w:val="264"/>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69AA16B9"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CRB</w:t>
            </w:r>
          </w:p>
        </w:tc>
        <w:tc>
          <w:tcPr>
            <w:tcW w:w="1224" w:type="dxa"/>
            <w:tcBorders>
              <w:top w:val="nil"/>
              <w:left w:val="nil"/>
              <w:bottom w:val="single" w:sz="4" w:space="0" w:color="auto"/>
              <w:right w:val="single" w:sz="4" w:space="0" w:color="auto"/>
            </w:tcBorders>
            <w:shd w:val="clear" w:color="auto" w:fill="auto"/>
            <w:noWrap/>
            <w:hideMark/>
          </w:tcPr>
          <w:p w14:paraId="3D36A8F3"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,489</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74FC41C6"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,755</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0C743E6C"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-,388</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628B6184"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,559</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1828EC35"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1</w:t>
            </w:r>
          </w:p>
        </w:tc>
        <w:tc>
          <w:tcPr>
            <w:tcW w:w="1240" w:type="dxa"/>
            <w:tcBorders>
              <w:top w:val="nil"/>
              <w:left w:val="nil"/>
              <w:bottom w:val="single" w:sz="4" w:space="0" w:color="auto"/>
              <w:right w:val="single" w:sz="4" w:space="0" w:color="auto"/>
            </w:tcBorders>
            <w:shd w:val="clear" w:color="auto" w:fill="auto"/>
            <w:noWrap/>
            <w:hideMark/>
          </w:tcPr>
          <w:p w14:paraId="74FA6C44" w14:textId="77777777" w:rsidR="003F0F2F" w:rsidRPr="003F0F2F" w:rsidRDefault="003F0F2F" w:rsidP="008C6CFE">
            <w:pPr>
              <w:spacing w:after="0" w:line="240" w:lineRule="auto"/>
              <w:jc w:val="center"/>
              <w:rPr>
                <w:rFonts w:ascii="Arial" w:eastAsia="Times New Roman" w:hAnsi="Arial" w:cs="Arial"/>
                <w:color w:val="010205"/>
                <w:sz w:val="18"/>
                <w:szCs w:val="18"/>
                <w:lang w:eastAsia="de-AT"/>
              </w:rPr>
            </w:pPr>
          </w:p>
        </w:tc>
        <w:tc>
          <w:tcPr>
            <w:tcW w:w="1240" w:type="dxa"/>
            <w:tcBorders>
              <w:top w:val="nil"/>
              <w:left w:val="nil"/>
              <w:bottom w:val="nil"/>
              <w:right w:val="nil"/>
            </w:tcBorders>
            <w:shd w:val="clear" w:color="auto" w:fill="auto"/>
            <w:noWrap/>
            <w:vAlign w:val="bottom"/>
            <w:hideMark/>
          </w:tcPr>
          <w:p w14:paraId="461863B0"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r>
      <w:tr w:rsidR="003F0F2F" w:rsidRPr="003F0F2F" w14:paraId="781C6A3C" w14:textId="77777777" w:rsidTr="000D6DC7">
        <w:trPr>
          <w:trHeight w:val="264"/>
        </w:trPr>
        <w:tc>
          <w:tcPr>
            <w:tcW w:w="1256" w:type="dxa"/>
            <w:tcBorders>
              <w:top w:val="nil"/>
              <w:left w:val="single" w:sz="4" w:space="0" w:color="auto"/>
              <w:bottom w:val="single" w:sz="4" w:space="0" w:color="auto"/>
              <w:right w:val="single" w:sz="4" w:space="0" w:color="auto"/>
            </w:tcBorders>
            <w:shd w:val="clear" w:color="auto" w:fill="auto"/>
            <w:noWrap/>
            <w:vAlign w:val="bottom"/>
            <w:hideMark/>
          </w:tcPr>
          <w:p w14:paraId="34AC767B" w14:textId="77777777" w:rsidR="003F0F2F" w:rsidRPr="003F0F2F" w:rsidRDefault="003F0F2F" w:rsidP="003F0F2F">
            <w:pPr>
              <w:spacing w:after="0" w:line="240" w:lineRule="auto"/>
              <w:rPr>
                <w:rFonts w:ascii="Arial" w:eastAsia="Times New Roman" w:hAnsi="Arial" w:cs="Arial"/>
                <w:sz w:val="20"/>
                <w:szCs w:val="20"/>
                <w:lang w:eastAsia="de-AT"/>
              </w:rPr>
            </w:pPr>
            <w:r w:rsidRPr="003F0F2F">
              <w:rPr>
                <w:rFonts w:ascii="Arial" w:eastAsia="Times New Roman" w:hAnsi="Arial" w:cs="Arial"/>
                <w:sz w:val="20"/>
                <w:szCs w:val="20"/>
                <w:lang w:eastAsia="de-AT"/>
              </w:rPr>
              <w:t xml:space="preserve">HF </w:t>
            </w:r>
            <w:proofErr w:type="spellStart"/>
            <w:r w:rsidRPr="003F0F2F">
              <w:rPr>
                <w:rFonts w:ascii="Arial" w:eastAsia="Times New Roman" w:hAnsi="Arial" w:cs="Arial"/>
                <w:sz w:val="20"/>
                <w:szCs w:val="20"/>
                <w:lang w:eastAsia="de-AT"/>
              </w:rPr>
              <w:t>Comp</w:t>
            </w:r>
            <w:proofErr w:type="spellEnd"/>
          </w:p>
        </w:tc>
        <w:tc>
          <w:tcPr>
            <w:tcW w:w="1224" w:type="dxa"/>
            <w:tcBorders>
              <w:top w:val="nil"/>
              <w:left w:val="nil"/>
              <w:bottom w:val="single" w:sz="4" w:space="0" w:color="auto"/>
              <w:right w:val="single" w:sz="4" w:space="0" w:color="auto"/>
            </w:tcBorders>
            <w:shd w:val="clear" w:color="auto" w:fill="auto"/>
            <w:noWrap/>
            <w:hideMark/>
          </w:tcPr>
          <w:p w14:paraId="574A1331"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,466</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4FCF15B8"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,922</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5681024B"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-,359</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2E41D7E8"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,842</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2F049EE6"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,709</w:t>
            </w:r>
            <w:r w:rsidRPr="003F0F2F">
              <w:rPr>
                <w:rFonts w:ascii="Arial" w:eastAsia="Times New Roman" w:hAnsi="Arial" w:cs="Arial"/>
                <w:color w:val="010205"/>
                <w:sz w:val="18"/>
                <w:szCs w:val="18"/>
                <w:vertAlign w:val="superscript"/>
                <w:lang w:eastAsia="de-AT"/>
              </w:rPr>
              <w:t>**</w:t>
            </w:r>
          </w:p>
        </w:tc>
        <w:tc>
          <w:tcPr>
            <w:tcW w:w="1240" w:type="dxa"/>
            <w:tcBorders>
              <w:top w:val="nil"/>
              <w:left w:val="nil"/>
              <w:bottom w:val="single" w:sz="4" w:space="0" w:color="auto"/>
              <w:right w:val="single" w:sz="4" w:space="0" w:color="auto"/>
            </w:tcBorders>
            <w:shd w:val="clear" w:color="auto" w:fill="auto"/>
            <w:noWrap/>
            <w:hideMark/>
          </w:tcPr>
          <w:p w14:paraId="5F509932"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1</w:t>
            </w:r>
          </w:p>
        </w:tc>
        <w:tc>
          <w:tcPr>
            <w:tcW w:w="1240" w:type="dxa"/>
            <w:tcBorders>
              <w:top w:val="nil"/>
              <w:left w:val="nil"/>
              <w:bottom w:val="nil"/>
              <w:right w:val="nil"/>
            </w:tcBorders>
            <w:shd w:val="clear" w:color="auto" w:fill="auto"/>
            <w:noWrap/>
            <w:vAlign w:val="bottom"/>
            <w:hideMark/>
          </w:tcPr>
          <w:p w14:paraId="3212037C" w14:textId="77777777" w:rsidR="003F0F2F" w:rsidRPr="003F0F2F" w:rsidRDefault="003F0F2F" w:rsidP="003F0F2F">
            <w:pPr>
              <w:spacing w:after="0" w:line="240" w:lineRule="auto"/>
              <w:jc w:val="center"/>
              <w:rPr>
                <w:rFonts w:ascii="Arial" w:eastAsia="Times New Roman" w:hAnsi="Arial" w:cs="Arial"/>
                <w:color w:val="010205"/>
                <w:sz w:val="18"/>
                <w:szCs w:val="18"/>
                <w:lang w:eastAsia="de-AT"/>
              </w:rPr>
            </w:pPr>
          </w:p>
        </w:tc>
      </w:tr>
      <w:tr w:rsidR="003F0F2F" w:rsidRPr="003F0F2F" w14:paraId="132A7E73" w14:textId="77777777" w:rsidTr="000D6DC7">
        <w:trPr>
          <w:trHeight w:val="264"/>
        </w:trPr>
        <w:tc>
          <w:tcPr>
            <w:tcW w:w="1256" w:type="dxa"/>
            <w:tcBorders>
              <w:top w:val="nil"/>
              <w:left w:val="nil"/>
              <w:bottom w:val="nil"/>
              <w:right w:val="nil"/>
            </w:tcBorders>
            <w:shd w:val="clear" w:color="auto" w:fill="auto"/>
            <w:noWrap/>
            <w:vAlign w:val="bottom"/>
            <w:hideMark/>
          </w:tcPr>
          <w:p w14:paraId="752476DB" w14:textId="77777777" w:rsidR="003F0F2F" w:rsidRPr="003F0F2F" w:rsidRDefault="003F0F2F" w:rsidP="003F0F2F">
            <w:pPr>
              <w:spacing w:after="0" w:line="240" w:lineRule="auto"/>
              <w:rPr>
                <w:rFonts w:ascii="Times New Roman" w:eastAsia="Times New Roman" w:hAnsi="Times New Roman" w:cs="Times New Roman"/>
                <w:sz w:val="20"/>
                <w:szCs w:val="20"/>
                <w:lang w:eastAsia="de-AT"/>
              </w:rPr>
            </w:pPr>
          </w:p>
        </w:tc>
        <w:tc>
          <w:tcPr>
            <w:tcW w:w="1224" w:type="dxa"/>
            <w:tcBorders>
              <w:top w:val="nil"/>
              <w:left w:val="nil"/>
              <w:bottom w:val="nil"/>
              <w:right w:val="nil"/>
            </w:tcBorders>
            <w:shd w:val="clear" w:color="auto" w:fill="auto"/>
            <w:noWrap/>
            <w:vAlign w:val="bottom"/>
            <w:hideMark/>
          </w:tcPr>
          <w:p w14:paraId="12F0A187" w14:textId="77777777" w:rsidR="003F0F2F" w:rsidRPr="003F0F2F" w:rsidRDefault="003F0F2F" w:rsidP="003F0F2F">
            <w:pPr>
              <w:spacing w:after="0" w:line="240" w:lineRule="auto"/>
              <w:rPr>
                <w:rFonts w:ascii="Times New Roman" w:eastAsia="Times New Roman" w:hAnsi="Times New Roman" w:cs="Times New Roman"/>
                <w:sz w:val="20"/>
                <w:szCs w:val="20"/>
                <w:lang w:eastAsia="de-AT"/>
              </w:rPr>
            </w:pPr>
          </w:p>
        </w:tc>
        <w:tc>
          <w:tcPr>
            <w:tcW w:w="1240" w:type="dxa"/>
            <w:tcBorders>
              <w:top w:val="nil"/>
              <w:left w:val="nil"/>
              <w:bottom w:val="nil"/>
              <w:right w:val="nil"/>
            </w:tcBorders>
            <w:shd w:val="clear" w:color="auto" w:fill="auto"/>
            <w:noWrap/>
            <w:vAlign w:val="bottom"/>
            <w:hideMark/>
          </w:tcPr>
          <w:p w14:paraId="34717629" w14:textId="77777777" w:rsidR="003F0F2F" w:rsidRPr="003F0F2F" w:rsidRDefault="003F0F2F" w:rsidP="003F0F2F">
            <w:pPr>
              <w:spacing w:after="0" w:line="240" w:lineRule="auto"/>
              <w:rPr>
                <w:rFonts w:ascii="Times New Roman" w:eastAsia="Times New Roman" w:hAnsi="Times New Roman" w:cs="Times New Roman"/>
                <w:sz w:val="20"/>
                <w:szCs w:val="20"/>
                <w:lang w:eastAsia="de-AT"/>
              </w:rPr>
            </w:pPr>
          </w:p>
        </w:tc>
        <w:tc>
          <w:tcPr>
            <w:tcW w:w="1240" w:type="dxa"/>
            <w:tcBorders>
              <w:top w:val="nil"/>
              <w:left w:val="nil"/>
              <w:bottom w:val="nil"/>
              <w:right w:val="nil"/>
            </w:tcBorders>
            <w:shd w:val="clear" w:color="auto" w:fill="auto"/>
            <w:noWrap/>
            <w:vAlign w:val="bottom"/>
            <w:hideMark/>
          </w:tcPr>
          <w:p w14:paraId="7FCECC9F" w14:textId="77777777" w:rsidR="003F0F2F" w:rsidRPr="003F0F2F" w:rsidRDefault="003F0F2F" w:rsidP="003F0F2F">
            <w:pPr>
              <w:spacing w:after="0" w:line="240" w:lineRule="auto"/>
              <w:rPr>
                <w:rFonts w:ascii="Times New Roman" w:eastAsia="Times New Roman" w:hAnsi="Times New Roman" w:cs="Times New Roman"/>
                <w:sz w:val="20"/>
                <w:szCs w:val="20"/>
                <w:lang w:eastAsia="de-AT"/>
              </w:rPr>
            </w:pPr>
          </w:p>
        </w:tc>
        <w:tc>
          <w:tcPr>
            <w:tcW w:w="1240" w:type="dxa"/>
            <w:tcBorders>
              <w:top w:val="nil"/>
              <w:left w:val="nil"/>
              <w:bottom w:val="nil"/>
              <w:right w:val="nil"/>
            </w:tcBorders>
            <w:shd w:val="clear" w:color="auto" w:fill="auto"/>
            <w:noWrap/>
            <w:vAlign w:val="bottom"/>
            <w:hideMark/>
          </w:tcPr>
          <w:p w14:paraId="3B8CE5C6" w14:textId="77777777" w:rsidR="003F0F2F" w:rsidRPr="003F0F2F" w:rsidRDefault="003F0F2F" w:rsidP="003F0F2F">
            <w:pPr>
              <w:spacing w:after="0" w:line="240" w:lineRule="auto"/>
              <w:rPr>
                <w:rFonts w:ascii="Times New Roman" w:eastAsia="Times New Roman" w:hAnsi="Times New Roman" w:cs="Times New Roman"/>
                <w:sz w:val="20"/>
                <w:szCs w:val="20"/>
                <w:lang w:eastAsia="de-AT"/>
              </w:rPr>
            </w:pPr>
          </w:p>
        </w:tc>
        <w:tc>
          <w:tcPr>
            <w:tcW w:w="1240" w:type="dxa"/>
            <w:tcBorders>
              <w:top w:val="nil"/>
              <w:left w:val="nil"/>
              <w:bottom w:val="nil"/>
              <w:right w:val="nil"/>
            </w:tcBorders>
            <w:shd w:val="clear" w:color="auto" w:fill="auto"/>
            <w:noWrap/>
            <w:vAlign w:val="bottom"/>
            <w:hideMark/>
          </w:tcPr>
          <w:p w14:paraId="2757BA11" w14:textId="77777777" w:rsidR="003F0F2F" w:rsidRPr="003F0F2F" w:rsidRDefault="003F0F2F" w:rsidP="003F0F2F">
            <w:pPr>
              <w:spacing w:after="0" w:line="240" w:lineRule="auto"/>
              <w:rPr>
                <w:rFonts w:ascii="Times New Roman" w:eastAsia="Times New Roman" w:hAnsi="Times New Roman" w:cs="Times New Roman"/>
                <w:sz w:val="20"/>
                <w:szCs w:val="20"/>
                <w:lang w:eastAsia="de-AT"/>
              </w:rPr>
            </w:pPr>
          </w:p>
        </w:tc>
        <w:tc>
          <w:tcPr>
            <w:tcW w:w="1240" w:type="dxa"/>
            <w:tcBorders>
              <w:top w:val="nil"/>
              <w:left w:val="nil"/>
              <w:bottom w:val="nil"/>
              <w:right w:val="nil"/>
            </w:tcBorders>
            <w:shd w:val="clear" w:color="auto" w:fill="auto"/>
            <w:noWrap/>
            <w:vAlign w:val="bottom"/>
            <w:hideMark/>
          </w:tcPr>
          <w:p w14:paraId="6B89EF8C" w14:textId="77777777" w:rsidR="003F0F2F" w:rsidRPr="003F0F2F" w:rsidRDefault="003F0F2F" w:rsidP="003F0F2F">
            <w:pPr>
              <w:spacing w:after="0" w:line="240" w:lineRule="auto"/>
              <w:rPr>
                <w:rFonts w:ascii="Times New Roman" w:eastAsia="Times New Roman" w:hAnsi="Times New Roman" w:cs="Times New Roman"/>
                <w:sz w:val="20"/>
                <w:szCs w:val="20"/>
                <w:lang w:eastAsia="de-AT"/>
              </w:rPr>
            </w:pPr>
          </w:p>
        </w:tc>
        <w:tc>
          <w:tcPr>
            <w:tcW w:w="1240" w:type="dxa"/>
            <w:tcBorders>
              <w:top w:val="nil"/>
              <w:left w:val="nil"/>
              <w:bottom w:val="nil"/>
              <w:right w:val="nil"/>
            </w:tcBorders>
            <w:shd w:val="clear" w:color="auto" w:fill="auto"/>
            <w:noWrap/>
            <w:vAlign w:val="bottom"/>
            <w:hideMark/>
          </w:tcPr>
          <w:p w14:paraId="25B7B1BE" w14:textId="77777777" w:rsidR="003F0F2F" w:rsidRPr="003F0F2F" w:rsidRDefault="003F0F2F" w:rsidP="003F0F2F">
            <w:pPr>
              <w:spacing w:after="0" w:line="240" w:lineRule="auto"/>
              <w:rPr>
                <w:rFonts w:ascii="Times New Roman" w:eastAsia="Times New Roman" w:hAnsi="Times New Roman" w:cs="Times New Roman"/>
                <w:sz w:val="20"/>
                <w:szCs w:val="20"/>
                <w:lang w:eastAsia="de-AT"/>
              </w:rPr>
            </w:pPr>
          </w:p>
        </w:tc>
      </w:tr>
      <w:tr w:rsidR="003F0F2F" w:rsidRPr="003F0F2F" w14:paraId="5288BF28" w14:textId="77777777" w:rsidTr="000D6DC7">
        <w:trPr>
          <w:trHeight w:val="264"/>
        </w:trPr>
        <w:tc>
          <w:tcPr>
            <w:tcW w:w="9920" w:type="dxa"/>
            <w:gridSpan w:val="8"/>
            <w:tcBorders>
              <w:top w:val="nil"/>
              <w:left w:val="nil"/>
              <w:bottom w:val="nil"/>
              <w:right w:val="nil"/>
            </w:tcBorders>
            <w:shd w:val="clear" w:color="auto" w:fill="auto"/>
            <w:hideMark/>
          </w:tcPr>
          <w:p w14:paraId="6041ACA2" w14:textId="77777777" w:rsidR="003F0F2F" w:rsidRPr="003F0F2F" w:rsidRDefault="003F0F2F" w:rsidP="003F0F2F">
            <w:pPr>
              <w:spacing w:after="0" w:line="240" w:lineRule="auto"/>
              <w:rPr>
                <w:rFonts w:ascii="Arial" w:eastAsia="Times New Roman" w:hAnsi="Arial" w:cs="Arial"/>
                <w:color w:val="010205"/>
                <w:sz w:val="18"/>
                <w:szCs w:val="18"/>
                <w:lang w:eastAsia="de-AT"/>
              </w:rPr>
            </w:pPr>
            <w:r w:rsidRPr="003F0F2F">
              <w:rPr>
                <w:rFonts w:ascii="Arial" w:eastAsia="Times New Roman" w:hAnsi="Arial" w:cs="Arial"/>
                <w:color w:val="010205"/>
                <w:sz w:val="18"/>
                <w:szCs w:val="18"/>
                <w:lang w:eastAsia="de-AT"/>
              </w:rPr>
              <w:t xml:space="preserve">**.  </w:t>
            </w:r>
            <w:proofErr w:type="spellStart"/>
            <w:r w:rsidRPr="003F0F2F">
              <w:rPr>
                <w:rFonts w:ascii="Arial" w:eastAsia="Times New Roman" w:hAnsi="Arial" w:cs="Arial"/>
                <w:color w:val="010205"/>
                <w:sz w:val="18"/>
                <w:szCs w:val="18"/>
                <w:lang w:eastAsia="de-AT"/>
              </w:rPr>
              <w:t>Correlation</w:t>
            </w:r>
            <w:proofErr w:type="spellEnd"/>
            <w:r w:rsidRPr="003F0F2F">
              <w:rPr>
                <w:rFonts w:ascii="Arial" w:eastAsia="Times New Roman" w:hAnsi="Arial" w:cs="Arial"/>
                <w:color w:val="010205"/>
                <w:sz w:val="18"/>
                <w:szCs w:val="18"/>
                <w:lang w:eastAsia="de-AT"/>
              </w:rPr>
              <w:t xml:space="preserve"> </w:t>
            </w:r>
            <w:proofErr w:type="spellStart"/>
            <w:r w:rsidRPr="003F0F2F">
              <w:rPr>
                <w:rFonts w:ascii="Arial" w:eastAsia="Times New Roman" w:hAnsi="Arial" w:cs="Arial"/>
                <w:color w:val="010205"/>
                <w:sz w:val="18"/>
                <w:szCs w:val="18"/>
                <w:lang w:eastAsia="de-AT"/>
              </w:rPr>
              <w:t>is</w:t>
            </w:r>
            <w:proofErr w:type="spellEnd"/>
            <w:r w:rsidRPr="003F0F2F">
              <w:rPr>
                <w:rFonts w:ascii="Arial" w:eastAsia="Times New Roman" w:hAnsi="Arial" w:cs="Arial"/>
                <w:color w:val="010205"/>
                <w:sz w:val="18"/>
                <w:szCs w:val="18"/>
                <w:lang w:eastAsia="de-AT"/>
              </w:rPr>
              <w:t xml:space="preserve"> </w:t>
            </w:r>
            <w:proofErr w:type="spellStart"/>
            <w:r w:rsidRPr="003F0F2F">
              <w:rPr>
                <w:rFonts w:ascii="Arial" w:eastAsia="Times New Roman" w:hAnsi="Arial" w:cs="Arial"/>
                <w:color w:val="010205"/>
                <w:sz w:val="18"/>
                <w:szCs w:val="18"/>
                <w:lang w:eastAsia="de-AT"/>
              </w:rPr>
              <w:t>significant</w:t>
            </w:r>
            <w:proofErr w:type="spellEnd"/>
            <w:r w:rsidRPr="003F0F2F">
              <w:rPr>
                <w:rFonts w:ascii="Arial" w:eastAsia="Times New Roman" w:hAnsi="Arial" w:cs="Arial"/>
                <w:color w:val="010205"/>
                <w:sz w:val="18"/>
                <w:szCs w:val="18"/>
                <w:lang w:eastAsia="de-AT"/>
              </w:rPr>
              <w:t xml:space="preserve"> </w:t>
            </w:r>
            <w:proofErr w:type="spellStart"/>
            <w:r w:rsidRPr="003F0F2F">
              <w:rPr>
                <w:rFonts w:ascii="Arial" w:eastAsia="Times New Roman" w:hAnsi="Arial" w:cs="Arial"/>
                <w:color w:val="010205"/>
                <w:sz w:val="18"/>
                <w:szCs w:val="18"/>
                <w:lang w:eastAsia="de-AT"/>
              </w:rPr>
              <w:t>from</w:t>
            </w:r>
            <w:proofErr w:type="spellEnd"/>
            <w:r w:rsidRPr="003F0F2F">
              <w:rPr>
                <w:rFonts w:ascii="Arial" w:eastAsia="Times New Roman" w:hAnsi="Arial" w:cs="Arial"/>
                <w:color w:val="010205"/>
                <w:sz w:val="18"/>
                <w:szCs w:val="18"/>
                <w:lang w:eastAsia="de-AT"/>
              </w:rPr>
              <w:t xml:space="preserve"> a </w:t>
            </w:r>
            <w:proofErr w:type="spellStart"/>
            <w:r w:rsidRPr="003F0F2F">
              <w:rPr>
                <w:rFonts w:ascii="Arial" w:eastAsia="Times New Roman" w:hAnsi="Arial" w:cs="Arial"/>
                <w:color w:val="010205"/>
                <w:sz w:val="18"/>
                <w:szCs w:val="18"/>
                <w:lang w:eastAsia="de-AT"/>
              </w:rPr>
              <w:t>confidence</w:t>
            </w:r>
            <w:proofErr w:type="spellEnd"/>
            <w:r w:rsidRPr="003F0F2F">
              <w:rPr>
                <w:rFonts w:ascii="Arial" w:eastAsia="Times New Roman" w:hAnsi="Arial" w:cs="Arial"/>
                <w:color w:val="010205"/>
                <w:sz w:val="18"/>
                <w:szCs w:val="18"/>
                <w:lang w:eastAsia="de-AT"/>
              </w:rPr>
              <w:t xml:space="preserve"> </w:t>
            </w:r>
            <w:proofErr w:type="spellStart"/>
            <w:r w:rsidRPr="003F0F2F">
              <w:rPr>
                <w:rFonts w:ascii="Arial" w:eastAsia="Times New Roman" w:hAnsi="Arial" w:cs="Arial"/>
                <w:color w:val="010205"/>
                <w:sz w:val="18"/>
                <w:szCs w:val="18"/>
                <w:lang w:eastAsia="de-AT"/>
              </w:rPr>
              <w:t>interval</w:t>
            </w:r>
            <w:proofErr w:type="spellEnd"/>
            <w:r w:rsidRPr="003F0F2F">
              <w:rPr>
                <w:rFonts w:ascii="Arial" w:eastAsia="Times New Roman" w:hAnsi="Arial" w:cs="Arial"/>
                <w:color w:val="010205"/>
                <w:sz w:val="18"/>
                <w:szCs w:val="18"/>
                <w:lang w:eastAsia="de-AT"/>
              </w:rPr>
              <w:t xml:space="preserve"> of 99%</w:t>
            </w:r>
          </w:p>
        </w:tc>
      </w:tr>
    </w:tbl>
    <w:p w14:paraId="631A487B" w14:textId="77777777" w:rsidR="007E5579" w:rsidRDefault="007E5579" w:rsidP="00806BF3">
      <w:pPr>
        <w:spacing w:line="240" w:lineRule="auto"/>
        <w:jc w:val="both"/>
        <w:rPr>
          <w:rFonts w:ascii="Times New Roman" w:hAnsi="Times New Roman" w:cs="Times New Roman"/>
          <w:bCs/>
          <w:sz w:val="24"/>
          <w:szCs w:val="24"/>
          <w:lang w:val="en-US"/>
        </w:rPr>
      </w:pPr>
    </w:p>
    <w:p w14:paraId="025B868E" w14:textId="77777777" w:rsidR="00C56A45" w:rsidRDefault="007F17B7" w:rsidP="00806BF3">
      <w:pPr>
        <w:spacing w:line="240" w:lineRule="auto"/>
        <w:jc w:val="both"/>
        <w:rPr>
          <w:rFonts w:ascii="Times New Roman" w:hAnsi="Times New Roman" w:cs="Times New Roman"/>
          <w:bCs/>
          <w:sz w:val="24"/>
          <w:szCs w:val="24"/>
          <w:lang w:val="en-US"/>
        </w:rPr>
      </w:pPr>
      <w:r>
        <w:rPr>
          <w:rFonts w:ascii="Times New Roman" w:hAnsi="Times New Roman"/>
          <w:bCs/>
          <w:sz w:val="24"/>
          <w:lang w:val="en-US"/>
        </w:rPr>
        <w:t>Table 4 shows relatively high correlations between the HFRI Sector Index and indices like CRB and S&amp;P 500. On the other side, the correlations of the Macro Commodity Index are considerably lower in comparison to the mentioned indices. For investors it is interesting to have lower correlations between hedge funds and traditional asset classes, because lower correlations between different asset categories are optimizing their portfolio (</w:t>
      </w:r>
      <w:proofErr w:type="spellStart"/>
      <w:r>
        <w:rPr>
          <w:rFonts w:ascii="Times New Roman" w:hAnsi="Times New Roman"/>
          <w:bCs/>
          <w:sz w:val="24"/>
          <w:lang w:val="en-US"/>
        </w:rPr>
        <w:t>Lhabitant</w:t>
      </w:r>
      <w:proofErr w:type="spellEnd"/>
      <w:r>
        <w:rPr>
          <w:rFonts w:ascii="Times New Roman" w:hAnsi="Times New Roman"/>
          <w:bCs/>
          <w:sz w:val="24"/>
          <w:lang w:val="en-US"/>
        </w:rPr>
        <w:t xml:space="preserve"> 2004, 255). From this perspective the HFRI Commodity Index is even a better Hedge Fund portfolio than the HFRI Composite Index, because the correlations of this index with traditional indices are higher than the correlations of the HFRI Commodity index. </w:t>
      </w:r>
      <w:r w:rsidR="00AD332C">
        <w:rPr>
          <w:rFonts w:ascii="Times New Roman" w:hAnsi="Times New Roman" w:cs="Times New Roman"/>
          <w:bCs/>
          <w:sz w:val="24"/>
          <w:szCs w:val="24"/>
          <w:lang w:val="en-US"/>
        </w:rPr>
        <w:t xml:space="preserve"> </w:t>
      </w:r>
    </w:p>
    <w:p w14:paraId="0C45B055" w14:textId="77777777" w:rsidR="008C6CFE" w:rsidRDefault="008C6CFE" w:rsidP="00806BF3">
      <w:pPr>
        <w:spacing w:line="240" w:lineRule="auto"/>
        <w:jc w:val="both"/>
        <w:rPr>
          <w:rFonts w:ascii="Times New Roman" w:hAnsi="Times New Roman" w:cs="Times New Roman"/>
          <w:bCs/>
          <w:sz w:val="24"/>
          <w:szCs w:val="24"/>
          <w:lang w:val="en-US"/>
        </w:rPr>
      </w:pPr>
    </w:p>
    <w:p w14:paraId="688A6FF1" w14:textId="77777777" w:rsidR="001D16C5" w:rsidRPr="001D16C5" w:rsidRDefault="001D16C5" w:rsidP="001D16C5">
      <w:pPr>
        <w:spacing w:line="240" w:lineRule="auto"/>
        <w:jc w:val="both"/>
        <w:rPr>
          <w:rFonts w:ascii="Times New Roman" w:hAnsi="Times New Roman" w:cs="Times New Roman"/>
          <w:b/>
          <w:bCs/>
          <w:sz w:val="24"/>
          <w:szCs w:val="24"/>
          <w:lang w:val="en-US"/>
        </w:rPr>
      </w:pPr>
      <w:r w:rsidRPr="001D16C5">
        <w:rPr>
          <w:rFonts w:ascii="Times New Roman" w:hAnsi="Times New Roman" w:cs="Times New Roman"/>
          <w:b/>
          <w:bCs/>
          <w:sz w:val="24"/>
          <w:szCs w:val="24"/>
          <w:lang w:val="en-US"/>
        </w:rPr>
        <w:t xml:space="preserve">Table </w:t>
      </w:r>
      <w:r w:rsidR="000D6DC7">
        <w:rPr>
          <w:rFonts w:ascii="Times New Roman" w:hAnsi="Times New Roman" w:cs="Times New Roman"/>
          <w:b/>
          <w:bCs/>
          <w:sz w:val="24"/>
          <w:szCs w:val="24"/>
          <w:lang w:val="en-US"/>
        </w:rPr>
        <w:t>5</w:t>
      </w:r>
      <w:r w:rsidRPr="001D16C5">
        <w:rPr>
          <w:rFonts w:ascii="Times New Roman" w:hAnsi="Times New Roman" w:cs="Times New Roman"/>
          <w:b/>
          <w:bCs/>
          <w:sz w:val="24"/>
          <w:szCs w:val="24"/>
          <w:lang w:val="en-US"/>
        </w:rPr>
        <w:t>: Out of sample performance</w:t>
      </w:r>
      <w:r w:rsidR="00A279BE">
        <w:rPr>
          <w:rFonts w:ascii="Times New Roman" w:hAnsi="Times New Roman" w:cs="Times New Roman"/>
          <w:b/>
          <w:bCs/>
          <w:sz w:val="24"/>
          <w:szCs w:val="24"/>
          <w:lang w:val="en-US"/>
        </w:rPr>
        <w:t xml:space="preserve"> of</w:t>
      </w:r>
      <w:r w:rsidRPr="001D16C5">
        <w:rPr>
          <w:rFonts w:ascii="Times New Roman" w:hAnsi="Times New Roman" w:cs="Times New Roman"/>
          <w:b/>
          <w:bCs/>
          <w:sz w:val="24"/>
          <w:szCs w:val="24"/>
          <w:lang w:val="en-US"/>
        </w:rPr>
        <w:t xml:space="preserve"> different Asset allocation strategies</w:t>
      </w:r>
    </w:p>
    <w:tbl>
      <w:tblPr>
        <w:tblW w:w="10389" w:type="dxa"/>
        <w:tblCellMar>
          <w:left w:w="70" w:type="dxa"/>
          <w:right w:w="70" w:type="dxa"/>
        </w:tblCellMar>
        <w:tblLook w:val="04A0" w:firstRow="1" w:lastRow="0" w:firstColumn="1" w:lastColumn="0" w:noHBand="0" w:noVBand="1"/>
      </w:tblPr>
      <w:tblGrid>
        <w:gridCol w:w="1820"/>
        <w:gridCol w:w="1580"/>
        <w:gridCol w:w="1320"/>
        <w:gridCol w:w="1480"/>
        <w:gridCol w:w="880"/>
        <w:gridCol w:w="1660"/>
        <w:gridCol w:w="1649"/>
      </w:tblGrid>
      <w:tr w:rsidR="001D16C5" w:rsidRPr="001D16C5" w14:paraId="5ABE7D65" w14:textId="77777777" w:rsidTr="001D16C5">
        <w:trPr>
          <w:trHeight w:val="264"/>
        </w:trPr>
        <w:tc>
          <w:tcPr>
            <w:tcW w:w="1820" w:type="dxa"/>
            <w:tcBorders>
              <w:top w:val="nil"/>
              <w:left w:val="nil"/>
              <w:bottom w:val="single" w:sz="4" w:space="0" w:color="auto"/>
              <w:right w:val="nil"/>
            </w:tcBorders>
            <w:shd w:val="clear" w:color="auto" w:fill="auto"/>
            <w:noWrap/>
            <w:vAlign w:val="bottom"/>
            <w:hideMark/>
          </w:tcPr>
          <w:p w14:paraId="21F550D4"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 xml:space="preserve">Asset </w:t>
            </w:r>
            <w:proofErr w:type="spellStart"/>
            <w:r w:rsidRPr="001D16C5">
              <w:rPr>
                <w:rFonts w:ascii="Arial" w:eastAsia="Times New Roman" w:hAnsi="Arial" w:cs="Arial"/>
                <w:sz w:val="16"/>
                <w:szCs w:val="16"/>
                <w:lang w:eastAsia="de-AT"/>
              </w:rPr>
              <w:t>Allocation</w:t>
            </w:r>
            <w:proofErr w:type="spellEnd"/>
            <w:r w:rsidRPr="001D16C5">
              <w:rPr>
                <w:rFonts w:ascii="Arial" w:eastAsia="Times New Roman" w:hAnsi="Arial" w:cs="Arial"/>
                <w:sz w:val="16"/>
                <w:szCs w:val="16"/>
                <w:lang w:eastAsia="de-AT"/>
              </w:rPr>
              <w:t xml:space="preserve"> </w:t>
            </w:r>
            <w:proofErr w:type="spellStart"/>
            <w:r w:rsidRPr="001D16C5">
              <w:rPr>
                <w:rFonts w:ascii="Arial" w:eastAsia="Times New Roman" w:hAnsi="Arial" w:cs="Arial"/>
                <w:sz w:val="16"/>
                <w:szCs w:val="16"/>
                <w:lang w:eastAsia="de-AT"/>
              </w:rPr>
              <w:t>strategy</w:t>
            </w:r>
            <w:proofErr w:type="spellEnd"/>
          </w:p>
        </w:tc>
        <w:tc>
          <w:tcPr>
            <w:tcW w:w="1580" w:type="dxa"/>
            <w:tcBorders>
              <w:top w:val="nil"/>
              <w:left w:val="nil"/>
              <w:bottom w:val="single" w:sz="4" w:space="0" w:color="auto"/>
              <w:right w:val="nil"/>
            </w:tcBorders>
            <w:shd w:val="clear" w:color="auto" w:fill="auto"/>
            <w:noWrap/>
            <w:vAlign w:val="bottom"/>
            <w:hideMark/>
          </w:tcPr>
          <w:p w14:paraId="5B2A88DD"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 xml:space="preserve">Performance </w:t>
            </w:r>
            <w:proofErr w:type="spellStart"/>
            <w:r w:rsidRPr="001D16C5">
              <w:rPr>
                <w:rFonts w:ascii="Arial" w:eastAsia="Times New Roman" w:hAnsi="Arial" w:cs="Arial"/>
                <w:sz w:val="16"/>
                <w:szCs w:val="16"/>
                <w:lang w:eastAsia="de-AT"/>
              </w:rPr>
              <w:t>measure</w:t>
            </w:r>
            <w:proofErr w:type="spellEnd"/>
          </w:p>
        </w:tc>
        <w:tc>
          <w:tcPr>
            <w:tcW w:w="1320" w:type="dxa"/>
            <w:tcBorders>
              <w:top w:val="nil"/>
              <w:left w:val="nil"/>
              <w:bottom w:val="single" w:sz="4" w:space="0" w:color="auto"/>
              <w:right w:val="nil"/>
            </w:tcBorders>
            <w:shd w:val="clear" w:color="auto" w:fill="auto"/>
            <w:noWrap/>
            <w:vAlign w:val="bottom"/>
            <w:hideMark/>
          </w:tcPr>
          <w:p w14:paraId="09D17ACD"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 xml:space="preserve">Stock </w:t>
            </w:r>
            <w:proofErr w:type="spellStart"/>
            <w:r w:rsidRPr="001D16C5">
              <w:rPr>
                <w:rFonts w:ascii="Arial" w:eastAsia="Times New Roman" w:hAnsi="Arial" w:cs="Arial"/>
                <w:sz w:val="16"/>
                <w:szCs w:val="16"/>
                <w:lang w:eastAsia="de-AT"/>
              </w:rPr>
              <w:t>bond</w:t>
            </w:r>
            <w:proofErr w:type="spellEnd"/>
          </w:p>
        </w:tc>
        <w:tc>
          <w:tcPr>
            <w:tcW w:w="1480" w:type="dxa"/>
            <w:tcBorders>
              <w:top w:val="nil"/>
              <w:left w:val="nil"/>
              <w:bottom w:val="single" w:sz="4" w:space="0" w:color="auto"/>
              <w:right w:val="nil"/>
            </w:tcBorders>
            <w:shd w:val="clear" w:color="auto" w:fill="auto"/>
            <w:noWrap/>
            <w:vAlign w:val="bottom"/>
            <w:hideMark/>
          </w:tcPr>
          <w:p w14:paraId="4460CF42"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 xml:space="preserve">Stock </w:t>
            </w:r>
            <w:proofErr w:type="spellStart"/>
            <w:r w:rsidRPr="001D16C5">
              <w:rPr>
                <w:rFonts w:ascii="Arial" w:eastAsia="Times New Roman" w:hAnsi="Arial" w:cs="Arial"/>
                <w:sz w:val="16"/>
                <w:szCs w:val="16"/>
                <w:lang w:eastAsia="de-AT"/>
              </w:rPr>
              <w:t>bond</w:t>
            </w:r>
            <w:proofErr w:type="spellEnd"/>
            <w:r w:rsidRPr="001D16C5">
              <w:rPr>
                <w:rFonts w:ascii="Arial" w:eastAsia="Times New Roman" w:hAnsi="Arial" w:cs="Arial"/>
                <w:sz w:val="16"/>
                <w:szCs w:val="16"/>
                <w:lang w:eastAsia="de-AT"/>
              </w:rPr>
              <w:t xml:space="preserve"> plus</w:t>
            </w:r>
          </w:p>
        </w:tc>
        <w:tc>
          <w:tcPr>
            <w:tcW w:w="880" w:type="dxa"/>
            <w:tcBorders>
              <w:top w:val="nil"/>
              <w:left w:val="nil"/>
              <w:bottom w:val="single" w:sz="4" w:space="0" w:color="auto"/>
              <w:right w:val="nil"/>
            </w:tcBorders>
            <w:shd w:val="clear" w:color="auto" w:fill="auto"/>
            <w:noWrap/>
            <w:vAlign w:val="bottom"/>
            <w:hideMark/>
          </w:tcPr>
          <w:p w14:paraId="50FBE713"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 </w:t>
            </w:r>
          </w:p>
        </w:tc>
        <w:tc>
          <w:tcPr>
            <w:tcW w:w="1660" w:type="dxa"/>
            <w:tcBorders>
              <w:top w:val="nil"/>
              <w:left w:val="nil"/>
              <w:bottom w:val="single" w:sz="4" w:space="0" w:color="auto"/>
              <w:right w:val="nil"/>
            </w:tcBorders>
            <w:shd w:val="clear" w:color="auto" w:fill="auto"/>
            <w:noWrap/>
            <w:vAlign w:val="bottom"/>
            <w:hideMark/>
          </w:tcPr>
          <w:p w14:paraId="6ADCA468"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 </w:t>
            </w:r>
          </w:p>
        </w:tc>
        <w:tc>
          <w:tcPr>
            <w:tcW w:w="1649" w:type="dxa"/>
            <w:tcBorders>
              <w:top w:val="nil"/>
              <w:left w:val="nil"/>
              <w:bottom w:val="single" w:sz="4" w:space="0" w:color="auto"/>
              <w:right w:val="nil"/>
            </w:tcBorders>
            <w:shd w:val="clear" w:color="auto" w:fill="auto"/>
            <w:noWrap/>
            <w:vAlign w:val="bottom"/>
            <w:hideMark/>
          </w:tcPr>
          <w:p w14:paraId="2D9C2830"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 </w:t>
            </w:r>
          </w:p>
        </w:tc>
      </w:tr>
      <w:tr w:rsidR="001D16C5" w:rsidRPr="001D16C5" w14:paraId="522E7F50" w14:textId="77777777" w:rsidTr="001D16C5">
        <w:trPr>
          <w:trHeight w:val="264"/>
        </w:trPr>
        <w:tc>
          <w:tcPr>
            <w:tcW w:w="1820" w:type="dxa"/>
            <w:tcBorders>
              <w:top w:val="nil"/>
              <w:left w:val="nil"/>
              <w:bottom w:val="nil"/>
              <w:right w:val="nil"/>
            </w:tcBorders>
            <w:shd w:val="clear" w:color="auto" w:fill="auto"/>
            <w:noWrap/>
            <w:vAlign w:val="bottom"/>
            <w:hideMark/>
          </w:tcPr>
          <w:p w14:paraId="58DD823A" w14:textId="77777777" w:rsidR="001D16C5" w:rsidRPr="001D16C5" w:rsidRDefault="001D16C5" w:rsidP="001D16C5">
            <w:pPr>
              <w:spacing w:after="0" w:line="240" w:lineRule="auto"/>
              <w:rPr>
                <w:rFonts w:ascii="Arial" w:eastAsia="Times New Roman" w:hAnsi="Arial" w:cs="Arial"/>
                <w:sz w:val="16"/>
                <w:szCs w:val="16"/>
                <w:lang w:eastAsia="de-AT"/>
              </w:rPr>
            </w:pPr>
          </w:p>
        </w:tc>
        <w:tc>
          <w:tcPr>
            <w:tcW w:w="1580" w:type="dxa"/>
            <w:tcBorders>
              <w:top w:val="nil"/>
              <w:left w:val="nil"/>
              <w:bottom w:val="nil"/>
              <w:right w:val="nil"/>
            </w:tcBorders>
            <w:shd w:val="clear" w:color="auto" w:fill="auto"/>
            <w:noWrap/>
            <w:vAlign w:val="bottom"/>
            <w:hideMark/>
          </w:tcPr>
          <w:p w14:paraId="44D9D28C" w14:textId="77777777" w:rsidR="001D16C5" w:rsidRPr="001D16C5" w:rsidRDefault="001D16C5" w:rsidP="001D16C5">
            <w:pPr>
              <w:spacing w:after="0" w:line="240" w:lineRule="auto"/>
              <w:rPr>
                <w:rFonts w:ascii="Times New Roman" w:eastAsia="Times New Roman" w:hAnsi="Times New Roman" w:cs="Times New Roman"/>
                <w:sz w:val="20"/>
                <w:szCs w:val="20"/>
                <w:lang w:eastAsia="de-AT"/>
              </w:rPr>
            </w:pPr>
          </w:p>
        </w:tc>
        <w:tc>
          <w:tcPr>
            <w:tcW w:w="1320" w:type="dxa"/>
            <w:tcBorders>
              <w:top w:val="nil"/>
              <w:left w:val="nil"/>
              <w:bottom w:val="nil"/>
              <w:right w:val="nil"/>
            </w:tcBorders>
            <w:shd w:val="clear" w:color="auto" w:fill="auto"/>
            <w:noWrap/>
            <w:vAlign w:val="bottom"/>
            <w:hideMark/>
          </w:tcPr>
          <w:p w14:paraId="736F18C7" w14:textId="77777777" w:rsidR="001D16C5" w:rsidRPr="001D16C5" w:rsidRDefault="001D16C5" w:rsidP="001D16C5">
            <w:pPr>
              <w:spacing w:after="0" w:line="240" w:lineRule="auto"/>
              <w:rPr>
                <w:rFonts w:ascii="Times New Roman" w:eastAsia="Times New Roman" w:hAnsi="Times New Roman" w:cs="Times New Roman"/>
                <w:sz w:val="20"/>
                <w:szCs w:val="20"/>
                <w:lang w:eastAsia="de-AT"/>
              </w:rPr>
            </w:pPr>
          </w:p>
        </w:tc>
        <w:tc>
          <w:tcPr>
            <w:tcW w:w="1480" w:type="dxa"/>
            <w:tcBorders>
              <w:top w:val="nil"/>
              <w:left w:val="nil"/>
              <w:bottom w:val="nil"/>
              <w:right w:val="nil"/>
            </w:tcBorders>
            <w:shd w:val="clear" w:color="auto" w:fill="auto"/>
            <w:noWrap/>
            <w:vAlign w:val="bottom"/>
            <w:hideMark/>
          </w:tcPr>
          <w:p w14:paraId="081674EB" w14:textId="77777777" w:rsidR="001D16C5" w:rsidRPr="001D16C5" w:rsidRDefault="001D16C5" w:rsidP="001D16C5">
            <w:pPr>
              <w:spacing w:after="0" w:line="240" w:lineRule="auto"/>
              <w:jc w:val="center"/>
              <w:rPr>
                <w:rFonts w:ascii="Arial" w:eastAsia="Times New Roman" w:hAnsi="Arial" w:cs="Arial"/>
                <w:sz w:val="16"/>
                <w:szCs w:val="16"/>
                <w:lang w:eastAsia="de-AT"/>
              </w:rPr>
            </w:pPr>
            <w:r w:rsidRPr="001D16C5">
              <w:rPr>
                <w:rFonts w:ascii="Arial" w:eastAsia="Times New Roman" w:hAnsi="Arial" w:cs="Arial"/>
                <w:sz w:val="16"/>
                <w:szCs w:val="16"/>
                <w:lang w:eastAsia="de-AT"/>
              </w:rPr>
              <w:t xml:space="preserve">HFRI </w:t>
            </w:r>
            <w:proofErr w:type="spellStart"/>
            <w:r w:rsidRPr="001D16C5">
              <w:rPr>
                <w:rFonts w:ascii="Arial" w:eastAsia="Times New Roman" w:hAnsi="Arial" w:cs="Arial"/>
                <w:sz w:val="16"/>
                <w:szCs w:val="16"/>
                <w:lang w:eastAsia="de-AT"/>
              </w:rPr>
              <w:t>Macro</w:t>
            </w:r>
            <w:proofErr w:type="spellEnd"/>
          </w:p>
        </w:tc>
        <w:tc>
          <w:tcPr>
            <w:tcW w:w="880" w:type="dxa"/>
            <w:tcBorders>
              <w:top w:val="nil"/>
              <w:left w:val="nil"/>
              <w:bottom w:val="nil"/>
              <w:right w:val="nil"/>
            </w:tcBorders>
            <w:shd w:val="clear" w:color="auto" w:fill="auto"/>
            <w:noWrap/>
            <w:vAlign w:val="bottom"/>
            <w:hideMark/>
          </w:tcPr>
          <w:p w14:paraId="60902121"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CRB Index</w:t>
            </w:r>
          </w:p>
        </w:tc>
        <w:tc>
          <w:tcPr>
            <w:tcW w:w="1660" w:type="dxa"/>
            <w:tcBorders>
              <w:top w:val="nil"/>
              <w:left w:val="nil"/>
              <w:bottom w:val="nil"/>
              <w:right w:val="nil"/>
            </w:tcBorders>
            <w:shd w:val="clear" w:color="auto" w:fill="auto"/>
            <w:noWrap/>
            <w:vAlign w:val="bottom"/>
            <w:hideMark/>
          </w:tcPr>
          <w:p w14:paraId="1453CCF4"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 xml:space="preserve">HFRI </w:t>
            </w:r>
            <w:proofErr w:type="spellStart"/>
            <w:r w:rsidRPr="001D16C5">
              <w:rPr>
                <w:rFonts w:ascii="Arial" w:eastAsia="Times New Roman" w:hAnsi="Arial" w:cs="Arial"/>
                <w:sz w:val="16"/>
                <w:szCs w:val="16"/>
                <w:lang w:eastAsia="de-AT"/>
              </w:rPr>
              <w:t>Energy</w:t>
            </w:r>
            <w:proofErr w:type="spellEnd"/>
            <w:r w:rsidRPr="001D16C5">
              <w:rPr>
                <w:rFonts w:ascii="Arial" w:eastAsia="Times New Roman" w:hAnsi="Arial" w:cs="Arial"/>
                <w:sz w:val="16"/>
                <w:szCs w:val="16"/>
                <w:lang w:eastAsia="de-AT"/>
              </w:rPr>
              <w:t>/Materials</w:t>
            </w:r>
          </w:p>
        </w:tc>
        <w:tc>
          <w:tcPr>
            <w:tcW w:w="1649" w:type="dxa"/>
            <w:tcBorders>
              <w:top w:val="nil"/>
              <w:left w:val="nil"/>
              <w:bottom w:val="nil"/>
              <w:right w:val="nil"/>
            </w:tcBorders>
            <w:shd w:val="clear" w:color="auto" w:fill="auto"/>
            <w:noWrap/>
            <w:vAlign w:val="bottom"/>
            <w:hideMark/>
          </w:tcPr>
          <w:p w14:paraId="6DEA5792" w14:textId="77777777" w:rsidR="001D16C5" w:rsidRPr="001D16C5" w:rsidRDefault="001D16C5" w:rsidP="001D16C5">
            <w:pPr>
              <w:spacing w:after="0" w:line="240" w:lineRule="auto"/>
              <w:rPr>
                <w:rFonts w:ascii="Arial" w:eastAsia="Times New Roman" w:hAnsi="Arial" w:cs="Arial"/>
                <w:sz w:val="16"/>
                <w:szCs w:val="16"/>
                <w:lang w:eastAsia="de-AT"/>
              </w:rPr>
            </w:pPr>
            <w:r w:rsidRPr="001D16C5">
              <w:rPr>
                <w:rFonts w:ascii="Arial" w:eastAsia="Times New Roman" w:hAnsi="Arial" w:cs="Arial"/>
                <w:sz w:val="16"/>
                <w:szCs w:val="16"/>
                <w:lang w:eastAsia="de-AT"/>
              </w:rPr>
              <w:t>HFRI Composite Index</w:t>
            </w:r>
          </w:p>
        </w:tc>
      </w:tr>
      <w:tr w:rsidR="001D16C5" w:rsidRPr="001D16C5" w14:paraId="5ED06F04" w14:textId="77777777" w:rsidTr="001D16C5">
        <w:trPr>
          <w:trHeight w:val="264"/>
        </w:trPr>
        <w:tc>
          <w:tcPr>
            <w:tcW w:w="1820" w:type="dxa"/>
            <w:tcBorders>
              <w:top w:val="nil"/>
              <w:left w:val="nil"/>
              <w:bottom w:val="nil"/>
              <w:right w:val="nil"/>
            </w:tcBorders>
            <w:shd w:val="clear" w:color="auto" w:fill="auto"/>
            <w:noWrap/>
            <w:vAlign w:val="bottom"/>
            <w:hideMark/>
          </w:tcPr>
          <w:p w14:paraId="5CD702E4" w14:textId="77777777" w:rsidR="001D16C5" w:rsidRPr="001D16C5" w:rsidRDefault="001D16C5" w:rsidP="001D16C5">
            <w:pPr>
              <w:spacing w:after="0" w:line="240" w:lineRule="auto"/>
              <w:rPr>
                <w:rFonts w:ascii="Arial" w:eastAsia="Times New Roman" w:hAnsi="Arial" w:cs="Arial"/>
                <w:sz w:val="16"/>
                <w:szCs w:val="16"/>
                <w:lang w:eastAsia="de-AT"/>
              </w:rPr>
            </w:pPr>
            <w:proofErr w:type="spellStart"/>
            <w:r w:rsidRPr="001D16C5">
              <w:rPr>
                <w:rFonts w:ascii="Arial" w:eastAsia="Times New Roman" w:hAnsi="Arial" w:cs="Arial"/>
                <w:sz w:val="16"/>
                <w:szCs w:val="16"/>
                <w:lang w:eastAsia="de-AT"/>
              </w:rPr>
              <w:t>Conservative</w:t>
            </w:r>
            <w:proofErr w:type="spellEnd"/>
          </w:p>
        </w:tc>
        <w:tc>
          <w:tcPr>
            <w:tcW w:w="1580" w:type="dxa"/>
            <w:tcBorders>
              <w:top w:val="nil"/>
              <w:left w:val="nil"/>
              <w:bottom w:val="nil"/>
              <w:right w:val="nil"/>
            </w:tcBorders>
            <w:shd w:val="clear" w:color="auto" w:fill="auto"/>
            <w:noWrap/>
            <w:vAlign w:val="bottom"/>
            <w:hideMark/>
          </w:tcPr>
          <w:p w14:paraId="3F96D512" w14:textId="77777777" w:rsidR="001D16C5" w:rsidRPr="001D16C5" w:rsidRDefault="001D16C5" w:rsidP="001D16C5">
            <w:pPr>
              <w:spacing w:after="0" w:line="240" w:lineRule="auto"/>
              <w:rPr>
                <w:rFonts w:ascii="Arial" w:eastAsia="Times New Roman" w:hAnsi="Arial" w:cs="Arial"/>
                <w:sz w:val="16"/>
                <w:szCs w:val="16"/>
                <w:lang w:eastAsia="de-AT"/>
              </w:rPr>
            </w:pPr>
          </w:p>
        </w:tc>
        <w:tc>
          <w:tcPr>
            <w:tcW w:w="1320" w:type="dxa"/>
            <w:tcBorders>
              <w:top w:val="nil"/>
              <w:left w:val="nil"/>
              <w:bottom w:val="nil"/>
              <w:right w:val="nil"/>
            </w:tcBorders>
            <w:shd w:val="clear" w:color="auto" w:fill="auto"/>
            <w:noWrap/>
            <w:vAlign w:val="bottom"/>
            <w:hideMark/>
          </w:tcPr>
          <w:p w14:paraId="1878F121" w14:textId="77777777" w:rsidR="001D16C5" w:rsidRPr="001D16C5" w:rsidRDefault="001D16C5" w:rsidP="001D16C5">
            <w:pPr>
              <w:spacing w:after="0" w:line="240" w:lineRule="auto"/>
              <w:rPr>
                <w:rFonts w:ascii="Times New Roman" w:eastAsia="Times New Roman" w:hAnsi="Times New Roman" w:cs="Times New Roman"/>
                <w:sz w:val="20"/>
                <w:szCs w:val="20"/>
                <w:lang w:eastAsia="de-AT"/>
              </w:rPr>
            </w:pPr>
          </w:p>
        </w:tc>
        <w:tc>
          <w:tcPr>
            <w:tcW w:w="1480" w:type="dxa"/>
            <w:tcBorders>
              <w:top w:val="nil"/>
              <w:left w:val="nil"/>
              <w:bottom w:val="nil"/>
              <w:right w:val="nil"/>
            </w:tcBorders>
            <w:shd w:val="clear" w:color="auto" w:fill="auto"/>
            <w:noWrap/>
            <w:vAlign w:val="bottom"/>
            <w:hideMark/>
          </w:tcPr>
          <w:p w14:paraId="72C72D71" w14:textId="77777777" w:rsidR="001D16C5" w:rsidRPr="001D16C5" w:rsidRDefault="001D16C5" w:rsidP="001D16C5">
            <w:pPr>
              <w:spacing w:after="0" w:line="240" w:lineRule="auto"/>
              <w:rPr>
                <w:rFonts w:ascii="Times New Roman" w:eastAsia="Times New Roman" w:hAnsi="Times New Roman" w:cs="Times New Roman"/>
                <w:sz w:val="20"/>
                <w:szCs w:val="20"/>
                <w:lang w:eastAsia="de-AT"/>
              </w:rPr>
            </w:pPr>
          </w:p>
        </w:tc>
        <w:tc>
          <w:tcPr>
            <w:tcW w:w="880" w:type="dxa"/>
            <w:tcBorders>
              <w:top w:val="nil"/>
              <w:left w:val="nil"/>
              <w:bottom w:val="nil"/>
              <w:right w:val="nil"/>
            </w:tcBorders>
            <w:shd w:val="clear" w:color="auto" w:fill="auto"/>
            <w:noWrap/>
            <w:vAlign w:val="bottom"/>
            <w:hideMark/>
          </w:tcPr>
          <w:p w14:paraId="5E273991" w14:textId="77777777" w:rsidR="001D16C5" w:rsidRPr="001D16C5" w:rsidRDefault="001D16C5" w:rsidP="001D16C5">
            <w:pPr>
              <w:spacing w:after="0" w:line="240" w:lineRule="auto"/>
              <w:rPr>
                <w:rFonts w:ascii="Times New Roman" w:eastAsia="Times New Roman" w:hAnsi="Times New Roman" w:cs="Times New Roman"/>
                <w:sz w:val="20"/>
                <w:szCs w:val="20"/>
                <w:lang w:eastAsia="de-AT"/>
              </w:rPr>
            </w:pPr>
          </w:p>
        </w:tc>
        <w:tc>
          <w:tcPr>
            <w:tcW w:w="1660" w:type="dxa"/>
            <w:tcBorders>
              <w:top w:val="nil"/>
              <w:left w:val="nil"/>
              <w:bottom w:val="nil"/>
              <w:right w:val="nil"/>
            </w:tcBorders>
            <w:shd w:val="clear" w:color="auto" w:fill="auto"/>
            <w:noWrap/>
            <w:vAlign w:val="bottom"/>
            <w:hideMark/>
          </w:tcPr>
          <w:p w14:paraId="21D850B6" w14:textId="77777777" w:rsidR="001D16C5" w:rsidRPr="001D16C5" w:rsidRDefault="001D16C5" w:rsidP="001D16C5">
            <w:pPr>
              <w:spacing w:after="0" w:line="240" w:lineRule="auto"/>
              <w:rPr>
                <w:rFonts w:ascii="Times New Roman" w:eastAsia="Times New Roman" w:hAnsi="Times New Roman" w:cs="Times New Roman"/>
                <w:sz w:val="20"/>
                <w:szCs w:val="20"/>
                <w:lang w:eastAsia="de-AT"/>
              </w:rPr>
            </w:pPr>
          </w:p>
        </w:tc>
        <w:tc>
          <w:tcPr>
            <w:tcW w:w="1649" w:type="dxa"/>
            <w:tcBorders>
              <w:top w:val="nil"/>
              <w:left w:val="nil"/>
              <w:bottom w:val="nil"/>
              <w:right w:val="nil"/>
            </w:tcBorders>
            <w:shd w:val="clear" w:color="auto" w:fill="auto"/>
            <w:noWrap/>
            <w:vAlign w:val="bottom"/>
            <w:hideMark/>
          </w:tcPr>
          <w:p w14:paraId="029D1237" w14:textId="77777777" w:rsidR="001D16C5" w:rsidRPr="001D16C5" w:rsidRDefault="001D16C5" w:rsidP="001D16C5">
            <w:pPr>
              <w:spacing w:after="0" w:line="240" w:lineRule="auto"/>
              <w:rPr>
                <w:rFonts w:ascii="Times New Roman" w:eastAsia="Times New Roman" w:hAnsi="Times New Roman" w:cs="Times New Roman"/>
                <w:sz w:val="20"/>
                <w:szCs w:val="20"/>
                <w:lang w:eastAsia="de-AT"/>
              </w:rPr>
            </w:pPr>
          </w:p>
        </w:tc>
      </w:tr>
      <w:tr w:rsidR="001D16C5" w:rsidRPr="001D16C5" w14:paraId="5AB87DB0" w14:textId="77777777" w:rsidTr="001D16C5">
        <w:trPr>
          <w:trHeight w:val="264"/>
        </w:trPr>
        <w:tc>
          <w:tcPr>
            <w:tcW w:w="1820" w:type="dxa"/>
            <w:tcBorders>
              <w:top w:val="nil"/>
              <w:left w:val="nil"/>
              <w:bottom w:val="nil"/>
              <w:right w:val="nil"/>
            </w:tcBorders>
            <w:shd w:val="clear" w:color="auto" w:fill="auto"/>
            <w:noWrap/>
            <w:vAlign w:val="bottom"/>
            <w:hideMark/>
          </w:tcPr>
          <w:p w14:paraId="7D3FDEA5" w14:textId="77777777" w:rsidR="001D16C5" w:rsidRPr="001D16C5" w:rsidRDefault="001D16C5" w:rsidP="001D16C5">
            <w:pPr>
              <w:spacing w:after="0" w:line="240" w:lineRule="auto"/>
              <w:rPr>
                <w:rFonts w:ascii="Times New Roman" w:eastAsia="Times New Roman" w:hAnsi="Times New Roman" w:cs="Times New Roman"/>
                <w:sz w:val="20"/>
                <w:szCs w:val="20"/>
                <w:lang w:eastAsia="de-AT"/>
              </w:rPr>
            </w:pPr>
          </w:p>
        </w:tc>
        <w:tc>
          <w:tcPr>
            <w:tcW w:w="1580" w:type="dxa"/>
            <w:tcBorders>
              <w:top w:val="single" w:sz="4" w:space="0" w:color="C0C0C0"/>
              <w:left w:val="nil"/>
              <w:bottom w:val="single" w:sz="4" w:space="0" w:color="C0C0C0"/>
              <w:right w:val="single" w:sz="4" w:space="0" w:color="E0E0E0"/>
            </w:tcBorders>
            <w:shd w:val="clear" w:color="auto" w:fill="auto"/>
            <w:noWrap/>
            <w:hideMark/>
          </w:tcPr>
          <w:p w14:paraId="164D49E5" w14:textId="77777777" w:rsidR="001D16C5" w:rsidRPr="001D16C5" w:rsidRDefault="001D16C5" w:rsidP="001D16C5">
            <w:pPr>
              <w:spacing w:after="0" w:line="240" w:lineRule="auto"/>
              <w:rPr>
                <w:rFonts w:ascii="Arial" w:eastAsia="Times New Roman" w:hAnsi="Arial" w:cs="Arial"/>
                <w:color w:val="010205"/>
                <w:sz w:val="16"/>
                <w:szCs w:val="16"/>
                <w:lang w:eastAsia="de-AT"/>
              </w:rPr>
            </w:pPr>
            <w:proofErr w:type="spellStart"/>
            <w:r w:rsidRPr="001D16C5">
              <w:rPr>
                <w:rFonts w:ascii="Arial" w:eastAsia="Times New Roman" w:hAnsi="Arial" w:cs="Arial"/>
                <w:color w:val="010205"/>
                <w:sz w:val="16"/>
                <w:szCs w:val="16"/>
                <w:lang w:eastAsia="de-AT"/>
              </w:rPr>
              <w:t>Mean</w:t>
            </w:r>
            <w:proofErr w:type="spellEnd"/>
          </w:p>
        </w:tc>
        <w:tc>
          <w:tcPr>
            <w:tcW w:w="1320" w:type="dxa"/>
            <w:tcBorders>
              <w:top w:val="single" w:sz="4" w:space="0" w:color="C0C0C0"/>
              <w:left w:val="nil"/>
              <w:bottom w:val="single" w:sz="4" w:space="0" w:color="C0C0C0"/>
              <w:right w:val="single" w:sz="4" w:space="0" w:color="E0E0E0"/>
            </w:tcBorders>
            <w:shd w:val="clear" w:color="auto" w:fill="auto"/>
            <w:noWrap/>
            <w:hideMark/>
          </w:tcPr>
          <w:p w14:paraId="2E1883AD"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0,360</w:t>
            </w:r>
          </w:p>
        </w:tc>
        <w:tc>
          <w:tcPr>
            <w:tcW w:w="1480" w:type="dxa"/>
            <w:tcBorders>
              <w:top w:val="single" w:sz="4" w:space="0" w:color="C0C0C0"/>
              <w:left w:val="nil"/>
              <w:bottom w:val="single" w:sz="4" w:space="0" w:color="C0C0C0"/>
              <w:right w:val="single" w:sz="4" w:space="0" w:color="E0E0E0"/>
            </w:tcBorders>
            <w:shd w:val="clear" w:color="auto" w:fill="auto"/>
            <w:noWrap/>
            <w:hideMark/>
          </w:tcPr>
          <w:p w14:paraId="7D804123"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0,345</w:t>
            </w:r>
          </w:p>
        </w:tc>
        <w:tc>
          <w:tcPr>
            <w:tcW w:w="880" w:type="dxa"/>
            <w:tcBorders>
              <w:top w:val="single" w:sz="4" w:space="0" w:color="C0C0C0"/>
              <w:left w:val="nil"/>
              <w:bottom w:val="single" w:sz="4" w:space="0" w:color="C0C0C0"/>
              <w:right w:val="single" w:sz="4" w:space="0" w:color="E0E0E0"/>
            </w:tcBorders>
            <w:shd w:val="clear" w:color="auto" w:fill="auto"/>
            <w:noWrap/>
            <w:hideMark/>
          </w:tcPr>
          <w:p w14:paraId="3C4FCBE2"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0,340</w:t>
            </w:r>
          </w:p>
        </w:tc>
        <w:tc>
          <w:tcPr>
            <w:tcW w:w="1660" w:type="dxa"/>
            <w:tcBorders>
              <w:top w:val="single" w:sz="4" w:space="0" w:color="C0C0C0"/>
              <w:left w:val="nil"/>
              <w:bottom w:val="single" w:sz="4" w:space="0" w:color="C0C0C0"/>
              <w:right w:val="single" w:sz="4" w:space="0" w:color="E0E0E0"/>
            </w:tcBorders>
            <w:shd w:val="clear" w:color="auto" w:fill="auto"/>
            <w:noWrap/>
            <w:hideMark/>
          </w:tcPr>
          <w:p w14:paraId="5C4D73CB"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0,326</w:t>
            </w:r>
          </w:p>
        </w:tc>
        <w:tc>
          <w:tcPr>
            <w:tcW w:w="1649" w:type="dxa"/>
            <w:tcBorders>
              <w:top w:val="single" w:sz="4" w:space="0" w:color="C0C0C0"/>
              <w:left w:val="nil"/>
              <w:bottom w:val="single" w:sz="4" w:space="0" w:color="C0C0C0"/>
              <w:right w:val="single" w:sz="4" w:space="0" w:color="E0E0E0"/>
            </w:tcBorders>
            <w:shd w:val="clear" w:color="auto" w:fill="auto"/>
            <w:noWrap/>
            <w:hideMark/>
          </w:tcPr>
          <w:p w14:paraId="226012A8"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0,348</w:t>
            </w:r>
          </w:p>
        </w:tc>
      </w:tr>
      <w:tr w:rsidR="001D16C5" w:rsidRPr="001D16C5" w14:paraId="07026DB5" w14:textId="77777777" w:rsidTr="001D16C5">
        <w:trPr>
          <w:trHeight w:val="264"/>
        </w:trPr>
        <w:tc>
          <w:tcPr>
            <w:tcW w:w="1820" w:type="dxa"/>
            <w:tcBorders>
              <w:top w:val="nil"/>
              <w:left w:val="nil"/>
              <w:bottom w:val="nil"/>
              <w:right w:val="nil"/>
            </w:tcBorders>
            <w:shd w:val="clear" w:color="auto" w:fill="auto"/>
            <w:noWrap/>
            <w:vAlign w:val="bottom"/>
            <w:hideMark/>
          </w:tcPr>
          <w:p w14:paraId="72BAADCA"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p>
        </w:tc>
        <w:tc>
          <w:tcPr>
            <w:tcW w:w="1580" w:type="dxa"/>
            <w:tcBorders>
              <w:top w:val="nil"/>
              <w:left w:val="nil"/>
              <w:bottom w:val="single" w:sz="4" w:space="0" w:color="C0C0C0"/>
              <w:right w:val="single" w:sz="4" w:space="0" w:color="E0E0E0"/>
            </w:tcBorders>
            <w:shd w:val="clear" w:color="auto" w:fill="auto"/>
            <w:noWrap/>
            <w:hideMark/>
          </w:tcPr>
          <w:p w14:paraId="7EAA0AF3" w14:textId="77777777" w:rsidR="001D16C5" w:rsidRPr="001D16C5" w:rsidRDefault="001D16C5" w:rsidP="001D16C5">
            <w:pPr>
              <w:spacing w:after="0" w:line="240" w:lineRule="auto"/>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Median</w:t>
            </w:r>
          </w:p>
        </w:tc>
        <w:tc>
          <w:tcPr>
            <w:tcW w:w="1320" w:type="dxa"/>
            <w:tcBorders>
              <w:top w:val="nil"/>
              <w:left w:val="nil"/>
              <w:bottom w:val="single" w:sz="4" w:space="0" w:color="C0C0C0"/>
              <w:right w:val="single" w:sz="4" w:space="0" w:color="E0E0E0"/>
            </w:tcBorders>
            <w:shd w:val="clear" w:color="auto" w:fill="auto"/>
            <w:noWrap/>
            <w:hideMark/>
          </w:tcPr>
          <w:p w14:paraId="5C73141F"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0,385</w:t>
            </w:r>
          </w:p>
        </w:tc>
        <w:tc>
          <w:tcPr>
            <w:tcW w:w="1480" w:type="dxa"/>
            <w:tcBorders>
              <w:top w:val="nil"/>
              <w:left w:val="nil"/>
              <w:bottom w:val="single" w:sz="4" w:space="0" w:color="C0C0C0"/>
              <w:right w:val="single" w:sz="4" w:space="0" w:color="E0E0E0"/>
            </w:tcBorders>
            <w:shd w:val="clear" w:color="auto" w:fill="auto"/>
            <w:noWrap/>
            <w:hideMark/>
          </w:tcPr>
          <w:p w14:paraId="45D7CF3D"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0,360</w:t>
            </w:r>
          </w:p>
        </w:tc>
        <w:tc>
          <w:tcPr>
            <w:tcW w:w="880" w:type="dxa"/>
            <w:tcBorders>
              <w:top w:val="nil"/>
              <w:left w:val="nil"/>
              <w:bottom w:val="single" w:sz="4" w:space="0" w:color="C0C0C0"/>
              <w:right w:val="single" w:sz="4" w:space="0" w:color="E0E0E0"/>
            </w:tcBorders>
            <w:shd w:val="clear" w:color="auto" w:fill="auto"/>
            <w:noWrap/>
            <w:hideMark/>
          </w:tcPr>
          <w:p w14:paraId="0336392C" w14:textId="77777777" w:rsidR="001D16C5" w:rsidRPr="001D16C5" w:rsidRDefault="001D16C5" w:rsidP="001D16C5">
            <w:pPr>
              <w:spacing w:after="0" w:line="240" w:lineRule="auto"/>
              <w:jc w:val="center"/>
              <w:rPr>
                <w:rFonts w:ascii="Arial" w:eastAsia="Times New Roman" w:hAnsi="Arial" w:cs="Arial"/>
                <w:b/>
                <w:bCs/>
                <w:color w:val="010205"/>
                <w:sz w:val="16"/>
                <w:szCs w:val="16"/>
                <w:lang w:eastAsia="de-AT"/>
              </w:rPr>
            </w:pPr>
            <w:r w:rsidRPr="001D16C5">
              <w:rPr>
                <w:rFonts w:ascii="Arial" w:eastAsia="Times New Roman" w:hAnsi="Arial" w:cs="Arial"/>
                <w:b/>
                <w:bCs/>
                <w:color w:val="010205"/>
                <w:sz w:val="16"/>
                <w:szCs w:val="16"/>
                <w:lang w:eastAsia="de-AT"/>
              </w:rPr>
              <w:t>0,395</w:t>
            </w:r>
          </w:p>
        </w:tc>
        <w:tc>
          <w:tcPr>
            <w:tcW w:w="1660" w:type="dxa"/>
            <w:tcBorders>
              <w:top w:val="nil"/>
              <w:left w:val="nil"/>
              <w:bottom w:val="single" w:sz="4" w:space="0" w:color="C0C0C0"/>
              <w:right w:val="single" w:sz="4" w:space="0" w:color="E0E0E0"/>
            </w:tcBorders>
            <w:shd w:val="clear" w:color="auto" w:fill="auto"/>
            <w:noWrap/>
            <w:hideMark/>
          </w:tcPr>
          <w:p w14:paraId="523BF093"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0,310</w:t>
            </w:r>
          </w:p>
        </w:tc>
        <w:tc>
          <w:tcPr>
            <w:tcW w:w="1649" w:type="dxa"/>
            <w:tcBorders>
              <w:top w:val="nil"/>
              <w:left w:val="nil"/>
              <w:bottom w:val="single" w:sz="4" w:space="0" w:color="C0C0C0"/>
              <w:right w:val="single" w:sz="4" w:space="0" w:color="E0E0E0"/>
            </w:tcBorders>
            <w:shd w:val="clear" w:color="auto" w:fill="auto"/>
            <w:noWrap/>
            <w:hideMark/>
          </w:tcPr>
          <w:p w14:paraId="60891BF5"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0,345</w:t>
            </w:r>
          </w:p>
        </w:tc>
      </w:tr>
      <w:tr w:rsidR="001D16C5" w:rsidRPr="001D16C5" w14:paraId="767E2584" w14:textId="77777777" w:rsidTr="001D16C5">
        <w:trPr>
          <w:trHeight w:val="264"/>
        </w:trPr>
        <w:tc>
          <w:tcPr>
            <w:tcW w:w="1820" w:type="dxa"/>
            <w:tcBorders>
              <w:top w:val="nil"/>
              <w:left w:val="nil"/>
              <w:bottom w:val="nil"/>
              <w:right w:val="nil"/>
            </w:tcBorders>
            <w:shd w:val="clear" w:color="auto" w:fill="auto"/>
            <w:noWrap/>
            <w:vAlign w:val="bottom"/>
            <w:hideMark/>
          </w:tcPr>
          <w:p w14:paraId="03377B38"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p>
        </w:tc>
        <w:tc>
          <w:tcPr>
            <w:tcW w:w="1580" w:type="dxa"/>
            <w:tcBorders>
              <w:top w:val="nil"/>
              <w:left w:val="nil"/>
              <w:bottom w:val="single" w:sz="4" w:space="0" w:color="C0C0C0"/>
              <w:right w:val="single" w:sz="4" w:space="0" w:color="E0E0E0"/>
            </w:tcBorders>
            <w:shd w:val="clear" w:color="auto" w:fill="auto"/>
            <w:noWrap/>
            <w:hideMark/>
          </w:tcPr>
          <w:p w14:paraId="027ECB3F" w14:textId="77777777" w:rsidR="001D16C5" w:rsidRPr="001D16C5" w:rsidRDefault="001D16C5" w:rsidP="001D16C5">
            <w:pPr>
              <w:spacing w:after="0" w:line="240" w:lineRule="auto"/>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Standard Deviation</w:t>
            </w:r>
          </w:p>
        </w:tc>
        <w:tc>
          <w:tcPr>
            <w:tcW w:w="1320" w:type="dxa"/>
            <w:tcBorders>
              <w:top w:val="nil"/>
              <w:left w:val="nil"/>
              <w:bottom w:val="single" w:sz="4" w:space="0" w:color="C0C0C0"/>
              <w:right w:val="single" w:sz="4" w:space="0" w:color="E0E0E0"/>
            </w:tcBorders>
            <w:shd w:val="clear" w:color="auto" w:fill="auto"/>
            <w:noWrap/>
            <w:hideMark/>
          </w:tcPr>
          <w:p w14:paraId="5547D055"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1,134</w:t>
            </w:r>
          </w:p>
        </w:tc>
        <w:tc>
          <w:tcPr>
            <w:tcW w:w="1480" w:type="dxa"/>
            <w:tcBorders>
              <w:top w:val="nil"/>
              <w:left w:val="nil"/>
              <w:bottom w:val="single" w:sz="4" w:space="0" w:color="C0C0C0"/>
              <w:right w:val="single" w:sz="4" w:space="0" w:color="E0E0E0"/>
            </w:tcBorders>
            <w:shd w:val="clear" w:color="auto" w:fill="auto"/>
            <w:noWrap/>
            <w:hideMark/>
          </w:tcPr>
          <w:p w14:paraId="3F10304E" w14:textId="77777777" w:rsidR="001D16C5" w:rsidRPr="001D16C5" w:rsidRDefault="001D16C5" w:rsidP="001D16C5">
            <w:pPr>
              <w:spacing w:after="0" w:line="240" w:lineRule="auto"/>
              <w:jc w:val="center"/>
              <w:rPr>
                <w:rFonts w:ascii="Arial" w:eastAsia="Times New Roman" w:hAnsi="Arial" w:cs="Arial"/>
                <w:b/>
                <w:bCs/>
                <w:color w:val="010205"/>
                <w:sz w:val="16"/>
                <w:szCs w:val="16"/>
                <w:lang w:eastAsia="de-AT"/>
              </w:rPr>
            </w:pPr>
            <w:r w:rsidRPr="001D16C5">
              <w:rPr>
                <w:rFonts w:ascii="Arial" w:eastAsia="Times New Roman" w:hAnsi="Arial" w:cs="Arial"/>
                <w:b/>
                <w:bCs/>
                <w:color w:val="010205"/>
                <w:sz w:val="16"/>
                <w:szCs w:val="16"/>
                <w:lang w:eastAsia="de-AT"/>
              </w:rPr>
              <w:t>1,053</w:t>
            </w:r>
          </w:p>
        </w:tc>
        <w:tc>
          <w:tcPr>
            <w:tcW w:w="880" w:type="dxa"/>
            <w:tcBorders>
              <w:top w:val="nil"/>
              <w:left w:val="nil"/>
              <w:bottom w:val="single" w:sz="4" w:space="0" w:color="C0C0C0"/>
              <w:right w:val="single" w:sz="4" w:space="0" w:color="E0E0E0"/>
            </w:tcBorders>
            <w:shd w:val="clear" w:color="auto" w:fill="auto"/>
            <w:noWrap/>
            <w:hideMark/>
          </w:tcPr>
          <w:p w14:paraId="6B19F3F4" w14:textId="77777777" w:rsidR="001D16C5" w:rsidRPr="001D16C5" w:rsidRDefault="001D16C5" w:rsidP="001D16C5">
            <w:pPr>
              <w:spacing w:after="0" w:line="240" w:lineRule="auto"/>
              <w:jc w:val="center"/>
              <w:rPr>
                <w:rFonts w:ascii="Arial" w:eastAsia="Times New Roman" w:hAnsi="Arial" w:cs="Arial"/>
                <w:b/>
                <w:bCs/>
                <w:color w:val="010205"/>
                <w:sz w:val="16"/>
                <w:szCs w:val="16"/>
                <w:lang w:eastAsia="de-AT"/>
              </w:rPr>
            </w:pPr>
            <w:r w:rsidRPr="001D16C5">
              <w:rPr>
                <w:rFonts w:ascii="Arial" w:eastAsia="Times New Roman" w:hAnsi="Arial" w:cs="Arial"/>
                <w:b/>
                <w:bCs/>
                <w:color w:val="010205"/>
                <w:sz w:val="16"/>
                <w:szCs w:val="16"/>
                <w:lang w:eastAsia="de-AT"/>
              </w:rPr>
              <w:t>1,057</w:t>
            </w:r>
          </w:p>
        </w:tc>
        <w:tc>
          <w:tcPr>
            <w:tcW w:w="1660" w:type="dxa"/>
            <w:tcBorders>
              <w:top w:val="nil"/>
              <w:left w:val="nil"/>
              <w:bottom w:val="single" w:sz="4" w:space="0" w:color="C0C0C0"/>
              <w:right w:val="single" w:sz="4" w:space="0" w:color="E0E0E0"/>
            </w:tcBorders>
            <w:shd w:val="clear" w:color="auto" w:fill="auto"/>
            <w:noWrap/>
            <w:hideMark/>
          </w:tcPr>
          <w:p w14:paraId="5DB0CCC1" w14:textId="77777777" w:rsidR="001D16C5" w:rsidRPr="001D16C5" w:rsidRDefault="001D16C5" w:rsidP="001D16C5">
            <w:pPr>
              <w:spacing w:after="0" w:line="240" w:lineRule="auto"/>
              <w:jc w:val="center"/>
              <w:rPr>
                <w:rFonts w:ascii="Arial" w:eastAsia="Times New Roman" w:hAnsi="Arial" w:cs="Arial"/>
                <w:b/>
                <w:bCs/>
                <w:color w:val="010205"/>
                <w:sz w:val="16"/>
                <w:szCs w:val="16"/>
                <w:lang w:eastAsia="de-AT"/>
              </w:rPr>
            </w:pPr>
            <w:r w:rsidRPr="001D16C5">
              <w:rPr>
                <w:rFonts w:ascii="Arial" w:eastAsia="Times New Roman" w:hAnsi="Arial" w:cs="Arial"/>
                <w:b/>
                <w:bCs/>
                <w:color w:val="010205"/>
                <w:sz w:val="16"/>
                <w:szCs w:val="16"/>
                <w:lang w:eastAsia="de-AT"/>
              </w:rPr>
              <w:t>1,104</w:t>
            </w:r>
          </w:p>
        </w:tc>
        <w:tc>
          <w:tcPr>
            <w:tcW w:w="1649" w:type="dxa"/>
            <w:tcBorders>
              <w:top w:val="nil"/>
              <w:left w:val="nil"/>
              <w:bottom w:val="single" w:sz="4" w:space="0" w:color="C0C0C0"/>
              <w:right w:val="single" w:sz="4" w:space="0" w:color="E0E0E0"/>
            </w:tcBorders>
            <w:shd w:val="clear" w:color="auto" w:fill="auto"/>
            <w:noWrap/>
            <w:hideMark/>
          </w:tcPr>
          <w:p w14:paraId="62ABDE5B" w14:textId="77777777" w:rsidR="001D16C5" w:rsidRPr="001D16C5" w:rsidRDefault="001D16C5" w:rsidP="001D16C5">
            <w:pPr>
              <w:spacing w:after="0" w:line="240" w:lineRule="auto"/>
              <w:jc w:val="center"/>
              <w:rPr>
                <w:rFonts w:ascii="Arial" w:eastAsia="Times New Roman" w:hAnsi="Arial" w:cs="Arial"/>
                <w:b/>
                <w:bCs/>
                <w:color w:val="010205"/>
                <w:sz w:val="16"/>
                <w:szCs w:val="16"/>
                <w:lang w:eastAsia="de-AT"/>
              </w:rPr>
            </w:pPr>
            <w:r w:rsidRPr="001D16C5">
              <w:rPr>
                <w:rFonts w:ascii="Arial" w:eastAsia="Times New Roman" w:hAnsi="Arial" w:cs="Arial"/>
                <w:b/>
                <w:bCs/>
                <w:color w:val="010205"/>
                <w:sz w:val="16"/>
                <w:szCs w:val="16"/>
                <w:lang w:eastAsia="de-AT"/>
              </w:rPr>
              <w:t>1,066</w:t>
            </w:r>
          </w:p>
        </w:tc>
      </w:tr>
      <w:tr w:rsidR="001D16C5" w:rsidRPr="001D16C5" w14:paraId="2C8EF227" w14:textId="77777777" w:rsidTr="001D16C5">
        <w:trPr>
          <w:trHeight w:val="264"/>
        </w:trPr>
        <w:tc>
          <w:tcPr>
            <w:tcW w:w="1820" w:type="dxa"/>
            <w:tcBorders>
              <w:top w:val="single" w:sz="4" w:space="0" w:color="C0C0C0"/>
              <w:left w:val="nil"/>
              <w:bottom w:val="single" w:sz="4" w:space="0" w:color="C0C0C0"/>
              <w:right w:val="single" w:sz="4" w:space="0" w:color="E0E0E0"/>
            </w:tcBorders>
            <w:shd w:val="clear" w:color="auto" w:fill="auto"/>
            <w:noWrap/>
            <w:hideMark/>
          </w:tcPr>
          <w:p w14:paraId="60723EB3"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 </w:t>
            </w:r>
          </w:p>
        </w:tc>
        <w:tc>
          <w:tcPr>
            <w:tcW w:w="1580" w:type="dxa"/>
            <w:tcBorders>
              <w:top w:val="nil"/>
              <w:left w:val="nil"/>
              <w:bottom w:val="single" w:sz="4" w:space="0" w:color="C0C0C0"/>
              <w:right w:val="single" w:sz="4" w:space="0" w:color="E0E0E0"/>
            </w:tcBorders>
            <w:shd w:val="clear" w:color="auto" w:fill="auto"/>
            <w:noWrap/>
            <w:hideMark/>
          </w:tcPr>
          <w:p w14:paraId="19DC3BB6" w14:textId="77777777" w:rsidR="001D16C5" w:rsidRPr="001D16C5" w:rsidRDefault="001D16C5" w:rsidP="001D16C5">
            <w:pPr>
              <w:spacing w:after="0" w:line="240" w:lineRule="auto"/>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Sharpe Ratio</w:t>
            </w:r>
          </w:p>
        </w:tc>
        <w:tc>
          <w:tcPr>
            <w:tcW w:w="1320" w:type="dxa"/>
            <w:tcBorders>
              <w:top w:val="nil"/>
              <w:left w:val="nil"/>
              <w:bottom w:val="single" w:sz="4" w:space="0" w:color="C0C0C0"/>
              <w:right w:val="single" w:sz="4" w:space="0" w:color="E0E0E0"/>
            </w:tcBorders>
            <w:shd w:val="clear" w:color="auto" w:fill="auto"/>
            <w:noWrap/>
            <w:hideMark/>
          </w:tcPr>
          <w:p w14:paraId="30EB7110"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0,267</w:t>
            </w:r>
          </w:p>
        </w:tc>
        <w:tc>
          <w:tcPr>
            <w:tcW w:w="1480" w:type="dxa"/>
            <w:tcBorders>
              <w:top w:val="nil"/>
              <w:left w:val="nil"/>
              <w:bottom w:val="single" w:sz="4" w:space="0" w:color="C0C0C0"/>
              <w:right w:val="single" w:sz="4" w:space="0" w:color="E0E0E0"/>
            </w:tcBorders>
            <w:shd w:val="clear" w:color="auto" w:fill="auto"/>
            <w:noWrap/>
            <w:hideMark/>
          </w:tcPr>
          <w:p w14:paraId="535D3247" w14:textId="77777777" w:rsidR="001D16C5" w:rsidRPr="001D16C5" w:rsidRDefault="001D16C5" w:rsidP="001D16C5">
            <w:pPr>
              <w:spacing w:after="0" w:line="240" w:lineRule="auto"/>
              <w:jc w:val="center"/>
              <w:rPr>
                <w:rFonts w:ascii="Arial" w:eastAsia="Times New Roman" w:hAnsi="Arial" w:cs="Arial"/>
                <w:b/>
                <w:bCs/>
                <w:color w:val="010205"/>
                <w:sz w:val="16"/>
                <w:szCs w:val="16"/>
                <w:lang w:eastAsia="de-AT"/>
              </w:rPr>
            </w:pPr>
            <w:r w:rsidRPr="001D16C5">
              <w:rPr>
                <w:rFonts w:ascii="Arial" w:eastAsia="Times New Roman" w:hAnsi="Arial" w:cs="Arial"/>
                <w:b/>
                <w:bCs/>
                <w:color w:val="010205"/>
                <w:sz w:val="16"/>
                <w:szCs w:val="16"/>
                <w:lang w:eastAsia="de-AT"/>
              </w:rPr>
              <w:t>0,272</w:t>
            </w:r>
          </w:p>
        </w:tc>
        <w:tc>
          <w:tcPr>
            <w:tcW w:w="880" w:type="dxa"/>
            <w:tcBorders>
              <w:top w:val="nil"/>
              <w:left w:val="nil"/>
              <w:bottom w:val="single" w:sz="4" w:space="0" w:color="C0C0C0"/>
              <w:right w:val="single" w:sz="4" w:space="0" w:color="E0E0E0"/>
            </w:tcBorders>
            <w:shd w:val="clear" w:color="auto" w:fill="auto"/>
            <w:noWrap/>
            <w:hideMark/>
          </w:tcPr>
          <w:p w14:paraId="395EA1DD"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0,267</w:t>
            </w:r>
          </w:p>
        </w:tc>
        <w:tc>
          <w:tcPr>
            <w:tcW w:w="1660" w:type="dxa"/>
            <w:tcBorders>
              <w:top w:val="nil"/>
              <w:left w:val="nil"/>
              <w:bottom w:val="single" w:sz="4" w:space="0" w:color="C0C0C0"/>
              <w:right w:val="single" w:sz="4" w:space="0" w:color="E0E0E0"/>
            </w:tcBorders>
            <w:shd w:val="clear" w:color="auto" w:fill="auto"/>
            <w:noWrap/>
            <w:hideMark/>
          </w:tcPr>
          <w:p w14:paraId="7E746D7A"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0,243</w:t>
            </w:r>
          </w:p>
        </w:tc>
        <w:tc>
          <w:tcPr>
            <w:tcW w:w="1649" w:type="dxa"/>
            <w:tcBorders>
              <w:top w:val="nil"/>
              <w:left w:val="nil"/>
              <w:bottom w:val="single" w:sz="4" w:space="0" w:color="C0C0C0"/>
              <w:right w:val="single" w:sz="4" w:space="0" w:color="E0E0E0"/>
            </w:tcBorders>
            <w:shd w:val="clear" w:color="auto" w:fill="auto"/>
            <w:noWrap/>
            <w:hideMark/>
          </w:tcPr>
          <w:p w14:paraId="5398EB7D" w14:textId="77777777" w:rsidR="001D16C5" w:rsidRPr="001D16C5" w:rsidRDefault="001D16C5" w:rsidP="001D16C5">
            <w:pPr>
              <w:spacing w:after="0" w:line="240" w:lineRule="auto"/>
              <w:jc w:val="center"/>
              <w:rPr>
                <w:rFonts w:ascii="Arial" w:eastAsia="Times New Roman" w:hAnsi="Arial" w:cs="Arial"/>
                <w:b/>
                <w:bCs/>
                <w:color w:val="010205"/>
                <w:sz w:val="16"/>
                <w:szCs w:val="16"/>
                <w:lang w:eastAsia="de-AT"/>
              </w:rPr>
            </w:pPr>
            <w:r w:rsidRPr="001D16C5">
              <w:rPr>
                <w:rFonts w:ascii="Arial" w:eastAsia="Times New Roman" w:hAnsi="Arial" w:cs="Arial"/>
                <w:b/>
                <w:bCs/>
                <w:color w:val="010205"/>
                <w:sz w:val="16"/>
                <w:szCs w:val="16"/>
                <w:lang w:eastAsia="de-AT"/>
              </w:rPr>
              <w:t>0,272</w:t>
            </w:r>
          </w:p>
        </w:tc>
      </w:tr>
      <w:tr w:rsidR="001D16C5" w:rsidRPr="001D16C5" w14:paraId="734ACE60" w14:textId="77777777" w:rsidTr="001D16C5">
        <w:trPr>
          <w:trHeight w:val="264"/>
        </w:trPr>
        <w:tc>
          <w:tcPr>
            <w:tcW w:w="1820" w:type="dxa"/>
            <w:tcBorders>
              <w:top w:val="nil"/>
              <w:left w:val="nil"/>
              <w:bottom w:val="single" w:sz="4" w:space="0" w:color="C0C0C0"/>
              <w:right w:val="single" w:sz="4" w:space="0" w:color="E0E0E0"/>
            </w:tcBorders>
            <w:shd w:val="clear" w:color="auto" w:fill="auto"/>
            <w:noWrap/>
            <w:hideMark/>
          </w:tcPr>
          <w:p w14:paraId="02EC908C" w14:textId="77777777" w:rsidR="001D16C5" w:rsidRPr="001D16C5" w:rsidRDefault="001D16C5" w:rsidP="001D16C5">
            <w:pPr>
              <w:spacing w:after="0" w:line="240" w:lineRule="auto"/>
              <w:rPr>
                <w:rFonts w:ascii="Arial" w:eastAsia="Times New Roman" w:hAnsi="Arial" w:cs="Arial"/>
                <w:color w:val="010205"/>
                <w:sz w:val="16"/>
                <w:szCs w:val="16"/>
                <w:lang w:eastAsia="de-AT"/>
              </w:rPr>
            </w:pPr>
            <w:proofErr w:type="spellStart"/>
            <w:r w:rsidRPr="001D16C5">
              <w:rPr>
                <w:rFonts w:ascii="Arial" w:eastAsia="Times New Roman" w:hAnsi="Arial" w:cs="Arial"/>
                <w:color w:val="010205"/>
                <w:sz w:val="16"/>
                <w:szCs w:val="16"/>
                <w:lang w:eastAsia="de-AT"/>
              </w:rPr>
              <w:t>Agressive</w:t>
            </w:r>
            <w:proofErr w:type="spellEnd"/>
          </w:p>
        </w:tc>
        <w:tc>
          <w:tcPr>
            <w:tcW w:w="1580" w:type="dxa"/>
            <w:tcBorders>
              <w:top w:val="nil"/>
              <w:left w:val="nil"/>
              <w:bottom w:val="single" w:sz="4" w:space="0" w:color="C0C0C0"/>
              <w:right w:val="single" w:sz="4" w:space="0" w:color="E0E0E0"/>
            </w:tcBorders>
            <w:shd w:val="clear" w:color="auto" w:fill="auto"/>
            <w:noWrap/>
            <w:hideMark/>
          </w:tcPr>
          <w:p w14:paraId="4871FE2F" w14:textId="77777777" w:rsidR="001D16C5" w:rsidRPr="001D16C5" w:rsidRDefault="001D16C5" w:rsidP="001D16C5">
            <w:pPr>
              <w:spacing w:after="0" w:line="240" w:lineRule="auto"/>
              <w:rPr>
                <w:rFonts w:ascii="Arial" w:eastAsia="Times New Roman" w:hAnsi="Arial" w:cs="Arial"/>
                <w:color w:val="010205"/>
                <w:sz w:val="16"/>
                <w:szCs w:val="16"/>
                <w:lang w:eastAsia="de-AT"/>
              </w:rPr>
            </w:pPr>
            <w:proofErr w:type="spellStart"/>
            <w:r w:rsidRPr="001D16C5">
              <w:rPr>
                <w:rFonts w:ascii="Arial" w:eastAsia="Times New Roman" w:hAnsi="Arial" w:cs="Arial"/>
                <w:color w:val="010205"/>
                <w:sz w:val="16"/>
                <w:szCs w:val="16"/>
                <w:lang w:eastAsia="de-AT"/>
              </w:rPr>
              <w:t>Mean</w:t>
            </w:r>
            <w:proofErr w:type="spellEnd"/>
          </w:p>
        </w:tc>
        <w:tc>
          <w:tcPr>
            <w:tcW w:w="1320" w:type="dxa"/>
            <w:tcBorders>
              <w:top w:val="nil"/>
              <w:left w:val="nil"/>
              <w:bottom w:val="single" w:sz="4" w:space="0" w:color="C0C0C0"/>
              <w:right w:val="single" w:sz="4" w:space="0" w:color="E0E0E0"/>
            </w:tcBorders>
            <w:shd w:val="clear" w:color="auto" w:fill="auto"/>
            <w:noWrap/>
            <w:hideMark/>
          </w:tcPr>
          <w:p w14:paraId="58313B2D"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0,399</w:t>
            </w:r>
          </w:p>
        </w:tc>
        <w:tc>
          <w:tcPr>
            <w:tcW w:w="1480" w:type="dxa"/>
            <w:tcBorders>
              <w:top w:val="nil"/>
              <w:left w:val="nil"/>
              <w:bottom w:val="single" w:sz="4" w:space="0" w:color="C0C0C0"/>
              <w:right w:val="single" w:sz="4" w:space="0" w:color="E0E0E0"/>
            </w:tcBorders>
            <w:shd w:val="clear" w:color="auto" w:fill="auto"/>
            <w:noWrap/>
            <w:hideMark/>
          </w:tcPr>
          <w:p w14:paraId="73B7FF9E"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0,384</w:t>
            </w:r>
          </w:p>
        </w:tc>
        <w:tc>
          <w:tcPr>
            <w:tcW w:w="880" w:type="dxa"/>
            <w:tcBorders>
              <w:top w:val="nil"/>
              <w:left w:val="nil"/>
              <w:bottom w:val="single" w:sz="4" w:space="0" w:color="C0C0C0"/>
              <w:right w:val="single" w:sz="4" w:space="0" w:color="E0E0E0"/>
            </w:tcBorders>
            <w:shd w:val="clear" w:color="auto" w:fill="auto"/>
            <w:noWrap/>
            <w:hideMark/>
          </w:tcPr>
          <w:p w14:paraId="74D63B2B"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0,367</w:t>
            </w:r>
          </w:p>
        </w:tc>
        <w:tc>
          <w:tcPr>
            <w:tcW w:w="1660" w:type="dxa"/>
            <w:tcBorders>
              <w:top w:val="nil"/>
              <w:left w:val="nil"/>
              <w:bottom w:val="single" w:sz="4" w:space="0" w:color="C0C0C0"/>
              <w:right w:val="single" w:sz="4" w:space="0" w:color="E0E0E0"/>
            </w:tcBorders>
            <w:shd w:val="clear" w:color="auto" w:fill="auto"/>
            <w:noWrap/>
            <w:hideMark/>
          </w:tcPr>
          <w:p w14:paraId="59A8DAAE"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0,326</w:t>
            </w:r>
          </w:p>
        </w:tc>
        <w:tc>
          <w:tcPr>
            <w:tcW w:w="1649" w:type="dxa"/>
            <w:tcBorders>
              <w:top w:val="nil"/>
              <w:left w:val="nil"/>
              <w:bottom w:val="single" w:sz="4" w:space="0" w:color="C0C0C0"/>
              <w:right w:val="single" w:sz="4" w:space="0" w:color="E0E0E0"/>
            </w:tcBorders>
            <w:shd w:val="clear" w:color="auto" w:fill="auto"/>
            <w:noWrap/>
            <w:hideMark/>
          </w:tcPr>
          <w:p w14:paraId="3DDA1B01"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0,392</w:t>
            </w:r>
          </w:p>
        </w:tc>
      </w:tr>
      <w:tr w:rsidR="001D16C5" w:rsidRPr="001D16C5" w14:paraId="605A631D" w14:textId="77777777" w:rsidTr="001D16C5">
        <w:trPr>
          <w:trHeight w:val="264"/>
        </w:trPr>
        <w:tc>
          <w:tcPr>
            <w:tcW w:w="1820" w:type="dxa"/>
            <w:tcBorders>
              <w:top w:val="nil"/>
              <w:left w:val="nil"/>
              <w:bottom w:val="single" w:sz="4" w:space="0" w:color="C0C0C0"/>
              <w:right w:val="single" w:sz="4" w:space="0" w:color="E0E0E0"/>
            </w:tcBorders>
            <w:shd w:val="clear" w:color="auto" w:fill="auto"/>
            <w:noWrap/>
            <w:hideMark/>
          </w:tcPr>
          <w:p w14:paraId="17DC30FD"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 </w:t>
            </w:r>
          </w:p>
        </w:tc>
        <w:tc>
          <w:tcPr>
            <w:tcW w:w="1580" w:type="dxa"/>
            <w:tcBorders>
              <w:top w:val="nil"/>
              <w:left w:val="nil"/>
              <w:bottom w:val="single" w:sz="4" w:space="0" w:color="C0C0C0"/>
              <w:right w:val="single" w:sz="4" w:space="0" w:color="E0E0E0"/>
            </w:tcBorders>
            <w:shd w:val="clear" w:color="auto" w:fill="auto"/>
            <w:noWrap/>
            <w:hideMark/>
          </w:tcPr>
          <w:p w14:paraId="755013FA" w14:textId="77777777" w:rsidR="001D16C5" w:rsidRPr="001D16C5" w:rsidRDefault="001D16C5" w:rsidP="001D16C5">
            <w:pPr>
              <w:spacing w:after="0" w:line="240" w:lineRule="auto"/>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Median</w:t>
            </w:r>
          </w:p>
        </w:tc>
        <w:tc>
          <w:tcPr>
            <w:tcW w:w="1320" w:type="dxa"/>
            <w:tcBorders>
              <w:top w:val="nil"/>
              <w:left w:val="nil"/>
              <w:bottom w:val="single" w:sz="4" w:space="0" w:color="C0C0C0"/>
              <w:right w:val="single" w:sz="4" w:space="0" w:color="E0E0E0"/>
            </w:tcBorders>
            <w:shd w:val="clear" w:color="auto" w:fill="auto"/>
            <w:noWrap/>
            <w:hideMark/>
          </w:tcPr>
          <w:p w14:paraId="1C1B5542"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0,705</w:t>
            </w:r>
          </w:p>
        </w:tc>
        <w:tc>
          <w:tcPr>
            <w:tcW w:w="1480" w:type="dxa"/>
            <w:tcBorders>
              <w:top w:val="nil"/>
              <w:left w:val="nil"/>
              <w:bottom w:val="single" w:sz="4" w:space="0" w:color="C0C0C0"/>
              <w:right w:val="single" w:sz="4" w:space="0" w:color="E0E0E0"/>
            </w:tcBorders>
            <w:shd w:val="clear" w:color="auto" w:fill="auto"/>
            <w:noWrap/>
            <w:hideMark/>
          </w:tcPr>
          <w:p w14:paraId="5FA28D22"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0,570</w:t>
            </w:r>
          </w:p>
        </w:tc>
        <w:tc>
          <w:tcPr>
            <w:tcW w:w="880" w:type="dxa"/>
            <w:tcBorders>
              <w:top w:val="nil"/>
              <w:left w:val="nil"/>
              <w:bottom w:val="single" w:sz="4" w:space="0" w:color="C0C0C0"/>
              <w:right w:val="single" w:sz="4" w:space="0" w:color="E0E0E0"/>
            </w:tcBorders>
            <w:shd w:val="clear" w:color="auto" w:fill="auto"/>
            <w:noWrap/>
            <w:hideMark/>
          </w:tcPr>
          <w:p w14:paraId="7A0D281E"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0,630</w:t>
            </w:r>
          </w:p>
        </w:tc>
        <w:tc>
          <w:tcPr>
            <w:tcW w:w="1660" w:type="dxa"/>
            <w:tcBorders>
              <w:top w:val="nil"/>
              <w:left w:val="nil"/>
              <w:bottom w:val="single" w:sz="4" w:space="0" w:color="C0C0C0"/>
              <w:right w:val="single" w:sz="4" w:space="0" w:color="E0E0E0"/>
            </w:tcBorders>
            <w:shd w:val="clear" w:color="auto" w:fill="auto"/>
            <w:noWrap/>
            <w:hideMark/>
          </w:tcPr>
          <w:p w14:paraId="65C8EDC6"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0,545</w:t>
            </w:r>
          </w:p>
        </w:tc>
        <w:tc>
          <w:tcPr>
            <w:tcW w:w="1649" w:type="dxa"/>
            <w:tcBorders>
              <w:top w:val="nil"/>
              <w:left w:val="nil"/>
              <w:bottom w:val="single" w:sz="4" w:space="0" w:color="C0C0C0"/>
              <w:right w:val="single" w:sz="4" w:space="0" w:color="E0E0E0"/>
            </w:tcBorders>
            <w:shd w:val="clear" w:color="auto" w:fill="auto"/>
            <w:noWrap/>
            <w:hideMark/>
          </w:tcPr>
          <w:p w14:paraId="6856ADE7"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0,580</w:t>
            </w:r>
          </w:p>
        </w:tc>
      </w:tr>
      <w:tr w:rsidR="001D16C5" w:rsidRPr="001D16C5" w14:paraId="1D552AE7" w14:textId="77777777" w:rsidTr="001D16C5">
        <w:trPr>
          <w:trHeight w:val="264"/>
        </w:trPr>
        <w:tc>
          <w:tcPr>
            <w:tcW w:w="1820" w:type="dxa"/>
            <w:tcBorders>
              <w:top w:val="nil"/>
              <w:left w:val="nil"/>
              <w:bottom w:val="single" w:sz="4" w:space="0" w:color="C0C0C0"/>
              <w:right w:val="single" w:sz="4" w:space="0" w:color="E0E0E0"/>
            </w:tcBorders>
            <w:shd w:val="clear" w:color="auto" w:fill="auto"/>
            <w:noWrap/>
            <w:hideMark/>
          </w:tcPr>
          <w:p w14:paraId="06993478"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 </w:t>
            </w:r>
          </w:p>
        </w:tc>
        <w:tc>
          <w:tcPr>
            <w:tcW w:w="1580" w:type="dxa"/>
            <w:tcBorders>
              <w:top w:val="nil"/>
              <w:left w:val="nil"/>
              <w:bottom w:val="single" w:sz="4" w:space="0" w:color="C0C0C0"/>
              <w:right w:val="single" w:sz="4" w:space="0" w:color="E0E0E0"/>
            </w:tcBorders>
            <w:shd w:val="clear" w:color="auto" w:fill="auto"/>
            <w:noWrap/>
            <w:hideMark/>
          </w:tcPr>
          <w:p w14:paraId="3E7E8668" w14:textId="77777777" w:rsidR="001D16C5" w:rsidRPr="001D16C5" w:rsidRDefault="001D16C5" w:rsidP="001D16C5">
            <w:pPr>
              <w:spacing w:after="0" w:line="240" w:lineRule="auto"/>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Standard Deviation</w:t>
            </w:r>
          </w:p>
        </w:tc>
        <w:tc>
          <w:tcPr>
            <w:tcW w:w="1320" w:type="dxa"/>
            <w:tcBorders>
              <w:top w:val="nil"/>
              <w:left w:val="nil"/>
              <w:bottom w:val="single" w:sz="4" w:space="0" w:color="C0C0C0"/>
              <w:right w:val="single" w:sz="4" w:space="0" w:color="E0E0E0"/>
            </w:tcBorders>
            <w:shd w:val="clear" w:color="auto" w:fill="auto"/>
            <w:noWrap/>
            <w:hideMark/>
          </w:tcPr>
          <w:p w14:paraId="16F72112"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1,771</w:t>
            </w:r>
          </w:p>
        </w:tc>
        <w:tc>
          <w:tcPr>
            <w:tcW w:w="1480" w:type="dxa"/>
            <w:tcBorders>
              <w:top w:val="nil"/>
              <w:left w:val="nil"/>
              <w:bottom w:val="single" w:sz="4" w:space="0" w:color="C0C0C0"/>
              <w:right w:val="single" w:sz="4" w:space="0" w:color="E0E0E0"/>
            </w:tcBorders>
            <w:shd w:val="clear" w:color="auto" w:fill="auto"/>
            <w:noWrap/>
            <w:hideMark/>
          </w:tcPr>
          <w:p w14:paraId="21BC687D"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1,849</w:t>
            </w:r>
          </w:p>
        </w:tc>
        <w:tc>
          <w:tcPr>
            <w:tcW w:w="880" w:type="dxa"/>
            <w:tcBorders>
              <w:top w:val="nil"/>
              <w:left w:val="nil"/>
              <w:bottom w:val="single" w:sz="4" w:space="0" w:color="C0C0C0"/>
              <w:right w:val="single" w:sz="4" w:space="0" w:color="E0E0E0"/>
            </w:tcBorders>
            <w:shd w:val="clear" w:color="auto" w:fill="auto"/>
            <w:noWrap/>
            <w:hideMark/>
          </w:tcPr>
          <w:p w14:paraId="540138AF"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2,128</w:t>
            </w:r>
          </w:p>
        </w:tc>
        <w:tc>
          <w:tcPr>
            <w:tcW w:w="1660" w:type="dxa"/>
            <w:tcBorders>
              <w:top w:val="nil"/>
              <w:left w:val="nil"/>
              <w:bottom w:val="single" w:sz="4" w:space="0" w:color="C0C0C0"/>
              <w:right w:val="single" w:sz="4" w:space="0" w:color="E0E0E0"/>
            </w:tcBorders>
            <w:shd w:val="clear" w:color="auto" w:fill="auto"/>
            <w:noWrap/>
            <w:hideMark/>
          </w:tcPr>
          <w:p w14:paraId="4DE87108"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2,294</w:t>
            </w:r>
          </w:p>
        </w:tc>
        <w:tc>
          <w:tcPr>
            <w:tcW w:w="1649" w:type="dxa"/>
            <w:tcBorders>
              <w:top w:val="nil"/>
              <w:left w:val="nil"/>
              <w:bottom w:val="single" w:sz="4" w:space="0" w:color="C0C0C0"/>
              <w:right w:val="single" w:sz="4" w:space="0" w:color="E0E0E0"/>
            </w:tcBorders>
            <w:shd w:val="clear" w:color="auto" w:fill="auto"/>
            <w:noWrap/>
            <w:hideMark/>
          </w:tcPr>
          <w:p w14:paraId="6945297A"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2,011</w:t>
            </w:r>
          </w:p>
        </w:tc>
      </w:tr>
      <w:tr w:rsidR="001D16C5" w:rsidRPr="001D16C5" w14:paraId="662E74AA" w14:textId="77777777" w:rsidTr="001D16C5">
        <w:trPr>
          <w:trHeight w:val="264"/>
        </w:trPr>
        <w:tc>
          <w:tcPr>
            <w:tcW w:w="1820" w:type="dxa"/>
            <w:tcBorders>
              <w:top w:val="nil"/>
              <w:left w:val="single" w:sz="4" w:space="0" w:color="E0E0E0"/>
              <w:bottom w:val="single" w:sz="4" w:space="0" w:color="auto"/>
              <w:right w:val="single" w:sz="4" w:space="0" w:color="E0E0E0"/>
            </w:tcBorders>
            <w:shd w:val="clear" w:color="auto" w:fill="auto"/>
            <w:noWrap/>
            <w:hideMark/>
          </w:tcPr>
          <w:p w14:paraId="675BA3E0"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 </w:t>
            </w:r>
          </w:p>
        </w:tc>
        <w:tc>
          <w:tcPr>
            <w:tcW w:w="1580" w:type="dxa"/>
            <w:tcBorders>
              <w:top w:val="nil"/>
              <w:left w:val="nil"/>
              <w:bottom w:val="single" w:sz="4" w:space="0" w:color="auto"/>
              <w:right w:val="single" w:sz="4" w:space="0" w:color="E0E0E0"/>
            </w:tcBorders>
            <w:shd w:val="clear" w:color="auto" w:fill="auto"/>
            <w:noWrap/>
            <w:hideMark/>
          </w:tcPr>
          <w:p w14:paraId="41AABEE9" w14:textId="77777777" w:rsidR="001D16C5" w:rsidRPr="001D16C5" w:rsidRDefault="001D16C5" w:rsidP="001D16C5">
            <w:pPr>
              <w:spacing w:after="0" w:line="240" w:lineRule="auto"/>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Sharpe Ratio</w:t>
            </w:r>
          </w:p>
        </w:tc>
        <w:tc>
          <w:tcPr>
            <w:tcW w:w="1320" w:type="dxa"/>
            <w:tcBorders>
              <w:top w:val="nil"/>
              <w:left w:val="nil"/>
              <w:bottom w:val="single" w:sz="4" w:space="0" w:color="auto"/>
              <w:right w:val="single" w:sz="4" w:space="0" w:color="E0E0E0"/>
            </w:tcBorders>
            <w:shd w:val="clear" w:color="auto" w:fill="auto"/>
            <w:noWrap/>
            <w:hideMark/>
          </w:tcPr>
          <w:p w14:paraId="4E6AD81F"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0,193</w:t>
            </w:r>
          </w:p>
        </w:tc>
        <w:tc>
          <w:tcPr>
            <w:tcW w:w="1480" w:type="dxa"/>
            <w:tcBorders>
              <w:top w:val="nil"/>
              <w:left w:val="nil"/>
              <w:bottom w:val="single" w:sz="4" w:space="0" w:color="auto"/>
              <w:right w:val="single" w:sz="4" w:space="0" w:color="E0E0E0"/>
            </w:tcBorders>
            <w:shd w:val="clear" w:color="auto" w:fill="auto"/>
            <w:noWrap/>
            <w:hideMark/>
          </w:tcPr>
          <w:p w14:paraId="73F1F12E"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0,176</w:t>
            </w:r>
          </w:p>
        </w:tc>
        <w:tc>
          <w:tcPr>
            <w:tcW w:w="880" w:type="dxa"/>
            <w:tcBorders>
              <w:top w:val="nil"/>
              <w:left w:val="nil"/>
              <w:bottom w:val="single" w:sz="4" w:space="0" w:color="auto"/>
              <w:right w:val="single" w:sz="4" w:space="0" w:color="E0E0E0"/>
            </w:tcBorders>
            <w:shd w:val="clear" w:color="auto" w:fill="auto"/>
            <w:noWrap/>
            <w:hideMark/>
          </w:tcPr>
          <w:p w14:paraId="23BE5C56"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0,145</w:t>
            </w:r>
          </w:p>
        </w:tc>
        <w:tc>
          <w:tcPr>
            <w:tcW w:w="1660" w:type="dxa"/>
            <w:tcBorders>
              <w:top w:val="nil"/>
              <w:left w:val="nil"/>
              <w:bottom w:val="single" w:sz="4" w:space="0" w:color="auto"/>
              <w:right w:val="single" w:sz="4" w:space="0" w:color="E0E0E0"/>
            </w:tcBorders>
            <w:shd w:val="clear" w:color="auto" w:fill="auto"/>
            <w:noWrap/>
            <w:hideMark/>
          </w:tcPr>
          <w:p w14:paraId="58E91500"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0,117</w:t>
            </w:r>
          </w:p>
        </w:tc>
        <w:tc>
          <w:tcPr>
            <w:tcW w:w="1649" w:type="dxa"/>
            <w:tcBorders>
              <w:top w:val="nil"/>
              <w:left w:val="nil"/>
              <w:bottom w:val="single" w:sz="4" w:space="0" w:color="auto"/>
              <w:right w:val="single" w:sz="4" w:space="0" w:color="E0E0E0"/>
            </w:tcBorders>
            <w:shd w:val="clear" w:color="auto" w:fill="auto"/>
            <w:noWrap/>
            <w:hideMark/>
          </w:tcPr>
          <w:p w14:paraId="00D77EF7" w14:textId="77777777" w:rsidR="001D16C5" w:rsidRPr="001D16C5" w:rsidRDefault="001D16C5" w:rsidP="001D16C5">
            <w:pPr>
              <w:spacing w:after="0" w:line="240" w:lineRule="auto"/>
              <w:jc w:val="center"/>
              <w:rPr>
                <w:rFonts w:ascii="Arial" w:eastAsia="Times New Roman" w:hAnsi="Arial" w:cs="Arial"/>
                <w:color w:val="010205"/>
                <w:sz w:val="16"/>
                <w:szCs w:val="16"/>
                <w:lang w:eastAsia="de-AT"/>
              </w:rPr>
            </w:pPr>
            <w:r w:rsidRPr="001D16C5">
              <w:rPr>
                <w:rFonts w:ascii="Arial" w:eastAsia="Times New Roman" w:hAnsi="Arial" w:cs="Arial"/>
                <w:color w:val="010205"/>
                <w:sz w:val="16"/>
                <w:szCs w:val="16"/>
                <w:lang w:eastAsia="de-AT"/>
              </w:rPr>
              <w:t>0,166</w:t>
            </w:r>
          </w:p>
        </w:tc>
      </w:tr>
    </w:tbl>
    <w:p w14:paraId="1F3E7AAC" w14:textId="77777777" w:rsidR="00E47154" w:rsidRPr="00E47154" w:rsidRDefault="001D16C5" w:rsidP="001D16C5">
      <w:pPr>
        <w:autoSpaceDE w:val="0"/>
        <w:autoSpaceDN w:val="0"/>
        <w:adjustRightInd w:val="0"/>
        <w:spacing w:after="0" w:line="240" w:lineRule="auto"/>
        <w:rPr>
          <w:rFonts w:ascii="Times New Roman" w:hAnsi="Times New Roman" w:cs="Times New Roman"/>
          <w:bCs/>
          <w:sz w:val="24"/>
          <w:szCs w:val="24"/>
          <w:lang w:val="en-US"/>
        </w:rPr>
      </w:pPr>
      <w:r>
        <w:rPr>
          <w:rFonts w:ascii="AdvGulliv-I" w:hAnsi="AdvGulliv-I" w:cs="AdvGulliv-I"/>
          <w:sz w:val="13"/>
          <w:szCs w:val="13"/>
          <w:lang w:eastAsia="de-AT"/>
        </w:rPr>
        <w:t>Notes</w:t>
      </w:r>
      <w:r>
        <w:rPr>
          <w:rFonts w:ascii="AdvGulliv-R" w:hAnsi="AdvGulliv-R" w:cs="AdvGulliv-R"/>
          <w:sz w:val="13"/>
          <w:szCs w:val="13"/>
          <w:lang w:eastAsia="de-AT"/>
        </w:rPr>
        <w:t xml:space="preserve">: This </w:t>
      </w:r>
      <w:proofErr w:type="spellStart"/>
      <w:r>
        <w:rPr>
          <w:rFonts w:ascii="AdvGulliv-R" w:hAnsi="AdvGulliv-R" w:cs="AdvGulliv-R"/>
          <w:sz w:val="13"/>
          <w:szCs w:val="13"/>
          <w:lang w:eastAsia="de-AT"/>
        </w:rPr>
        <w:t>table</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reports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out-of-sample </w:t>
      </w:r>
      <w:proofErr w:type="spellStart"/>
      <w:r>
        <w:rPr>
          <w:rFonts w:ascii="AdvGulliv-R" w:hAnsi="AdvGulliv-R" w:cs="AdvGulliv-R"/>
          <w:sz w:val="13"/>
          <w:szCs w:val="13"/>
          <w:lang w:eastAsia="de-AT"/>
        </w:rPr>
        <w:t>portfolio</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performance</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for</w:t>
      </w:r>
      <w:proofErr w:type="spellEnd"/>
      <w:r>
        <w:rPr>
          <w:rFonts w:ascii="AdvGulliv-R" w:hAnsi="AdvGulliv-R" w:cs="AdvGulliv-R"/>
          <w:sz w:val="13"/>
          <w:szCs w:val="13"/>
          <w:lang w:eastAsia="de-AT"/>
        </w:rPr>
        <w:t xml:space="preserve"> stock-bond </w:t>
      </w:r>
      <w:proofErr w:type="spellStart"/>
      <w:r>
        <w:rPr>
          <w:rFonts w:ascii="AdvGulliv-R" w:hAnsi="AdvGulliv-R" w:cs="AdvGulliv-R"/>
          <w:sz w:val="13"/>
          <w:szCs w:val="13"/>
          <w:lang w:eastAsia="de-AT"/>
        </w:rPr>
        <w:t>portfolios</w:t>
      </w:r>
      <w:proofErr w:type="spellEnd"/>
      <w:r>
        <w:rPr>
          <w:rFonts w:ascii="AdvGulliv-R" w:hAnsi="AdvGulliv-R" w:cs="AdvGulliv-R"/>
          <w:sz w:val="13"/>
          <w:szCs w:val="13"/>
          <w:lang w:eastAsia="de-AT"/>
        </w:rPr>
        <w:t xml:space="preserve"> and </w:t>
      </w:r>
      <w:proofErr w:type="spellStart"/>
      <w:r>
        <w:rPr>
          <w:rFonts w:ascii="AdvGulliv-R" w:hAnsi="AdvGulliv-R" w:cs="AdvGulliv-R"/>
          <w:sz w:val="13"/>
          <w:szCs w:val="13"/>
          <w:lang w:eastAsia="de-AT"/>
        </w:rPr>
        <w:t>portfolios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complemented</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with</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HFRI </w:t>
      </w:r>
      <w:proofErr w:type="spellStart"/>
      <w:r>
        <w:rPr>
          <w:rFonts w:ascii="AdvGulliv-R" w:hAnsi="AdvGulliv-R" w:cs="AdvGulliv-R"/>
          <w:sz w:val="13"/>
          <w:szCs w:val="13"/>
          <w:lang w:eastAsia="de-AT"/>
        </w:rPr>
        <w:t>Macro</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Commodity</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index</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CRB </w:t>
      </w:r>
      <w:proofErr w:type="spellStart"/>
      <w:r>
        <w:rPr>
          <w:rFonts w:ascii="AdvGulliv-R" w:hAnsi="AdvGulliv-R" w:cs="AdvGulliv-R"/>
          <w:sz w:val="13"/>
          <w:szCs w:val="13"/>
          <w:lang w:eastAsia="de-AT"/>
        </w:rPr>
        <w:t>index</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HFRI Equity </w:t>
      </w:r>
      <w:proofErr w:type="spellStart"/>
      <w:r>
        <w:rPr>
          <w:rFonts w:ascii="AdvGulliv-R" w:hAnsi="AdvGulliv-R" w:cs="AdvGulliv-R"/>
          <w:sz w:val="13"/>
          <w:szCs w:val="13"/>
          <w:lang w:eastAsia="de-AT"/>
        </w:rPr>
        <w:t>Hedge</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Sector</w:t>
      </w:r>
      <w:proofErr w:type="spellEnd"/>
      <w:r>
        <w:rPr>
          <w:rFonts w:ascii="AdvGulliv-R" w:hAnsi="AdvGulliv-R" w:cs="AdvGulliv-R"/>
          <w:sz w:val="13"/>
          <w:szCs w:val="13"/>
          <w:lang w:eastAsia="de-AT"/>
        </w:rPr>
        <w:t xml:space="preserve"> - </w:t>
      </w:r>
      <w:proofErr w:type="spellStart"/>
      <w:r>
        <w:rPr>
          <w:rFonts w:ascii="AdvGulliv-R" w:hAnsi="AdvGulliv-R" w:cs="AdvGulliv-R"/>
          <w:sz w:val="13"/>
          <w:szCs w:val="13"/>
          <w:lang w:eastAsia="de-AT"/>
        </w:rPr>
        <w:t>Energy</w:t>
      </w:r>
      <w:proofErr w:type="spellEnd"/>
      <w:r>
        <w:rPr>
          <w:rFonts w:ascii="AdvGulliv-R" w:hAnsi="AdvGulliv-R" w:cs="AdvGulliv-R"/>
          <w:sz w:val="13"/>
          <w:szCs w:val="13"/>
          <w:lang w:eastAsia="de-AT"/>
        </w:rPr>
        <w:t xml:space="preserve">/Basic Materials </w:t>
      </w:r>
      <w:proofErr w:type="spellStart"/>
      <w:r>
        <w:rPr>
          <w:rFonts w:ascii="AdvGulliv-R" w:hAnsi="AdvGulliv-R" w:cs="AdvGulliv-R"/>
          <w:sz w:val="13"/>
          <w:szCs w:val="13"/>
          <w:lang w:eastAsia="de-AT"/>
        </w:rPr>
        <w:t>index</w:t>
      </w:r>
      <w:proofErr w:type="spellEnd"/>
      <w:r>
        <w:rPr>
          <w:rFonts w:ascii="AdvGulliv-R" w:hAnsi="AdvGulliv-R" w:cs="AdvGulliv-R"/>
          <w:sz w:val="13"/>
          <w:szCs w:val="13"/>
          <w:lang w:eastAsia="de-AT"/>
        </w:rPr>
        <w:t xml:space="preserve"> and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HFRI Composite </w:t>
      </w:r>
      <w:proofErr w:type="spellStart"/>
      <w:r>
        <w:rPr>
          <w:rFonts w:ascii="AdvGulliv-R" w:hAnsi="AdvGulliv-R" w:cs="AdvGulliv-R"/>
          <w:sz w:val="13"/>
          <w:szCs w:val="13"/>
          <w:lang w:eastAsia="de-AT"/>
        </w:rPr>
        <w:t>index</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during</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time </w:t>
      </w:r>
      <w:proofErr w:type="spellStart"/>
      <w:r>
        <w:rPr>
          <w:rFonts w:ascii="AdvGulliv-R" w:hAnsi="AdvGulliv-R" w:cs="AdvGulliv-R"/>
          <w:sz w:val="13"/>
          <w:szCs w:val="13"/>
          <w:lang w:eastAsia="de-AT"/>
        </w:rPr>
        <w:t>period</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from</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January</w:t>
      </w:r>
      <w:proofErr w:type="spellEnd"/>
      <w:r>
        <w:rPr>
          <w:rFonts w:ascii="AdvGulliv-R" w:hAnsi="AdvGulliv-R" w:cs="AdvGulliv-R"/>
          <w:sz w:val="13"/>
          <w:szCs w:val="13"/>
          <w:lang w:eastAsia="de-AT"/>
        </w:rPr>
        <w:t xml:space="preserve"> 2008 </w:t>
      </w:r>
      <w:proofErr w:type="spellStart"/>
      <w:r>
        <w:rPr>
          <w:rFonts w:ascii="AdvGulliv-R" w:hAnsi="AdvGulliv-R" w:cs="AdvGulliv-R"/>
          <w:sz w:val="13"/>
          <w:szCs w:val="13"/>
          <w:lang w:eastAsia="de-AT"/>
        </w:rPr>
        <w:t>to</w:t>
      </w:r>
      <w:proofErr w:type="spellEnd"/>
      <w:r>
        <w:rPr>
          <w:rFonts w:ascii="AdvGulliv-R" w:hAnsi="AdvGulliv-R" w:cs="AdvGulliv-R"/>
          <w:sz w:val="13"/>
          <w:szCs w:val="13"/>
          <w:lang w:eastAsia="de-AT"/>
        </w:rPr>
        <w:t xml:space="preserve"> April 2015. The </w:t>
      </w:r>
      <w:proofErr w:type="spellStart"/>
      <w:r>
        <w:rPr>
          <w:rFonts w:ascii="AdvGulliv-R" w:hAnsi="AdvGulliv-R" w:cs="AdvGulliv-R"/>
          <w:sz w:val="13"/>
          <w:szCs w:val="13"/>
          <w:lang w:eastAsia="de-AT"/>
        </w:rPr>
        <w:t>table</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presents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results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for</w:t>
      </w:r>
      <w:proofErr w:type="spellEnd"/>
      <w:r>
        <w:rPr>
          <w:rFonts w:ascii="AdvGulliv-R" w:hAnsi="AdvGulliv-R" w:cs="AdvGulliv-R"/>
          <w:sz w:val="13"/>
          <w:szCs w:val="13"/>
          <w:lang w:eastAsia="de-AT"/>
        </w:rPr>
        <w:t xml:space="preserve"> a </w:t>
      </w:r>
      <w:proofErr w:type="spellStart"/>
      <w:r>
        <w:rPr>
          <w:rFonts w:ascii="AdvGulliv-R" w:hAnsi="AdvGulliv-R" w:cs="AdvGulliv-R"/>
          <w:sz w:val="13"/>
          <w:szCs w:val="13"/>
          <w:lang w:eastAsia="de-AT"/>
        </w:rPr>
        <w:t>conservative</w:t>
      </w:r>
      <w:proofErr w:type="spellEnd"/>
      <w:r>
        <w:rPr>
          <w:rFonts w:ascii="AdvGulliv-R" w:hAnsi="AdvGulliv-R" w:cs="AdvGulliv-R"/>
          <w:sz w:val="13"/>
          <w:szCs w:val="13"/>
          <w:lang w:eastAsia="de-AT"/>
        </w:rPr>
        <w:t xml:space="preserve"> and aggressive </w:t>
      </w:r>
      <w:proofErr w:type="spellStart"/>
      <w:r w:rsidR="008C6CFE">
        <w:rPr>
          <w:rFonts w:ascii="AdvGulliv-R" w:hAnsi="AdvGulliv-R" w:cs="AdvGulliv-R"/>
          <w:sz w:val="13"/>
          <w:szCs w:val="13"/>
          <w:lang w:eastAsia="de-AT"/>
        </w:rPr>
        <w:t>investor</w:t>
      </w:r>
      <w:proofErr w:type="spellEnd"/>
      <w:r w:rsidR="008C6CFE">
        <w:rPr>
          <w:rFonts w:ascii="AdvGulliv-R" w:hAnsi="AdvGulliv-R" w:cs="AdvGulliv-R"/>
          <w:sz w:val="13"/>
          <w:szCs w:val="13"/>
          <w:lang w:eastAsia="de-AT"/>
        </w:rPr>
        <w:t xml:space="preserve">. </w:t>
      </w:r>
      <w:r>
        <w:rPr>
          <w:rFonts w:ascii="AdvGulliv-R" w:hAnsi="AdvGulliv-R" w:cs="AdvGulliv-R"/>
          <w:sz w:val="13"/>
          <w:szCs w:val="13"/>
          <w:lang w:eastAsia="de-AT"/>
        </w:rPr>
        <w:t xml:space="preserve">The </w:t>
      </w:r>
      <w:proofErr w:type="spellStart"/>
      <w:r>
        <w:rPr>
          <w:rFonts w:ascii="AdvGulliv-R" w:hAnsi="AdvGulliv-R" w:cs="AdvGulliv-R"/>
          <w:sz w:val="13"/>
          <w:szCs w:val="13"/>
          <w:lang w:eastAsia="de-AT"/>
        </w:rPr>
        <w:t>basis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portfolio</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consists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only</w:t>
      </w:r>
      <w:proofErr w:type="spellEnd"/>
      <w:r>
        <w:rPr>
          <w:rFonts w:ascii="AdvGulliv-R" w:hAnsi="AdvGulliv-R" w:cs="AdvGulliv-R"/>
          <w:sz w:val="13"/>
          <w:szCs w:val="13"/>
          <w:lang w:eastAsia="de-AT"/>
        </w:rPr>
        <w:t xml:space="preserve"> of US </w:t>
      </w:r>
      <w:proofErr w:type="spellStart"/>
      <w:r>
        <w:rPr>
          <w:rFonts w:ascii="AdvGulliv-R" w:hAnsi="AdvGulliv-R" w:cs="AdvGulliv-R"/>
          <w:sz w:val="13"/>
          <w:szCs w:val="13"/>
          <w:lang w:eastAsia="de-AT"/>
        </w:rPr>
        <w:t>stocks</w:t>
      </w:r>
      <w:proofErr w:type="spellEnd"/>
      <w:r>
        <w:rPr>
          <w:rFonts w:ascii="AdvGulliv-R" w:hAnsi="AdvGulliv-R" w:cs="AdvGulliv-R"/>
          <w:sz w:val="13"/>
          <w:szCs w:val="13"/>
          <w:lang w:eastAsia="de-AT"/>
        </w:rPr>
        <w:t xml:space="preserve"> and </w:t>
      </w:r>
      <w:proofErr w:type="spellStart"/>
      <w:r>
        <w:rPr>
          <w:rFonts w:ascii="AdvGulliv-R" w:hAnsi="AdvGulliv-R" w:cs="AdvGulliv-R"/>
          <w:sz w:val="13"/>
          <w:szCs w:val="13"/>
          <w:lang w:eastAsia="de-AT"/>
        </w:rPr>
        <w:t>bonds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while</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extended</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portfolio</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additionally</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includes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indicated</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indices</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Improvements</w:t>
      </w:r>
      <w:proofErr w:type="spellEnd"/>
      <w:r>
        <w:rPr>
          <w:rFonts w:ascii="AdvGulliv-R" w:hAnsi="AdvGulliv-R" w:cs="AdvGulliv-R"/>
          <w:sz w:val="13"/>
          <w:szCs w:val="13"/>
          <w:lang w:eastAsia="de-AT"/>
        </w:rPr>
        <w:t xml:space="preserve"> in </w:t>
      </w:r>
      <w:proofErr w:type="spellStart"/>
      <w:r>
        <w:rPr>
          <w:rFonts w:ascii="AdvGulliv-R" w:hAnsi="AdvGulliv-R" w:cs="AdvGulliv-R"/>
          <w:sz w:val="13"/>
          <w:szCs w:val="13"/>
          <w:lang w:eastAsia="de-AT"/>
        </w:rPr>
        <w:t>comparison</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to</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the</w:t>
      </w:r>
      <w:proofErr w:type="spellEnd"/>
      <w:r>
        <w:rPr>
          <w:rFonts w:ascii="AdvGulliv-R" w:hAnsi="AdvGulliv-R" w:cs="AdvGulliv-R"/>
          <w:sz w:val="13"/>
          <w:szCs w:val="13"/>
          <w:lang w:eastAsia="de-AT"/>
        </w:rPr>
        <w:t xml:space="preserve"> stock-bond </w:t>
      </w:r>
      <w:proofErr w:type="spellStart"/>
      <w:r>
        <w:rPr>
          <w:rFonts w:ascii="AdvGulliv-R" w:hAnsi="AdvGulliv-R" w:cs="AdvGulliv-R"/>
          <w:sz w:val="13"/>
          <w:szCs w:val="13"/>
          <w:lang w:eastAsia="de-AT"/>
        </w:rPr>
        <w:t>portfolio</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are</w:t>
      </w:r>
      <w:proofErr w:type="spellEnd"/>
      <w:r>
        <w:rPr>
          <w:rFonts w:ascii="AdvGulliv-R" w:hAnsi="AdvGulliv-R" w:cs="AdvGulliv-R"/>
          <w:sz w:val="13"/>
          <w:szCs w:val="13"/>
          <w:lang w:eastAsia="de-AT"/>
        </w:rPr>
        <w:t xml:space="preserve"> in </w:t>
      </w:r>
      <w:proofErr w:type="spellStart"/>
      <w:r>
        <w:rPr>
          <w:rFonts w:ascii="AdvGulliv-R" w:hAnsi="AdvGulliv-R" w:cs="AdvGulliv-R"/>
          <w:sz w:val="13"/>
          <w:szCs w:val="13"/>
          <w:lang w:eastAsia="de-AT"/>
        </w:rPr>
        <w:t>bold</w:t>
      </w:r>
      <w:proofErr w:type="spellEnd"/>
      <w:r>
        <w:rPr>
          <w:rFonts w:ascii="AdvGulliv-R" w:hAnsi="AdvGulliv-R" w:cs="AdvGulliv-R"/>
          <w:sz w:val="13"/>
          <w:szCs w:val="13"/>
          <w:lang w:eastAsia="de-AT"/>
        </w:rPr>
        <w:t xml:space="preserve">. Sharpe </w:t>
      </w:r>
      <w:proofErr w:type="spellStart"/>
      <w:r>
        <w:rPr>
          <w:rFonts w:ascii="AdvGulliv-R" w:hAnsi="AdvGulliv-R" w:cs="AdvGulliv-R"/>
          <w:sz w:val="13"/>
          <w:szCs w:val="13"/>
          <w:lang w:eastAsia="de-AT"/>
        </w:rPr>
        <w:t>ratio</w:t>
      </w:r>
      <w:proofErr w:type="spellEnd"/>
      <w:r>
        <w:rPr>
          <w:rFonts w:ascii="AdvGulliv-R" w:hAnsi="AdvGulliv-R" w:cs="AdvGulliv-R"/>
          <w:sz w:val="13"/>
          <w:szCs w:val="13"/>
          <w:lang w:eastAsia="de-AT"/>
        </w:rPr>
        <w:t xml:space="preserve"> </w:t>
      </w:r>
      <w:proofErr w:type="spellStart"/>
      <w:r>
        <w:rPr>
          <w:rFonts w:ascii="AdvGulliv-R" w:hAnsi="AdvGulliv-R" w:cs="AdvGulliv-R"/>
          <w:sz w:val="13"/>
          <w:szCs w:val="13"/>
          <w:lang w:eastAsia="de-AT"/>
        </w:rPr>
        <w:t>represents</w:t>
      </w:r>
      <w:proofErr w:type="spellEnd"/>
      <w:r>
        <w:rPr>
          <w:rFonts w:ascii="AdvGulliv-R" w:hAnsi="AdvGulliv-R" w:cs="AdvGulliv-R"/>
          <w:sz w:val="13"/>
          <w:szCs w:val="13"/>
          <w:lang w:eastAsia="de-AT"/>
        </w:rPr>
        <w:t xml:space="preserve"> </w:t>
      </w:r>
      <w:proofErr w:type="spellStart"/>
      <w:r w:rsidR="008B0EB1">
        <w:rPr>
          <w:rFonts w:ascii="AdvGulliv-R" w:hAnsi="AdvGulliv-R" w:cs="AdvGulliv-R"/>
          <w:sz w:val="13"/>
          <w:szCs w:val="13"/>
          <w:lang w:eastAsia="de-AT"/>
        </w:rPr>
        <w:t>the</w:t>
      </w:r>
      <w:proofErr w:type="spellEnd"/>
      <w:r w:rsidR="008B0EB1">
        <w:rPr>
          <w:rFonts w:ascii="AdvGulliv-R" w:hAnsi="AdvGulliv-R" w:cs="AdvGulliv-R"/>
          <w:sz w:val="13"/>
          <w:szCs w:val="13"/>
          <w:lang w:eastAsia="de-AT"/>
        </w:rPr>
        <w:t xml:space="preserve"> Sharpe </w:t>
      </w:r>
      <w:proofErr w:type="spellStart"/>
      <w:r w:rsidR="008B0EB1">
        <w:rPr>
          <w:rFonts w:ascii="AdvGulliv-R" w:hAnsi="AdvGulliv-R" w:cs="AdvGulliv-R"/>
          <w:sz w:val="13"/>
          <w:szCs w:val="13"/>
          <w:lang w:eastAsia="de-AT"/>
        </w:rPr>
        <w:t>ratio</w:t>
      </w:r>
      <w:proofErr w:type="spellEnd"/>
      <w:r w:rsidR="008B0EB1">
        <w:rPr>
          <w:rFonts w:ascii="AdvGulliv-R" w:hAnsi="AdvGulliv-R" w:cs="AdvGulliv-R"/>
          <w:sz w:val="13"/>
          <w:szCs w:val="13"/>
          <w:lang w:eastAsia="de-AT"/>
        </w:rPr>
        <w:t xml:space="preserve"> </w:t>
      </w:r>
      <w:r w:rsidR="00D232C1">
        <w:rPr>
          <w:rFonts w:ascii="AdvGulliv-R" w:hAnsi="AdvGulliv-R" w:cs="AdvGulliv-R"/>
          <w:sz w:val="13"/>
          <w:szCs w:val="13"/>
          <w:lang w:eastAsia="de-AT"/>
        </w:rPr>
        <w:t xml:space="preserve">of </w:t>
      </w:r>
      <w:proofErr w:type="spellStart"/>
      <w:r w:rsidR="00D232C1">
        <w:rPr>
          <w:rFonts w:ascii="AdvGulliv-R" w:hAnsi="AdvGulliv-R" w:cs="AdvGulliv-R"/>
          <w:sz w:val="13"/>
          <w:szCs w:val="13"/>
          <w:lang w:eastAsia="de-AT"/>
        </w:rPr>
        <w:t>the</w:t>
      </w:r>
      <w:proofErr w:type="spellEnd"/>
      <w:r w:rsidR="00D232C1">
        <w:rPr>
          <w:rFonts w:ascii="AdvGulliv-R" w:hAnsi="AdvGulliv-R" w:cs="AdvGulliv-R"/>
          <w:sz w:val="13"/>
          <w:szCs w:val="13"/>
          <w:lang w:eastAsia="de-AT"/>
        </w:rPr>
        <w:t xml:space="preserve"> </w:t>
      </w:r>
      <w:proofErr w:type="spellStart"/>
      <w:r w:rsidR="00D232C1">
        <w:rPr>
          <w:rFonts w:ascii="AdvGulliv-R" w:hAnsi="AdvGulliv-R" w:cs="AdvGulliv-R"/>
          <w:sz w:val="13"/>
          <w:szCs w:val="13"/>
          <w:lang w:eastAsia="de-AT"/>
        </w:rPr>
        <w:t>monthly</w:t>
      </w:r>
      <w:proofErr w:type="spellEnd"/>
      <w:r w:rsidR="00D232C1">
        <w:rPr>
          <w:rFonts w:ascii="AdvGulliv-R" w:hAnsi="AdvGulliv-R" w:cs="AdvGulliv-R"/>
          <w:sz w:val="13"/>
          <w:szCs w:val="13"/>
          <w:lang w:eastAsia="de-AT"/>
        </w:rPr>
        <w:t xml:space="preserve"> </w:t>
      </w:r>
      <w:proofErr w:type="spellStart"/>
      <w:r w:rsidR="00D232C1">
        <w:rPr>
          <w:rFonts w:ascii="AdvGulliv-R" w:hAnsi="AdvGulliv-R" w:cs="AdvGulliv-R"/>
          <w:sz w:val="13"/>
          <w:szCs w:val="13"/>
          <w:lang w:eastAsia="de-AT"/>
        </w:rPr>
        <w:t>returns</w:t>
      </w:r>
      <w:proofErr w:type="spellEnd"/>
      <w:r w:rsidR="008B0EB1">
        <w:rPr>
          <w:rFonts w:ascii="AdvGulliv-R" w:hAnsi="AdvGulliv-R" w:cs="AdvGulliv-R"/>
          <w:sz w:val="13"/>
          <w:szCs w:val="13"/>
          <w:lang w:eastAsia="de-AT"/>
        </w:rPr>
        <w:t>.</w:t>
      </w:r>
    </w:p>
    <w:p w14:paraId="3AF4E06B" w14:textId="77777777" w:rsidR="00F64383" w:rsidRDefault="00F64383" w:rsidP="00806BF3">
      <w:pPr>
        <w:spacing w:line="240" w:lineRule="auto"/>
        <w:jc w:val="both"/>
        <w:rPr>
          <w:rFonts w:ascii="Times New Roman" w:hAnsi="Times New Roman" w:cs="Times New Roman"/>
          <w:bCs/>
          <w:sz w:val="24"/>
          <w:szCs w:val="24"/>
          <w:lang w:val="en-US"/>
        </w:rPr>
      </w:pPr>
    </w:p>
    <w:p w14:paraId="5F522ABB"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Table 5 demonstrates the performance of the conservative and aggressive portfolios. When we compare the mean of the stock bond portfolio with the portfolio where hedge funds and commodities are attributed, we find no outperformance of any variant. However, for an institutional investor the Sharpe Ratio is a better performance indicator. The attribution of the HFRI Macro index improves the Sharpe Ratio in the conservative variant. It is also noticeable that the CRB index and the HFRI Energy/Basic materials index have a lower Sharpe Ratio than the HFRI Macro index. As expected from the descriptive statistics the HFRI Energy Basic materials index does not represent an added value for an investor.</w:t>
      </w:r>
    </w:p>
    <w:p w14:paraId="6E3E3B2C" w14:textId="43E4D569" w:rsidR="00AE6AF4"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Concerning the aggressive </w:t>
      </w:r>
      <w:proofErr w:type="gramStart"/>
      <w:r>
        <w:rPr>
          <w:rFonts w:ascii="Times New Roman" w:hAnsi="Times New Roman"/>
          <w:bCs/>
          <w:sz w:val="24"/>
          <w:lang w:val="en-US"/>
        </w:rPr>
        <w:t>portfolio</w:t>
      </w:r>
      <w:proofErr w:type="gramEnd"/>
      <w:r>
        <w:rPr>
          <w:rFonts w:ascii="Times New Roman" w:hAnsi="Times New Roman"/>
          <w:bCs/>
          <w:sz w:val="24"/>
          <w:lang w:val="en-US"/>
        </w:rPr>
        <w:t xml:space="preserve"> no attribution of any indices makes sense. Generally, the Sharpe Ratio of the attributed indices is lower than that of the stock bond portfolio. The aggressive </w:t>
      </w:r>
      <w:proofErr w:type="spellStart"/>
      <w:r>
        <w:rPr>
          <w:rFonts w:ascii="Times New Roman" w:hAnsi="Times New Roman"/>
          <w:bCs/>
          <w:sz w:val="24"/>
          <w:lang w:val="en-US"/>
        </w:rPr>
        <w:t>variante</w:t>
      </w:r>
      <w:proofErr w:type="spellEnd"/>
      <w:r>
        <w:rPr>
          <w:rFonts w:ascii="Times New Roman" w:hAnsi="Times New Roman"/>
          <w:bCs/>
          <w:sz w:val="24"/>
          <w:lang w:val="en-US"/>
        </w:rPr>
        <w:t xml:space="preserve"> does not look attractive in any way, because of the strong performance of government bonds in this period.</w:t>
      </w:r>
    </w:p>
    <w:p w14:paraId="3CDC02AC" w14:textId="5F5F5F0B" w:rsidR="000F4E89" w:rsidRDefault="000F4E89" w:rsidP="007F17B7">
      <w:pPr>
        <w:spacing w:line="240" w:lineRule="auto"/>
        <w:jc w:val="both"/>
        <w:rPr>
          <w:rFonts w:ascii="Times New Roman" w:hAnsi="Times New Roman"/>
          <w:bCs/>
          <w:sz w:val="24"/>
          <w:lang w:val="en-US"/>
        </w:rPr>
      </w:pPr>
    </w:p>
    <w:p w14:paraId="68CE0BAD" w14:textId="43A2CE27" w:rsidR="000F4E89" w:rsidRDefault="000F4E89" w:rsidP="007F17B7">
      <w:pPr>
        <w:spacing w:line="240" w:lineRule="auto"/>
        <w:jc w:val="both"/>
        <w:rPr>
          <w:rFonts w:ascii="Times New Roman" w:hAnsi="Times New Roman"/>
          <w:bCs/>
          <w:sz w:val="24"/>
          <w:lang w:val="en-US"/>
        </w:rPr>
      </w:pPr>
    </w:p>
    <w:p w14:paraId="57CB93FF" w14:textId="37F971B5" w:rsidR="000F4E89" w:rsidRDefault="000F4E89" w:rsidP="007F17B7">
      <w:pPr>
        <w:spacing w:line="240" w:lineRule="auto"/>
        <w:jc w:val="both"/>
        <w:rPr>
          <w:rFonts w:ascii="Times New Roman" w:hAnsi="Times New Roman"/>
          <w:bCs/>
          <w:sz w:val="24"/>
          <w:lang w:val="en-US"/>
        </w:rPr>
      </w:pPr>
    </w:p>
    <w:p w14:paraId="778BFEF2" w14:textId="50C09415" w:rsidR="000F4E89" w:rsidRDefault="000F4E89" w:rsidP="007F17B7">
      <w:pPr>
        <w:spacing w:line="240" w:lineRule="auto"/>
        <w:jc w:val="both"/>
        <w:rPr>
          <w:rFonts w:ascii="Times New Roman" w:hAnsi="Times New Roman"/>
          <w:bCs/>
          <w:sz w:val="24"/>
          <w:lang w:val="en-US"/>
        </w:rPr>
      </w:pPr>
    </w:p>
    <w:p w14:paraId="06FDC160" w14:textId="77777777" w:rsidR="000F4E89" w:rsidRDefault="000F4E89" w:rsidP="007F17B7">
      <w:pPr>
        <w:spacing w:line="240" w:lineRule="auto"/>
        <w:jc w:val="both"/>
        <w:rPr>
          <w:rFonts w:ascii="Times New Roman" w:hAnsi="Times New Roman" w:cs="Times New Roman"/>
          <w:bCs/>
          <w:sz w:val="24"/>
          <w:szCs w:val="24"/>
          <w:lang w:val="en-US"/>
        </w:rPr>
      </w:pPr>
      <w:bookmarkStart w:id="0" w:name="_GoBack"/>
      <w:bookmarkEnd w:id="0"/>
    </w:p>
    <w:p w14:paraId="6470EEC2" w14:textId="77777777" w:rsidR="008058F3" w:rsidRPr="005D7949" w:rsidRDefault="008058F3" w:rsidP="00806BF3">
      <w:pPr>
        <w:spacing w:line="240" w:lineRule="auto"/>
        <w:jc w:val="both"/>
        <w:rPr>
          <w:rFonts w:ascii="Times New Roman" w:hAnsi="Times New Roman" w:cs="Times New Roman"/>
          <w:b/>
          <w:bCs/>
          <w:sz w:val="24"/>
          <w:szCs w:val="24"/>
          <w:lang w:val="en-US"/>
        </w:rPr>
      </w:pPr>
      <w:r w:rsidRPr="005D7949">
        <w:rPr>
          <w:rFonts w:ascii="Times New Roman" w:hAnsi="Times New Roman" w:cs="Times New Roman"/>
          <w:b/>
          <w:bCs/>
          <w:sz w:val="24"/>
          <w:szCs w:val="24"/>
          <w:lang w:val="en-US"/>
        </w:rPr>
        <w:lastRenderedPageBreak/>
        <w:t>Table 6: In-Sample performance of different Asset Allocation strategies</w:t>
      </w:r>
    </w:p>
    <w:tbl>
      <w:tblPr>
        <w:tblW w:w="9276" w:type="dxa"/>
        <w:tblInd w:w="-10" w:type="dxa"/>
        <w:tblCellMar>
          <w:left w:w="70" w:type="dxa"/>
          <w:right w:w="70" w:type="dxa"/>
        </w:tblCellMar>
        <w:tblLook w:val="04A0" w:firstRow="1" w:lastRow="0" w:firstColumn="1" w:lastColumn="0" w:noHBand="0" w:noVBand="1"/>
      </w:tblPr>
      <w:tblGrid>
        <w:gridCol w:w="2160"/>
        <w:gridCol w:w="1056"/>
        <w:gridCol w:w="940"/>
        <w:gridCol w:w="1240"/>
        <w:gridCol w:w="900"/>
        <w:gridCol w:w="1660"/>
        <w:gridCol w:w="1320"/>
      </w:tblGrid>
      <w:tr w:rsidR="002D46B9" w:rsidRPr="002D46B9" w14:paraId="2ADAE2BA" w14:textId="77777777" w:rsidTr="00FE5383">
        <w:trPr>
          <w:trHeight w:val="264"/>
        </w:trPr>
        <w:tc>
          <w:tcPr>
            <w:tcW w:w="2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847858" w14:textId="77777777" w:rsidR="002D46B9" w:rsidRPr="002D46B9" w:rsidRDefault="002D46B9" w:rsidP="002D46B9">
            <w:pPr>
              <w:spacing w:after="0" w:line="240" w:lineRule="auto"/>
              <w:rPr>
                <w:rFonts w:ascii="Arial" w:eastAsia="Times New Roman" w:hAnsi="Arial" w:cs="Arial"/>
                <w:sz w:val="16"/>
                <w:szCs w:val="16"/>
                <w:lang w:eastAsia="de-AT"/>
              </w:rPr>
            </w:pPr>
            <w:r>
              <w:rPr>
                <w:rFonts w:ascii="Arial" w:eastAsia="Times New Roman" w:hAnsi="Arial" w:cs="Arial"/>
                <w:sz w:val="16"/>
                <w:szCs w:val="16"/>
                <w:lang w:eastAsia="de-AT"/>
              </w:rPr>
              <w:t xml:space="preserve">Asset </w:t>
            </w:r>
            <w:proofErr w:type="spellStart"/>
            <w:r>
              <w:rPr>
                <w:rFonts w:ascii="Arial" w:eastAsia="Times New Roman" w:hAnsi="Arial" w:cs="Arial"/>
                <w:sz w:val="16"/>
                <w:szCs w:val="16"/>
                <w:lang w:eastAsia="de-AT"/>
              </w:rPr>
              <w:t>Allocation</w:t>
            </w:r>
            <w:proofErr w:type="spellEnd"/>
            <w:r>
              <w:rPr>
                <w:rFonts w:ascii="Arial" w:eastAsia="Times New Roman" w:hAnsi="Arial" w:cs="Arial"/>
                <w:sz w:val="16"/>
                <w:szCs w:val="16"/>
                <w:lang w:eastAsia="de-AT"/>
              </w:rPr>
              <w:t xml:space="preserve"> </w:t>
            </w:r>
            <w:proofErr w:type="spellStart"/>
            <w:r>
              <w:rPr>
                <w:rFonts w:ascii="Arial" w:eastAsia="Times New Roman" w:hAnsi="Arial" w:cs="Arial"/>
                <w:sz w:val="16"/>
                <w:szCs w:val="16"/>
                <w:lang w:eastAsia="de-AT"/>
              </w:rPr>
              <w:t>strategy</w:t>
            </w:r>
            <w:proofErr w:type="spellEnd"/>
          </w:p>
        </w:tc>
        <w:tc>
          <w:tcPr>
            <w:tcW w:w="1056" w:type="dxa"/>
            <w:tcBorders>
              <w:top w:val="single" w:sz="8" w:space="0" w:color="auto"/>
              <w:left w:val="nil"/>
              <w:bottom w:val="single" w:sz="4" w:space="0" w:color="auto"/>
              <w:right w:val="nil"/>
            </w:tcBorders>
            <w:shd w:val="clear" w:color="auto" w:fill="auto"/>
            <w:noWrap/>
            <w:vAlign w:val="bottom"/>
            <w:hideMark/>
          </w:tcPr>
          <w:p w14:paraId="0409A914"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Performance</w:t>
            </w:r>
          </w:p>
        </w:tc>
        <w:tc>
          <w:tcPr>
            <w:tcW w:w="940" w:type="dxa"/>
            <w:tcBorders>
              <w:top w:val="single" w:sz="8" w:space="0" w:color="auto"/>
              <w:left w:val="nil"/>
              <w:bottom w:val="single" w:sz="4" w:space="0" w:color="auto"/>
              <w:right w:val="nil"/>
            </w:tcBorders>
            <w:shd w:val="clear" w:color="auto" w:fill="auto"/>
            <w:noWrap/>
            <w:vAlign w:val="bottom"/>
            <w:hideMark/>
          </w:tcPr>
          <w:p w14:paraId="01A82755"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xml:space="preserve">Stock </w:t>
            </w:r>
            <w:proofErr w:type="spellStart"/>
            <w:r w:rsidRPr="002D46B9">
              <w:rPr>
                <w:rFonts w:ascii="Arial" w:eastAsia="Times New Roman" w:hAnsi="Arial" w:cs="Arial"/>
                <w:sz w:val="16"/>
                <w:szCs w:val="16"/>
                <w:lang w:eastAsia="de-AT"/>
              </w:rPr>
              <w:t>bond</w:t>
            </w:r>
            <w:proofErr w:type="spellEnd"/>
          </w:p>
        </w:tc>
        <w:tc>
          <w:tcPr>
            <w:tcW w:w="1240" w:type="dxa"/>
            <w:tcBorders>
              <w:top w:val="single" w:sz="8" w:space="0" w:color="auto"/>
              <w:left w:val="nil"/>
              <w:bottom w:val="single" w:sz="4" w:space="0" w:color="auto"/>
              <w:right w:val="nil"/>
            </w:tcBorders>
            <w:shd w:val="clear" w:color="auto" w:fill="auto"/>
            <w:noWrap/>
            <w:vAlign w:val="bottom"/>
            <w:hideMark/>
          </w:tcPr>
          <w:p w14:paraId="2AF98ACC"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xml:space="preserve">Stock </w:t>
            </w:r>
            <w:proofErr w:type="spellStart"/>
            <w:r w:rsidRPr="002D46B9">
              <w:rPr>
                <w:rFonts w:ascii="Arial" w:eastAsia="Times New Roman" w:hAnsi="Arial" w:cs="Arial"/>
                <w:sz w:val="16"/>
                <w:szCs w:val="16"/>
                <w:lang w:eastAsia="de-AT"/>
              </w:rPr>
              <w:t>bond</w:t>
            </w:r>
            <w:proofErr w:type="spellEnd"/>
            <w:r w:rsidRPr="002D46B9">
              <w:rPr>
                <w:rFonts w:ascii="Arial" w:eastAsia="Times New Roman" w:hAnsi="Arial" w:cs="Arial"/>
                <w:sz w:val="16"/>
                <w:szCs w:val="16"/>
                <w:lang w:eastAsia="de-AT"/>
              </w:rPr>
              <w:t xml:space="preserve"> plus</w:t>
            </w:r>
          </w:p>
        </w:tc>
        <w:tc>
          <w:tcPr>
            <w:tcW w:w="900" w:type="dxa"/>
            <w:tcBorders>
              <w:top w:val="single" w:sz="8" w:space="0" w:color="auto"/>
              <w:left w:val="nil"/>
              <w:bottom w:val="single" w:sz="4" w:space="0" w:color="auto"/>
              <w:right w:val="nil"/>
            </w:tcBorders>
            <w:shd w:val="clear" w:color="auto" w:fill="auto"/>
            <w:noWrap/>
            <w:vAlign w:val="bottom"/>
            <w:hideMark/>
          </w:tcPr>
          <w:p w14:paraId="424E8050"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w:t>
            </w:r>
          </w:p>
        </w:tc>
        <w:tc>
          <w:tcPr>
            <w:tcW w:w="1660" w:type="dxa"/>
            <w:tcBorders>
              <w:top w:val="single" w:sz="8" w:space="0" w:color="auto"/>
              <w:left w:val="nil"/>
              <w:bottom w:val="single" w:sz="4" w:space="0" w:color="auto"/>
              <w:right w:val="nil"/>
            </w:tcBorders>
            <w:shd w:val="clear" w:color="auto" w:fill="auto"/>
            <w:noWrap/>
            <w:vAlign w:val="bottom"/>
            <w:hideMark/>
          </w:tcPr>
          <w:p w14:paraId="589D57FD"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w:t>
            </w:r>
          </w:p>
        </w:tc>
        <w:tc>
          <w:tcPr>
            <w:tcW w:w="1320" w:type="dxa"/>
            <w:tcBorders>
              <w:top w:val="single" w:sz="8" w:space="0" w:color="auto"/>
              <w:left w:val="nil"/>
              <w:bottom w:val="single" w:sz="4" w:space="0" w:color="auto"/>
              <w:right w:val="single" w:sz="8" w:space="0" w:color="auto"/>
            </w:tcBorders>
            <w:shd w:val="clear" w:color="auto" w:fill="auto"/>
            <w:noWrap/>
            <w:vAlign w:val="bottom"/>
            <w:hideMark/>
          </w:tcPr>
          <w:p w14:paraId="27455BAE"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w:t>
            </w:r>
          </w:p>
        </w:tc>
      </w:tr>
      <w:tr w:rsidR="002D46B9" w:rsidRPr="002D46B9" w14:paraId="2F4BD8EF" w14:textId="77777777" w:rsidTr="00FE5383">
        <w:trPr>
          <w:trHeight w:val="264"/>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14:paraId="2A38BC1C"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w:t>
            </w:r>
          </w:p>
        </w:tc>
        <w:tc>
          <w:tcPr>
            <w:tcW w:w="1056" w:type="dxa"/>
            <w:tcBorders>
              <w:top w:val="nil"/>
              <w:left w:val="nil"/>
              <w:bottom w:val="single" w:sz="4" w:space="0" w:color="auto"/>
              <w:right w:val="nil"/>
            </w:tcBorders>
            <w:shd w:val="clear" w:color="auto" w:fill="auto"/>
            <w:noWrap/>
            <w:vAlign w:val="bottom"/>
            <w:hideMark/>
          </w:tcPr>
          <w:p w14:paraId="5D953D09"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w:t>
            </w:r>
          </w:p>
        </w:tc>
        <w:tc>
          <w:tcPr>
            <w:tcW w:w="940" w:type="dxa"/>
            <w:tcBorders>
              <w:top w:val="nil"/>
              <w:left w:val="nil"/>
              <w:bottom w:val="single" w:sz="4" w:space="0" w:color="auto"/>
              <w:right w:val="nil"/>
            </w:tcBorders>
            <w:shd w:val="clear" w:color="auto" w:fill="auto"/>
            <w:noWrap/>
            <w:vAlign w:val="bottom"/>
            <w:hideMark/>
          </w:tcPr>
          <w:p w14:paraId="41536B52"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w:t>
            </w:r>
          </w:p>
        </w:tc>
        <w:tc>
          <w:tcPr>
            <w:tcW w:w="1240" w:type="dxa"/>
            <w:tcBorders>
              <w:top w:val="nil"/>
              <w:left w:val="nil"/>
              <w:bottom w:val="single" w:sz="4" w:space="0" w:color="auto"/>
              <w:right w:val="nil"/>
            </w:tcBorders>
            <w:shd w:val="clear" w:color="auto" w:fill="auto"/>
            <w:noWrap/>
            <w:vAlign w:val="bottom"/>
            <w:hideMark/>
          </w:tcPr>
          <w:p w14:paraId="3848F597"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xml:space="preserve">HFRI </w:t>
            </w:r>
            <w:proofErr w:type="spellStart"/>
            <w:r w:rsidRPr="002D46B9">
              <w:rPr>
                <w:rFonts w:ascii="Arial" w:eastAsia="Times New Roman" w:hAnsi="Arial" w:cs="Arial"/>
                <w:sz w:val="16"/>
                <w:szCs w:val="16"/>
                <w:lang w:eastAsia="de-AT"/>
              </w:rPr>
              <w:t>Macro</w:t>
            </w:r>
            <w:proofErr w:type="spellEnd"/>
          </w:p>
        </w:tc>
        <w:tc>
          <w:tcPr>
            <w:tcW w:w="900" w:type="dxa"/>
            <w:tcBorders>
              <w:top w:val="nil"/>
              <w:left w:val="nil"/>
              <w:bottom w:val="single" w:sz="4" w:space="0" w:color="auto"/>
              <w:right w:val="nil"/>
            </w:tcBorders>
            <w:shd w:val="clear" w:color="auto" w:fill="auto"/>
            <w:noWrap/>
            <w:vAlign w:val="bottom"/>
            <w:hideMark/>
          </w:tcPr>
          <w:p w14:paraId="620282A9"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CRB Index</w:t>
            </w:r>
          </w:p>
        </w:tc>
        <w:tc>
          <w:tcPr>
            <w:tcW w:w="1660" w:type="dxa"/>
            <w:tcBorders>
              <w:top w:val="nil"/>
              <w:left w:val="nil"/>
              <w:bottom w:val="single" w:sz="4" w:space="0" w:color="auto"/>
              <w:right w:val="nil"/>
            </w:tcBorders>
            <w:shd w:val="clear" w:color="auto" w:fill="auto"/>
            <w:noWrap/>
            <w:vAlign w:val="bottom"/>
            <w:hideMark/>
          </w:tcPr>
          <w:p w14:paraId="155B8150"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 xml:space="preserve">HFRI </w:t>
            </w:r>
            <w:proofErr w:type="spellStart"/>
            <w:r w:rsidRPr="002D46B9">
              <w:rPr>
                <w:rFonts w:ascii="Arial" w:eastAsia="Times New Roman" w:hAnsi="Arial" w:cs="Arial"/>
                <w:sz w:val="16"/>
                <w:szCs w:val="16"/>
                <w:lang w:eastAsia="de-AT"/>
              </w:rPr>
              <w:t>Energy</w:t>
            </w:r>
            <w:proofErr w:type="spellEnd"/>
            <w:r w:rsidRPr="002D46B9">
              <w:rPr>
                <w:rFonts w:ascii="Arial" w:eastAsia="Times New Roman" w:hAnsi="Arial" w:cs="Arial"/>
                <w:sz w:val="16"/>
                <w:szCs w:val="16"/>
                <w:lang w:eastAsia="de-AT"/>
              </w:rPr>
              <w:t>/Materials</w:t>
            </w:r>
          </w:p>
        </w:tc>
        <w:tc>
          <w:tcPr>
            <w:tcW w:w="1320" w:type="dxa"/>
            <w:tcBorders>
              <w:top w:val="nil"/>
              <w:left w:val="nil"/>
              <w:bottom w:val="single" w:sz="4" w:space="0" w:color="auto"/>
              <w:right w:val="single" w:sz="8" w:space="0" w:color="auto"/>
            </w:tcBorders>
            <w:shd w:val="clear" w:color="auto" w:fill="auto"/>
            <w:noWrap/>
            <w:vAlign w:val="bottom"/>
            <w:hideMark/>
          </w:tcPr>
          <w:p w14:paraId="727C8D76" w14:textId="77777777" w:rsidR="002D46B9" w:rsidRPr="002D46B9" w:rsidRDefault="002D46B9" w:rsidP="002D46B9">
            <w:pPr>
              <w:spacing w:after="0" w:line="240" w:lineRule="auto"/>
              <w:rPr>
                <w:rFonts w:ascii="Arial" w:eastAsia="Times New Roman" w:hAnsi="Arial" w:cs="Arial"/>
                <w:sz w:val="16"/>
                <w:szCs w:val="16"/>
                <w:lang w:eastAsia="de-AT"/>
              </w:rPr>
            </w:pPr>
            <w:r w:rsidRPr="002D46B9">
              <w:rPr>
                <w:rFonts w:ascii="Arial" w:eastAsia="Times New Roman" w:hAnsi="Arial" w:cs="Arial"/>
                <w:sz w:val="16"/>
                <w:szCs w:val="16"/>
                <w:lang w:eastAsia="de-AT"/>
              </w:rPr>
              <w:t>HFRI Composite</w:t>
            </w:r>
          </w:p>
        </w:tc>
      </w:tr>
      <w:tr w:rsidR="002D46B9" w:rsidRPr="002D46B9" w14:paraId="6BAD1562" w14:textId="77777777" w:rsidTr="00FE5383">
        <w:trPr>
          <w:trHeight w:val="264"/>
        </w:trPr>
        <w:tc>
          <w:tcPr>
            <w:tcW w:w="2160" w:type="dxa"/>
            <w:tcBorders>
              <w:top w:val="nil"/>
              <w:left w:val="single" w:sz="8" w:space="0" w:color="auto"/>
              <w:bottom w:val="nil"/>
              <w:right w:val="single" w:sz="4" w:space="0" w:color="auto"/>
            </w:tcBorders>
            <w:shd w:val="clear" w:color="auto" w:fill="auto"/>
            <w:noWrap/>
            <w:vAlign w:val="bottom"/>
            <w:hideMark/>
          </w:tcPr>
          <w:p w14:paraId="0BCE266A"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 </w:t>
            </w:r>
          </w:p>
        </w:tc>
        <w:tc>
          <w:tcPr>
            <w:tcW w:w="1056" w:type="dxa"/>
            <w:tcBorders>
              <w:top w:val="nil"/>
              <w:left w:val="nil"/>
              <w:bottom w:val="nil"/>
              <w:right w:val="nil"/>
            </w:tcBorders>
            <w:shd w:val="clear" w:color="auto" w:fill="auto"/>
            <w:noWrap/>
            <w:vAlign w:val="bottom"/>
            <w:hideMark/>
          </w:tcPr>
          <w:p w14:paraId="7EA45EF6" w14:textId="77777777" w:rsidR="002D46B9" w:rsidRPr="002D46B9" w:rsidRDefault="002D46B9" w:rsidP="002D46B9">
            <w:pPr>
              <w:spacing w:after="0" w:line="240" w:lineRule="auto"/>
              <w:rPr>
                <w:rFonts w:ascii="Arial" w:eastAsia="Times New Roman" w:hAnsi="Arial" w:cs="Arial"/>
                <w:color w:val="010205"/>
                <w:sz w:val="16"/>
                <w:szCs w:val="16"/>
                <w:lang w:eastAsia="de-AT"/>
              </w:rPr>
            </w:pPr>
          </w:p>
        </w:tc>
        <w:tc>
          <w:tcPr>
            <w:tcW w:w="940" w:type="dxa"/>
            <w:tcBorders>
              <w:top w:val="nil"/>
              <w:left w:val="nil"/>
              <w:bottom w:val="nil"/>
              <w:right w:val="nil"/>
            </w:tcBorders>
            <w:shd w:val="clear" w:color="auto" w:fill="auto"/>
            <w:noWrap/>
            <w:vAlign w:val="bottom"/>
            <w:hideMark/>
          </w:tcPr>
          <w:p w14:paraId="02DBF4E3" w14:textId="77777777" w:rsidR="002D46B9" w:rsidRPr="002D46B9" w:rsidRDefault="002D46B9" w:rsidP="002D46B9">
            <w:pPr>
              <w:spacing w:after="0" w:line="240" w:lineRule="auto"/>
              <w:rPr>
                <w:rFonts w:ascii="Arial" w:eastAsia="Times New Roman" w:hAnsi="Arial" w:cs="Arial"/>
                <w:color w:val="010205"/>
                <w:sz w:val="16"/>
                <w:szCs w:val="16"/>
                <w:lang w:eastAsia="de-AT"/>
              </w:rPr>
            </w:pPr>
          </w:p>
        </w:tc>
        <w:tc>
          <w:tcPr>
            <w:tcW w:w="1240" w:type="dxa"/>
            <w:tcBorders>
              <w:top w:val="nil"/>
              <w:left w:val="nil"/>
              <w:bottom w:val="nil"/>
              <w:right w:val="nil"/>
            </w:tcBorders>
            <w:shd w:val="clear" w:color="auto" w:fill="auto"/>
            <w:noWrap/>
            <w:vAlign w:val="bottom"/>
            <w:hideMark/>
          </w:tcPr>
          <w:p w14:paraId="4B4E6322" w14:textId="77777777" w:rsidR="002D46B9" w:rsidRPr="002D46B9" w:rsidRDefault="002D46B9" w:rsidP="002D46B9">
            <w:pPr>
              <w:spacing w:after="0" w:line="240" w:lineRule="auto"/>
              <w:rPr>
                <w:rFonts w:ascii="Arial" w:eastAsia="Times New Roman" w:hAnsi="Arial" w:cs="Arial"/>
                <w:color w:val="010205"/>
                <w:sz w:val="16"/>
                <w:szCs w:val="16"/>
                <w:lang w:eastAsia="de-AT"/>
              </w:rPr>
            </w:pPr>
          </w:p>
        </w:tc>
        <w:tc>
          <w:tcPr>
            <w:tcW w:w="900" w:type="dxa"/>
            <w:tcBorders>
              <w:top w:val="nil"/>
              <w:left w:val="nil"/>
              <w:bottom w:val="nil"/>
              <w:right w:val="nil"/>
            </w:tcBorders>
            <w:shd w:val="clear" w:color="auto" w:fill="auto"/>
            <w:noWrap/>
            <w:vAlign w:val="bottom"/>
            <w:hideMark/>
          </w:tcPr>
          <w:p w14:paraId="193DF1D0" w14:textId="77777777" w:rsidR="002D46B9" w:rsidRPr="002D46B9" w:rsidRDefault="002D46B9" w:rsidP="002D46B9">
            <w:pPr>
              <w:spacing w:after="0" w:line="240" w:lineRule="auto"/>
              <w:rPr>
                <w:rFonts w:ascii="Arial" w:eastAsia="Times New Roman" w:hAnsi="Arial" w:cs="Arial"/>
                <w:color w:val="010205"/>
                <w:sz w:val="16"/>
                <w:szCs w:val="16"/>
                <w:lang w:eastAsia="de-AT"/>
              </w:rPr>
            </w:pPr>
          </w:p>
        </w:tc>
        <w:tc>
          <w:tcPr>
            <w:tcW w:w="1660" w:type="dxa"/>
            <w:tcBorders>
              <w:top w:val="nil"/>
              <w:left w:val="nil"/>
              <w:bottom w:val="nil"/>
              <w:right w:val="nil"/>
            </w:tcBorders>
            <w:shd w:val="clear" w:color="auto" w:fill="auto"/>
            <w:noWrap/>
            <w:vAlign w:val="bottom"/>
            <w:hideMark/>
          </w:tcPr>
          <w:p w14:paraId="7872769A" w14:textId="77777777" w:rsidR="002D46B9" w:rsidRPr="002D46B9" w:rsidRDefault="002D46B9" w:rsidP="002D46B9">
            <w:pPr>
              <w:spacing w:after="0" w:line="240" w:lineRule="auto"/>
              <w:rPr>
                <w:rFonts w:ascii="Arial" w:eastAsia="Times New Roman" w:hAnsi="Arial" w:cs="Arial"/>
                <w:color w:val="010205"/>
                <w:sz w:val="16"/>
                <w:szCs w:val="16"/>
                <w:lang w:eastAsia="de-AT"/>
              </w:rPr>
            </w:pPr>
          </w:p>
        </w:tc>
        <w:tc>
          <w:tcPr>
            <w:tcW w:w="1320" w:type="dxa"/>
            <w:tcBorders>
              <w:top w:val="nil"/>
              <w:left w:val="nil"/>
              <w:bottom w:val="nil"/>
              <w:right w:val="single" w:sz="8" w:space="0" w:color="auto"/>
            </w:tcBorders>
            <w:shd w:val="clear" w:color="auto" w:fill="auto"/>
            <w:noWrap/>
            <w:vAlign w:val="bottom"/>
            <w:hideMark/>
          </w:tcPr>
          <w:p w14:paraId="5A3CDB12"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 </w:t>
            </w:r>
          </w:p>
        </w:tc>
      </w:tr>
      <w:tr w:rsidR="002D46B9" w:rsidRPr="002D46B9" w14:paraId="71B9AF7A" w14:textId="77777777" w:rsidTr="00FE5383">
        <w:trPr>
          <w:trHeight w:val="227"/>
        </w:trPr>
        <w:tc>
          <w:tcPr>
            <w:tcW w:w="2160" w:type="dxa"/>
            <w:tcBorders>
              <w:top w:val="nil"/>
              <w:left w:val="single" w:sz="8" w:space="0" w:color="auto"/>
              <w:bottom w:val="nil"/>
              <w:right w:val="single" w:sz="4" w:space="0" w:color="auto"/>
            </w:tcBorders>
            <w:shd w:val="clear" w:color="auto" w:fill="auto"/>
            <w:noWrap/>
            <w:vAlign w:val="bottom"/>
            <w:hideMark/>
          </w:tcPr>
          <w:p w14:paraId="6A1A3441"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 xml:space="preserve">Panel A: </w:t>
            </w:r>
            <w:proofErr w:type="spellStart"/>
            <w:r w:rsidRPr="002D46B9">
              <w:rPr>
                <w:rFonts w:ascii="Arial" w:eastAsia="Times New Roman" w:hAnsi="Arial" w:cs="Arial"/>
                <w:color w:val="010205"/>
                <w:sz w:val="16"/>
                <w:szCs w:val="16"/>
                <w:lang w:eastAsia="de-AT"/>
              </w:rPr>
              <w:t>Conservative</w:t>
            </w:r>
            <w:proofErr w:type="spellEnd"/>
            <w:r w:rsidRPr="002D46B9">
              <w:rPr>
                <w:rFonts w:ascii="Arial" w:eastAsia="Times New Roman" w:hAnsi="Arial" w:cs="Arial"/>
                <w:color w:val="010205"/>
                <w:sz w:val="16"/>
                <w:szCs w:val="16"/>
                <w:lang w:eastAsia="de-AT"/>
              </w:rPr>
              <w:t xml:space="preserve"> Investor</w:t>
            </w:r>
          </w:p>
        </w:tc>
        <w:tc>
          <w:tcPr>
            <w:tcW w:w="1056" w:type="dxa"/>
            <w:tcBorders>
              <w:top w:val="nil"/>
              <w:left w:val="nil"/>
              <w:bottom w:val="nil"/>
              <w:right w:val="nil"/>
            </w:tcBorders>
            <w:shd w:val="clear" w:color="auto" w:fill="auto"/>
            <w:noWrap/>
            <w:vAlign w:val="bottom"/>
            <w:hideMark/>
          </w:tcPr>
          <w:p w14:paraId="0A5391EF"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Return</w:t>
            </w:r>
          </w:p>
        </w:tc>
        <w:tc>
          <w:tcPr>
            <w:tcW w:w="940" w:type="dxa"/>
            <w:tcBorders>
              <w:top w:val="single" w:sz="4" w:space="0" w:color="C0C0C0"/>
              <w:left w:val="single" w:sz="4" w:space="0" w:color="E0E0E0"/>
              <w:bottom w:val="single" w:sz="4" w:space="0" w:color="C0C0C0"/>
              <w:right w:val="single" w:sz="4" w:space="0" w:color="E0E0E0"/>
            </w:tcBorders>
            <w:shd w:val="clear" w:color="auto" w:fill="auto"/>
            <w:noWrap/>
            <w:hideMark/>
          </w:tcPr>
          <w:p w14:paraId="43123C04"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2D953627"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0,36</w:t>
            </w:r>
          </w:p>
        </w:tc>
        <w:tc>
          <w:tcPr>
            <w:tcW w:w="1240" w:type="dxa"/>
            <w:tcBorders>
              <w:top w:val="single" w:sz="4" w:space="0" w:color="C0C0C0"/>
              <w:left w:val="nil"/>
              <w:bottom w:val="single" w:sz="4" w:space="0" w:color="C0C0C0"/>
              <w:right w:val="single" w:sz="4" w:space="0" w:color="E0E0E0"/>
            </w:tcBorders>
            <w:shd w:val="clear" w:color="auto" w:fill="auto"/>
            <w:noWrap/>
            <w:hideMark/>
          </w:tcPr>
          <w:p w14:paraId="504B41B2"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p>
          <w:p w14:paraId="72242719"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r w:rsidRPr="005D7949">
              <w:rPr>
                <w:rFonts w:ascii="Arial" w:eastAsia="Times New Roman" w:hAnsi="Arial" w:cs="Arial"/>
                <w:b/>
                <w:color w:val="010205"/>
                <w:sz w:val="16"/>
                <w:szCs w:val="16"/>
                <w:lang w:eastAsia="de-AT"/>
              </w:rPr>
              <w:t>0,38</w:t>
            </w:r>
          </w:p>
        </w:tc>
        <w:tc>
          <w:tcPr>
            <w:tcW w:w="900" w:type="dxa"/>
            <w:tcBorders>
              <w:top w:val="single" w:sz="4" w:space="0" w:color="C0C0C0"/>
              <w:left w:val="nil"/>
              <w:bottom w:val="single" w:sz="4" w:space="0" w:color="C0C0C0"/>
              <w:right w:val="single" w:sz="4" w:space="0" w:color="E0E0E0"/>
            </w:tcBorders>
            <w:shd w:val="clear" w:color="auto" w:fill="auto"/>
            <w:noWrap/>
            <w:hideMark/>
          </w:tcPr>
          <w:p w14:paraId="6FFCD753"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p>
          <w:p w14:paraId="51DD850F"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r w:rsidRPr="005D7949">
              <w:rPr>
                <w:rFonts w:ascii="Arial" w:eastAsia="Times New Roman" w:hAnsi="Arial" w:cs="Arial"/>
                <w:b/>
                <w:color w:val="010205"/>
                <w:sz w:val="16"/>
                <w:szCs w:val="16"/>
                <w:lang w:eastAsia="de-AT"/>
              </w:rPr>
              <w:t>0,37</w:t>
            </w:r>
          </w:p>
        </w:tc>
        <w:tc>
          <w:tcPr>
            <w:tcW w:w="1660" w:type="dxa"/>
            <w:tcBorders>
              <w:top w:val="single" w:sz="4" w:space="0" w:color="C0C0C0"/>
              <w:left w:val="nil"/>
              <w:bottom w:val="single" w:sz="4" w:space="0" w:color="C0C0C0"/>
              <w:right w:val="single" w:sz="4" w:space="0" w:color="E0E0E0"/>
            </w:tcBorders>
            <w:shd w:val="clear" w:color="auto" w:fill="auto"/>
            <w:noWrap/>
            <w:hideMark/>
          </w:tcPr>
          <w:p w14:paraId="3A467EAB"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3D764761"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0,33</w:t>
            </w:r>
          </w:p>
        </w:tc>
        <w:tc>
          <w:tcPr>
            <w:tcW w:w="1320" w:type="dxa"/>
            <w:tcBorders>
              <w:top w:val="single" w:sz="4" w:space="0" w:color="C0C0C0"/>
              <w:left w:val="nil"/>
              <w:bottom w:val="single" w:sz="4" w:space="0" w:color="C0C0C0"/>
              <w:right w:val="single" w:sz="8" w:space="0" w:color="auto"/>
            </w:tcBorders>
            <w:shd w:val="clear" w:color="auto" w:fill="auto"/>
            <w:noWrap/>
            <w:hideMark/>
          </w:tcPr>
          <w:p w14:paraId="7D9D253B"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10AA5633"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r w:rsidRPr="005D7949">
              <w:rPr>
                <w:rFonts w:ascii="Arial" w:eastAsia="Times New Roman" w:hAnsi="Arial" w:cs="Arial"/>
                <w:b/>
                <w:color w:val="010205"/>
                <w:sz w:val="16"/>
                <w:szCs w:val="16"/>
                <w:lang w:eastAsia="de-AT"/>
              </w:rPr>
              <w:t>0,37</w:t>
            </w:r>
          </w:p>
        </w:tc>
      </w:tr>
      <w:tr w:rsidR="002D46B9" w:rsidRPr="002D46B9" w14:paraId="051B031E" w14:textId="77777777" w:rsidTr="00FE5383">
        <w:trPr>
          <w:trHeight w:val="264"/>
        </w:trPr>
        <w:tc>
          <w:tcPr>
            <w:tcW w:w="2160" w:type="dxa"/>
            <w:tcBorders>
              <w:top w:val="nil"/>
              <w:left w:val="single" w:sz="8" w:space="0" w:color="auto"/>
              <w:bottom w:val="nil"/>
              <w:right w:val="single" w:sz="4" w:space="0" w:color="auto"/>
            </w:tcBorders>
            <w:shd w:val="clear" w:color="auto" w:fill="auto"/>
            <w:noWrap/>
            <w:vAlign w:val="bottom"/>
            <w:hideMark/>
          </w:tcPr>
          <w:p w14:paraId="7B8DCA10"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 </w:t>
            </w:r>
          </w:p>
        </w:tc>
        <w:tc>
          <w:tcPr>
            <w:tcW w:w="1056" w:type="dxa"/>
            <w:tcBorders>
              <w:top w:val="nil"/>
              <w:left w:val="nil"/>
              <w:bottom w:val="nil"/>
              <w:right w:val="nil"/>
            </w:tcBorders>
            <w:shd w:val="clear" w:color="auto" w:fill="auto"/>
            <w:noWrap/>
            <w:vAlign w:val="bottom"/>
            <w:hideMark/>
          </w:tcPr>
          <w:p w14:paraId="098DB3A3"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Sharpe</w:t>
            </w:r>
          </w:p>
        </w:tc>
        <w:tc>
          <w:tcPr>
            <w:tcW w:w="940" w:type="dxa"/>
            <w:tcBorders>
              <w:top w:val="nil"/>
              <w:left w:val="single" w:sz="4" w:space="0" w:color="E0E0E0"/>
              <w:bottom w:val="single" w:sz="4" w:space="0" w:color="C0C0C0"/>
              <w:right w:val="single" w:sz="4" w:space="0" w:color="E0E0E0"/>
            </w:tcBorders>
            <w:shd w:val="clear" w:color="auto" w:fill="auto"/>
            <w:noWrap/>
            <w:hideMark/>
          </w:tcPr>
          <w:p w14:paraId="1C313661"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26FFE9A0"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0,27</w:t>
            </w:r>
          </w:p>
        </w:tc>
        <w:tc>
          <w:tcPr>
            <w:tcW w:w="1240" w:type="dxa"/>
            <w:tcBorders>
              <w:top w:val="nil"/>
              <w:left w:val="nil"/>
              <w:bottom w:val="single" w:sz="4" w:space="0" w:color="C0C0C0"/>
              <w:right w:val="single" w:sz="4" w:space="0" w:color="E0E0E0"/>
            </w:tcBorders>
            <w:shd w:val="clear" w:color="auto" w:fill="auto"/>
            <w:noWrap/>
            <w:hideMark/>
          </w:tcPr>
          <w:p w14:paraId="42B2766B"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p>
          <w:p w14:paraId="5375B1CC"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r w:rsidRPr="005D7949">
              <w:rPr>
                <w:rFonts w:ascii="Arial" w:eastAsia="Times New Roman" w:hAnsi="Arial" w:cs="Arial"/>
                <w:b/>
                <w:color w:val="010205"/>
                <w:sz w:val="16"/>
                <w:szCs w:val="16"/>
                <w:lang w:eastAsia="de-AT"/>
              </w:rPr>
              <w:t>0,29</w:t>
            </w:r>
          </w:p>
        </w:tc>
        <w:tc>
          <w:tcPr>
            <w:tcW w:w="900" w:type="dxa"/>
            <w:tcBorders>
              <w:top w:val="nil"/>
              <w:left w:val="nil"/>
              <w:bottom w:val="single" w:sz="4" w:space="0" w:color="C0C0C0"/>
              <w:right w:val="single" w:sz="4" w:space="0" w:color="E0E0E0"/>
            </w:tcBorders>
            <w:shd w:val="clear" w:color="auto" w:fill="auto"/>
            <w:noWrap/>
            <w:hideMark/>
          </w:tcPr>
          <w:p w14:paraId="6532D186"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p>
          <w:p w14:paraId="699CE987"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r w:rsidRPr="005D7949">
              <w:rPr>
                <w:rFonts w:ascii="Arial" w:eastAsia="Times New Roman" w:hAnsi="Arial" w:cs="Arial"/>
                <w:b/>
                <w:color w:val="010205"/>
                <w:sz w:val="16"/>
                <w:szCs w:val="16"/>
                <w:lang w:eastAsia="de-AT"/>
              </w:rPr>
              <w:t>0,29</w:t>
            </w:r>
          </w:p>
        </w:tc>
        <w:tc>
          <w:tcPr>
            <w:tcW w:w="1660" w:type="dxa"/>
            <w:tcBorders>
              <w:top w:val="nil"/>
              <w:left w:val="nil"/>
              <w:bottom w:val="nil"/>
              <w:right w:val="nil"/>
            </w:tcBorders>
            <w:shd w:val="clear" w:color="auto" w:fill="auto"/>
            <w:noWrap/>
            <w:vAlign w:val="bottom"/>
            <w:hideMark/>
          </w:tcPr>
          <w:p w14:paraId="43B7D6CE"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0,24</w:t>
            </w:r>
          </w:p>
        </w:tc>
        <w:tc>
          <w:tcPr>
            <w:tcW w:w="1320" w:type="dxa"/>
            <w:tcBorders>
              <w:top w:val="nil"/>
              <w:left w:val="nil"/>
              <w:bottom w:val="nil"/>
              <w:right w:val="single" w:sz="8" w:space="0" w:color="auto"/>
            </w:tcBorders>
            <w:shd w:val="clear" w:color="auto" w:fill="auto"/>
            <w:noWrap/>
            <w:vAlign w:val="bottom"/>
            <w:hideMark/>
          </w:tcPr>
          <w:p w14:paraId="7EB872DA"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r w:rsidRPr="005D7949">
              <w:rPr>
                <w:rFonts w:ascii="Arial" w:eastAsia="Times New Roman" w:hAnsi="Arial" w:cs="Arial"/>
                <w:b/>
                <w:color w:val="010205"/>
                <w:sz w:val="16"/>
                <w:szCs w:val="16"/>
                <w:lang w:eastAsia="de-AT"/>
              </w:rPr>
              <w:t>0,28</w:t>
            </w:r>
          </w:p>
        </w:tc>
      </w:tr>
      <w:tr w:rsidR="002D46B9" w:rsidRPr="002D46B9" w14:paraId="368B70AD" w14:textId="77777777" w:rsidTr="00FE5383">
        <w:trPr>
          <w:trHeight w:val="264"/>
        </w:trPr>
        <w:tc>
          <w:tcPr>
            <w:tcW w:w="2160" w:type="dxa"/>
            <w:tcBorders>
              <w:top w:val="nil"/>
              <w:left w:val="single" w:sz="8" w:space="0" w:color="auto"/>
              <w:bottom w:val="nil"/>
              <w:right w:val="single" w:sz="4" w:space="0" w:color="auto"/>
            </w:tcBorders>
            <w:shd w:val="clear" w:color="auto" w:fill="auto"/>
            <w:noWrap/>
            <w:vAlign w:val="bottom"/>
            <w:hideMark/>
          </w:tcPr>
          <w:p w14:paraId="78535B5B"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Panel B: Aggressive Investor</w:t>
            </w:r>
          </w:p>
        </w:tc>
        <w:tc>
          <w:tcPr>
            <w:tcW w:w="1056" w:type="dxa"/>
            <w:tcBorders>
              <w:top w:val="nil"/>
              <w:left w:val="nil"/>
              <w:bottom w:val="nil"/>
              <w:right w:val="nil"/>
            </w:tcBorders>
            <w:shd w:val="clear" w:color="auto" w:fill="auto"/>
            <w:noWrap/>
            <w:vAlign w:val="bottom"/>
            <w:hideMark/>
          </w:tcPr>
          <w:p w14:paraId="30E49A83"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Return</w:t>
            </w:r>
          </w:p>
        </w:tc>
        <w:tc>
          <w:tcPr>
            <w:tcW w:w="940" w:type="dxa"/>
            <w:tcBorders>
              <w:top w:val="nil"/>
              <w:left w:val="single" w:sz="4" w:space="0" w:color="E0E0E0"/>
              <w:bottom w:val="single" w:sz="4" w:space="0" w:color="C0C0C0"/>
              <w:right w:val="single" w:sz="4" w:space="0" w:color="E0E0E0"/>
            </w:tcBorders>
            <w:shd w:val="clear" w:color="auto" w:fill="auto"/>
            <w:noWrap/>
            <w:hideMark/>
          </w:tcPr>
          <w:p w14:paraId="4D084F28"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52D19AE1"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0,40</w:t>
            </w:r>
          </w:p>
        </w:tc>
        <w:tc>
          <w:tcPr>
            <w:tcW w:w="1240" w:type="dxa"/>
            <w:tcBorders>
              <w:top w:val="nil"/>
              <w:left w:val="nil"/>
              <w:bottom w:val="single" w:sz="4" w:space="0" w:color="C0C0C0"/>
              <w:right w:val="single" w:sz="4" w:space="0" w:color="E0E0E0"/>
            </w:tcBorders>
            <w:shd w:val="clear" w:color="auto" w:fill="auto"/>
            <w:noWrap/>
            <w:hideMark/>
          </w:tcPr>
          <w:p w14:paraId="4E2F926A"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1210BCD6"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r w:rsidRPr="005D7949">
              <w:rPr>
                <w:rFonts w:ascii="Arial" w:eastAsia="Times New Roman" w:hAnsi="Arial" w:cs="Arial"/>
                <w:b/>
                <w:color w:val="010205"/>
                <w:sz w:val="16"/>
                <w:szCs w:val="16"/>
                <w:lang w:eastAsia="de-AT"/>
              </w:rPr>
              <w:t>0,42</w:t>
            </w:r>
          </w:p>
        </w:tc>
        <w:tc>
          <w:tcPr>
            <w:tcW w:w="900" w:type="dxa"/>
            <w:tcBorders>
              <w:top w:val="nil"/>
              <w:left w:val="nil"/>
              <w:bottom w:val="single" w:sz="4" w:space="0" w:color="C0C0C0"/>
              <w:right w:val="single" w:sz="4" w:space="0" w:color="E0E0E0"/>
            </w:tcBorders>
            <w:shd w:val="clear" w:color="auto" w:fill="auto"/>
            <w:noWrap/>
            <w:hideMark/>
          </w:tcPr>
          <w:p w14:paraId="2729066E"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6BE875A3"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0,35</w:t>
            </w:r>
          </w:p>
        </w:tc>
        <w:tc>
          <w:tcPr>
            <w:tcW w:w="1660" w:type="dxa"/>
            <w:tcBorders>
              <w:top w:val="single" w:sz="4" w:space="0" w:color="C0C0C0"/>
              <w:left w:val="nil"/>
              <w:bottom w:val="single" w:sz="4" w:space="0" w:color="C0C0C0"/>
              <w:right w:val="single" w:sz="4" w:space="0" w:color="E0E0E0"/>
            </w:tcBorders>
            <w:shd w:val="clear" w:color="auto" w:fill="auto"/>
            <w:noWrap/>
            <w:hideMark/>
          </w:tcPr>
          <w:p w14:paraId="4FF5D996"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25A93493"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0,29</w:t>
            </w:r>
          </w:p>
        </w:tc>
        <w:tc>
          <w:tcPr>
            <w:tcW w:w="1320" w:type="dxa"/>
            <w:tcBorders>
              <w:top w:val="single" w:sz="4" w:space="0" w:color="C0C0C0"/>
              <w:left w:val="nil"/>
              <w:bottom w:val="single" w:sz="4" w:space="0" w:color="C0C0C0"/>
              <w:right w:val="single" w:sz="8" w:space="0" w:color="auto"/>
            </w:tcBorders>
            <w:shd w:val="clear" w:color="auto" w:fill="auto"/>
            <w:noWrap/>
            <w:hideMark/>
          </w:tcPr>
          <w:p w14:paraId="6752A026"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67D6CD36"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0,38</w:t>
            </w:r>
          </w:p>
        </w:tc>
      </w:tr>
      <w:tr w:rsidR="002D46B9" w:rsidRPr="002D46B9" w14:paraId="0E3FBA40" w14:textId="77777777" w:rsidTr="00FE5383">
        <w:trPr>
          <w:trHeight w:val="276"/>
        </w:trPr>
        <w:tc>
          <w:tcPr>
            <w:tcW w:w="2160" w:type="dxa"/>
            <w:tcBorders>
              <w:top w:val="nil"/>
              <w:left w:val="single" w:sz="8" w:space="0" w:color="auto"/>
              <w:bottom w:val="single" w:sz="8" w:space="0" w:color="auto"/>
              <w:right w:val="single" w:sz="4" w:space="0" w:color="auto"/>
            </w:tcBorders>
            <w:shd w:val="clear" w:color="auto" w:fill="auto"/>
            <w:noWrap/>
            <w:vAlign w:val="bottom"/>
            <w:hideMark/>
          </w:tcPr>
          <w:p w14:paraId="1E6E7172"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 </w:t>
            </w:r>
          </w:p>
        </w:tc>
        <w:tc>
          <w:tcPr>
            <w:tcW w:w="1056" w:type="dxa"/>
            <w:tcBorders>
              <w:top w:val="nil"/>
              <w:left w:val="nil"/>
              <w:bottom w:val="single" w:sz="8" w:space="0" w:color="auto"/>
              <w:right w:val="nil"/>
            </w:tcBorders>
            <w:shd w:val="clear" w:color="auto" w:fill="auto"/>
            <w:noWrap/>
            <w:vAlign w:val="bottom"/>
            <w:hideMark/>
          </w:tcPr>
          <w:p w14:paraId="0E02D8AA" w14:textId="77777777" w:rsidR="002D46B9" w:rsidRPr="002D46B9" w:rsidRDefault="002D46B9" w:rsidP="002D46B9">
            <w:pPr>
              <w:spacing w:after="0" w:line="240" w:lineRule="auto"/>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Sharpe</w:t>
            </w:r>
          </w:p>
        </w:tc>
        <w:tc>
          <w:tcPr>
            <w:tcW w:w="940" w:type="dxa"/>
            <w:tcBorders>
              <w:top w:val="nil"/>
              <w:left w:val="single" w:sz="4" w:space="0" w:color="E0E0E0"/>
              <w:bottom w:val="single" w:sz="8" w:space="0" w:color="auto"/>
              <w:right w:val="single" w:sz="4" w:space="0" w:color="E0E0E0"/>
            </w:tcBorders>
            <w:shd w:val="clear" w:color="auto" w:fill="auto"/>
            <w:noWrap/>
            <w:hideMark/>
          </w:tcPr>
          <w:p w14:paraId="1E3EB8B8"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67411ED8"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0,19</w:t>
            </w:r>
          </w:p>
        </w:tc>
        <w:tc>
          <w:tcPr>
            <w:tcW w:w="1240" w:type="dxa"/>
            <w:tcBorders>
              <w:top w:val="nil"/>
              <w:left w:val="nil"/>
              <w:bottom w:val="single" w:sz="8" w:space="0" w:color="auto"/>
              <w:right w:val="single" w:sz="4" w:space="0" w:color="E0E0E0"/>
            </w:tcBorders>
            <w:shd w:val="clear" w:color="auto" w:fill="auto"/>
            <w:noWrap/>
            <w:hideMark/>
          </w:tcPr>
          <w:p w14:paraId="4849208E"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3872CA7E" w14:textId="77777777" w:rsidR="002D46B9" w:rsidRPr="005D7949" w:rsidRDefault="002D46B9" w:rsidP="002D46B9">
            <w:pPr>
              <w:spacing w:after="0" w:line="240" w:lineRule="auto"/>
              <w:jc w:val="center"/>
              <w:rPr>
                <w:rFonts w:ascii="Arial" w:eastAsia="Times New Roman" w:hAnsi="Arial" w:cs="Arial"/>
                <w:b/>
                <w:color w:val="010205"/>
                <w:sz w:val="16"/>
                <w:szCs w:val="16"/>
                <w:lang w:eastAsia="de-AT"/>
              </w:rPr>
            </w:pPr>
            <w:r w:rsidRPr="005D7949">
              <w:rPr>
                <w:rFonts w:ascii="Arial" w:eastAsia="Times New Roman" w:hAnsi="Arial" w:cs="Arial"/>
                <w:b/>
                <w:color w:val="010205"/>
                <w:sz w:val="16"/>
                <w:szCs w:val="16"/>
                <w:lang w:eastAsia="de-AT"/>
              </w:rPr>
              <w:t>0,20</w:t>
            </w:r>
          </w:p>
        </w:tc>
        <w:tc>
          <w:tcPr>
            <w:tcW w:w="900" w:type="dxa"/>
            <w:tcBorders>
              <w:top w:val="nil"/>
              <w:left w:val="nil"/>
              <w:bottom w:val="single" w:sz="8" w:space="0" w:color="auto"/>
              <w:right w:val="single" w:sz="4" w:space="0" w:color="E0E0E0"/>
            </w:tcBorders>
            <w:shd w:val="clear" w:color="auto" w:fill="auto"/>
            <w:noWrap/>
            <w:hideMark/>
          </w:tcPr>
          <w:p w14:paraId="26CF149F"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7156F139"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0,14</w:t>
            </w:r>
          </w:p>
        </w:tc>
        <w:tc>
          <w:tcPr>
            <w:tcW w:w="1660" w:type="dxa"/>
            <w:tcBorders>
              <w:top w:val="nil"/>
              <w:left w:val="nil"/>
              <w:bottom w:val="single" w:sz="8" w:space="0" w:color="auto"/>
              <w:right w:val="single" w:sz="4" w:space="0" w:color="E0E0E0"/>
            </w:tcBorders>
            <w:shd w:val="clear" w:color="auto" w:fill="auto"/>
            <w:noWrap/>
            <w:hideMark/>
          </w:tcPr>
          <w:p w14:paraId="2F711344"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1FFCDF69"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0,11</w:t>
            </w:r>
          </w:p>
        </w:tc>
        <w:tc>
          <w:tcPr>
            <w:tcW w:w="1320" w:type="dxa"/>
            <w:tcBorders>
              <w:top w:val="nil"/>
              <w:left w:val="nil"/>
              <w:bottom w:val="single" w:sz="8" w:space="0" w:color="auto"/>
              <w:right w:val="single" w:sz="8" w:space="0" w:color="auto"/>
            </w:tcBorders>
            <w:shd w:val="clear" w:color="auto" w:fill="auto"/>
            <w:noWrap/>
            <w:hideMark/>
          </w:tcPr>
          <w:p w14:paraId="43139277" w14:textId="77777777" w:rsidR="002D46B9" w:rsidRDefault="002D46B9" w:rsidP="002D46B9">
            <w:pPr>
              <w:spacing w:after="0" w:line="240" w:lineRule="auto"/>
              <w:jc w:val="center"/>
              <w:rPr>
                <w:rFonts w:ascii="Arial" w:eastAsia="Times New Roman" w:hAnsi="Arial" w:cs="Arial"/>
                <w:color w:val="010205"/>
                <w:sz w:val="16"/>
                <w:szCs w:val="16"/>
                <w:lang w:eastAsia="de-AT"/>
              </w:rPr>
            </w:pPr>
          </w:p>
          <w:p w14:paraId="60E6B878" w14:textId="77777777" w:rsidR="002D46B9" w:rsidRPr="002D46B9" w:rsidRDefault="002D46B9" w:rsidP="002D46B9">
            <w:pPr>
              <w:spacing w:after="0" w:line="240" w:lineRule="auto"/>
              <w:jc w:val="center"/>
              <w:rPr>
                <w:rFonts w:ascii="Arial" w:eastAsia="Times New Roman" w:hAnsi="Arial" w:cs="Arial"/>
                <w:color w:val="010205"/>
                <w:sz w:val="16"/>
                <w:szCs w:val="16"/>
                <w:lang w:eastAsia="de-AT"/>
              </w:rPr>
            </w:pPr>
            <w:r w:rsidRPr="002D46B9">
              <w:rPr>
                <w:rFonts w:ascii="Arial" w:eastAsia="Times New Roman" w:hAnsi="Arial" w:cs="Arial"/>
                <w:color w:val="010205"/>
                <w:sz w:val="16"/>
                <w:szCs w:val="16"/>
                <w:lang w:eastAsia="de-AT"/>
              </w:rPr>
              <w:t>0,16</w:t>
            </w:r>
          </w:p>
        </w:tc>
      </w:tr>
    </w:tbl>
    <w:p w14:paraId="3DD8D6E2" w14:textId="77777777" w:rsidR="002D46B9" w:rsidRDefault="005D7949" w:rsidP="00806BF3">
      <w:pPr>
        <w:spacing w:line="240" w:lineRule="auto"/>
        <w:jc w:val="both"/>
        <w:rPr>
          <w:rFonts w:ascii="Times New Roman" w:hAnsi="Times New Roman" w:cs="Times New Roman"/>
          <w:bCs/>
          <w:sz w:val="16"/>
          <w:szCs w:val="16"/>
          <w:lang w:val="en-US"/>
        </w:rPr>
      </w:pPr>
      <w:r>
        <w:rPr>
          <w:rFonts w:ascii="Times New Roman" w:hAnsi="Times New Roman" w:cs="Times New Roman"/>
          <w:bCs/>
          <w:sz w:val="16"/>
          <w:szCs w:val="16"/>
          <w:lang w:val="en-US"/>
        </w:rPr>
        <w:t xml:space="preserve">Notes: This table reports the portfolio performance of in-sample Asset Allocation models. The table shows the Return and the Sharpe Ratio of Stock-Bond-portfolio and the Stock-bond-portfolio plus the attributed variables. Return denotes the monthly return of the portfolios and the Sharpe Ratio denotes the </w:t>
      </w:r>
      <w:proofErr w:type="spellStart"/>
      <w:r>
        <w:rPr>
          <w:rFonts w:ascii="Times New Roman" w:hAnsi="Times New Roman" w:cs="Times New Roman"/>
          <w:bCs/>
          <w:sz w:val="16"/>
          <w:szCs w:val="16"/>
          <w:lang w:val="en-US"/>
        </w:rPr>
        <w:t>montly</w:t>
      </w:r>
      <w:proofErr w:type="spellEnd"/>
      <w:r>
        <w:rPr>
          <w:rFonts w:ascii="Times New Roman" w:hAnsi="Times New Roman" w:cs="Times New Roman"/>
          <w:bCs/>
          <w:sz w:val="16"/>
          <w:szCs w:val="16"/>
          <w:lang w:val="en-US"/>
        </w:rPr>
        <w:t xml:space="preserve"> Sharpe Ratio of the several portfolios. The bold figures represent an outperformance against the Stock-bond-portfolio. The transaction costs are not considered.</w:t>
      </w:r>
    </w:p>
    <w:p w14:paraId="42B86754" w14:textId="77777777" w:rsidR="005D7949" w:rsidRDefault="007F17B7" w:rsidP="00806BF3">
      <w:pPr>
        <w:spacing w:line="240" w:lineRule="auto"/>
        <w:jc w:val="both"/>
        <w:rPr>
          <w:rFonts w:ascii="Times New Roman" w:hAnsi="Times New Roman" w:cs="Times New Roman"/>
          <w:bCs/>
          <w:sz w:val="24"/>
          <w:szCs w:val="24"/>
          <w:lang w:val="en-US"/>
        </w:rPr>
      </w:pPr>
      <w:r>
        <w:rPr>
          <w:rFonts w:ascii="Times New Roman" w:hAnsi="Times New Roman"/>
          <w:bCs/>
          <w:sz w:val="24"/>
          <w:lang w:val="en-US"/>
        </w:rPr>
        <w:t xml:space="preserve">The in-sample analysis shows much better results when attributing hedge funds and the CRB index. Again, especially the HFRI Macro Commodity Index is the best index. It shows an outperformance for all variants considered. The CRB and the HFRI Composite could outperform the benchmark Stock-bond portfolio with the conservative variant. Using the aggressive variant only the HFRI Macro index was </w:t>
      </w:r>
      <w:proofErr w:type="spellStart"/>
      <w:r>
        <w:rPr>
          <w:rFonts w:ascii="Times New Roman" w:hAnsi="Times New Roman"/>
          <w:bCs/>
          <w:sz w:val="24"/>
          <w:lang w:val="en-US"/>
        </w:rPr>
        <w:t>succesfull</w:t>
      </w:r>
      <w:proofErr w:type="spellEnd"/>
      <w:r>
        <w:rPr>
          <w:rFonts w:ascii="Times New Roman" w:hAnsi="Times New Roman"/>
          <w:bCs/>
          <w:sz w:val="24"/>
          <w:lang w:val="en-US"/>
        </w:rPr>
        <w:t xml:space="preserve"> in outperforming. The transaction costs were rather low, because the Asset Allocation was reconsidered only at the end of the year. The in-sample model brought an outperformance against the out-of-sample model at least for the conservative variant. The Sharpe Ratio and the returns of the portfolio where indices were attributed is higher for the conservative in-sample model. Concerning the aggressive variant only the HFRI Macro brought an improvement when using the in-sample model.</w:t>
      </w:r>
      <w:r w:rsidR="00DE499B">
        <w:rPr>
          <w:rFonts w:ascii="Times New Roman" w:hAnsi="Times New Roman" w:cs="Times New Roman"/>
          <w:bCs/>
          <w:sz w:val="24"/>
          <w:szCs w:val="24"/>
          <w:lang w:val="en-US"/>
        </w:rPr>
        <w:t xml:space="preserve"> </w:t>
      </w:r>
    </w:p>
    <w:p w14:paraId="3760E971" w14:textId="77777777" w:rsidR="00FE5383" w:rsidRPr="00CB135C" w:rsidRDefault="00FE5383" w:rsidP="00806BF3">
      <w:pPr>
        <w:spacing w:line="240" w:lineRule="auto"/>
        <w:jc w:val="both"/>
        <w:rPr>
          <w:rFonts w:ascii="Times New Roman" w:hAnsi="Times New Roman" w:cs="Times New Roman"/>
          <w:b/>
          <w:bCs/>
          <w:sz w:val="24"/>
          <w:szCs w:val="24"/>
          <w:lang w:val="en-US"/>
        </w:rPr>
      </w:pPr>
      <w:r w:rsidRPr="00CB135C">
        <w:rPr>
          <w:rFonts w:ascii="Times New Roman" w:hAnsi="Times New Roman" w:cs="Times New Roman"/>
          <w:b/>
          <w:bCs/>
          <w:sz w:val="24"/>
          <w:szCs w:val="24"/>
          <w:lang w:val="en-US"/>
        </w:rPr>
        <w:t xml:space="preserve">Table 7: Contribution of Commodity Hedge Funds in </w:t>
      </w:r>
      <w:proofErr w:type="spellStart"/>
      <w:r w:rsidRPr="00CB135C">
        <w:rPr>
          <w:rFonts w:ascii="Times New Roman" w:hAnsi="Times New Roman" w:cs="Times New Roman"/>
          <w:b/>
          <w:bCs/>
          <w:sz w:val="24"/>
          <w:szCs w:val="24"/>
          <w:lang w:val="en-US"/>
        </w:rPr>
        <w:t>MinVar</w:t>
      </w:r>
      <w:proofErr w:type="spellEnd"/>
      <w:r w:rsidRPr="00CB135C">
        <w:rPr>
          <w:rFonts w:ascii="Times New Roman" w:hAnsi="Times New Roman" w:cs="Times New Roman"/>
          <w:b/>
          <w:bCs/>
          <w:sz w:val="24"/>
          <w:szCs w:val="24"/>
          <w:lang w:val="en-US"/>
        </w:rPr>
        <w:t xml:space="preserve"> portfolios</w:t>
      </w:r>
    </w:p>
    <w:tbl>
      <w:tblPr>
        <w:tblW w:w="9196" w:type="dxa"/>
        <w:tblCellMar>
          <w:left w:w="70" w:type="dxa"/>
          <w:right w:w="70" w:type="dxa"/>
        </w:tblCellMar>
        <w:tblLook w:val="04A0" w:firstRow="1" w:lastRow="0" w:firstColumn="1" w:lastColumn="0" w:noHBand="0" w:noVBand="1"/>
      </w:tblPr>
      <w:tblGrid>
        <w:gridCol w:w="1347"/>
        <w:gridCol w:w="1240"/>
        <w:gridCol w:w="1240"/>
        <w:gridCol w:w="1240"/>
        <w:gridCol w:w="1240"/>
        <w:gridCol w:w="1649"/>
        <w:gridCol w:w="1240"/>
      </w:tblGrid>
      <w:tr w:rsidR="00FE5383" w:rsidRPr="00FE5383" w14:paraId="26E542A6" w14:textId="77777777" w:rsidTr="00FE5383">
        <w:trPr>
          <w:trHeight w:val="264"/>
        </w:trPr>
        <w:tc>
          <w:tcPr>
            <w:tcW w:w="134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E86B6B"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xml:space="preserve">AA </w:t>
            </w:r>
            <w:proofErr w:type="spellStart"/>
            <w:r w:rsidRPr="00FE5383">
              <w:rPr>
                <w:rFonts w:ascii="Arial" w:eastAsia="Times New Roman" w:hAnsi="Arial" w:cs="Arial"/>
                <w:sz w:val="16"/>
                <w:szCs w:val="16"/>
                <w:lang w:eastAsia="de-AT"/>
              </w:rPr>
              <w:t>strategy</w:t>
            </w:r>
            <w:proofErr w:type="spellEnd"/>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3E6DB9C5"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Performance</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127C8280"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xml:space="preserve">Stock </w:t>
            </w:r>
            <w:proofErr w:type="spellStart"/>
            <w:r w:rsidRPr="00FE5383">
              <w:rPr>
                <w:rFonts w:ascii="Arial" w:eastAsia="Times New Roman" w:hAnsi="Arial" w:cs="Arial"/>
                <w:sz w:val="16"/>
                <w:szCs w:val="16"/>
                <w:lang w:eastAsia="de-AT"/>
              </w:rPr>
              <w:t>bond</w:t>
            </w:r>
            <w:proofErr w:type="spellEnd"/>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4DA72A5D"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xml:space="preserve">Stock </w:t>
            </w:r>
            <w:proofErr w:type="spellStart"/>
            <w:r w:rsidRPr="00FE5383">
              <w:rPr>
                <w:rFonts w:ascii="Arial" w:eastAsia="Times New Roman" w:hAnsi="Arial" w:cs="Arial"/>
                <w:sz w:val="16"/>
                <w:szCs w:val="16"/>
                <w:lang w:eastAsia="de-AT"/>
              </w:rPr>
              <w:t>bond</w:t>
            </w:r>
            <w:proofErr w:type="spellEnd"/>
            <w:r w:rsidRPr="00FE5383">
              <w:rPr>
                <w:rFonts w:ascii="Arial" w:eastAsia="Times New Roman" w:hAnsi="Arial" w:cs="Arial"/>
                <w:sz w:val="16"/>
                <w:szCs w:val="16"/>
                <w:lang w:eastAsia="de-AT"/>
              </w:rPr>
              <w:t xml:space="preserve"> plus</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2110FEAA"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649" w:type="dxa"/>
            <w:tcBorders>
              <w:top w:val="single" w:sz="8" w:space="0" w:color="auto"/>
              <w:left w:val="nil"/>
              <w:bottom w:val="single" w:sz="4" w:space="0" w:color="auto"/>
              <w:right w:val="single" w:sz="4" w:space="0" w:color="auto"/>
            </w:tcBorders>
            <w:shd w:val="clear" w:color="auto" w:fill="auto"/>
            <w:noWrap/>
            <w:vAlign w:val="bottom"/>
            <w:hideMark/>
          </w:tcPr>
          <w:p w14:paraId="2406812C"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28963E6A"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r>
      <w:tr w:rsidR="00FE5383" w:rsidRPr="00FE5383" w14:paraId="0D992D97" w14:textId="77777777" w:rsidTr="00FE5383">
        <w:trPr>
          <w:trHeight w:val="264"/>
        </w:trPr>
        <w:tc>
          <w:tcPr>
            <w:tcW w:w="1347" w:type="dxa"/>
            <w:tcBorders>
              <w:top w:val="nil"/>
              <w:left w:val="single" w:sz="8" w:space="0" w:color="auto"/>
              <w:bottom w:val="single" w:sz="4" w:space="0" w:color="auto"/>
              <w:right w:val="single" w:sz="4" w:space="0" w:color="auto"/>
            </w:tcBorders>
            <w:shd w:val="clear" w:color="auto" w:fill="auto"/>
            <w:noWrap/>
            <w:vAlign w:val="bottom"/>
            <w:hideMark/>
          </w:tcPr>
          <w:p w14:paraId="443AA17D" w14:textId="77777777" w:rsidR="00FE5383" w:rsidRPr="00FE5383" w:rsidRDefault="00FE5383" w:rsidP="00FE5383">
            <w:pPr>
              <w:spacing w:after="0" w:line="240" w:lineRule="auto"/>
              <w:rPr>
                <w:rFonts w:ascii="Arial" w:eastAsia="Times New Roman" w:hAnsi="Arial" w:cs="Arial"/>
                <w:sz w:val="16"/>
                <w:szCs w:val="16"/>
                <w:lang w:eastAsia="de-AT"/>
              </w:rPr>
            </w:pPr>
            <w:proofErr w:type="spellStart"/>
            <w:r w:rsidRPr="00FE5383">
              <w:rPr>
                <w:rFonts w:ascii="Arial" w:eastAsia="Times New Roman" w:hAnsi="Arial" w:cs="Arial"/>
                <w:sz w:val="16"/>
                <w:szCs w:val="16"/>
                <w:lang w:eastAsia="de-AT"/>
              </w:rPr>
              <w:t>MinVar</w:t>
            </w:r>
            <w:proofErr w:type="spellEnd"/>
            <w:r w:rsidRPr="00FE5383">
              <w:rPr>
                <w:rFonts w:ascii="Arial" w:eastAsia="Times New Roman" w:hAnsi="Arial" w:cs="Arial"/>
                <w:sz w:val="16"/>
                <w:szCs w:val="16"/>
                <w:lang w:eastAsia="de-AT"/>
              </w:rPr>
              <w:t xml:space="preserve"> </w:t>
            </w:r>
            <w:proofErr w:type="spellStart"/>
            <w:r w:rsidRPr="00FE5383">
              <w:rPr>
                <w:rFonts w:ascii="Arial" w:eastAsia="Times New Roman" w:hAnsi="Arial" w:cs="Arial"/>
                <w:sz w:val="16"/>
                <w:szCs w:val="16"/>
                <w:lang w:eastAsia="de-AT"/>
              </w:rPr>
              <w:t>portfolio</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8520151"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095027"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54A5D6"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xml:space="preserve">HFRI </w:t>
            </w:r>
            <w:proofErr w:type="spellStart"/>
            <w:r w:rsidRPr="00FE5383">
              <w:rPr>
                <w:rFonts w:ascii="Arial" w:eastAsia="Times New Roman" w:hAnsi="Arial" w:cs="Arial"/>
                <w:sz w:val="16"/>
                <w:szCs w:val="16"/>
                <w:lang w:eastAsia="de-AT"/>
              </w:rPr>
              <w:t>Macro</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F6AC907"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CRB Index</w:t>
            </w:r>
          </w:p>
        </w:tc>
        <w:tc>
          <w:tcPr>
            <w:tcW w:w="1649" w:type="dxa"/>
            <w:tcBorders>
              <w:top w:val="nil"/>
              <w:left w:val="nil"/>
              <w:bottom w:val="single" w:sz="4" w:space="0" w:color="auto"/>
              <w:right w:val="single" w:sz="4" w:space="0" w:color="auto"/>
            </w:tcBorders>
            <w:shd w:val="clear" w:color="auto" w:fill="auto"/>
            <w:noWrap/>
            <w:vAlign w:val="bottom"/>
            <w:hideMark/>
          </w:tcPr>
          <w:p w14:paraId="0EAED38F"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xml:space="preserve">HFRI </w:t>
            </w:r>
            <w:proofErr w:type="spellStart"/>
            <w:r w:rsidRPr="00FE5383">
              <w:rPr>
                <w:rFonts w:ascii="Arial" w:eastAsia="Times New Roman" w:hAnsi="Arial" w:cs="Arial"/>
                <w:sz w:val="16"/>
                <w:szCs w:val="16"/>
                <w:lang w:eastAsia="de-AT"/>
              </w:rPr>
              <w:t>Energy</w:t>
            </w:r>
            <w:proofErr w:type="spellEnd"/>
            <w:r w:rsidRPr="00FE5383">
              <w:rPr>
                <w:rFonts w:ascii="Arial" w:eastAsia="Times New Roman" w:hAnsi="Arial" w:cs="Arial"/>
                <w:sz w:val="16"/>
                <w:szCs w:val="16"/>
                <w:lang w:eastAsia="de-AT"/>
              </w:rPr>
              <w:t>/Materials</w:t>
            </w:r>
          </w:p>
        </w:tc>
        <w:tc>
          <w:tcPr>
            <w:tcW w:w="1240" w:type="dxa"/>
            <w:tcBorders>
              <w:top w:val="nil"/>
              <w:left w:val="nil"/>
              <w:bottom w:val="single" w:sz="4" w:space="0" w:color="auto"/>
              <w:right w:val="single" w:sz="4" w:space="0" w:color="auto"/>
            </w:tcBorders>
            <w:shd w:val="clear" w:color="auto" w:fill="auto"/>
            <w:noWrap/>
            <w:vAlign w:val="bottom"/>
            <w:hideMark/>
          </w:tcPr>
          <w:p w14:paraId="63F6C966"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HFRI Composite</w:t>
            </w:r>
          </w:p>
        </w:tc>
      </w:tr>
      <w:tr w:rsidR="00FE5383" w:rsidRPr="00FE5383" w14:paraId="0A374C15" w14:textId="77777777" w:rsidTr="00FE5383">
        <w:trPr>
          <w:trHeight w:val="264"/>
        </w:trPr>
        <w:tc>
          <w:tcPr>
            <w:tcW w:w="1347" w:type="dxa"/>
            <w:tcBorders>
              <w:top w:val="nil"/>
              <w:left w:val="single" w:sz="8" w:space="0" w:color="auto"/>
              <w:bottom w:val="nil"/>
              <w:right w:val="single" w:sz="4" w:space="0" w:color="auto"/>
            </w:tcBorders>
            <w:shd w:val="clear" w:color="auto" w:fill="auto"/>
            <w:noWrap/>
            <w:vAlign w:val="bottom"/>
            <w:hideMark/>
          </w:tcPr>
          <w:p w14:paraId="4876C409"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240" w:type="dxa"/>
            <w:tcBorders>
              <w:top w:val="nil"/>
              <w:left w:val="nil"/>
              <w:bottom w:val="nil"/>
              <w:right w:val="nil"/>
            </w:tcBorders>
            <w:shd w:val="clear" w:color="auto" w:fill="auto"/>
            <w:noWrap/>
            <w:vAlign w:val="bottom"/>
            <w:hideMark/>
          </w:tcPr>
          <w:p w14:paraId="0F4B605E"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Return</w:t>
            </w:r>
          </w:p>
        </w:tc>
        <w:tc>
          <w:tcPr>
            <w:tcW w:w="1240" w:type="dxa"/>
            <w:tcBorders>
              <w:top w:val="single" w:sz="4" w:space="0" w:color="C0C0C0"/>
              <w:left w:val="single" w:sz="4" w:space="0" w:color="333333"/>
              <w:bottom w:val="single" w:sz="4" w:space="0" w:color="C0C0C0"/>
              <w:right w:val="single" w:sz="4" w:space="0" w:color="auto"/>
            </w:tcBorders>
            <w:shd w:val="clear" w:color="auto" w:fill="auto"/>
            <w:noWrap/>
            <w:hideMark/>
          </w:tcPr>
          <w:p w14:paraId="59BCBA7B"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0,32</w:t>
            </w:r>
          </w:p>
        </w:tc>
        <w:tc>
          <w:tcPr>
            <w:tcW w:w="1240" w:type="dxa"/>
            <w:tcBorders>
              <w:top w:val="single" w:sz="4" w:space="0" w:color="C0C0C0"/>
              <w:left w:val="single" w:sz="4" w:space="0" w:color="333333"/>
              <w:bottom w:val="single" w:sz="4" w:space="0" w:color="C0C0C0"/>
              <w:right w:val="single" w:sz="4" w:space="0" w:color="auto"/>
            </w:tcBorders>
            <w:shd w:val="clear" w:color="auto" w:fill="auto"/>
            <w:noWrap/>
            <w:hideMark/>
          </w:tcPr>
          <w:p w14:paraId="384AF3B3"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0,25</w:t>
            </w:r>
          </w:p>
        </w:tc>
        <w:tc>
          <w:tcPr>
            <w:tcW w:w="1240" w:type="dxa"/>
            <w:tcBorders>
              <w:top w:val="single" w:sz="4" w:space="0" w:color="C0C0C0"/>
              <w:left w:val="single" w:sz="4" w:space="0" w:color="333333"/>
              <w:bottom w:val="single" w:sz="4" w:space="0" w:color="C0C0C0"/>
              <w:right w:val="single" w:sz="4" w:space="0" w:color="auto"/>
            </w:tcBorders>
            <w:shd w:val="clear" w:color="auto" w:fill="auto"/>
            <w:noWrap/>
            <w:hideMark/>
          </w:tcPr>
          <w:p w14:paraId="2E73ECE6"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0,31*</w:t>
            </w:r>
          </w:p>
        </w:tc>
        <w:tc>
          <w:tcPr>
            <w:tcW w:w="1649" w:type="dxa"/>
            <w:tcBorders>
              <w:top w:val="single" w:sz="4" w:space="0" w:color="C0C0C0"/>
              <w:left w:val="single" w:sz="4" w:space="0" w:color="333333"/>
              <w:bottom w:val="single" w:sz="4" w:space="0" w:color="C0C0C0"/>
              <w:right w:val="single" w:sz="4" w:space="0" w:color="auto"/>
            </w:tcBorders>
            <w:shd w:val="clear" w:color="auto" w:fill="auto"/>
            <w:noWrap/>
            <w:hideMark/>
          </w:tcPr>
          <w:p w14:paraId="30540959"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0,30*</w:t>
            </w:r>
          </w:p>
        </w:tc>
        <w:tc>
          <w:tcPr>
            <w:tcW w:w="1240" w:type="dxa"/>
            <w:tcBorders>
              <w:top w:val="single" w:sz="4" w:space="0" w:color="C0C0C0"/>
              <w:left w:val="single" w:sz="4" w:space="0" w:color="333333"/>
              <w:bottom w:val="single" w:sz="4" w:space="0" w:color="C0C0C0"/>
              <w:right w:val="single" w:sz="4" w:space="0" w:color="auto"/>
            </w:tcBorders>
            <w:shd w:val="clear" w:color="auto" w:fill="auto"/>
            <w:noWrap/>
            <w:hideMark/>
          </w:tcPr>
          <w:p w14:paraId="22F77459"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0,28</w:t>
            </w:r>
          </w:p>
        </w:tc>
      </w:tr>
      <w:tr w:rsidR="00FE5383" w:rsidRPr="00FE5383" w14:paraId="59F6E1EE" w14:textId="77777777" w:rsidTr="00FE5383">
        <w:trPr>
          <w:trHeight w:val="264"/>
        </w:trPr>
        <w:tc>
          <w:tcPr>
            <w:tcW w:w="1347" w:type="dxa"/>
            <w:tcBorders>
              <w:top w:val="nil"/>
              <w:left w:val="single" w:sz="8" w:space="0" w:color="auto"/>
              <w:bottom w:val="nil"/>
              <w:right w:val="single" w:sz="4" w:space="0" w:color="auto"/>
            </w:tcBorders>
            <w:shd w:val="clear" w:color="auto" w:fill="auto"/>
            <w:noWrap/>
            <w:vAlign w:val="bottom"/>
            <w:hideMark/>
          </w:tcPr>
          <w:p w14:paraId="066E7BA1"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240" w:type="dxa"/>
            <w:tcBorders>
              <w:top w:val="nil"/>
              <w:left w:val="nil"/>
              <w:bottom w:val="nil"/>
              <w:right w:val="nil"/>
            </w:tcBorders>
            <w:shd w:val="clear" w:color="auto" w:fill="auto"/>
            <w:noWrap/>
            <w:vAlign w:val="bottom"/>
            <w:hideMark/>
          </w:tcPr>
          <w:p w14:paraId="5789733A"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Sharpe</w:t>
            </w:r>
          </w:p>
        </w:tc>
        <w:tc>
          <w:tcPr>
            <w:tcW w:w="1240" w:type="dxa"/>
            <w:tcBorders>
              <w:top w:val="nil"/>
              <w:left w:val="single" w:sz="4" w:space="0" w:color="333333"/>
              <w:bottom w:val="single" w:sz="4" w:space="0" w:color="C0C0C0"/>
              <w:right w:val="single" w:sz="4" w:space="0" w:color="auto"/>
            </w:tcBorders>
            <w:shd w:val="clear" w:color="auto" w:fill="auto"/>
            <w:noWrap/>
            <w:hideMark/>
          </w:tcPr>
          <w:p w14:paraId="4F166A8F"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0,24</w:t>
            </w:r>
          </w:p>
        </w:tc>
        <w:tc>
          <w:tcPr>
            <w:tcW w:w="1240" w:type="dxa"/>
            <w:tcBorders>
              <w:top w:val="nil"/>
              <w:left w:val="single" w:sz="4" w:space="0" w:color="333333"/>
              <w:bottom w:val="single" w:sz="4" w:space="0" w:color="C0C0C0"/>
              <w:right w:val="single" w:sz="4" w:space="0" w:color="auto"/>
            </w:tcBorders>
            <w:shd w:val="clear" w:color="auto" w:fill="auto"/>
            <w:noWrap/>
            <w:hideMark/>
          </w:tcPr>
          <w:p w14:paraId="2A02DEC5"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0,27</w:t>
            </w:r>
          </w:p>
        </w:tc>
        <w:tc>
          <w:tcPr>
            <w:tcW w:w="1240" w:type="dxa"/>
            <w:tcBorders>
              <w:top w:val="nil"/>
              <w:left w:val="single" w:sz="4" w:space="0" w:color="333333"/>
              <w:bottom w:val="single" w:sz="4" w:space="0" w:color="C0C0C0"/>
              <w:right w:val="single" w:sz="4" w:space="0" w:color="auto"/>
            </w:tcBorders>
            <w:shd w:val="clear" w:color="auto" w:fill="auto"/>
            <w:noWrap/>
            <w:hideMark/>
          </w:tcPr>
          <w:p w14:paraId="4B28F7D8"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0,26*</w:t>
            </w:r>
          </w:p>
        </w:tc>
        <w:tc>
          <w:tcPr>
            <w:tcW w:w="1649" w:type="dxa"/>
            <w:tcBorders>
              <w:top w:val="nil"/>
              <w:left w:val="single" w:sz="4" w:space="0" w:color="333333"/>
              <w:bottom w:val="single" w:sz="4" w:space="0" w:color="C0C0C0"/>
              <w:right w:val="single" w:sz="4" w:space="0" w:color="auto"/>
            </w:tcBorders>
            <w:shd w:val="clear" w:color="auto" w:fill="auto"/>
            <w:noWrap/>
            <w:hideMark/>
          </w:tcPr>
          <w:p w14:paraId="7DB8EFDC"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0,25*</w:t>
            </w:r>
          </w:p>
        </w:tc>
        <w:tc>
          <w:tcPr>
            <w:tcW w:w="1240" w:type="dxa"/>
            <w:tcBorders>
              <w:top w:val="nil"/>
              <w:left w:val="single" w:sz="4" w:space="0" w:color="333333"/>
              <w:bottom w:val="single" w:sz="4" w:space="0" w:color="C0C0C0"/>
              <w:right w:val="single" w:sz="4" w:space="0" w:color="auto"/>
            </w:tcBorders>
            <w:shd w:val="clear" w:color="auto" w:fill="auto"/>
            <w:noWrap/>
            <w:hideMark/>
          </w:tcPr>
          <w:p w14:paraId="3AD6B552"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0,29</w:t>
            </w:r>
          </w:p>
        </w:tc>
      </w:tr>
      <w:tr w:rsidR="00FE5383" w:rsidRPr="00FE5383" w14:paraId="0686C245" w14:textId="77777777" w:rsidTr="00FE5383">
        <w:trPr>
          <w:trHeight w:val="264"/>
        </w:trPr>
        <w:tc>
          <w:tcPr>
            <w:tcW w:w="1347" w:type="dxa"/>
            <w:tcBorders>
              <w:top w:val="nil"/>
              <w:left w:val="single" w:sz="8" w:space="0" w:color="auto"/>
              <w:bottom w:val="single" w:sz="4" w:space="0" w:color="auto"/>
              <w:right w:val="single" w:sz="4" w:space="0" w:color="auto"/>
            </w:tcBorders>
            <w:shd w:val="clear" w:color="auto" w:fill="auto"/>
            <w:noWrap/>
            <w:vAlign w:val="bottom"/>
            <w:hideMark/>
          </w:tcPr>
          <w:p w14:paraId="6F464AD0" w14:textId="77777777" w:rsidR="00FE5383" w:rsidRPr="00FE5383" w:rsidRDefault="00FE5383" w:rsidP="00FE5383">
            <w:pPr>
              <w:spacing w:after="0" w:line="240" w:lineRule="auto"/>
              <w:rPr>
                <w:rFonts w:ascii="Arial" w:eastAsia="Times New Roman" w:hAnsi="Arial" w:cs="Arial"/>
                <w:sz w:val="16"/>
                <w:szCs w:val="16"/>
                <w:lang w:eastAsia="de-AT"/>
              </w:rPr>
            </w:pPr>
            <w:proofErr w:type="spellStart"/>
            <w:r w:rsidRPr="00FE5383">
              <w:rPr>
                <w:rFonts w:ascii="Arial" w:eastAsia="Times New Roman" w:hAnsi="Arial" w:cs="Arial"/>
                <w:sz w:val="16"/>
                <w:szCs w:val="16"/>
                <w:lang w:eastAsia="de-AT"/>
              </w:rPr>
              <w:t>Tangency</w:t>
            </w:r>
            <w:proofErr w:type="spellEnd"/>
            <w:r w:rsidRPr="00FE5383">
              <w:rPr>
                <w:rFonts w:ascii="Arial" w:eastAsia="Times New Roman" w:hAnsi="Arial" w:cs="Arial"/>
                <w:sz w:val="16"/>
                <w:szCs w:val="16"/>
                <w:lang w:eastAsia="de-AT"/>
              </w:rPr>
              <w:t xml:space="preserve"> </w:t>
            </w:r>
            <w:proofErr w:type="spellStart"/>
            <w:r w:rsidRPr="00FE5383">
              <w:rPr>
                <w:rFonts w:ascii="Arial" w:eastAsia="Times New Roman" w:hAnsi="Arial" w:cs="Arial"/>
                <w:sz w:val="16"/>
                <w:szCs w:val="16"/>
                <w:lang w:eastAsia="de-AT"/>
              </w:rPr>
              <w:t>portfolio</w:t>
            </w:r>
            <w:proofErr w:type="spellEnd"/>
          </w:p>
        </w:tc>
        <w:tc>
          <w:tcPr>
            <w:tcW w:w="1240" w:type="dxa"/>
            <w:tcBorders>
              <w:top w:val="nil"/>
              <w:left w:val="nil"/>
              <w:bottom w:val="single" w:sz="4" w:space="0" w:color="auto"/>
              <w:right w:val="nil"/>
            </w:tcBorders>
            <w:shd w:val="clear" w:color="auto" w:fill="auto"/>
            <w:noWrap/>
            <w:vAlign w:val="bottom"/>
            <w:hideMark/>
          </w:tcPr>
          <w:p w14:paraId="76B10838"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240" w:type="dxa"/>
            <w:tcBorders>
              <w:top w:val="nil"/>
              <w:left w:val="single" w:sz="4" w:space="0" w:color="333333"/>
              <w:bottom w:val="single" w:sz="4" w:space="0" w:color="auto"/>
              <w:right w:val="single" w:sz="4" w:space="0" w:color="auto"/>
            </w:tcBorders>
            <w:shd w:val="clear" w:color="auto" w:fill="auto"/>
            <w:noWrap/>
            <w:hideMark/>
          </w:tcPr>
          <w:p w14:paraId="00953386"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 </w:t>
            </w:r>
          </w:p>
        </w:tc>
        <w:tc>
          <w:tcPr>
            <w:tcW w:w="1240" w:type="dxa"/>
            <w:tcBorders>
              <w:top w:val="nil"/>
              <w:left w:val="single" w:sz="4" w:space="0" w:color="333333"/>
              <w:bottom w:val="single" w:sz="4" w:space="0" w:color="auto"/>
              <w:right w:val="single" w:sz="4" w:space="0" w:color="auto"/>
            </w:tcBorders>
            <w:shd w:val="clear" w:color="auto" w:fill="auto"/>
            <w:noWrap/>
            <w:hideMark/>
          </w:tcPr>
          <w:p w14:paraId="76E653CC"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 </w:t>
            </w:r>
          </w:p>
        </w:tc>
        <w:tc>
          <w:tcPr>
            <w:tcW w:w="1240" w:type="dxa"/>
            <w:tcBorders>
              <w:top w:val="nil"/>
              <w:left w:val="single" w:sz="4" w:space="0" w:color="333333"/>
              <w:bottom w:val="single" w:sz="4" w:space="0" w:color="auto"/>
              <w:right w:val="single" w:sz="4" w:space="0" w:color="auto"/>
            </w:tcBorders>
            <w:shd w:val="clear" w:color="auto" w:fill="auto"/>
            <w:noWrap/>
            <w:hideMark/>
          </w:tcPr>
          <w:p w14:paraId="7D29BB2F"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 </w:t>
            </w:r>
          </w:p>
        </w:tc>
        <w:tc>
          <w:tcPr>
            <w:tcW w:w="1649" w:type="dxa"/>
            <w:tcBorders>
              <w:top w:val="nil"/>
              <w:left w:val="single" w:sz="4" w:space="0" w:color="333333"/>
              <w:bottom w:val="single" w:sz="4" w:space="0" w:color="auto"/>
              <w:right w:val="single" w:sz="4" w:space="0" w:color="auto"/>
            </w:tcBorders>
            <w:shd w:val="clear" w:color="auto" w:fill="auto"/>
            <w:noWrap/>
            <w:hideMark/>
          </w:tcPr>
          <w:p w14:paraId="44FEEC0A"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 </w:t>
            </w:r>
          </w:p>
        </w:tc>
        <w:tc>
          <w:tcPr>
            <w:tcW w:w="1240" w:type="dxa"/>
            <w:tcBorders>
              <w:top w:val="nil"/>
              <w:left w:val="single" w:sz="4" w:space="0" w:color="333333"/>
              <w:bottom w:val="single" w:sz="4" w:space="0" w:color="auto"/>
              <w:right w:val="single" w:sz="4" w:space="0" w:color="auto"/>
            </w:tcBorders>
            <w:shd w:val="clear" w:color="auto" w:fill="auto"/>
            <w:noWrap/>
            <w:hideMark/>
          </w:tcPr>
          <w:p w14:paraId="02B2201E"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 </w:t>
            </w:r>
          </w:p>
        </w:tc>
      </w:tr>
      <w:tr w:rsidR="00FE5383" w:rsidRPr="00FE5383" w14:paraId="2F70D58F" w14:textId="77777777" w:rsidTr="00FE5383">
        <w:trPr>
          <w:trHeight w:val="264"/>
        </w:trPr>
        <w:tc>
          <w:tcPr>
            <w:tcW w:w="1347" w:type="dxa"/>
            <w:tcBorders>
              <w:top w:val="nil"/>
              <w:left w:val="single" w:sz="8" w:space="0" w:color="auto"/>
              <w:bottom w:val="nil"/>
              <w:right w:val="single" w:sz="4" w:space="0" w:color="auto"/>
            </w:tcBorders>
            <w:shd w:val="clear" w:color="auto" w:fill="auto"/>
            <w:noWrap/>
            <w:vAlign w:val="bottom"/>
            <w:hideMark/>
          </w:tcPr>
          <w:p w14:paraId="7AD77A5A"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240" w:type="dxa"/>
            <w:tcBorders>
              <w:top w:val="nil"/>
              <w:left w:val="nil"/>
              <w:bottom w:val="nil"/>
              <w:right w:val="nil"/>
            </w:tcBorders>
            <w:shd w:val="clear" w:color="auto" w:fill="auto"/>
            <w:noWrap/>
            <w:vAlign w:val="bottom"/>
            <w:hideMark/>
          </w:tcPr>
          <w:p w14:paraId="377DC2C0"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Return</w:t>
            </w:r>
          </w:p>
        </w:tc>
        <w:tc>
          <w:tcPr>
            <w:tcW w:w="1240" w:type="dxa"/>
            <w:tcBorders>
              <w:top w:val="nil"/>
              <w:left w:val="single" w:sz="4" w:space="0" w:color="333333"/>
              <w:bottom w:val="single" w:sz="4" w:space="0" w:color="C0C0C0"/>
              <w:right w:val="single" w:sz="4" w:space="0" w:color="auto"/>
            </w:tcBorders>
            <w:shd w:val="clear" w:color="auto" w:fill="auto"/>
            <w:noWrap/>
            <w:hideMark/>
          </w:tcPr>
          <w:p w14:paraId="6EA5183D"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0,33</w:t>
            </w:r>
          </w:p>
        </w:tc>
        <w:tc>
          <w:tcPr>
            <w:tcW w:w="1240" w:type="dxa"/>
            <w:tcBorders>
              <w:top w:val="nil"/>
              <w:left w:val="single" w:sz="4" w:space="0" w:color="333333"/>
              <w:bottom w:val="single" w:sz="4" w:space="0" w:color="C0C0C0"/>
              <w:right w:val="single" w:sz="4" w:space="0" w:color="auto"/>
            </w:tcBorders>
            <w:shd w:val="clear" w:color="auto" w:fill="auto"/>
            <w:noWrap/>
            <w:hideMark/>
          </w:tcPr>
          <w:p w14:paraId="4E9FC9DB"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0,32</w:t>
            </w:r>
          </w:p>
        </w:tc>
        <w:tc>
          <w:tcPr>
            <w:tcW w:w="1240" w:type="dxa"/>
            <w:tcBorders>
              <w:top w:val="nil"/>
              <w:left w:val="single" w:sz="4" w:space="0" w:color="333333"/>
              <w:bottom w:val="single" w:sz="4" w:space="0" w:color="C0C0C0"/>
              <w:right w:val="single" w:sz="4" w:space="0" w:color="auto"/>
            </w:tcBorders>
            <w:shd w:val="clear" w:color="auto" w:fill="auto"/>
            <w:noWrap/>
            <w:hideMark/>
          </w:tcPr>
          <w:p w14:paraId="630FAD66"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0,43*</w:t>
            </w:r>
          </w:p>
        </w:tc>
        <w:tc>
          <w:tcPr>
            <w:tcW w:w="1649" w:type="dxa"/>
            <w:tcBorders>
              <w:top w:val="nil"/>
              <w:left w:val="single" w:sz="4" w:space="0" w:color="333333"/>
              <w:bottom w:val="single" w:sz="4" w:space="0" w:color="C0C0C0"/>
              <w:right w:val="single" w:sz="4" w:space="0" w:color="auto"/>
            </w:tcBorders>
            <w:shd w:val="clear" w:color="auto" w:fill="auto"/>
            <w:noWrap/>
            <w:hideMark/>
          </w:tcPr>
          <w:p w14:paraId="6B7C0FE6"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0,61*</w:t>
            </w:r>
          </w:p>
        </w:tc>
        <w:tc>
          <w:tcPr>
            <w:tcW w:w="1240" w:type="dxa"/>
            <w:tcBorders>
              <w:top w:val="nil"/>
              <w:left w:val="single" w:sz="4" w:space="0" w:color="333333"/>
              <w:bottom w:val="single" w:sz="4" w:space="0" w:color="C0C0C0"/>
              <w:right w:val="single" w:sz="4" w:space="0" w:color="auto"/>
            </w:tcBorders>
            <w:shd w:val="clear" w:color="auto" w:fill="auto"/>
            <w:noWrap/>
            <w:hideMark/>
          </w:tcPr>
          <w:p w14:paraId="117ACF56"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0,32</w:t>
            </w:r>
          </w:p>
        </w:tc>
      </w:tr>
      <w:tr w:rsidR="00FE5383" w:rsidRPr="00FE5383" w14:paraId="54FEE373" w14:textId="77777777" w:rsidTr="00FE5383">
        <w:trPr>
          <w:trHeight w:val="276"/>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16BD9516"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 </w:t>
            </w:r>
          </w:p>
        </w:tc>
        <w:tc>
          <w:tcPr>
            <w:tcW w:w="1240" w:type="dxa"/>
            <w:tcBorders>
              <w:top w:val="nil"/>
              <w:left w:val="nil"/>
              <w:bottom w:val="single" w:sz="8" w:space="0" w:color="auto"/>
              <w:right w:val="nil"/>
            </w:tcBorders>
            <w:shd w:val="clear" w:color="auto" w:fill="auto"/>
            <w:noWrap/>
            <w:vAlign w:val="bottom"/>
            <w:hideMark/>
          </w:tcPr>
          <w:p w14:paraId="020D2112" w14:textId="77777777" w:rsidR="00FE5383" w:rsidRPr="00FE5383" w:rsidRDefault="00FE5383" w:rsidP="00FE5383">
            <w:pPr>
              <w:spacing w:after="0" w:line="240" w:lineRule="auto"/>
              <w:rPr>
                <w:rFonts w:ascii="Arial" w:eastAsia="Times New Roman" w:hAnsi="Arial" w:cs="Arial"/>
                <w:sz w:val="16"/>
                <w:szCs w:val="16"/>
                <w:lang w:eastAsia="de-AT"/>
              </w:rPr>
            </w:pPr>
            <w:r w:rsidRPr="00FE5383">
              <w:rPr>
                <w:rFonts w:ascii="Arial" w:eastAsia="Times New Roman" w:hAnsi="Arial" w:cs="Arial"/>
                <w:sz w:val="16"/>
                <w:szCs w:val="16"/>
                <w:lang w:eastAsia="de-AT"/>
              </w:rPr>
              <w:t>Sharpe</w:t>
            </w:r>
          </w:p>
        </w:tc>
        <w:tc>
          <w:tcPr>
            <w:tcW w:w="1240" w:type="dxa"/>
            <w:tcBorders>
              <w:top w:val="nil"/>
              <w:left w:val="single" w:sz="4" w:space="0" w:color="333333"/>
              <w:bottom w:val="single" w:sz="8" w:space="0" w:color="auto"/>
              <w:right w:val="single" w:sz="4" w:space="0" w:color="auto"/>
            </w:tcBorders>
            <w:shd w:val="clear" w:color="auto" w:fill="auto"/>
            <w:noWrap/>
            <w:hideMark/>
          </w:tcPr>
          <w:p w14:paraId="4CBA6C3B" w14:textId="77777777" w:rsidR="00FE5383" w:rsidRPr="00FE5383" w:rsidRDefault="00FE5383" w:rsidP="00FE5383">
            <w:pPr>
              <w:spacing w:after="0" w:line="240" w:lineRule="auto"/>
              <w:jc w:val="center"/>
              <w:rPr>
                <w:rFonts w:ascii="Arial" w:eastAsia="Times New Roman" w:hAnsi="Arial" w:cs="Arial"/>
                <w:color w:val="000000" w:themeColor="text1"/>
                <w:sz w:val="16"/>
                <w:szCs w:val="16"/>
                <w:lang w:eastAsia="de-AT"/>
              </w:rPr>
            </w:pPr>
            <w:r w:rsidRPr="00FE5383">
              <w:rPr>
                <w:rFonts w:ascii="Arial" w:eastAsia="Times New Roman" w:hAnsi="Arial" w:cs="Arial"/>
                <w:color w:val="000000" w:themeColor="text1"/>
                <w:sz w:val="16"/>
                <w:szCs w:val="16"/>
                <w:lang w:eastAsia="de-AT"/>
              </w:rPr>
              <w:t>0,20</w:t>
            </w:r>
          </w:p>
        </w:tc>
        <w:tc>
          <w:tcPr>
            <w:tcW w:w="1240" w:type="dxa"/>
            <w:tcBorders>
              <w:top w:val="nil"/>
              <w:left w:val="single" w:sz="4" w:space="0" w:color="333333"/>
              <w:bottom w:val="single" w:sz="8" w:space="0" w:color="auto"/>
              <w:right w:val="single" w:sz="4" w:space="0" w:color="auto"/>
            </w:tcBorders>
            <w:shd w:val="clear" w:color="auto" w:fill="auto"/>
            <w:noWrap/>
            <w:hideMark/>
          </w:tcPr>
          <w:p w14:paraId="26D6F239"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0,24</w:t>
            </w:r>
          </w:p>
        </w:tc>
        <w:tc>
          <w:tcPr>
            <w:tcW w:w="1240" w:type="dxa"/>
            <w:tcBorders>
              <w:top w:val="nil"/>
              <w:left w:val="single" w:sz="4" w:space="0" w:color="333333"/>
              <w:bottom w:val="single" w:sz="8" w:space="0" w:color="auto"/>
              <w:right w:val="single" w:sz="4" w:space="0" w:color="auto"/>
            </w:tcBorders>
            <w:shd w:val="clear" w:color="auto" w:fill="auto"/>
            <w:noWrap/>
            <w:hideMark/>
          </w:tcPr>
          <w:p w14:paraId="1F173692"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0,26*</w:t>
            </w:r>
          </w:p>
        </w:tc>
        <w:tc>
          <w:tcPr>
            <w:tcW w:w="1649" w:type="dxa"/>
            <w:tcBorders>
              <w:top w:val="nil"/>
              <w:left w:val="single" w:sz="4" w:space="0" w:color="333333"/>
              <w:bottom w:val="single" w:sz="8" w:space="0" w:color="auto"/>
              <w:right w:val="single" w:sz="4" w:space="0" w:color="auto"/>
            </w:tcBorders>
            <w:shd w:val="clear" w:color="auto" w:fill="auto"/>
            <w:noWrap/>
            <w:hideMark/>
          </w:tcPr>
          <w:p w14:paraId="58954BEA"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0,31*</w:t>
            </w:r>
          </w:p>
        </w:tc>
        <w:tc>
          <w:tcPr>
            <w:tcW w:w="1240" w:type="dxa"/>
            <w:tcBorders>
              <w:top w:val="nil"/>
              <w:left w:val="single" w:sz="4" w:space="0" w:color="333333"/>
              <w:bottom w:val="single" w:sz="8" w:space="0" w:color="auto"/>
              <w:right w:val="single" w:sz="4" w:space="0" w:color="auto"/>
            </w:tcBorders>
            <w:shd w:val="clear" w:color="auto" w:fill="auto"/>
            <w:noWrap/>
            <w:hideMark/>
          </w:tcPr>
          <w:p w14:paraId="728E37C8" w14:textId="77777777" w:rsidR="00FE5383" w:rsidRPr="00FE5383" w:rsidRDefault="00FE5383" w:rsidP="00FE5383">
            <w:pPr>
              <w:spacing w:after="0" w:line="240" w:lineRule="auto"/>
              <w:jc w:val="center"/>
              <w:rPr>
                <w:rFonts w:ascii="Arial" w:eastAsia="Times New Roman" w:hAnsi="Arial" w:cs="Arial"/>
                <w:b/>
                <w:color w:val="000000" w:themeColor="text1"/>
                <w:sz w:val="16"/>
                <w:szCs w:val="16"/>
                <w:lang w:eastAsia="de-AT"/>
              </w:rPr>
            </w:pPr>
            <w:r w:rsidRPr="00FE5383">
              <w:rPr>
                <w:rFonts w:ascii="Arial" w:eastAsia="Times New Roman" w:hAnsi="Arial" w:cs="Arial"/>
                <w:b/>
                <w:color w:val="000000" w:themeColor="text1"/>
                <w:sz w:val="16"/>
                <w:szCs w:val="16"/>
                <w:lang w:eastAsia="de-AT"/>
              </w:rPr>
              <w:t>0,25</w:t>
            </w:r>
          </w:p>
        </w:tc>
      </w:tr>
    </w:tbl>
    <w:p w14:paraId="629D341B" w14:textId="77777777" w:rsidR="000F4E89" w:rsidRDefault="00FE5383" w:rsidP="00806BF3">
      <w:pPr>
        <w:spacing w:line="240" w:lineRule="auto"/>
        <w:jc w:val="both"/>
        <w:rPr>
          <w:rFonts w:ascii="Times New Roman" w:hAnsi="Times New Roman" w:cs="Times New Roman"/>
          <w:bCs/>
          <w:sz w:val="16"/>
          <w:szCs w:val="16"/>
          <w:lang w:val="en-US"/>
        </w:rPr>
      </w:pPr>
      <w:r w:rsidRPr="00F93C8E">
        <w:rPr>
          <w:rFonts w:ascii="Times New Roman" w:hAnsi="Times New Roman" w:cs="Times New Roman"/>
          <w:bCs/>
          <w:sz w:val="16"/>
          <w:szCs w:val="16"/>
          <w:lang w:val="en-US"/>
        </w:rPr>
        <w:t xml:space="preserve">Notes: This table reports the return and the Sharpe Ratio of the </w:t>
      </w:r>
      <w:proofErr w:type="spellStart"/>
      <w:r w:rsidRPr="00F93C8E">
        <w:rPr>
          <w:rFonts w:ascii="Times New Roman" w:hAnsi="Times New Roman" w:cs="Times New Roman"/>
          <w:bCs/>
          <w:sz w:val="16"/>
          <w:szCs w:val="16"/>
          <w:lang w:val="en-US"/>
        </w:rPr>
        <w:t>MinVar</w:t>
      </w:r>
      <w:proofErr w:type="spellEnd"/>
      <w:r w:rsidRPr="00F93C8E">
        <w:rPr>
          <w:rFonts w:ascii="Times New Roman" w:hAnsi="Times New Roman" w:cs="Times New Roman"/>
          <w:bCs/>
          <w:sz w:val="16"/>
          <w:szCs w:val="16"/>
          <w:lang w:val="en-US"/>
        </w:rPr>
        <w:t xml:space="preserve"> and Tangency portfolio. Again there is a comparison between a Stock-Bond portfolio and portfolios where different variables are attributed. </w:t>
      </w:r>
      <w:r w:rsidR="00F93C8E" w:rsidRPr="00F93C8E">
        <w:rPr>
          <w:rFonts w:ascii="Times New Roman" w:hAnsi="Times New Roman" w:cs="Times New Roman"/>
          <w:bCs/>
          <w:sz w:val="16"/>
          <w:szCs w:val="16"/>
          <w:lang w:val="en-US"/>
        </w:rPr>
        <w:t>The bold figures represent an outperformance in comparison to the benchmark Bond-Stock portfolio.</w:t>
      </w:r>
    </w:p>
    <w:p w14:paraId="32F2DA8E" w14:textId="066B6F65" w:rsidR="00FE5383" w:rsidRDefault="00F93C8E" w:rsidP="00806BF3">
      <w:pPr>
        <w:spacing w:line="240" w:lineRule="auto"/>
        <w:jc w:val="both"/>
        <w:rPr>
          <w:rFonts w:ascii="Times New Roman" w:hAnsi="Times New Roman" w:cs="Times New Roman"/>
          <w:bCs/>
          <w:sz w:val="16"/>
          <w:szCs w:val="16"/>
          <w:lang w:val="en-US"/>
        </w:rPr>
      </w:pPr>
      <w:r w:rsidRPr="00F93C8E">
        <w:rPr>
          <w:rFonts w:ascii="Times New Roman" w:hAnsi="Times New Roman" w:cs="Times New Roman"/>
          <w:bCs/>
          <w:sz w:val="16"/>
          <w:szCs w:val="16"/>
          <w:lang w:val="en-US"/>
        </w:rPr>
        <w:t xml:space="preserve"> * The CRB index and the HFRI Energy /Materials index brought “negative weights in the </w:t>
      </w:r>
      <w:proofErr w:type="spellStart"/>
      <w:r w:rsidRPr="00F93C8E">
        <w:rPr>
          <w:rFonts w:ascii="Times New Roman" w:hAnsi="Times New Roman" w:cs="Times New Roman"/>
          <w:bCs/>
          <w:sz w:val="16"/>
          <w:szCs w:val="16"/>
          <w:lang w:val="en-US"/>
        </w:rPr>
        <w:t>MinVar</w:t>
      </w:r>
      <w:proofErr w:type="spellEnd"/>
      <w:r w:rsidRPr="00F93C8E">
        <w:rPr>
          <w:rFonts w:ascii="Times New Roman" w:hAnsi="Times New Roman" w:cs="Times New Roman"/>
          <w:bCs/>
          <w:sz w:val="16"/>
          <w:szCs w:val="16"/>
          <w:lang w:val="en-US"/>
        </w:rPr>
        <w:t xml:space="preserve"> and tangency portfolios” which means that the investor is short these </w:t>
      </w:r>
      <w:proofErr w:type="spellStart"/>
      <w:proofErr w:type="gramStart"/>
      <w:r w:rsidRPr="00F93C8E">
        <w:rPr>
          <w:rFonts w:ascii="Times New Roman" w:hAnsi="Times New Roman" w:cs="Times New Roman"/>
          <w:bCs/>
          <w:sz w:val="16"/>
          <w:szCs w:val="16"/>
          <w:lang w:val="en-US"/>
        </w:rPr>
        <w:t>assets</w:t>
      </w:r>
      <w:r>
        <w:rPr>
          <w:rFonts w:ascii="Times New Roman" w:hAnsi="Times New Roman" w:cs="Times New Roman"/>
          <w:bCs/>
          <w:sz w:val="16"/>
          <w:szCs w:val="16"/>
          <w:lang w:val="en-US"/>
        </w:rPr>
        <w:t>.</w:t>
      </w:r>
      <w:r w:rsidRPr="00F93C8E">
        <w:rPr>
          <w:rFonts w:ascii="Times New Roman" w:hAnsi="Times New Roman" w:cs="Times New Roman"/>
          <w:bCs/>
          <w:sz w:val="16"/>
          <w:szCs w:val="16"/>
          <w:lang w:val="en-US"/>
        </w:rPr>
        <w:t>This</w:t>
      </w:r>
      <w:proofErr w:type="spellEnd"/>
      <w:proofErr w:type="gramEnd"/>
      <w:r w:rsidRPr="00F93C8E">
        <w:rPr>
          <w:rFonts w:ascii="Times New Roman" w:hAnsi="Times New Roman" w:cs="Times New Roman"/>
          <w:bCs/>
          <w:sz w:val="16"/>
          <w:szCs w:val="16"/>
          <w:lang w:val="en-US"/>
        </w:rPr>
        <w:t xml:space="preserve"> situation is not appropriate for an institutional investor and therefore the results of these portfolios are not useful. </w:t>
      </w:r>
      <w:r w:rsidR="00FE5383" w:rsidRPr="00F93C8E">
        <w:rPr>
          <w:rFonts w:ascii="Times New Roman" w:hAnsi="Times New Roman" w:cs="Times New Roman"/>
          <w:bCs/>
          <w:sz w:val="16"/>
          <w:szCs w:val="16"/>
          <w:lang w:val="en-US"/>
        </w:rPr>
        <w:t xml:space="preserve"> </w:t>
      </w:r>
    </w:p>
    <w:p w14:paraId="29B7427E" w14:textId="77777777" w:rsidR="007F17B7" w:rsidRDefault="007F17B7" w:rsidP="007F17B7">
      <w:pPr>
        <w:spacing w:line="240" w:lineRule="auto"/>
        <w:jc w:val="both"/>
        <w:rPr>
          <w:rFonts w:ascii="Times New Roman" w:hAnsi="Times New Roman"/>
          <w:bCs/>
          <w:sz w:val="24"/>
          <w:lang w:val="en-US"/>
        </w:rPr>
      </w:pPr>
      <w:r>
        <w:rPr>
          <w:rFonts w:ascii="Times New Roman" w:hAnsi="Times New Roman"/>
          <w:bCs/>
          <w:sz w:val="24"/>
          <w:lang w:val="en-US"/>
        </w:rPr>
        <w:t xml:space="preserve">The results of the </w:t>
      </w:r>
      <w:proofErr w:type="spellStart"/>
      <w:r>
        <w:rPr>
          <w:rFonts w:ascii="Times New Roman" w:hAnsi="Times New Roman"/>
          <w:bCs/>
          <w:sz w:val="24"/>
          <w:lang w:val="en-US"/>
        </w:rPr>
        <w:t>MinVar</w:t>
      </w:r>
      <w:proofErr w:type="spellEnd"/>
      <w:r>
        <w:rPr>
          <w:rFonts w:ascii="Times New Roman" w:hAnsi="Times New Roman"/>
          <w:bCs/>
          <w:sz w:val="24"/>
          <w:lang w:val="en-US"/>
        </w:rPr>
        <w:t xml:space="preserve"> and Tangency portfolio confirms the results from our other portfolios. The HFRI Macro could be a positive attribution for investors who use these methods. The CRB index and the HFRI Energy/Materials indices are not relevant, because the weights were negative, which means that the portfolio manager was “short” in these asset classes. This is not a realistic situation and is therefore not relevant. </w:t>
      </w:r>
    </w:p>
    <w:p w14:paraId="767EAB7F" w14:textId="77777777" w:rsidR="007F17B7" w:rsidRPr="00F41706" w:rsidRDefault="007F17B7" w:rsidP="007F17B7">
      <w:pPr>
        <w:pStyle w:val="Listenabsatz"/>
        <w:numPr>
          <w:ilvl w:val="0"/>
          <w:numId w:val="6"/>
        </w:numPr>
        <w:spacing w:line="240" w:lineRule="auto"/>
        <w:jc w:val="both"/>
        <w:rPr>
          <w:rFonts w:ascii="Times New Roman" w:hAnsi="Times New Roman"/>
          <w:b/>
          <w:bCs/>
          <w:sz w:val="24"/>
          <w:lang w:val="en-US"/>
        </w:rPr>
      </w:pPr>
      <w:r w:rsidRPr="00F41706">
        <w:rPr>
          <w:rFonts w:ascii="Times New Roman" w:hAnsi="Times New Roman"/>
          <w:b/>
          <w:bCs/>
          <w:sz w:val="24"/>
          <w:lang w:val="en-US"/>
        </w:rPr>
        <w:t>Conclusion</w:t>
      </w:r>
    </w:p>
    <w:p w14:paraId="74860B2A" w14:textId="77777777" w:rsidR="00EE7699" w:rsidRPr="00EE7699" w:rsidRDefault="007F17B7" w:rsidP="007F17B7">
      <w:pPr>
        <w:spacing w:line="240" w:lineRule="auto"/>
        <w:jc w:val="both"/>
        <w:rPr>
          <w:rFonts w:ascii="Times New Roman" w:hAnsi="Times New Roman" w:cs="Times New Roman"/>
          <w:bCs/>
          <w:sz w:val="24"/>
          <w:szCs w:val="24"/>
          <w:lang w:val="en-US"/>
        </w:rPr>
      </w:pPr>
      <w:r>
        <w:rPr>
          <w:rFonts w:ascii="Times New Roman" w:hAnsi="Times New Roman"/>
          <w:bCs/>
          <w:sz w:val="24"/>
          <w:lang w:val="en-US"/>
        </w:rPr>
        <w:t xml:space="preserve">Our aim was to analyze the advantage of using Commodity Hedge Funds in </w:t>
      </w:r>
      <w:proofErr w:type="spellStart"/>
      <w:r>
        <w:rPr>
          <w:rFonts w:ascii="Times New Roman" w:hAnsi="Times New Roman"/>
          <w:bCs/>
          <w:sz w:val="24"/>
          <w:lang w:val="en-US"/>
        </w:rPr>
        <w:t>investors</w:t>
      </w:r>
      <w:proofErr w:type="spellEnd"/>
      <w:r>
        <w:rPr>
          <w:rFonts w:ascii="Times New Roman" w:hAnsi="Times New Roman"/>
          <w:bCs/>
          <w:sz w:val="24"/>
          <w:lang w:val="en-US"/>
        </w:rPr>
        <w:t xml:space="preserve"> portfolios. We used simple out-of-sample and in-sample portfolio approaches to test the attribution of Commodity Hedge Funds.   Despite the fact that these funds had to bear very weak market </w:t>
      </w:r>
      <w:r>
        <w:rPr>
          <w:rFonts w:ascii="Times New Roman" w:hAnsi="Times New Roman"/>
          <w:bCs/>
          <w:sz w:val="24"/>
          <w:lang w:val="en-US"/>
        </w:rPr>
        <w:lastRenderedPageBreak/>
        <w:t>conditions from 2008 until 2015 the attribution of the HFRI Macro Commodity index increased the Sharpe Ratio of our conservative portfolios. Furthermore, the hedge fund index is a better attribution than the CRB index. An aggressive portfolio approach made almost no sense in the considered time period, because of the strong development of government bonds. Therefore, the future prospects of government bonds are weaker due to a lower coupon and lower expected price gains. Therefore, in the future an aggressive portfolio could outperform a more conservative portfolio.  We await that the trend of Commodity Hedge Funds will improve when commodity prices again have a clear upward trend. In any case we can recommend investors to attribute Commodity Hedge Funds to their portfolio. However, it is important to be diversified within that Commodity Hedge Funds portfolio.</w:t>
      </w:r>
      <w:r w:rsidR="00DE499B">
        <w:rPr>
          <w:rFonts w:ascii="Times New Roman" w:hAnsi="Times New Roman" w:cs="Times New Roman"/>
          <w:bCs/>
          <w:sz w:val="24"/>
          <w:szCs w:val="24"/>
          <w:lang w:val="en-US"/>
        </w:rPr>
        <w:t xml:space="preserve"> </w:t>
      </w:r>
    </w:p>
    <w:p w14:paraId="556736FA" w14:textId="77777777" w:rsidR="00C95339" w:rsidRPr="00DA6704" w:rsidRDefault="00C95339" w:rsidP="00DA6704">
      <w:pPr>
        <w:spacing w:line="240" w:lineRule="auto"/>
        <w:jc w:val="both"/>
        <w:rPr>
          <w:rFonts w:ascii="Times New Roman" w:hAnsi="Times New Roman" w:cs="Times New Roman"/>
          <w:bCs/>
          <w:sz w:val="24"/>
          <w:szCs w:val="24"/>
        </w:rPr>
      </w:pPr>
    </w:p>
    <w:p w14:paraId="73B5043C" w14:textId="77777777" w:rsidR="00C0747E" w:rsidRDefault="00C0747E" w:rsidP="00430971">
      <w:pPr>
        <w:spacing w:line="480" w:lineRule="auto"/>
        <w:jc w:val="both"/>
        <w:rPr>
          <w:rFonts w:ascii="Times New Roman" w:hAnsi="Times New Roman" w:cs="Times New Roman"/>
          <w:b/>
          <w:bCs/>
          <w:sz w:val="24"/>
          <w:szCs w:val="24"/>
        </w:rPr>
      </w:pPr>
      <w:r w:rsidRPr="00A4343F">
        <w:rPr>
          <w:rFonts w:ascii="Times New Roman" w:hAnsi="Times New Roman" w:cs="Times New Roman"/>
          <w:b/>
          <w:bCs/>
          <w:sz w:val="24"/>
          <w:szCs w:val="24"/>
        </w:rPr>
        <w:t xml:space="preserve">References: </w:t>
      </w:r>
    </w:p>
    <w:p w14:paraId="027075D3" w14:textId="5A981469" w:rsidR="00A4343F" w:rsidRDefault="00D462D9"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proofErr w:type="spellStart"/>
      <w:r w:rsidR="00A4343F" w:rsidRPr="00A4343F">
        <w:rPr>
          <w:rFonts w:ascii="Times New Roman" w:hAnsi="Times New Roman" w:cs="Times New Roman"/>
          <w:bCs/>
          <w:sz w:val="24"/>
          <w:szCs w:val="24"/>
        </w:rPr>
        <w:t>Abugri</w:t>
      </w:r>
      <w:proofErr w:type="spellEnd"/>
      <w:r w:rsidR="00A4343F" w:rsidRPr="00A4343F">
        <w:rPr>
          <w:rFonts w:ascii="Times New Roman" w:hAnsi="Times New Roman" w:cs="Times New Roman"/>
          <w:bCs/>
          <w:sz w:val="24"/>
          <w:szCs w:val="24"/>
        </w:rPr>
        <w:t xml:space="preserve">, B.A., Dutta, S., Emerging </w:t>
      </w:r>
      <w:proofErr w:type="spellStart"/>
      <w:r w:rsidR="00A4343F" w:rsidRPr="00A4343F">
        <w:rPr>
          <w:rFonts w:ascii="Times New Roman" w:hAnsi="Times New Roman" w:cs="Times New Roman"/>
          <w:bCs/>
          <w:sz w:val="24"/>
          <w:szCs w:val="24"/>
        </w:rPr>
        <w:t>market</w:t>
      </w:r>
      <w:proofErr w:type="spellEnd"/>
      <w:r w:rsidR="00A4343F" w:rsidRPr="00A4343F">
        <w:rPr>
          <w:rFonts w:ascii="Times New Roman" w:hAnsi="Times New Roman" w:cs="Times New Roman"/>
          <w:bCs/>
          <w:sz w:val="24"/>
          <w:szCs w:val="24"/>
        </w:rPr>
        <w:t xml:space="preserve"> </w:t>
      </w:r>
      <w:proofErr w:type="spellStart"/>
      <w:r w:rsidR="00A4343F" w:rsidRPr="00A4343F">
        <w:rPr>
          <w:rFonts w:ascii="Times New Roman" w:hAnsi="Times New Roman" w:cs="Times New Roman"/>
          <w:bCs/>
          <w:sz w:val="24"/>
          <w:szCs w:val="24"/>
        </w:rPr>
        <w:t>hedge</w:t>
      </w:r>
      <w:proofErr w:type="spellEnd"/>
      <w:r w:rsidR="00A4343F" w:rsidRPr="00A4343F">
        <w:rPr>
          <w:rFonts w:ascii="Times New Roman" w:hAnsi="Times New Roman" w:cs="Times New Roman"/>
          <w:bCs/>
          <w:sz w:val="24"/>
          <w:szCs w:val="24"/>
        </w:rPr>
        <w:t xml:space="preserve"> </w:t>
      </w:r>
      <w:proofErr w:type="spellStart"/>
      <w:r w:rsidR="00A4343F" w:rsidRPr="00A4343F">
        <w:rPr>
          <w:rFonts w:ascii="Times New Roman" w:hAnsi="Times New Roman" w:cs="Times New Roman"/>
          <w:bCs/>
          <w:sz w:val="24"/>
          <w:szCs w:val="24"/>
        </w:rPr>
        <w:t>funds</w:t>
      </w:r>
      <w:proofErr w:type="spellEnd"/>
      <w:r w:rsidR="00A4343F" w:rsidRPr="00A4343F">
        <w:rPr>
          <w:rFonts w:ascii="Times New Roman" w:hAnsi="Times New Roman" w:cs="Times New Roman"/>
          <w:bCs/>
          <w:sz w:val="24"/>
          <w:szCs w:val="24"/>
        </w:rPr>
        <w:t xml:space="preserve">: Do </w:t>
      </w:r>
      <w:proofErr w:type="spellStart"/>
      <w:r w:rsidR="00A4343F" w:rsidRPr="00A4343F">
        <w:rPr>
          <w:rFonts w:ascii="Times New Roman" w:hAnsi="Times New Roman" w:cs="Times New Roman"/>
          <w:bCs/>
          <w:sz w:val="24"/>
          <w:szCs w:val="24"/>
        </w:rPr>
        <w:t>they</w:t>
      </w:r>
      <w:proofErr w:type="spellEnd"/>
      <w:r w:rsidR="00A4343F" w:rsidRPr="00A4343F">
        <w:rPr>
          <w:rFonts w:ascii="Times New Roman" w:hAnsi="Times New Roman" w:cs="Times New Roman"/>
          <w:bCs/>
          <w:sz w:val="24"/>
          <w:szCs w:val="24"/>
        </w:rPr>
        <w:t xml:space="preserve"> </w:t>
      </w:r>
      <w:proofErr w:type="spellStart"/>
      <w:r w:rsidR="00A4343F" w:rsidRPr="00A4343F">
        <w:rPr>
          <w:rFonts w:ascii="Times New Roman" w:hAnsi="Times New Roman" w:cs="Times New Roman"/>
          <w:bCs/>
          <w:sz w:val="24"/>
          <w:szCs w:val="24"/>
        </w:rPr>
        <w:t>perform</w:t>
      </w:r>
      <w:proofErr w:type="spellEnd"/>
      <w:r w:rsidR="00A4343F" w:rsidRPr="00A4343F">
        <w:rPr>
          <w:rFonts w:ascii="Times New Roman" w:hAnsi="Times New Roman" w:cs="Times New Roman"/>
          <w:bCs/>
          <w:sz w:val="24"/>
          <w:szCs w:val="24"/>
        </w:rPr>
        <w:t xml:space="preserve"> like</w:t>
      </w:r>
      <w:r w:rsidR="00A4343F">
        <w:rPr>
          <w:rFonts w:ascii="Times New Roman" w:hAnsi="Times New Roman" w:cs="Times New Roman"/>
          <w:bCs/>
          <w:sz w:val="24"/>
          <w:szCs w:val="24"/>
        </w:rPr>
        <w:t xml:space="preserve"> </w:t>
      </w:r>
      <w:proofErr w:type="spellStart"/>
      <w:r w:rsidR="00A4343F" w:rsidRPr="00A4343F">
        <w:rPr>
          <w:rFonts w:ascii="Times New Roman" w:hAnsi="Times New Roman" w:cs="Times New Roman"/>
          <w:bCs/>
          <w:sz w:val="24"/>
          <w:szCs w:val="24"/>
        </w:rPr>
        <w:t>regular</w:t>
      </w:r>
      <w:proofErr w:type="spellEnd"/>
      <w:r w:rsidR="00A4343F" w:rsidRPr="00A4343F">
        <w:rPr>
          <w:rFonts w:ascii="Times New Roman" w:hAnsi="Times New Roman" w:cs="Times New Roman"/>
          <w:bCs/>
          <w:sz w:val="24"/>
          <w:szCs w:val="24"/>
        </w:rPr>
        <w:t xml:space="preserve"> </w:t>
      </w:r>
      <w:proofErr w:type="spellStart"/>
      <w:r w:rsidR="00A4343F" w:rsidRPr="00A4343F">
        <w:rPr>
          <w:rFonts w:ascii="Times New Roman" w:hAnsi="Times New Roman" w:cs="Times New Roman"/>
          <w:bCs/>
          <w:sz w:val="24"/>
          <w:szCs w:val="24"/>
        </w:rPr>
        <w:t>hedge</w:t>
      </w:r>
      <w:proofErr w:type="spellEnd"/>
      <w:r w:rsidR="00A4343F" w:rsidRPr="00A4343F">
        <w:rPr>
          <w:rFonts w:ascii="Times New Roman" w:hAnsi="Times New Roman" w:cs="Times New Roman"/>
          <w:bCs/>
          <w:sz w:val="24"/>
          <w:szCs w:val="24"/>
        </w:rPr>
        <w:t xml:space="preserve"> </w:t>
      </w:r>
      <w:proofErr w:type="spellStart"/>
      <w:proofErr w:type="gramStart"/>
      <w:r w:rsidR="00A4343F" w:rsidRPr="00A4343F">
        <w:rPr>
          <w:rFonts w:ascii="Times New Roman" w:hAnsi="Times New Roman" w:cs="Times New Roman"/>
          <w:bCs/>
          <w:sz w:val="24"/>
          <w:szCs w:val="24"/>
        </w:rPr>
        <w:t>funds</w:t>
      </w:r>
      <w:proofErr w:type="spellEnd"/>
      <w:r w:rsidR="00A4343F" w:rsidRPr="00A4343F">
        <w:rPr>
          <w:rFonts w:ascii="Times New Roman" w:hAnsi="Times New Roman" w:cs="Times New Roman"/>
          <w:bCs/>
          <w:sz w:val="24"/>
          <w:szCs w:val="24"/>
        </w:rPr>
        <w:t>?</w:t>
      </w:r>
      <w:r w:rsidR="008009AE">
        <w:rPr>
          <w:rFonts w:ascii="Times New Roman" w:hAnsi="Times New Roman" w:cs="Times New Roman"/>
          <w:bCs/>
          <w:sz w:val="24"/>
          <w:szCs w:val="24"/>
        </w:rPr>
        <w:t>,</w:t>
      </w:r>
      <w:proofErr w:type="gramEnd"/>
      <w:r w:rsidR="00A4343F" w:rsidRPr="00A4343F">
        <w:rPr>
          <w:rFonts w:ascii="Times New Roman" w:hAnsi="Times New Roman" w:cs="Times New Roman"/>
          <w:bCs/>
          <w:sz w:val="24"/>
          <w:szCs w:val="24"/>
        </w:rPr>
        <w:t xml:space="preserve"> </w:t>
      </w:r>
      <w:r w:rsidR="00A4343F" w:rsidRPr="00F6409C">
        <w:rPr>
          <w:rFonts w:ascii="Times New Roman" w:hAnsi="Times New Roman" w:cs="Times New Roman"/>
          <w:bCs/>
          <w:i/>
          <w:sz w:val="24"/>
          <w:szCs w:val="24"/>
        </w:rPr>
        <w:t xml:space="preserve">Journal of International Financial </w:t>
      </w:r>
      <w:proofErr w:type="spellStart"/>
      <w:r w:rsidR="00A4343F" w:rsidRPr="00F6409C">
        <w:rPr>
          <w:rFonts w:ascii="Times New Roman" w:hAnsi="Times New Roman" w:cs="Times New Roman"/>
          <w:bCs/>
          <w:i/>
          <w:sz w:val="24"/>
          <w:szCs w:val="24"/>
        </w:rPr>
        <w:t>Markets</w:t>
      </w:r>
      <w:proofErr w:type="spellEnd"/>
      <w:r w:rsidR="00A4343F" w:rsidRPr="00F6409C">
        <w:rPr>
          <w:rFonts w:ascii="Times New Roman" w:hAnsi="Times New Roman" w:cs="Times New Roman"/>
          <w:bCs/>
          <w:i/>
          <w:sz w:val="24"/>
          <w:szCs w:val="24"/>
        </w:rPr>
        <w:t xml:space="preserve">, </w:t>
      </w:r>
      <w:proofErr w:type="spellStart"/>
      <w:r w:rsidR="00A4343F" w:rsidRPr="00F6409C">
        <w:rPr>
          <w:rFonts w:ascii="Times New Roman" w:hAnsi="Times New Roman" w:cs="Times New Roman"/>
          <w:bCs/>
          <w:i/>
          <w:sz w:val="24"/>
          <w:szCs w:val="24"/>
        </w:rPr>
        <w:t>Institutions</w:t>
      </w:r>
      <w:proofErr w:type="spellEnd"/>
      <w:r w:rsidR="00A4343F" w:rsidRPr="00F6409C">
        <w:rPr>
          <w:rFonts w:ascii="Times New Roman" w:hAnsi="Times New Roman" w:cs="Times New Roman"/>
          <w:bCs/>
          <w:i/>
          <w:sz w:val="24"/>
          <w:szCs w:val="24"/>
        </w:rPr>
        <w:t xml:space="preserve"> &amp; Money</w:t>
      </w:r>
      <w:r w:rsidR="00A4343F">
        <w:rPr>
          <w:rFonts w:ascii="Times New Roman" w:hAnsi="Times New Roman" w:cs="Times New Roman"/>
          <w:bCs/>
          <w:sz w:val="24"/>
          <w:szCs w:val="24"/>
        </w:rPr>
        <w:t>,</w:t>
      </w:r>
      <w:r w:rsidR="00A4343F" w:rsidRPr="00A4343F">
        <w:rPr>
          <w:rFonts w:ascii="Times New Roman" w:hAnsi="Times New Roman" w:cs="Times New Roman"/>
          <w:bCs/>
          <w:sz w:val="24"/>
          <w:szCs w:val="24"/>
        </w:rPr>
        <w:t xml:space="preserve"> </w:t>
      </w:r>
      <w:r>
        <w:rPr>
          <w:rFonts w:ascii="Times New Roman" w:hAnsi="Times New Roman" w:cs="Times New Roman"/>
          <w:bCs/>
          <w:sz w:val="24"/>
          <w:szCs w:val="24"/>
        </w:rPr>
        <w:t>19(1)</w:t>
      </w:r>
      <w:r w:rsidR="00A4343F" w:rsidRPr="00A4343F">
        <w:rPr>
          <w:rFonts w:ascii="Times New Roman" w:hAnsi="Times New Roman" w:cs="Times New Roman"/>
          <w:bCs/>
          <w:sz w:val="24"/>
          <w:szCs w:val="24"/>
        </w:rPr>
        <w:t xml:space="preserve">, </w:t>
      </w:r>
      <w:r>
        <w:rPr>
          <w:rFonts w:ascii="Times New Roman" w:hAnsi="Times New Roman" w:cs="Times New Roman"/>
          <w:bCs/>
          <w:sz w:val="24"/>
          <w:szCs w:val="24"/>
        </w:rPr>
        <w:t xml:space="preserve">(2009), </w:t>
      </w:r>
      <w:r w:rsidR="00A4343F" w:rsidRPr="00A4343F">
        <w:rPr>
          <w:rFonts w:ascii="Times New Roman" w:hAnsi="Times New Roman" w:cs="Times New Roman"/>
          <w:bCs/>
          <w:sz w:val="24"/>
          <w:szCs w:val="24"/>
        </w:rPr>
        <w:t>834</w:t>
      </w:r>
      <w:r w:rsidR="00A4343F" w:rsidRPr="00A4343F">
        <w:rPr>
          <w:rFonts w:ascii="Times New Roman" w:hAnsi="Times New Roman" w:cs="Times New Roman" w:hint="eastAsia"/>
          <w:bCs/>
          <w:sz w:val="24"/>
          <w:szCs w:val="24"/>
        </w:rPr>
        <w:t>–</w:t>
      </w:r>
      <w:r w:rsidR="00A4343F" w:rsidRPr="00A4343F">
        <w:rPr>
          <w:rFonts w:ascii="Times New Roman" w:hAnsi="Times New Roman" w:cs="Times New Roman"/>
          <w:bCs/>
          <w:sz w:val="24"/>
          <w:szCs w:val="24"/>
        </w:rPr>
        <w:t>849.</w:t>
      </w:r>
      <w:r w:rsidR="00A4343F" w:rsidRPr="00035D6B">
        <w:rPr>
          <w:rFonts w:ascii="Times New Roman" w:hAnsi="Times New Roman" w:cs="Times New Roman"/>
          <w:bCs/>
          <w:sz w:val="24"/>
          <w:szCs w:val="24"/>
        </w:rPr>
        <w:t xml:space="preserve"> </w:t>
      </w:r>
    </w:p>
    <w:p w14:paraId="2F64D53A" w14:textId="6E77540C" w:rsidR="00035D6B" w:rsidRDefault="00D462D9"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proofErr w:type="spellStart"/>
      <w:r>
        <w:rPr>
          <w:rFonts w:ascii="Times New Roman" w:hAnsi="Times New Roman" w:cs="Times New Roman"/>
          <w:bCs/>
          <w:sz w:val="24"/>
          <w:szCs w:val="24"/>
        </w:rPr>
        <w:t>Agarwal</w:t>
      </w:r>
      <w:proofErr w:type="spellEnd"/>
      <w:r>
        <w:rPr>
          <w:rFonts w:ascii="Times New Roman" w:hAnsi="Times New Roman" w:cs="Times New Roman"/>
          <w:bCs/>
          <w:sz w:val="24"/>
          <w:szCs w:val="24"/>
        </w:rPr>
        <w:t xml:space="preserve">, V., &amp; </w:t>
      </w:r>
      <w:proofErr w:type="spellStart"/>
      <w:r>
        <w:rPr>
          <w:rFonts w:ascii="Times New Roman" w:hAnsi="Times New Roman" w:cs="Times New Roman"/>
          <w:bCs/>
          <w:sz w:val="24"/>
          <w:szCs w:val="24"/>
        </w:rPr>
        <w:t>Naik</w:t>
      </w:r>
      <w:proofErr w:type="spellEnd"/>
      <w:r>
        <w:rPr>
          <w:rFonts w:ascii="Times New Roman" w:hAnsi="Times New Roman" w:cs="Times New Roman"/>
          <w:bCs/>
          <w:sz w:val="24"/>
          <w:szCs w:val="24"/>
        </w:rPr>
        <w:t xml:space="preserve">, N., </w:t>
      </w:r>
      <w:proofErr w:type="spellStart"/>
      <w:r w:rsidR="00035D6B" w:rsidRPr="00035D6B">
        <w:rPr>
          <w:rFonts w:ascii="Times New Roman" w:hAnsi="Times New Roman" w:cs="Times New Roman"/>
          <w:bCs/>
          <w:sz w:val="24"/>
          <w:szCs w:val="24"/>
        </w:rPr>
        <w:t>Risks</w:t>
      </w:r>
      <w:proofErr w:type="spellEnd"/>
      <w:r w:rsidR="00035D6B" w:rsidRPr="00035D6B">
        <w:rPr>
          <w:rFonts w:ascii="Times New Roman" w:hAnsi="Times New Roman" w:cs="Times New Roman"/>
          <w:bCs/>
          <w:sz w:val="24"/>
          <w:szCs w:val="24"/>
        </w:rPr>
        <w:t xml:space="preserve"> and </w:t>
      </w:r>
      <w:proofErr w:type="spellStart"/>
      <w:r w:rsidR="00035D6B" w:rsidRPr="00035D6B">
        <w:rPr>
          <w:rFonts w:ascii="Times New Roman" w:hAnsi="Times New Roman" w:cs="Times New Roman"/>
          <w:bCs/>
          <w:sz w:val="24"/>
          <w:szCs w:val="24"/>
        </w:rPr>
        <w:t>portfolio</w:t>
      </w:r>
      <w:proofErr w:type="spellEnd"/>
      <w:r w:rsidR="00035D6B" w:rsidRPr="00035D6B">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decisions</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involving</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hedge</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funds</w:t>
      </w:r>
      <w:proofErr w:type="spellEnd"/>
      <w:r w:rsidR="007E4571">
        <w:rPr>
          <w:rFonts w:ascii="Times New Roman" w:hAnsi="Times New Roman" w:cs="Times New Roman"/>
          <w:bCs/>
          <w:sz w:val="24"/>
          <w:szCs w:val="24"/>
        </w:rPr>
        <w:t>,</w:t>
      </w:r>
      <w:r w:rsidR="00035D6B" w:rsidRPr="00035D6B">
        <w:rPr>
          <w:rFonts w:ascii="Times New Roman" w:hAnsi="Times New Roman" w:cs="Times New Roman"/>
          <w:bCs/>
          <w:sz w:val="24"/>
          <w:szCs w:val="24"/>
        </w:rPr>
        <w:t xml:space="preserve"> </w:t>
      </w:r>
      <w:r w:rsidR="00035D6B" w:rsidRPr="00F6409C">
        <w:rPr>
          <w:rFonts w:ascii="Times New Roman" w:hAnsi="Times New Roman" w:cs="Times New Roman"/>
          <w:bCs/>
          <w:i/>
          <w:sz w:val="24"/>
          <w:szCs w:val="24"/>
        </w:rPr>
        <w:t>The Review of Financial Studies</w:t>
      </w:r>
      <w:r w:rsidR="00035D6B" w:rsidRPr="00035D6B">
        <w:rPr>
          <w:rFonts w:ascii="Times New Roman" w:hAnsi="Times New Roman" w:cs="Times New Roman"/>
          <w:bCs/>
          <w:sz w:val="24"/>
          <w:szCs w:val="24"/>
        </w:rPr>
        <w:t xml:space="preserve">, </w:t>
      </w:r>
      <w:r>
        <w:rPr>
          <w:rFonts w:ascii="Times New Roman" w:hAnsi="Times New Roman" w:cs="Times New Roman"/>
          <w:bCs/>
          <w:sz w:val="24"/>
          <w:szCs w:val="24"/>
        </w:rPr>
        <w:t>17(1)</w:t>
      </w:r>
      <w:r w:rsidR="00035D6B" w:rsidRPr="00035D6B">
        <w:rPr>
          <w:rFonts w:ascii="Times New Roman" w:hAnsi="Times New Roman" w:cs="Times New Roman"/>
          <w:bCs/>
          <w:sz w:val="24"/>
          <w:szCs w:val="24"/>
        </w:rPr>
        <w:t>,</w:t>
      </w:r>
      <w:r>
        <w:rPr>
          <w:rFonts w:ascii="Times New Roman" w:hAnsi="Times New Roman" w:cs="Times New Roman"/>
          <w:bCs/>
          <w:sz w:val="24"/>
          <w:szCs w:val="24"/>
        </w:rPr>
        <w:t xml:space="preserve"> (2004), </w:t>
      </w:r>
      <w:r w:rsidR="00035D6B" w:rsidRPr="00035D6B">
        <w:rPr>
          <w:rFonts w:ascii="Times New Roman" w:hAnsi="Times New Roman" w:cs="Times New Roman"/>
          <w:bCs/>
          <w:sz w:val="24"/>
          <w:szCs w:val="24"/>
        </w:rPr>
        <w:t>63–98.</w:t>
      </w:r>
    </w:p>
    <w:p w14:paraId="4A54E70B" w14:textId="72E039C8" w:rsidR="00DC36A5" w:rsidRPr="00DC36A5" w:rsidRDefault="00D462D9"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DC36A5" w:rsidRPr="00DC36A5">
        <w:rPr>
          <w:rFonts w:ascii="Times New Roman" w:hAnsi="Times New Roman" w:cs="Times New Roman"/>
          <w:bCs/>
          <w:sz w:val="24"/>
          <w:szCs w:val="24"/>
        </w:rPr>
        <w:t>Ai</w:t>
      </w:r>
      <w:r>
        <w:rPr>
          <w:rFonts w:ascii="Times New Roman" w:hAnsi="Times New Roman" w:cs="Times New Roman"/>
          <w:bCs/>
          <w:sz w:val="24"/>
          <w:szCs w:val="24"/>
        </w:rPr>
        <w:t xml:space="preserve">ken, A. L., Kilic, O., Reid, S., </w:t>
      </w:r>
      <w:r w:rsidR="00DC36A5" w:rsidRPr="00DC36A5">
        <w:rPr>
          <w:rFonts w:ascii="Times New Roman" w:hAnsi="Times New Roman" w:cs="Times New Roman"/>
          <w:bCs/>
          <w:sz w:val="24"/>
          <w:szCs w:val="24"/>
        </w:rPr>
        <w:t xml:space="preserve">Can </w:t>
      </w:r>
      <w:proofErr w:type="spellStart"/>
      <w:r w:rsidR="00DC36A5" w:rsidRPr="00DC36A5">
        <w:rPr>
          <w:rFonts w:ascii="Times New Roman" w:hAnsi="Times New Roman" w:cs="Times New Roman"/>
          <w:bCs/>
          <w:sz w:val="24"/>
          <w:szCs w:val="24"/>
        </w:rPr>
        <w:t>hedge</w:t>
      </w:r>
      <w:proofErr w:type="spellEnd"/>
      <w:r w:rsidR="00DC36A5" w:rsidRPr="00DC36A5">
        <w:rPr>
          <w:rFonts w:ascii="Times New Roman" w:hAnsi="Times New Roman" w:cs="Times New Roman"/>
          <w:bCs/>
          <w:sz w:val="24"/>
          <w:szCs w:val="24"/>
        </w:rPr>
        <w:t xml:space="preserve"> </w:t>
      </w:r>
      <w:proofErr w:type="spellStart"/>
      <w:r w:rsidR="00DC36A5" w:rsidRPr="00DC36A5">
        <w:rPr>
          <w:rFonts w:ascii="Times New Roman" w:hAnsi="Times New Roman" w:cs="Times New Roman"/>
          <w:bCs/>
          <w:sz w:val="24"/>
          <w:szCs w:val="24"/>
        </w:rPr>
        <w:t>funds</w:t>
      </w:r>
      <w:proofErr w:type="spellEnd"/>
      <w:r w:rsidR="00DC36A5" w:rsidRPr="00DC36A5">
        <w:rPr>
          <w:rFonts w:ascii="Times New Roman" w:hAnsi="Times New Roman" w:cs="Times New Roman"/>
          <w:bCs/>
          <w:sz w:val="24"/>
          <w:szCs w:val="24"/>
        </w:rPr>
        <w:t xml:space="preserve"> time global </w:t>
      </w:r>
      <w:proofErr w:type="spellStart"/>
      <w:r w:rsidR="00DC36A5" w:rsidRPr="00DC36A5">
        <w:rPr>
          <w:rFonts w:ascii="Times New Roman" w:hAnsi="Times New Roman" w:cs="Times New Roman"/>
          <w:bCs/>
          <w:sz w:val="24"/>
          <w:szCs w:val="24"/>
        </w:rPr>
        <w:t>equity</w:t>
      </w:r>
      <w:proofErr w:type="spellEnd"/>
      <w:r w:rsidR="00DC36A5" w:rsidRPr="00DC36A5">
        <w:rPr>
          <w:rFonts w:ascii="Times New Roman" w:hAnsi="Times New Roman" w:cs="Times New Roman"/>
          <w:bCs/>
          <w:sz w:val="24"/>
          <w:szCs w:val="24"/>
        </w:rPr>
        <w:t xml:space="preserve"> </w:t>
      </w:r>
      <w:proofErr w:type="spellStart"/>
      <w:r w:rsidR="00DC36A5" w:rsidRPr="00DC36A5">
        <w:rPr>
          <w:rFonts w:ascii="Times New Roman" w:hAnsi="Times New Roman" w:cs="Times New Roman"/>
          <w:bCs/>
          <w:sz w:val="24"/>
          <w:szCs w:val="24"/>
        </w:rPr>
        <w:t>markets</w:t>
      </w:r>
      <w:proofErr w:type="spellEnd"/>
      <w:r w:rsidR="00DC36A5" w:rsidRPr="00DC36A5">
        <w:rPr>
          <w:rFonts w:ascii="Times New Roman" w:hAnsi="Times New Roman" w:cs="Times New Roman"/>
          <w:bCs/>
          <w:sz w:val="24"/>
          <w:szCs w:val="24"/>
        </w:rPr>
        <w:t xml:space="preserve">. </w:t>
      </w:r>
      <w:proofErr w:type="spellStart"/>
      <w:r w:rsidR="00DC36A5" w:rsidRPr="00DC36A5">
        <w:rPr>
          <w:rFonts w:ascii="Times New Roman" w:hAnsi="Times New Roman" w:cs="Times New Roman"/>
          <w:bCs/>
          <w:sz w:val="24"/>
          <w:szCs w:val="24"/>
        </w:rPr>
        <w:t>Evidence</w:t>
      </w:r>
      <w:proofErr w:type="spellEnd"/>
      <w:r w:rsidR="00DC36A5" w:rsidRPr="00DC36A5">
        <w:rPr>
          <w:rFonts w:ascii="Times New Roman" w:hAnsi="Times New Roman" w:cs="Times New Roman"/>
          <w:bCs/>
          <w:sz w:val="24"/>
          <w:szCs w:val="24"/>
        </w:rPr>
        <w:t xml:space="preserve"> </w:t>
      </w:r>
      <w:proofErr w:type="spellStart"/>
      <w:r w:rsidR="00DC36A5" w:rsidRPr="00DC36A5">
        <w:rPr>
          <w:rFonts w:ascii="Times New Roman" w:hAnsi="Times New Roman" w:cs="Times New Roman"/>
          <w:bCs/>
          <w:sz w:val="24"/>
          <w:szCs w:val="24"/>
        </w:rPr>
        <w:t>from</w:t>
      </w:r>
      <w:proofErr w:type="spellEnd"/>
      <w:r w:rsidR="00DC36A5" w:rsidRPr="00DC36A5">
        <w:rPr>
          <w:rFonts w:ascii="Times New Roman" w:hAnsi="Times New Roman" w:cs="Times New Roman"/>
          <w:bCs/>
          <w:sz w:val="24"/>
          <w:szCs w:val="24"/>
        </w:rPr>
        <w:t xml:space="preserve"> </w:t>
      </w:r>
      <w:proofErr w:type="spellStart"/>
      <w:r w:rsidR="00DC36A5" w:rsidRPr="00DC36A5">
        <w:rPr>
          <w:rFonts w:ascii="Times New Roman" w:hAnsi="Times New Roman" w:cs="Times New Roman"/>
          <w:bCs/>
          <w:sz w:val="24"/>
          <w:szCs w:val="24"/>
        </w:rPr>
        <w:t>emerging</w:t>
      </w:r>
      <w:proofErr w:type="spellEnd"/>
      <w:r w:rsidR="00DC36A5" w:rsidRPr="00DC36A5">
        <w:rPr>
          <w:rFonts w:ascii="Times New Roman" w:hAnsi="Times New Roman" w:cs="Times New Roman"/>
          <w:bCs/>
          <w:sz w:val="24"/>
          <w:szCs w:val="24"/>
        </w:rPr>
        <w:t xml:space="preserve"> </w:t>
      </w:r>
      <w:proofErr w:type="spellStart"/>
      <w:r w:rsidR="00DC36A5" w:rsidRPr="00DC36A5">
        <w:rPr>
          <w:rFonts w:ascii="Times New Roman" w:hAnsi="Times New Roman" w:cs="Times New Roman"/>
          <w:bCs/>
          <w:sz w:val="24"/>
          <w:szCs w:val="24"/>
        </w:rPr>
        <w:t>markets</w:t>
      </w:r>
      <w:proofErr w:type="spellEnd"/>
      <w:r>
        <w:rPr>
          <w:rFonts w:ascii="Times New Roman" w:hAnsi="Times New Roman" w:cs="Times New Roman"/>
          <w:bCs/>
          <w:i/>
          <w:sz w:val="24"/>
          <w:szCs w:val="24"/>
        </w:rPr>
        <w:t>,</w:t>
      </w:r>
      <w:r w:rsidR="00DC36A5" w:rsidRPr="00F6409C">
        <w:rPr>
          <w:rFonts w:ascii="Times New Roman" w:hAnsi="Times New Roman" w:cs="Times New Roman"/>
          <w:bCs/>
          <w:i/>
          <w:sz w:val="24"/>
          <w:szCs w:val="24"/>
        </w:rPr>
        <w:t xml:space="preserve"> Review of Financial Economics</w:t>
      </w:r>
      <w:r w:rsidR="00F938CD">
        <w:rPr>
          <w:rFonts w:ascii="Times New Roman" w:hAnsi="Times New Roman" w:cs="Times New Roman"/>
          <w:bCs/>
          <w:sz w:val="24"/>
          <w:szCs w:val="24"/>
        </w:rPr>
        <w:t>,</w:t>
      </w:r>
      <w:r w:rsidR="00DC36A5" w:rsidRPr="00DC36A5">
        <w:rPr>
          <w:rFonts w:ascii="Times New Roman" w:hAnsi="Times New Roman" w:cs="Times New Roman"/>
          <w:bCs/>
          <w:sz w:val="24"/>
          <w:szCs w:val="24"/>
        </w:rPr>
        <w:t xml:space="preserve"> </w:t>
      </w:r>
      <w:r w:rsidR="00670752">
        <w:rPr>
          <w:rFonts w:ascii="Times New Roman" w:hAnsi="Times New Roman" w:cs="Times New Roman"/>
          <w:bCs/>
          <w:sz w:val="24"/>
          <w:szCs w:val="24"/>
        </w:rPr>
        <w:t>29,</w:t>
      </w:r>
      <w:r>
        <w:rPr>
          <w:rFonts w:ascii="Times New Roman" w:hAnsi="Times New Roman" w:cs="Times New Roman"/>
          <w:bCs/>
          <w:sz w:val="24"/>
          <w:szCs w:val="24"/>
        </w:rPr>
        <w:t xml:space="preserve"> (2016), </w:t>
      </w:r>
      <w:r w:rsidR="00DC36A5" w:rsidRPr="00DC36A5">
        <w:rPr>
          <w:rFonts w:ascii="Times New Roman" w:hAnsi="Times New Roman" w:cs="Times New Roman"/>
          <w:bCs/>
          <w:sz w:val="24"/>
          <w:szCs w:val="24"/>
        </w:rPr>
        <w:t>2-11.</w:t>
      </w:r>
    </w:p>
    <w:p w14:paraId="36305ABA" w14:textId="7DD95A88" w:rsidR="0079365B" w:rsidRPr="0079365B" w:rsidRDefault="00D462D9"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79365B" w:rsidRPr="0079365B">
        <w:rPr>
          <w:rFonts w:ascii="Times New Roman" w:hAnsi="Times New Roman" w:cs="Times New Roman"/>
          <w:bCs/>
          <w:sz w:val="24"/>
          <w:szCs w:val="24"/>
        </w:rPr>
        <w:t>Atilgan,</w:t>
      </w:r>
      <w:r>
        <w:rPr>
          <w:rFonts w:ascii="Times New Roman" w:hAnsi="Times New Roman" w:cs="Times New Roman"/>
          <w:bCs/>
          <w:sz w:val="24"/>
          <w:szCs w:val="24"/>
        </w:rPr>
        <w:t xml:space="preserve"> Y., Bali, T.G., Demirtas, K.O., </w:t>
      </w:r>
      <w:r w:rsidR="0079365B" w:rsidRPr="0079365B">
        <w:rPr>
          <w:rFonts w:ascii="Times New Roman" w:hAnsi="Times New Roman" w:cs="Times New Roman"/>
          <w:bCs/>
          <w:sz w:val="24"/>
          <w:szCs w:val="24"/>
        </w:rPr>
        <w:t xml:space="preserve">The </w:t>
      </w:r>
      <w:proofErr w:type="spellStart"/>
      <w:r w:rsidR="0079365B" w:rsidRPr="0079365B">
        <w:rPr>
          <w:rFonts w:ascii="Times New Roman" w:hAnsi="Times New Roman" w:cs="Times New Roman"/>
          <w:bCs/>
          <w:sz w:val="24"/>
          <w:szCs w:val="24"/>
        </w:rPr>
        <w:t>pe</w:t>
      </w:r>
      <w:r w:rsidR="007E4571">
        <w:rPr>
          <w:rFonts w:ascii="Times New Roman" w:hAnsi="Times New Roman" w:cs="Times New Roman"/>
          <w:bCs/>
          <w:sz w:val="24"/>
          <w:szCs w:val="24"/>
        </w:rPr>
        <w:t>rformance</w:t>
      </w:r>
      <w:proofErr w:type="spellEnd"/>
      <w:r w:rsidR="007E4571">
        <w:rPr>
          <w:rFonts w:ascii="Times New Roman" w:hAnsi="Times New Roman" w:cs="Times New Roman"/>
          <w:bCs/>
          <w:sz w:val="24"/>
          <w:szCs w:val="24"/>
        </w:rPr>
        <w:t xml:space="preserve"> of </w:t>
      </w:r>
      <w:proofErr w:type="spellStart"/>
      <w:r w:rsidR="007E4571">
        <w:rPr>
          <w:rFonts w:ascii="Times New Roman" w:hAnsi="Times New Roman" w:cs="Times New Roman"/>
          <w:bCs/>
          <w:sz w:val="24"/>
          <w:szCs w:val="24"/>
        </w:rPr>
        <w:t>hedge</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fund</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indices</w:t>
      </w:r>
      <w:proofErr w:type="spellEnd"/>
      <w:r w:rsidR="007E4571">
        <w:rPr>
          <w:rFonts w:ascii="Times New Roman" w:hAnsi="Times New Roman" w:cs="Times New Roman"/>
          <w:bCs/>
          <w:sz w:val="24"/>
          <w:szCs w:val="24"/>
        </w:rPr>
        <w:t>,</w:t>
      </w:r>
      <w:r w:rsidR="0079365B" w:rsidRPr="0079365B">
        <w:rPr>
          <w:rFonts w:ascii="Times New Roman" w:hAnsi="Times New Roman" w:cs="Times New Roman"/>
          <w:bCs/>
          <w:sz w:val="24"/>
          <w:szCs w:val="24"/>
        </w:rPr>
        <w:t xml:space="preserve"> </w:t>
      </w:r>
      <w:proofErr w:type="spellStart"/>
      <w:r w:rsidR="0079365B" w:rsidRPr="00F6409C">
        <w:rPr>
          <w:rFonts w:ascii="Times New Roman" w:hAnsi="Times New Roman" w:cs="Times New Roman"/>
          <w:bCs/>
          <w:i/>
          <w:sz w:val="24"/>
          <w:szCs w:val="24"/>
        </w:rPr>
        <w:t>Borsa</w:t>
      </w:r>
      <w:proofErr w:type="spellEnd"/>
      <w:r w:rsidR="0079365B" w:rsidRPr="00F6409C">
        <w:rPr>
          <w:rFonts w:ascii="Times New Roman" w:hAnsi="Times New Roman" w:cs="Times New Roman"/>
          <w:bCs/>
          <w:i/>
          <w:sz w:val="24"/>
          <w:szCs w:val="24"/>
        </w:rPr>
        <w:t xml:space="preserve"> Istanbul Review</w:t>
      </w:r>
      <w:r w:rsidR="00F938CD">
        <w:rPr>
          <w:rFonts w:ascii="Times New Roman" w:hAnsi="Times New Roman" w:cs="Times New Roman"/>
          <w:bCs/>
          <w:sz w:val="24"/>
          <w:szCs w:val="24"/>
        </w:rPr>
        <w:t>,</w:t>
      </w:r>
      <w:r w:rsidR="0079365B" w:rsidRPr="0079365B">
        <w:rPr>
          <w:rFonts w:ascii="Times New Roman" w:hAnsi="Times New Roman" w:cs="Times New Roman"/>
          <w:bCs/>
          <w:sz w:val="24"/>
          <w:szCs w:val="24"/>
        </w:rPr>
        <w:t xml:space="preserve"> </w:t>
      </w:r>
      <w:r>
        <w:rPr>
          <w:rFonts w:ascii="Times New Roman" w:hAnsi="Times New Roman" w:cs="Times New Roman"/>
          <w:bCs/>
          <w:sz w:val="24"/>
          <w:szCs w:val="24"/>
        </w:rPr>
        <w:t>13(3)</w:t>
      </w:r>
      <w:r w:rsidR="00670752">
        <w:rPr>
          <w:rFonts w:ascii="Times New Roman" w:hAnsi="Times New Roman" w:cs="Times New Roman"/>
          <w:bCs/>
          <w:sz w:val="24"/>
          <w:szCs w:val="24"/>
        </w:rPr>
        <w:t>,</w:t>
      </w:r>
      <w:r>
        <w:rPr>
          <w:rFonts w:ascii="Times New Roman" w:hAnsi="Times New Roman" w:cs="Times New Roman"/>
          <w:bCs/>
          <w:sz w:val="24"/>
          <w:szCs w:val="24"/>
        </w:rPr>
        <w:t xml:space="preserve"> (2013), </w:t>
      </w:r>
      <w:r w:rsidR="0079365B" w:rsidRPr="0079365B">
        <w:rPr>
          <w:rFonts w:ascii="Times New Roman" w:hAnsi="Times New Roman" w:cs="Times New Roman"/>
          <w:bCs/>
          <w:sz w:val="24"/>
          <w:szCs w:val="24"/>
        </w:rPr>
        <w:t>30-52.</w:t>
      </w:r>
    </w:p>
    <w:p w14:paraId="78156137" w14:textId="6665B17F" w:rsidR="00035D6B"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035D6B" w:rsidRPr="00035D6B">
        <w:rPr>
          <w:rFonts w:ascii="Times New Roman" w:hAnsi="Times New Roman" w:cs="Times New Roman"/>
          <w:bCs/>
          <w:sz w:val="24"/>
          <w:szCs w:val="24"/>
        </w:rPr>
        <w:t>Bali, T., B</w:t>
      </w:r>
      <w:r w:rsidR="00F938CD">
        <w:rPr>
          <w:rFonts w:ascii="Times New Roman" w:hAnsi="Times New Roman" w:cs="Times New Roman"/>
          <w:bCs/>
          <w:sz w:val="24"/>
          <w:szCs w:val="24"/>
        </w:rPr>
        <w:t>rown, S., &amp; Caglayan, M.</w:t>
      </w:r>
      <w:r>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Systematic</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risk</w:t>
      </w:r>
      <w:proofErr w:type="spellEnd"/>
      <w:r w:rsidR="00035D6B" w:rsidRPr="00035D6B">
        <w:rPr>
          <w:rFonts w:ascii="Times New Roman" w:hAnsi="Times New Roman" w:cs="Times New Roman"/>
          <w:bCs/>
          <w:sz w:val="24"/>
          <w:szCs w:val="24"/>
        </w:rPr>
        <w:t xml:space="preserve"> and </w:t>
      </w:r>
      <w:proofErr w:type="spellStart"/>
      <w:r w:rsidR="00035D6B" w:rsidRPr="00035D6B">
        <w:rPr>
          <w:rFonts w:ascii="Times New Roman" w:hAnsi="Times New Roman" w:cs="Times New Roman"/>
          <w:bCs/>
          <w:sz w:val="24"/>
          <w:szCs w:val="24"/>
        </w:rPr>
        <w:t>the</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cross</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section</w:t>
      </w:r>
      <w:proofErr w:type="spellEnd"/>
      <w:r w:rsidR="00035D6B" w:rsidRPr="00035D6B">
        <w:rPr>
          <w:rFonts w:ascii="Times New Roman" w:hAnsi="Times New Roman" w:cs="Times New Roman"/>
          <w:bCs/>
          <w:sz w:val="24"/>
          <w:szCs w:val="24"/>
        </w:rPr>
        <w:t xml:space="preserve"> </w:t>
      </w:r>
      <w:r w:rsidR="007E4571">
        <w:rPr>
          <w:rFonts w:ascii="Times New Roman" w:hAnsi="Times New Roman" w:cs="Times New Roman"/>
          <w:bCs/>
          <w:sz w:val="24"/>
          <w:szCs w:val="24"/>
        </w:rPr>
        <w:t xml:space="preserve">of </w:t>
      </w:r>
      <w:proofErr w:type="spellStart"/>
      <w:r w:rsidR="007E4571">
        <w:rPr>
          <w:rFonts w:ascii="Times New Roman" w:hAnsi="Times New Roman" w:cs="Times New Roman"/>
          <w:bCs/>
          <w:sz w:val="24"/>
          <w:szCs w:val="24"/>
        </w:rPr>
        <w:t>hedge</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fund</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returns</w:t>
      </w:r>
      <w:proofErr w:type="spellEnd"/>
      <w:r w:rsidR="007E4571">
        <w:rPr>
          <w:rFonts w:ascii="Times New Roman" w:hAnsi="Times New Roman" w:cs="Times New Roman"/>
          <w:bCs/>
          <w:sz w:val="24"/>
          <w:szCs w:val="24"/>
        </w:rPr>
        <w:t>,</w:t>
      </w:r>
      <w:r w:rsidR="00035D6B" w:rsidRPr="00035D6B">
        <w:rPr>
          <w:rFonts w:ascii="Times New Roman" w:hAnsi="Times New Roman" w:cs="Times New Roman"/>
          <w:bCs/>
          <w:sz w:val="24"/>
          <w:szCs w:val="24"/>
        </w:rPr>
        <w:t xml:space="preserve"> </w:t>
      </w:r>
      <w:r w:rsidR="00035D6B" w:rsidRPr="00F6409C">
        <w:rPr>
          <w:rFonts w:ascii="Times New Roman" w:hAnsi="Times New Roman" w:cs="Times New Roman"/>
          <w:bCs/>
          <w:i/>
          <w:sz w:val="24"/>
          <w:szCs w:val="24"/>
        </w:rPr>
        <w:t>Journal of Financial Economics</w:t>
      </w:r>
      <w:r w:rsidR="00035D6B" w:rsidRPr="00035D6B">
        <w:rPr>
          <w:rFonts w:ascii="Times New Roman" w:hAnsi="Times New Roman" w:cs="Times New Roman"/>
          <w:bCs/>
          <w:sz w:val="24"/>
          <w:szCs w:val="24"/>
        </w:rPr>
        <w:t>,</w:t>
      </w:r>
      <w:r w:rsidR="00035D6B">
        <w:rPr>
          <w:rFonts w:ascii="Times New Roman" w:hAnsi="Times New Roman" w:cs="Times New Roman"/>
          <w:bCs/>
          <w:sz w:val="24"/>
          <w:szCs w:val="24"/>
        </w:rPr>
        <w:t xml:space="preserve"> </w:t>
      </w:r>
      <w:r>
        <w:rPr>
          <w:rFonts w:ascii="Times New Roman" w:hAnsi="Times New Roman" w:cs="Times New Roman"/>
          <w:bCs/>
          <w:sz w:val="24"/>
          <w:szCs w:val="24"/>
        </w:rPr>
        <w:t>106(1)</w:t>
      </w:r>
      <w:r w:rsidR="00035D6B" w:rsidRPr="00035D6B">
        <w:rPr>
          <w:rFonts w:ascii="Times New Roman" w:hAnsi="Times New Roman" w:cs="Times New Roman"/>
          <w:bCs/>
          <w:sz w:val="24"/>
          <w:szCs w:val="24"/>
        </w:rPr>
        <w:t xml:space="preserve">, </w:t>
      </w:r>
      <w:r>
        <w:rPr>
          <w:rFonts w:ascii="Times New Roman" w:hAnsi="Times New Roman" w:cs="Times New Roman"/>
          <w:bCs/>
          <w:sz w:val="24"/>
          <w:szCs w:val="24"/>
        </w:rPr>
        <w:t xml:space="preserve">(2012), </w:t>
      </w:r>
      <w:r w:rsidR="00035D6B" w:rsidRPr="00035D6B">
        <w:rPr>
          <w:rFonts w:ascii="Times New Roman" w:hAnsi="Times New Roman" w:cs="Times New Roman"/>
          <w:bCs/>
          <w:sz w:val="24"/>
          <w:szCs w:val="24"/>
        </w:rPr>
        <w:t>114–131.</w:t>
      </w:r>
      <w:r w:rsidR="00035D6B">
        <w:rPr>
          <w:rFonts w:ascii="Times New Roman" w:hAnsi="Times New Roman" w:cs="Times New Roman"/>
          <w:bCs/>
          <w:sz w:val="24"/>
          <w:szCs w:val="24"/>
        </w:rPr>
        <w:t xml:space="preserve"> </w:t>
      </w:r>
    </w:p>
    <w:p w14:paraId="673F7E67" w14:textId="3917307F" w:rsidR="00445E4E" w:rsidRDefault="00827B32" w:rsidP="00445E4E">
      <w:pPr>
        <w:spacing w:line="240" w:lineRule="auto"/>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[6] </w:t>
      </w:r>
      <w:proofErr w:type="spellStart"/>
      <w:r w:rsidR="00445E4E" w:rsidRPr="00B9245E">
        <w:rPr>
          <w:rFonts w:ascii="Times New Roman" w:hAnsi="Times New Roman" w:cs="Times New Roman"/>
          <w:color w:val="222222"/>
          <w:sz w:val="24"/>
          <w:szCs w:val="24"/>
          <w:lang w:val="en-US"/>
        </w:rPr>
        <w:t>Barbarino</w:t>
      </w:r>
      <w:proofErr w:type="spellEnd"/>
      <w:r>
        <w:rPr>
          <w:rFonts w:ascii="Times New Roman" w:hAnsi="Times New Roman" w:cs="Times New Roman"/>
          <w:color w:val="222222"/>
          <w:sz w:val="24"/>
          <w:szCs w:val="24"/>
          <w:lang w:val="en-US"/>
        </w:rPr>
        <w:t>, F.,</w:t>
      </w:r>
      <w:r w:rsidR="00940937">
        <w:rPr>
          <w:rFonts w:ascii="Times New Roman" w:hAnsi="Times New Roman" w:cs="Times New Roman"/>
          <w:color w:val="222222"/>
          <w:sz w:val="24"/>
          <w:szCs w:val="24"/>
          <w:lang w:val="en-US"/>
        </w:rPr>
        <w:t xml:space="preserve"> </w:t>
      </w:r>
      <w:r w:rsidR="00445E4E" w:rsidRPr="00B9245E">
        <w:rPr>
          <w:rFonts w:ascii="Times New Roman" w:hAnsi="Times New Roman" w:cs="Times New Roman"/>
          <w:color w:val="222222"/>
          <w:sz w:val="24"/>
          <w:szCs w:val="24"/>
          <w:lang w:val="en-US"/>
        </w:rPr>
        <w:t xml:space="preserve">Leverage, hedge funds and risk. </w:t>
      </w:r>
      <w:r w:rsidR="00445E4E" w:rsidRPr="00B9245E">
        <w:rPr>
          <w:rFonts w:ascii="Times New Roman" w:hAnsi="Times New Roman" w:cs="Times New Roman"/>
          <w:i/>
          <w:iCs/>
          <w:color w:val="222222"/>
          <w:sz w:val="24"/>
          <w:szCs w:val="24"/>
          <w:lang w:val="en-US"/>
        </w:rPr>
        <w:t>NEPC Research</w:t>
      </w:r>
      <w:r>
        <w:rPr>
          <w:rFonts w:ascii="Times New Roman" w:hAnsi="Times New Roman" w:cs="Times New Roman"/>
          <w:color w:val="222222"/>
          <w:sz w:val="24"/>
          <w:szCs w:val="24"/>
          <w:lang w:val="en-US"/>
        </w:rPr>
        <w:t xml:space="preserve">, 3, </w:t>
      </w:r>
      <w:r w:rsidR="00445E4E" w:rsidRPr="00B9245E">
        <w:rPr>
          <w:rFonts w:ascii="Times New Roman" w:hAnsi="Times New Roman" w:cs="Times New Roman"/>
          <w:color w:val="222222"/>
          <w:sz w:val="24"/>
          <w:szCs w:val="24"/>
          <w:lang w:val="en-US"/>
        </w:rPr>
        <w:t xml:space="preserve"> </w:t>
      </w:r>
      <w:hyperlink r:id="rId8" w:history="1">
        <w:r w:rsidR="00445E4E" w:rsidRPr="00B9245E">
          <w:rPr>
            <w:rStyle w:val="Hyperlink"/>
            <w:rFonts w:ascii="Times New Roman" w:hAnsi="Times New Roman" w:cs="Times New Roman"/>
            <w:sz w:val="24"/>
            <w:szCs w:val="24"/>
            <w:lang w:val="en-US"/>
          </w:rPr>
          <w:t>http://www.nepc.com/writable/research_articles/file/09_07_nepc_leverage_hf_and_risk.pdf</w:t>
        </w:r>
      </w:hyperlink>
      <w:r w:rsidR="00445E4E" w:rsidRPr="00B9245E">
        <w:rPr>
          <w:rFonts w:ascii="Times New Roman" w:hAnsi="Times New Roman" w:cs="Times New Roman"/>
          <w:color w:val="222222"/>
          <w:sz w:val="24"/>
          <w:szCs w:val="24"/>
          <w:lang w:val="en-US"/>
        </w:rPr>
        <w:t xml:space="preserve">. </w:t>
      </w:r>
      <w:r w:rsidR="008009AE">
        <w:rPr>
          <w:rFonts w:ascii="Times New Roman" w:hAnsi="Times New Roman" w:cs="Times New Roman"/>
          <w:color w:val="222222"/>
          <w:sz w:val="24"/>
          <w:szCs w:val="24"/>
          <w:lang w:val="en-US"/>
        </w:rPr>
        <w:t>(Accessed 17 October 2016).</w:t>
      </w:r>
    </w:p>
    <w:p w14:paraId="09E12657" w14:textId="3CB5C48E" w:rsidR="00595E6A" w:rsidRPr="00B9245E" w:rsidRDefault="00827B32" w:rsidP="00445E4E">
      <w:pPr>
        <w:spacing w:line="240" w:lineRule="auto"/>
        <w:jc w:val="both"/>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[7] </w:t>
      </w:r>
      <w:proofErr w:type="spellStart"/>
      <w:r>
        <w:rPr>
          <w:rFonts w:ascii="Times New Roman" w:hAnsi="Times New Roman" w:cs="Times New Roman"/>
          <w:color w:val="222222"/>
          <w:sz w:val="24"/>
          <w:szCs w:val="24"/>
          <w:lang w:val="en-US"/>
        </w:rPr>
        <w:t>Bessler</w:t>
      </w:r>
      <w:proofErr w:type="spellEnd"/>
      <w:r>
        <w:rPr>
          <w:rFonts w:ascii="Times New Roman" w:hAnsi="Times New Roman" w:cs="Times New Roman"/>
          <w:color w:val="222222"/>
          <w:sz w:val="24"/>
          <w:szCs w:val="24"/>
          <w:lang w:val="en-US"/>
        </w:rPr>
        <w:t>, W., Wolff, D.,</w:t>
      </w:r>
      <w:r w:rsidR="00595E6A">
        <w:rPr>
          <w:rFonts w:ascii="Times New Roman" w:hAnsi="Times New Roman" w:cs="Times New Roman"/>
          <w:color w:val="222222"/>
          <w:sz w:val="24"/>
          <w:szCs w:val="24"/>
          <w:lang w:val="en-US"/>
        </w:rPr>
        <w:t xml:space="preserve"> Do commodities add value in multi-asset portfolios? An out-of-sample analysis for different investment strategie</w:t>
      </w:r>
      <w:r w:rsidR="007E4571">
        <w:rPr>
          <w:rFonts w:ascii="Times New Roman" w:hAnsi="Times New Roman" w:cs="Times New Roman"/>
          <w:color w:val="222222"/>
          <w:sz w:val="24"/>
          <w:szCs w:val="24"/>
          <w:lang w:val="en-US"/>
        </w:rPr>
        <w:t>s,</w:t>
      </w:r>
      <w:r w:rsidR="00595E6A">
        <w:rPr>
          <w:rFonts w:ascii="Times New Roman" w:hAnsi="Times New Roman" w:cs="Times New Roman"/>
          <w:color w:val="222222"/>
          <w:sz w:val="24"/>
          <w:szCs w:val="24"/>
          <w:lang w:val="en-US"/>
        </w:rPr>
        <w:t xml:space="preserve"> </w:t>
      </w:r>
      <w:r w:rsidR="00595E6A" w:rsidRPr="00F6409C">
        <w:rPr>
          <w:rFonts w:ascii="Times New Roman" w:hAnsi="Times New Roman" w:cs="Times New Roman"/>
          <w:i/>
          <w:color w:val="222222"/>
          <w:sz w:val="24"/>
          <w:szCs w:val="24"/>
          <w:lang w:val="en-US"/>
        </w:rPr>
        <w:t>Journal of Banking &amp; Finance</w:t>
      </w:r>
      <w:r w:rsidR="00F938CD">
        <w:rPr>
          <w:rFonts w:ascii="Times New Roman" w:hAnsi="Times New Roman" w:cs="Times New Roman"/>
          <w:i/>
          <w:color w:val="222222"/>
          <w:sz w:val="24"/>
          <w:szCs w:val="24"/>
          <w:lang w:val="en-US"/>
        </w:rPr>
        <w:t>,</w:t>
      </w:r>
      <w:r w:rsidR="00595E6A">
        <w:rPr>
          <w:rFonts w:ascii="Times New Roman" w:hAnsi="Times New Roman" w:cs="Times New Roman"/>
          <w:color w:val="222222"/>
          <w:sz w:val="24"/>
          <w:szCs w:val="24"/>
          <w:lang w:val="en-US"/>
        </w:rPr>
        <w:t xml:space="preserve"> </w:t>
      </w:r>
      <w:r w:rsidR="00FD214A">
        <w:rPr>
          <w:rFonts w:ascii="Times New Roman" w:hAnsi="Times New Roman" w:cs="Times New Roman"/>
          <w:color w:val="222222"/>
          <w:sz w:val="24"/>
          <w:szCs w:val="24"/>
          <w:lang w:val="en-US"/>
        </w:rPr>
        <w:t>60,</w:t>
      </w:r>
      <w:r w:rsidR="00170D44">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 xml:space="preserve">(2015), </w:t>
      </w:r>
      <w:r w:rsidR="00595E6A">
        <w:rPr>
          <w:rFonts w:ascii="Times New Roman" w:hAnsi="Times New Roman" w:cs="Times New Roman"/>
          <w:color w:val="222222"/>
          <w:sz w:val="24"/>
          <w:szCs w:val="24"/>
          <w:lang w:val="en-US"/>
        </w:rPr>
        <w:t>1-20.</w:t>
      </w:r>
    </w:p>
    <w:p w14:paraId="1D8880D2" w14:textId="6D78AC46" w:rsidR="00035D6B"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[8] Brown, R., </w:t>
      </w:r>
      <w:r w:rsidR="00035D6B" w:rsidRPr="00035D6B">
        <w:rPr>
          <w:rFonts w:ascii="Times New Roman" w:hAnsi="Times New Roman" w:cs="Times New Roman"/>
          <w:bCs/>
          <w:sz w:val="24"/>
          <w:szCs w:val="24"/>
        </w:rPr>
        <w:t xml:space="preserve">Framework </w:t>
      </w:r>
      <w:proofErr w:type="spellStart"/>
      <w:r w:rsidR="00035D6B" w:rsidRPr="00035D6B">
        <w:rPr>
          <w:rFonts w:ascii="Times New Roman" w:hAnsi="Times New Roman" w:cs="Times New Roman"/>
          <w:bCs/>
          <w:sz w:val="24"/>
          <w:szCs w:val="24"/>
        </w:rPr>
        <w:t>for</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hedge</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f</w:t>
      </w:r>
      <w:r w:rsidR="007E4571">
        <w:rPr>
          <w:rFonts w:ascii="Times New Roman" w:hAnsi="Times New Roman" w:cs="Times New Roman"/>
          <w:bCs/>
          <w:sz w:val="24"/>
          <w:szCs w:val="24"/>
        </w:rPr>
        <w:t>und</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return</w:t>
      </w:r>
      <w:proofErr w:type="spellEnd"/>
      <w:r w:rsidR="007E4571">
        <w:rPr>
          <w:rFonts w:ascii="Times New Roman" w:hAnsi="Times New Roman" w:cs="Times New Roman"/>
          <w:bCs/>
          <w:sz w:val="24"/>
          <w:szCs w:val="24"/>
        </w:rPr>
        <w:t xml:space="preserve"> and </w:t>
      </w:r>
      <w:proofErr w:type="spellStart"/>
      <w:r w:rsidR="007E4571">
        <w:rPr>
          <w:rFonts w:ascii="Times New Roman" w:hAnsi="Times New Roman" w:cs="Times New Roman"/>
          <w:bCs/>
          <w:sz w:val="24"/>
          <w:szCs w:val="24"/>
        </w:rPr>
        <w:t>risk</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attribution</w:t>
      </w:r>
      <w:proofErr w:type="spellEnd"/>
      <w:r w:rsidR="007E4571">
        <w:rPr>
          <w:rFonts w:ascii="Times New Roman" w:hAnsi="Times New Roman" w:cs="Times New Roman"/>
          <w:bCs/>
          <w:sz w:val="24"/>
          <w:szCs w:val="24"/>
        </w:rPr>
        <w:t>,</w:t>
      </w:r>
      <w:r w:rsidR="00035D6B" w:rsidRPr="00035D6B">
        <w:rPr>
          <w:rFonts w:ascii="Times New Roman" w:hAnsi="Times New Roman" w:cs="Times New Roman"/>
          <w:bCs/>
          <w:sz w:val="24"/>
          <w:szCs w:val="24"/>
        </w:rPr>
        <w:t xml:space="preserve"> </w:t>
      </w:r>
      <w:r w:rsidR="00035D6B" w:rsidRPr="00F6409C">
        <w:rPr>
          <w:rFonts w:ascii="Times New Roman" w:hAnsi="Times New Roman" w:cs="Times New Roman"/>
          <w:bCs/>
          <w:i/>
          <w:sz w:val="24"/>
          <w:szCs w:val="24"/>
        </w:rPr>
        <w:t xml:space="preserve">The Journal of </w:t>
      </w:r>
      <w:proofErr w:type="spellStart"/>
      <w:r w:rsidR="00035D6B" w:rsidRPr="00F6409C">
        <w:rPr>
          <w:rFonts w:ascii="Times New Roman" w:hAnsi="Times New Roman" w:cs="Times New Roman"/>
          <w:bCs/>
          <w:i/>
          <w:sz w:val="24"/>
          <w:szCs w:val="24"/>
        </w:rPr>
        <w:t>Investing</w:t>
      </w:r>
      <w:proofErr w:type="spellEnd"/>
      <w:r w:rsidR="00035D6B" w:rsidRPr="00F6409C">
        <w:rPr>
          <w:rFonts w:ascii="Times New Roman" w:hAnsi="Times New Roman" w:cs="Times New Roman"/>
          <w:bCs/>
          <w:i/>
          <w:sz w:val="24"/>
          <w:szCs w:val="24"/>
        </w:rPr>
        <w:t>,</w:t>
      </w:r>
      <w:r w:rsidR="00035D6B" w:rsidRPr="00035D6B">
        <w:rPr>
          <w:rFonts w:ascii="Times New Roman" w:hAnsi="Times New Roman" w:cs="Times New Roman"/>
          <w:bCs/>
          <w:sz w:val="24"/>
          <w:szCs w:val="24"/>
        </w:rPr>
        <w:t xml:space="preserve"> </w:t>
      </w:r>
      <w:r>
        <w:rPr>
          <w:rFonts w:ascii="Times New Roman" w:hAnsi="Times New Roman" w:cs="Times New Roman"/>
          <w:bCs/>
          <w:sz w:val="24"/>
          <w:szCs w:val="24"/>
        </w:rPr>
        <w:t xml:space="preserve">21(4), (2012), </w:t>
      </w:r>
      <w:r w:rsidR="00035D6B" w:rsidRPr="00035D6B">
        <w:rPr>
          <w:rFonts w:ascii="Times New Roman" w:hAnsi="Times New Roman" w:cs="Times New Roman"/>
          <w:bCs/>
          <w:sz w:val="24"/>
          <w:szCs w:val="24"/>
        </w:rPr>
        <w:t>8–23.</w:t>
      </w:r>
    </w:p>
    <w:p w14:paraId="18C2A805" w14:textId="4C6F0823" w:rsidR="000649C5"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[9] Brown, S. J., </w:t>
      </w:r>
      <w:proofErr w:type="spellStart"/>
      <w:r w:rsidR="000649C5" w:rsidRPr="000649C5">
        <w:rPr>
          <w:rFonts w:ascii="Times New Roman" w:hAnsi="Times New Roman" w:cs="Times New Roman"/>
          <w:bCs/>
          <w:sz w:val="24"/>
          <w:szCs w:val="24"/>
        </w:rPr>
        <w:t>Why</w:t>
      </w:r>
      <w:proofErr w:type="spellEnd"/>
      <w:r w:rsidR="000649C5" w:rsidRPr="000649C5">
        <w:rPr>
          <w:rFonts w:ascii="Times New Roman" w:hAnsi="Times New Roman" w:cs="Times New Roman"/>
          <w:bCs/>
          <w:sz w:val="24"/>
          <w:szCs w:val="24"/>
        </w:rPr>
        <w:t xml:space="preserve"> </w:t>
      </w:r>
      <w:proofErr w:type="spellStart"/>
      <w:r w:rsidR="000649C5" w:rsidRPr="000649C5">
        <w:rPr>
          <w:rFonts w:ascii="Times New Roman" w:hAnsi="Times New Roman" w:cs="Times New Roman"/>
          <w:bCs/>
          <w:sz w:val="24"/>
          <w:szCs w:val="24"/>
        </w:rPr>
        <w:t>hedge</w:t>
      </w:r>
      <w:proofErr w:type="spellEnd"/>
      <w:r w:rsidR="000649C5" w:rsidRPr="000649C5">
        <w:rPr>
          <w:rFonts w:ascii="Times New Roman" w:hAnsi="Times New Roman" w:cs="Times New Roman"/>
          <w:bCs/>
          <w:sz w:val="24"/>
          <w:szCs w:val="24"/>
        </w:rPr>
        <w:t xml:space="preserve"> </w:t>
      </w:r>
      <w:proofErr w:type="spellStart"/>
      <w:proofErr w:type="gramStart"/>
      <w:r w:rsidR="000649C5" w:rsidRPr="000649C5">
        <w:rPr>
          <w:rFonts w:ascii="Times New Roman" w:hAnsi="Times New Roman" w:cs="Times New Roman"/>
          <w:bCs/>
          <w:sz w:val="24"/>
          <w:szCs w:val="24"/>
        </w:rPr>
        <w:t>funds</w:t>
      </w:r>
      <w:proofErr w:type="spellEnd"/>
      <w:r w:rsidR="000649C5" w:rsidRPr="000649C5">
        <w:rPr>
          <w:rFonts w:ascii="Times New Roman" w:hAnsi="Times New Roman" w:cs="Times New Roman"/>
          <w:bCs/>
          <w:sz w:val="24"/>
          <w:szCs w:val="24"/>
        </w:rPr>
        <w:t>?</w:t>
      </w:r>
      <w:r w:rsidR="000F4E89">
        <w:rPr>
          <w:rFonts w:ascii="Times New Roman" w:hAnsi="Times New Roman" w:cs="Times New Roman"/>
          <w:bCs/>
          <w:sz w:val="24"/>
          <w:szCs w:val="24"/>
        </w:rPr>
        <w:t>,</w:t>
      </w:r>
      <w:proofErr w:type="gramEnd"/>
      <w:r w:rsidR="000649C5" w:rsidRPr="000649C5">
        <w:rPr>
          <w:rFonts w:ascii="Times New Roman" w:hAnsi="Times New Roman" w:cs="Times New Roman"/>
          <w:bCs/>
          <w:sz w:val="24"/>
          <w:szCs w:val="24"/>
        </w:rPr>
        <w:t xml:space="preserve"> </w:t>
      </w:r>
      <w:r w:rsidR="000649C5" w:rsidRPr="00F6409C">
        <w:rPr>
          <w:rFonts w:ascii="Times New Roman" w:hAnsi="Times New Roman" w:cs="Times New Roman"/>
          <w:bCs/>
          <w:i/>
          <w:sz w:val="24"/>
          <w:szCs w:val="24"/>
        </w:rPr>
        <w:t>Financial Analyst Journal</w:t>
      </w:r>
      <w:r w:rsidR="00F938CD">
        <w:rPr>
          <w:rFonts w:ascii="Times New Roman" w:hAnsi="Times New Roman" w:cs="Times New Roman"/>
          <w:bCs/>
          <w:i/>
          <w:sz w:val="24"/>
          <w:szCs w:val="24"/>
        </w:rPr>
        <w:t>,</w:t>
      </w:r>
      <w:r w:rsidR="000649C5" w:rsidRPr="000649C5">
        <w:rPr>
          <w:rFonts w:ascii="Times New Roman" w:hAnsi="Times New Roman" w:cs="Times New Roman"/>
          <w:bCs/>
          <w:sz w:val="24"/>
          <w:szCs w:val="24"/>
        </w:rPr>
        <w:t xml:space="preserve"> </w:t>
      </w:r>
      <w:r>
        <w:rPr>
          <w:rFonts w:ascii="Times New Roman" w:hAnsi="Times New Roman" w:cs="Times New Roman"/>
          <w:bCs/>
          <w:sz w:val="24"/>
          <w:szCs w:val="24"/>
        </w:rPr>
        <w:t>725(6)</w:t>
      </w:r>
      <w:r w:rsidR="002E7EC8">
        <w:rPr>
          <w:rFonts w:ascii="Times New Roman" w:hAnsi="Times New Roman" w:cs="Times New Roman"/>
          <w:bCs/>
          <w:sz w:val="24"/>
          <w:szCs w:val="24"/>
        </w:rPr>
        <w:t>,</w:t>
      </w:r>
      <w:r>
        <w:rPr>
          <w:rFonts w:ascii="Times New Roman" w:hAnsi="Times New Roman" w:cs="Times New Roman"/>
          <w:bCs/>
          <w:sz w:val="24"/>
          <w:szCs w:val="24"/>
        </w:rPr>
        <w:t xml:space="preserve"> (2016), </w:t>
      </w:r>
      <w:r w:rsidR="000649C5" w:rsidRPr="000649C5">
        <w:rPr>
          <w:rFonts w:ascii="Times New Roman" w:hAnsi="Times New Roman" w:cs="Times New Roman"/>
          <w:bCs/>
          <w:sz w:val="24"/>
          <w:szCs w:val="24"/>
        </w:rPr>
        <w:t>5-7.</w:t>
      </w:r>
    </w:p>
    <w:p w14:paraId="7EB49656" w14:textId="4E91C69D" w:rsidR="00DC36A5" w:rsidRPr="000649C5"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color w:val="222222"/>
          <w:sz w:val="24"/>
          <w:szCs w:val="24"/>
          <w:lang w:val="en-US"/>
        </w:rPr>
        <w:t xml:space="preserve">[10] Chen, L.-W., Chen, F., </w:t>
      </w:r>
      <w:r w:rsidR="00DC36A5" w:rsidRPr="00B9245E">
        <w:rPr>
          <w:rFonts w:ascii="Times New Roman" w:hAnsi="Times New Roman" w:cs="Times New Roman"/>
          <w:color w:val="222222"/>
          <w:sz w:val="24"/>
          <w:szCs w:val="24"/>
          <w:lang w:val="en-US"/>
        </w:rPr>
        <w:t xml:space="preserve">Does concurrent management of mutual and hedge funds create conflicts of </w:t>
      </w:r>
      <w:proofErr w:type="gramStart"/>
      <w:r w:rsidR="00DC36A5" w:rsidRPr="00B9245E">
        <w:rPr>
          <w:rFonts w:ascii="Times New Roman" w:hAnsi="Times New Roman" w:cs="Times New Roman"/>
          <w:color w:val="222222"/>
          <w:sz w:val="24"/>
          <w:szCs w:val="24"/>
          <w:lang w:val="en-US"/>
        </w:rPr>
        <w:t>interest?</w:t>
      </w:r>
      <w:r w:rsidR="007E4571">
        <w:rPr>
          <w:rFonts w:ascii="Times New Roman" w:hAnsi="Times New Roman" w:cs="Times New Roman"/>
          <w:color w:val="222222"/>
          <w:sz w:val="24"/>
          <w:szCs w:val="24"/>
          <w:lang w:val="en-US"/>
        </w:rPr>
        <w:t>,</w:t>
      </w:r>
      <w:proofErr w:type="gramEnd"/>
      <w:r w:rsidR="00DC36A5" w:rsidRPr="00B9245E">
        <w:rPr>
          <w:rFonts w:ascii="Times New Roman" w:hAnsi="Times New Roman" w:cs="Times New Roman"/>
          <w:color w:val="222222"/>
          <w:sz w:val="24"/>
          <w:szCs w:val="24"/>
          <w:lang w:val="en-US"/>
        </w:rPr>
        <w:t xml:space="preserve"> </w:t>
      </w:r>
      <w:r w:rsidR="00DC36A5" w:rsidRPr="00F6409C">
        <w:rPr>
          <w:rFonts w:ascii="Times New Roman" w:hAnsi="Times New Roman" w:cs="Times New Roman"/>
          <w:i/>
          <w:color w:val="222222"/>
          <w:sz w:val="24"/>
          <w:szCs w:val="24"/>
          <w:lang w:val="en-US"/>
        </w:rPr>
        <w:t>Journal of Banking and Finance</w:t>
      </w:r>
      <w:r w:rsidR="00F938CD">
        <w:rPr>
          <w:rFonts w:ascii="Times New Roman" w:hAnsi="Times New Roman" w:cs="Times New Roman"/>
          <w:i/>
          <w:color w:val="222222"/>
          <w:sz w:val="24"/>
          <w:szCs w:val="24"/>
          <w:lang w:val="en-US"/>
        </w:rPr>
        <w:t>,</w:t>
      </w:r>
      <w:r w:rsidR="00DC36A5" w:rsidRPr="00B9245E">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33(8)</w:t>
      </w:r>
      <w:r w:rsidR="002E7EC8">
        <w:rPr>
          <w:rFonts w:ascii="Times New Roman" w:hAnsi="Times New Roman" w:cs="Times New Roman"/>
          <w:color w:val="222222"/>
          <w:sz w:val="24"/>
          <w:szCs w:val="24"/>
          <w:lang w:val="en-US"/>
        </w:rPr>
        <w:t>,</w:t>
      </w:r>
      <w:r w:rsidR="00793225">
        <w:rPr>
          <w:rFonts w:ascii="Times New Roman" w:hAnsi="Times New Roman" w:cs="Times New Roman"/>
          <w:color w:val="222222"/>
          <w:sz w:val="24"/>
          <w:szCs w:val="24"/>
          <w:lang w:val="en-US"/>
        </w:rPr>
        <w:t xml:space="preserve"> </w:t>
      </w:r>
      <w:r>
        <w:rPr>
          <w:rFonts w:ascii="Times New Roman" w:hAnsi="Times New Roman" w:cs="Times New Roman"/>
          <w:color w:val="222222"/>
          <w:sz w:val="24"/>
          <w:szCs w:val="24"/>
          <w:lang w:val="en-US"/>
        </w:rPr>
        <w:t xml:space="preserve">(2009), </w:t>
      </w:r>
      <w:r w:rsidR="00DC36A5" w:rsidRPr="00B9245E">
        <w:rPr>
          <w:rFonts w:ascii="Times New Roman" w:hAnsi="Times New Roman" w:cs="Times New Roman"/>
          <w:color w:val="222222"/>
          <w:sz w:val="24"/>
          <w:szCs w:val="24"/>
          <w:lang w:val="en-US"/>
        </w:rPr>
        <w:t>1423-1433.</w:t>
      </w:r>
    </w:p>
    <w:p w14:paraId="70F86F3B" w14:textId="497D5D09" w:rsidR="00A4343F"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A4343F" w:rsidRPr="00A4343F">
        <w:rPr>
          <w:rFonts w:ascii="Times New Roman" w:hAnsi="Times New Roman" w:cs="Times New Roman"/>
          <w:bCs/>
          <w:sz w:val="24"/>
          <w:szCs w:val="24"/>
        </w:rPr>
        <w:t>Duarte, J.,</w:t>
      </w:r>
      <w:r w:rsidR="00F938CD">
        <w:rPr>
          <w:rFonts w:ascii="Times New Roman" w:hAnsi="Times New Roman" w:cs="Times New Roman"/>
          <w:bCs/>
          <w:sz w:val="24"/>
          <w:szCs w:val="24"/>
        </w:rPr>
        <w:t xml:space="preserve"> Longstaff, F., &amp; </w:t>
      </w:r>
      <w:proofErr w:type="spellStart"/>
      <w:r w:rsidR="00F938CD">
        <w:rPr>
          <w:rFonts w:ascii="Times New Roman" w:hAnsi="Times New Roman" w:cs="Times New Roman"/>
          <w:bCs/>
          <w:sz w:val="24"/>
          <w:szCs w:val="24"/>
        </w:rPr>
        <w:t>Yu</w:t>
      </w:r>
      <w:proofErr w:type="spellEnd"/>
      <w:r w:rsidR="00F938CD">
        <w:rPr>
          <w:rFonts w:ascii="Times New Roman" w:hAnsi="Times New Roman" w:cs="Times New Roman"/>
          <w:bCs/>
          <w:sz w:val="24"/>
          <w:szCs w:val="24"/>
        </w:rPr>
        <w:t>, F.</w:t>
      </w:r>
      <w:r>
        <w:rPr>
          <w:rFonts w:ascii="Times New Roman" w:hAnsi="Times New Roman" w:cs="Times New Roman"/>
          <w:bCs/>
          <w:sz w:val="24"/>
          <w:szCs w:val="24"/>
        </w:rPr>
        <w:t xml:space="preserve">, </w:t>
      </w:r>
      <w:proofErr w:type="spellStart"/>
      <w:r w:rsidR="00A4343F" w:rsidRPr="00A4343F">
        <w:rPr>
          <w:rFonts w:ascii="Times New Roman" w:hAnsi="Times New Roman" w:cs="Times New Roman"/>
          <w:bCs/>
          <w:sz w:val="24"/>
          <w:szCs w:val="24"/>
        </w:rPr>
        <w:t>Risk</w:t>
      </w:r>
      <w:proofErr w:type="spellEnd"/>
      <w:r w:rsidR="00A4343F" w:rsidRPr="00A4343F">
        <w:rPr>
          <w:rFonts w:ascii="Times New Roman" w:hAnsi="Times New Roman" w:cs="Times New Roman"/>
          <w:bCs/>
          <w:sz w:val="24"/>
          <w:szCs w:val="24"/>
        </w:rPr>
        <w:t xml:space="preserve"> and </w:t>
      </w:r>
      <w:proofErr w:type="spellStart"/>
      <w:r w:rsidR="00A4343F" w:rsidRPr="00A4343F">
        <w:rPr>
          <w:rFonts w:ascii="Times New Roman" w:hAnsi="Times New Roman" w:cs="Times New Roman"/>
          <w:bCs/>
          <w:sz w:val="24"/>
          <w:szCs w:val="24"/>
        </w:rPr>
        <w:t>return</w:t>
      </w:r>
      <w:proofErr w:type="spellEnd"/>
      <w:r w:rsidR="00A4343F" w:rsidRPr="00A4343F">
        <w:rPr>
          <w:rFonts w:ascii="Times New Roman" w:hAnsi="Times New Roman" w:cs="Times New Roman"/>
          <w:bCs/>
          <w:sz w:val="24"/>
          <w:szCs w:val="24"/>
        </w:rPr>
        <w:t xml:space="preserve"> in </w:t>
      </w:r>
      <w:proofErr w:type="spellStart"/>
      <w:r w:rsidR="00A4343F" w:rsidRPr="00A4343F">
        <w:rPr>
          <w:rFonts w:ascii="Times New Roman" w:hAnsi="Times New Roman" w:cs="Times New Roman"/>
          <w:bCs/>
          <w:sz w:val="24"/>
          <w:szCs w:val="24"/>
        </w:rPr>
        <w:t>fixed-income</w:t>
      </w:r>
      <w:proofErr w:type="spellEnd"/>
      <w:r w:rsidR="00A4343F" w:rsidRPr="00A4343F">
        <w:rPr>
          <w:rFonts w:ascii="Times New Roman" w:hAnsi="Times New Roman" w:cs="Times New Roman"/>
          <w:bCs/>
          <w:sz w:val="24"/>
          <w:szCs w:val="24"/>
        </w:rPr>
        <w:t xml:space="preserve"> </w:t>
      </w:r>
      <w:proofErr w:type="spellStart"/>
      <w:r w:rsidR="00A4343F" w:rsidRPr="00A4343F">
        <w:rPr>
          <w:rFonts w:ascii="Times New Roman" w:hAnsi="Times New Roman" w:cs="Times New Roman"/>
          <w:bCs/>
          <w:sz w:val="24"/>
          <w:szCs w:val="24"/>
        </w:rPr>
        <w:t>arbitrage</w:t>
      </w:r>
      <w:proofErr w:type="spellEnd"/>
      <w:r w:rsidR="00A4343F" w:rsidRPr="00A4343F">
        <w:rPr>
          <w:rFonts w:ascii="Times New Roman" w:hAnsi="Times New Roman" w:cs="Times New Roman"/>
          <w:bCs/>
          <w:sz w:val="24"/>
          <w:szCs w:val="24"/>
        </w:rPr>
        <w:t xml:space="preserve">: Nickels in </w:t>
      </w:r>
      <w:proofErr w:type="spellStart"/>
      <w:r w:rsidR="00A4343F" w:rsidRPr="00A4343F">
        <w:rPr>
          <w:rFonts w:ascii="Times New Roman" w:hAnsi="Times New Roman" w:cs="Times New Roman"/>
          <w:bCs/>
          <w:sz w:val="24"/>
          <w:szCs w:val="24"/>
        </w:rPr>
        <w:t>front</w:t>
      </w:r>
      <w:proofErr w:type="spellEnd"/>
      <w:r w:rsidR="00A4343F" w:rsidRPr="00A4343F">
        <w:rPr>
          <w:rFonts w:ascii="Times New Roman" w:hAnsi="Times New Roman" w:cs="Times New Roman"/>
          <w:bCs/>
          <w:sz w:val="24"/>
          <w:szCs w:val="24"/>
        </w:rPr>
        <w:t xml:space="preserve"> of </w:t>
      </w:r>
      <w:proofErr w:type="spellStart"/>
      <w:proofErr w:type="gramStart"/>
      <w:r w:rsidR="00A4343F" w:rsidRPr="00A4343F">
        <w:rPr>
          <w:rFonts w:ascii="Times New Roman" w:hAnsi="Times New Roman" w:cs="Times New Roman"/>
          <w:bCs/>
          <w:sz w:val="24"/>
          <w:szCs w:val="24"/>
        </w:rPr>
        <w:t>steamroller</w:t>
      </w:r>
      <w:proofErr w:type="spellEnd"/>
      <w:r w:rsidR="00A4343F" w:rsidRPr="00A4343F">
        <w:rPr>
          <w:rFonts w:ascii="Times New Roman" w:hAnsi="Times New Roman" w:cs="Times New Roman"/>
          <w:bCs/>
          <w:sz w:val="24"/>
          <w:szCs w:val="24"/>
        </w:rPr>
        <w:t>?</w:t>
      </w:r>
      <w:r w:rsidR="007E4571">
        <w:rPr>
          <w:rFonts w:ascii="Times New Roman" w:hAnsi="Times New Roman" w:cs="Times New Roman"/>
          <w:bCs/>
          <w:sz w:val="24"/>
          <w:szCs w:val="24"/>
        </w:rPr>
        <w:t>,</w:t>
      </w:r>
      <w:proofErr w:type="gramEnd"/>
      <w:r w:rsidR="00A4343F" w:rsidRPr="00A4343F">
        <w:rPr>
          <w:rFonts w:ascii="Times New Roman" w:hAnsi="Times New Roman" w:cs="Times New Roman"/>
          <w:bCs/>
          <w:sz w:val="24"/>
          <w:szCs w:val="24"/>
        </w:rPr>
        <w:t xml:space="preserve"> </w:t>
      </w:r>
      <w:r w:rsidR="00A4343F" w:rsidRPr="00F6409C">
        <w:rPr>
          <w:rFonts w:ascii="Times New Roman" w:hAnsi="Times New Roman" w:cs="Times New Roman"/>
          <w:bCs/>
          <w:i/>
          <w:sz w:val="24"/>
          <w:szCs w:val="24"/>
        </w:rPr>
        <w:t>Review of Financial Studies</w:t>
      </w:r>
      <w:r w:rsidR="00A4343F" w:rsidRPr="00A4343F">
        <w:rPr>
          <w:rFonts w:ascii="Times New Roman" w:hAnsi="Times New Roman" w:cs="Times New Roman"/>
          <w:bCs/>
          <w:sz w:val="24"/>
          <w:szCs w:val="24"/>
        </w:rPr>
        <w:t>,</w:t>
      </w:r>
      <w:r w:rsidR="002E7EC8">
        <w:rPr>
          <w:rFonts w:ascii="Times New Roman" w:hAnsi="Times New Roman" w:cs="Times New Roman"/>
          <w:bCs/>
          <w:sz w:val="24"/>
          <w:szCs w:val="24"/>
        </w:rPr>
        <w:t xml:space="preserve"> </w:t>
      </w:r>
      <w:r>
        <w:rPr>
          <w:rFonts w:ascii="Times New Roman" w:hAnsi="Times New Roman" w:cs="Times New Roman"/>
          <w:bCs/>
          <w:sz w:val="24"/>
          <w:szCs w:val="24"/>
        </w:rPr>
        <w:t>20(1)</w:t>
      </w:r>
      <w:r w:rsidR="00A4343F" w:rsidRPr="00A4343F">
        <w:rPr>
          <w:rFonts w:ascii="Times New Roman" w:hAnsi="Times New Roman" w:cs="Times New Roman"/>
          <w:bCs/>
          <w:sz w:val="24"/>
          <w:szCs w:val="24"/>
        </w:rPr>
        <w:t>,</w:t>
      </w:r>
      <w:r>
        <w:rPr>
          <w:rFonts w:ascii="Times New Roman" w:hAnsi="Times New Roman" w:cs="Times New Roman"/>
          <w:bCs/>
          <w:sz w:val="24"/>
          <w:szCs w:val="24"/>
        </w:rPr>
        <w:t xml:space="preserve"> (2007), </w:t>
      </w:r>
      <w:r w:rsidR="00A4343F" w:rsidRPr="00A4343F">
        <w:rPr>
          <w:rFonts w:ascii="Times New Roman" w:hAnsi="Times New Roman" w:cs="Times New Roman"/>
          <w:bCs/>
          <w:sz w:val="24"/>
          <w:szCs w:val="24"/>
        </w:rPr>
        <w:t>770–811.</w:t>
      </w:r>
    </w:p>
    <w:p w14:paraId="05D00C5E" w14:textId="460373FF" w:rsidR="007E7E85"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[12] </w:t>
      </w:r>
      <w:proofErr w:type="spellStart"/>
      <w:r>
        <w:rPr>
          <w:rFonts w:ascii="Times New Roman" w:hAnsi="Times New Roman" w:cs="Times New Roman"/>
          <w:bCs/>
          <w:sz w:val="24"/>
          <w:szCs w:val="24"/>
        </w:rPr>
        <w:t>Elling</w:t>
      </w:r>
      <w:proofErr w:type="spellEnd"/>
      <w:r>
        <w:rPr>
          <w:rFonts w:ascii="Times New Roman" w:hAnsi="Times New Roman" w:cs="Times New Roman"/>
          <w:bCs/>
          <w:sz w:val="24"/>
          <w:szCs w:val="24"/>
        </w:rPr>
        <w:t xml:space="preserve">, M., </w:t>
      </w:r>
      <w:r w:rsidR="007E7E85">
        <w:rPr>
          <w:rFonts w:ascii="Times New Roman" w:hAnsi="Times New Roman" w:cs="Times New Roman"/>
          <w:bCs/>
          <w:sz w:val="24"/>
          <w:szCs w:val="24"/>
        </w:rPr>
        <w:t>Eignung von Hedgefonds für das Asset Management der de</w:t>
      </w:r>
      <w:r>
        <w:rPr>
          <w:rFonts w:ascii="Times New Roman" w:hAnsi="Times New Roman" w:cs="Times New Roman"/>
          <w:bCs/>
          <w:sz w:val="24"/>
          <w:szCs w:val="24"/>
        </w:rPr>
        <w:t>utschen Versicherungsindustrie,</w:t>
      </w:r>
      <w:r w:rsidR="007E7E85">
        <w:rPr>
          <w:rFonts w:ascii="Times New Roman" w:hAnsi="Times New Roman" w:cs="Times New Roman"/>
          <w:bCs/>
          <w:sz w:val="24"/>
          <w:szCs w:val="24"/>
        </w:rPr>
        <w:t xml:space="preserve"> </w:t>
      </w:r>
      <w:r w:rsidR="007E7E85" w:rsidRPr="00827B32">
        <w:rPr>
          <w:rFonts w:ascii="Times New Roman" w:hAnsi="Times New Roman" w:cs="Times New Roman"/>
          <w:bCs/>
          <w:i/>
          <w:sz w:val="24"/>
          <w:szCs w:val="24"/>
        </w:rPr>
        <w:t xml:space="preserve">Zeitschrift für die gesamte </w:t>
      </w:r>
      <w:r w:rsidRPr="00827B32">
        <w:rPr>
          <w:rFonts w:ascii="Times New Roman" w:hAnsi="Times New Roman" w:cs="Times New Roman"/>
          <w:bCs/>
          <w:i/>
          <w:sz w:val="24"/>
          <w:szCs w:val="24"/>
        </w:rPr>
        <w:t>Versicherungswirtschaft</w:t>
      </w:r>
      <w:r>
        <w:rPr>
          <w:rFonts w:ascii="Times New Roman" w:hAnsi="Times New Roman" w:cs="Times New Roman"/>
          <w:bCs/>
          <w:sz w:val="24"/>
          <w:szCs w:val="24"/>
        </w:rPr>
        <w:t>,</w:t>
      </w:r>
      <w:r w:rsidR="007E7E85">
        <w:rPr>
          <w:rFonts w:ascii="Times New Roman" w:hAnsi="Times New Roman" w:cs="Times New Roman"/>
          <w:bCs/>
          <w:sz w:val="24"/>
          <w:szCs w:val="24"/>
        </w:rPr>
        <w:t xml:space="preserve"> </w:t>
      </w:r>
      <w:r>
        <w:rPr>
          <w:rFonts w:ascii="Times New Roman" w:hAnsi="Times New Roman" w:cs="Times New Roman"/>
          <w:bCs/>
          <w:sz w:val="24"/>
          <w:szCs w:val="24"/>
        </w:rPr>
        <w:t>93(3), (2004),</w:t>
      </w:r>
      <w:r w:rsidR="007E7E85">
        <w:rPr>
          <w:rFonts w:ascii="Times New Roman" w:hAnsi="Times New Roman" w:cs="Times New Roman"/>
          <w:bCs/>
          <w:sz w:val="24"/>
          <w:szCs w:val="24"/>
        </w:rPr>
        <w:t xml:space="preserve"> 325-347.</w:t>
      </w:r>
    </w:p>
    <w:p w14:paraId="19773536" w14:textId="5C09DFB2" w:rsidR="00A4343F"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[13] </w:t>
      </w:r>
      <w:proofErr w:type="spellStart"/>
      <w:r w:rsidR="00F938CD">
        <w:rPr>
          <w:rFonts w:ascii="Times New Roman" w:hAnsi="Times New Roman" w:cs="Times New Roman"/>
          <w:bCs/>
          <w:sz w:val="24"/>
          <w:szCs w:val="24"/>
        </w:rPr>
        <w:t>Elling</w:t>
      </w:r>
      <w:proofErr w:type="spellEnd"/>
      <w:r w:rsidR="00F938CD">
        <w:rPr>
          <w:rFonts w:ascii="Times New Roman" w:hAnsi="Times New Roman" w:cs="Times New Roman"/>
          <w:bCs/>
          <w:sz w:val="24"/>
          <w:szCs w:val="24"/>
        </w:rPr>
        <w:t>, M., Faust, R.</w:t>
      </w:r>
      <w:r>
        <w:rPr>
          <w:rFonts w:ascii="Times New Roman" w:hAnsi="Times New Roman" w:cs="Times New Roman"/>
          <w:bCs/>
          <w:sz w:val="24"/>
          <w:szCs w:val="24"/>
        </w:rPr>
        <w:t xml:space="preserve">, </w:t>
      </w:r>
      <w:r w:rsidR="00A4343F">
        <w:rPr>
          <w:rFonts w:ascii="Times New Roman" w:hAnsi="Times New Roman" w:cs="Times New Roman"/>
          <w:bCs/>
          <w:sz w:val="24"/>
          <w:szCs w:val="24"/>
        </w:rPr>
        <w:t xml:space="preserve">The </w:t>
      </w:r>
      <w:proofErr w:type="spellStart"/>
      <w:r w:rsidR="00A4343F">
        <w:rPr>
          <w:rFonts w:ascii="Times New Roman" w:hAnsi="Times New Roman" w:cs="Times New Roman"/>
          <w:bCs/>
          <w:sz w:val="24"/>
          <w:szCs w:val="24"/>
        </w:rPr>
        <w:t>performance</w:t>
      </w:r>
      <w:proofErr w:type="spellEnd"/>
      <w:r w:rsidR="00A4343F">
        <w:rPr>
          <w:rFonts w:ascii="Times New Roman" w:hAnsi="Times New Roman" w:cs="Times New Roman"/>
          <w:bCs/>
          <w:sz w:val="24"/>
          <w:szCs w:val="24"/>
        </w:rPr>
        <w:t xml:space="preserve"> of </w:t>
      </w:r>
      <w:proofErr w:type="spellStart"/>
      <w:r w:rsidR="00A4343F">
        <w:rPr>
          <w:rFonts w:ascii="Times New Roman" w:hAnsi="Times New Roman" w:cs="Times New Roman"/>
          <w:bCs/>
          <w:sz w:val="24"/>
          <w:szCs w:val="24"/>
        </w:rPr>
        <w:t>hedge</w:t>
      </w:r>
      <w:proofErr w:type="spellEnd"/>
      <w:r w:rsidR="00A4343F">
        <w:rPr>
          <w:rFonts w:ascii="Times New Roman" w:hAnsi="Times New Roman" w:cs="Times New Roman"/>
          <w:bCs/>
          <w:sz w:val="24"/>
          <w:szCs w:val="24"/>
        </w:rPr>
        <w:t xml:space="preserve"> </w:t>
      </w:r>
      <w:proofErr w:type="spellStart"/>
      <w:r w:rsidR="00A4343F">
        <w:rPr>
          <w:rFonts w:ascii="Times New Roman" w:hAnsi="Times New Roman" w:cs="Times New Roman"/>
          <w:bCs/>
          <w:sz w:val="24"/>
          <w:szCs w:val="24"/>
        </w:rPr>
        <w:t>funds</w:t>
      </w:r>
      <w:proofErr w:type="spellEnd"/>
      <w:r w:rsidR="00A4343F">
        <w:rPr>
          <w:rFonts w:ascii="Times New Roman" w:hAnsi="Times New Roman" w:cs="Times New Roman"/>
          <w:bCs/>
          <w:sz w:val="24"/>
          <w:szCs w:val="24"/>
        </w:rPr>
        <w:t xml:space="preserve"> and mu</w:t>
      </w:r>
      <w:r w:rsidR="007E4571">
        <w:rPr>
          <w:rFonts w:ascii="Times New Roman" w:hAnsi="Times New Roman" w:cs="Times New Roman"/>
          <w:bCs/>
          <w:sz w:val="24"/>
          <w:szCs w:val="24"/>
        </w:rPr>
        <w:t xml:space="preserve">tual </w:t>
      </w:r>
      <w:proofErr w:type="spellStart"/>
      <w:r w:rsidR="007E4571">
        <w:rPr>
          <w:rFonts w:ascii="Times New Roman" w:hAnsi="Times New Roman" w:cs="Times New Roman"/>
          <w:bCs/>
          <w:sz w:val="24"/>
          <w:szCs w:val="24"/>
        </w:rPr>
        <w:t>funds</w:t>
      </w:r>
      <w:proofErr w:type="spellEnd"/>
      <w:r w:rsidR="007E4571">
        <w:rPr>
          <w:rFonts w:ascii="Times New Roman" w:hAnsi="Times New Roman" w:cs="Times New Roman"/>
          <w:bCs/>
          <w:sz w:val="24"/>
          <w:szCs w:val="24"/>
        </w:rPr>
        <w:t xml:space="preserve"> in </w:t>
      </w:r>
      <w:proofErr w:type="spellStart"/>
      <w:r w:rsidR="007E4571">
        <w:rPr>
          <w:rFonts w:ascii="Times New Roman" w:hAnsi="Times New Roman" w:cs="Times New Roman"/>
          <w:bCs/>
          <w:sz w:val="24"/>
          <w:szCs w:val="24"/>
        </w:rPr>
        <w:t>emerging</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markets</w:t>
      </w:r>
      <w:proofErr w:type="spellEnd"/>
      <w:r w:rsidR="007E4571">
        <w:rPr>
          <w:rFonts w:ascii="Times New Roman" w:hAnsi="Times New Roman" w:cs="Times New Roman"/>
          <w:bCs/>
          <w:sz w:val="24"/>
          <w:szCs w:val="24"/>
        </w:rPr>
        <w:t xml:space="preserve">, </w:t>
      </w:r>
      <w:r w:rsidR="00A4343F" w:rsidRPr="00F6409C">
        <w:rPr>
          <w:rFonts w:ascii="Times New Roman" w:hAnsi="Times New Roman" w:cs="Times New Roman"/>
          <w:bCs/>
          <w:i/>
          <w:sz w:val="24"/>
          <w:szCs w:val="24"/>
        </w:rPr>
        <w:t xml:space="preserve">Journal of Banking &amp; </w:t>
      </w:r>
      <w:proofErr w:type="spellStart"/>
      <w:r w:rsidR="00A4343F" w:rsidRPr="00F6409C">
        <w:rPr>
          <w:rFonts w:ascii="Times New Roman" w:hAnsi="Times New Roman" w:cs="Times New Roman"/>
          <w:bCs/>
          <w:i/>
          <w:sz w:val="24"/>
          <w:szCs w:val="24"/>
        </w:rPr>
        <w:t>Finance</w:t>
      </w:r>
      <w:proofErr w:type="spellEnd"/>
      <w:r w:rsidR="00A4343F">
        <w:rPr>
          <w:rFonts w:ascii="Times New Roman" w:hAnsi="Times New Roman" w:cs="Times New Roman"/>
          <w:bCs/>
          <w:sz w:val="24"/>
          <w:szCs w:val="24"/>
        </w:rPr>
        <w:t>, 34,</w:t>
      </w:r>
      <w:r>
        <w:rPr>
          <w:rFonts w:ascii="Times New Roman" w:hAnsi="Times New Roman" w:cs="Times New Roman"/>
          <w:bCs/>
          <w:sz w:val="24"/>
          <w:szCs w:val="24"/>
        </w:rPr>
        <w:t xml:space="preserve"> (2010), </w:t>
      </w:r>
      <w:r w:rsidR="00A4343F" w:rsidRPr="00A4343F">
        <w:rPr>
          <w:rFonts w:ascii="Times New Roman" w:hAnsi="Times New Roman" w:cs="Times New Roman"/>
          <w:bCs/>
          <w:sz w:val="24"/>
          <w:szCs w:val="24"/>
        </w:rPr>
        <w:t>1993</w:t>
      </w:r>
      <w:r w:rsidR="00A4343F" w:rsidRPr="00A4343F">
        <w:rPr>
          <w:rFonts w:ascii="Times New Roman" w:hAnsi="Times New Roman" w:cs="Times New Roman" w:hint="eastAsia"/>
          <w:bCs/>
          <w:sz w:val="24"/>
          <w:szCs w:val="24"/>
        </w:rPr>
        <w:t>–</w:t>
      </w:r>
      <w:r w:rsidR="00A4343F" w:rsidRPr="00A4343F">
        <w:rPr>
          <w:rFonts w:ascii="Times New Roman" w:hAnsi="Times New Roman" w:cs="Times New Roman"/>
          <w:bCs/>
          <w:sz w:val="24"/>
          <w:szCs w:val="24"/>
        </w:rPr>
        <w:t>2009</w:t>
      </w:r>
      <w:r w:rsidR="00A4343F">
        <w:rPr>
          <w:rFonts w:ascii="Times New Roman" w:hAnsi="Times New Roman" w:cs="Times New Roman"/>
          <w:bCs/>
          <w:sz w:val="24"/>
          <w:szCs w:val="24"/>
        </w:rPr>
        <w:t>.</w:t>
      </w:r>
    </w:p>
    <w:p w14:paraId="0D4121E7" w14:textId="68DC0717" w:rsidR="00C0747E"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F938CD">
        <w:rPr>
          <w:rFonts w:ascii="Times New Roman" w:hAnsi="Times New Roman" w:cs="Times New Roman"/>
          <w:bCs/>
          <w:sz w:val="24"/>
          <w:szCs w:val="24"/>
        </w:rPr>
        <w:t xml:space="preserve">Fung, W., &amp; </w:t>
      </w:r>
      <w:proofErr w:type="spellStart"/>
      <w:r w:rsidR="00F938CD">
        <w:rPr>
          <w:rFonts w:ascii="Times New Roman" w:hAnsi="Times New Roman" w:cs="Times New Roman"/>
          <w:bCs/>
          <w:sz w:val="24"/>
          <w:szCs w:val="24"/>
        </w:rPr>
        <w:t>Hsieh</w:t>
      </w:r>
      <w:proofErr w:type="spellEnd"/>
      <w:r w:rsidR="00F938CD">
        <w:rPr>
          <w:rFonts w:ascii="Times New Roman" w:hAnsi="Times New Roman" w:cs="Times New Roman"/>
          <w:bCs/>
          <w:sz w:val="24"/>
          <w:szCs w:val="24"/>
        </w:rPr>
        <w:t>, D.</w:t>
      </w:r>
      <w:r>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Hedge</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fund</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be</w:t>
      </w:r>
      <w:r w:rsidR="007E4571">
        <w:rPr>
          <w:rFonts w:ascii="Times New Roman" w:hAnsi="Times New Roman" w:cs="Times New Roman"/>
          <w:bCs/>
          <w:sz w:val="24"/>
          <w:szCs w:val="24"/>
        </w:rPr>
        <w:t>nchmarks</w:t>
      </w:r>
      <w:proofErr w:type="spellEnd"/>
      <w:r w:rsidR="007E4571">
        <w:rPr>
          <w:rFonts w:ascii="Times New Roman" w:hAnsi="Times New Roman" w:cs="Times New Roman"/>
          <w:bCs/>
          <w:sz w:val="24"/>
          <w:szCs w:val="24"/>
        </w:rPr>
        <w:t xml:space="preserve">: A </w:t>
      </w:r>
      <w:proofErr w:type="spellStart"/>
      <w:r w:rsidR="007E4571">
        <w:rPr>
          <w:rFonts w:ascii="Times New Roman" w:hAnsi="Times New Roman" w:cs="Times New Roman"/>
          <w:bCs/>
          <w:sz w:val="24"/>
          <w:szCs w:val="24"/>
        </w:rPr>
        <w:t>risk-based</w:t>
      </w:r>
      <w:proofErr w:type="spellEnd"/>
      <w:r w:rsidR="007E4571">
        <w:rPr>
          <w:rFonts w:ascii="Times New Roman" w:hAnsi="Times New Roman" w:cs="Times New Roman"/>
          <w:bCs/>
          <w:sz w:val="24"/>
          <w:szCs w:val="24"/>
        </w:rPr>
        <w:t xml:space="preserve"> </w:t>
      </w:r>
      <w:proofErr w:type="spellStart"/>
      <w:r w:rsidR="007E4571">
        <w:rPr>
          <w:rFonts w:ascii="Times New Roman" w:hAnsi="Times New Roman" w:cs="Times New Roman"/>
          <w:bCs/>
          <w:sz w:val="24"/>
          <w:szCs w:val="24"/>
        </w:rPr>
        <w:t>approach</w:t>
      </w:r>
      <w:proofErr w:type="spellEnd"/>
      <w:r w:rsidR="007E4571">
        <w:rPr>
          <w:rFonts w:ascii="Times New Roman" w:hAnsi="Times New Roman" w:cs="Times New Roman"/>
          <w:bCs/>
          <w:sz w:val="24"/>
          <w:szCs w:val="24"/>
        </w:rPr>
        <w:t>,</w:t>
      </w:r>
      <w:r w:rsidR="00035D6B" w:rsidRPr="00035D6B">
        <w:rPr>
          <w:rFonts w:ascii="Times New Roman" w:hAnsi="Times New Roman" w:cs="Times New Roman"/>
          <w:bCs/>
          <w:sz w:val="24"/>
          <w:szCs w:val="24"/>
        </w:rPr>
        <w:t xml:space="preserve"> </w:t>
      </w:r>
      <w:r w:rsidR="00035D6B" w:rsidRPr="00F6409C">
        <w:rPr>
          <w:rFonts w:ascii="Times New Roman" w:hAnsi="Times New Roman" w:cs="Times New Roman"/>
          <w:bCs/>
          <w:i/>
          <w:sz w:val="24"/>
          <w:szCs w:val="24"/>
        </w:rPr>
        <w:t xml:space="preserve">Financial </w:t>
      </w:r>
      <w:proofErr w:type="spellStart"/>
      <w:r w:rsidR="00035D6B" w:rsidRPr="00F6409C">
        <w:rPr>
          <w:rFonts w:ascii="Times New Roman" w:hAnsi="Times New Roman" w:cs="Times New Roman"/>
          <w:bCs/>
          <w:i/>
          <w:sz w:val="24"/>
          <w:szCs w:val="24"/>
        </w:rPr>
        <w:t>Analysts</w:t>
      </w:r>
      <w:proofErr w:type="spellEnd"/>
      <w:r w:rsidR="00035D6B" w:rsidRPr="00F6409C">
        <w:rPr>
          <w:rFonts w:ascii="Times New Roman" w:hAnsi="Times New Roman" w:cs="Times New Roman"/>
          <w:bCs/>
          <w:i/>
          <w:sz w:val="24"/>
          <w:szCs w:val="24"/>
        </w:rPr>
        <w:t xml:space="preserve"> Journal</w:t>
      </w:r>
      <w:r w:rsidR="00035D6B" w:rsidRPr="00035D6B">
        <w:rPr>
          <w:rFonts w:ascii="Times New Roman" w:hAnsi="Times New Roman" w:cs="Times New Roman"/>
          <w:bCs/>
          <w:sz w:val="24"/>
          <w:szCs w:val="24"/>
        </w:rPr>
        <w:t xml:space="preserve">, </w:t>
      </w:r>
      <w:r>
        <w:rPr>
          <w:rFonts w:ascii="Times New Roman" w:hAnsi="Times New Roman" w:cs="Times New Roman"/>
          <w:bCs/>
          <w:sz w:val="24"/>
          <w:szCs w:val="24"/>
        </w:rPr>
        <w:t>60(</w:t>
      </w:r>
      <w:r w:rsidR="00793225">
        <w:rPr>
          <w:rFonts w:ascii="Times New Roman" w:hAnsi="Times New Roman" w:cs="Times New Roman"/>
          <w:bCs/>
          <w:sz w:val="24"/>
          <w:szCs w:val="24"/>
        </w:rPr>
        <w:t>5</w:t>
      </w:r>
      <w:r>
        <w:rPr>
          <w:rFonts w:ascii="Times New Roman" w:hAnsi="Times New Roman" w:cs="Times New Roman"/>
          <w:bCs/>
          <w:sz w:val="24"/>
          <w:szCs w:val="24"/>
        </w:rPr>
        <w:t>)</w:t>
      </w:r>
      <w:r w:rsidR="00035D6B" w:rsidRPr="00035D6B">
        <w:rPr>
          <w:rFonts w:ascii="Times New Roman" w:hAnsi="Times New Roman" w:cs="Times New Roman"/>
          <w:bCs/>
          <w:sz w:val="24"/>
          <w:szCs w:val="24"/>
        </w:rPr>
        <w:t xml:space="preserve">, </w:t>
      </w:r>
      <w:r>
        <w:rPr>
          <w:rFonts w:ascii="Times New Roman" w:hAnsi="Times New Roman" w:cs="Times New Roman"/>
          <w:bCs/>
          <w:sz w:val="24"/>
          <w:szCs w:val="24"/>
        </w:rPr>
        <w:t xml:space="preserve">(2004), </w:t>
      </w:r>
      <w:r w:rsidR="00035D6B" w:rsidRPr="00035D6B">
        <w:rPr>
          <w:rFonts w:ascii="Times New Roman" w:hAnsi="Times New Roman" w:cs="Times New Roman"/>
          <w:bCs/>
          <w:sz w:val="24"/>
          <w:szCs w:val="24"/>
        </w:rPr>
        <w:t>65–80.</w:t>
      </w:r>
    </w:p>
    <w:p w14:paraId="16BE40C2" w14:textId="7B7EF1E7" w:rsidR="00445E4E" w:rsidRDefault="00827B32"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[15] </w:t>
      </w:r>
      <w:proofErr w:type="spellStart"/>
      <w:r>
        <w:rPr>
          <w:rFonts w:ascii="Times New Roman" w:hAnsi="Times New Roman" w:cs="Times New Roman"/>
          <w:bCs/>
          <w:sz w:val="24"/>
          <w:szCs w:val="24"/>
        </w:rPr>
        <w:t>Hedgefundresearch</w:t>
      </w:r>
      <w:proofErr w:type="spellEnd"/>
      <w:r>
        <w:rPr>
          <w:rFonts w:ascii="Times New Roman" w:hAnsi="Times New Roman" w:cs="Times New Roman"/>
          <w:bCs/>
          <w:sz w:val="24"/>
          <w:szCs w:val="24"/>
        </w:rPr>
        <w:t xml:space="preserve">, Description of HFRI </w:t>
      </w:r>
      <w:proofErr w:type="spellStart"/>
      <w:r>
        <w:rPr>
          <w:rFonts w:ascii="Times New Roman" w:hAnsi="Times New Roman" w:cs="Times New Roman"/>
          <w:bCs/>
          <w:sz w:val="24"/>
          <w:szCs w:val="24"/>
        </w:rPr>
        <w:t>indices</w:t>
      </w:r>
      <w:proofErr w:type="spellEnd"/>
      <w:r>
        <w:rPr>
          <w:rFonts w:ascii="Times New Roman" w:hAnsi="Times New Roman" w:cs="Times New Roman"/>
          <w:bCs/>
          <w:sz w:val="24"/>
          <w:szCs w:val="24"/>
        </w:rPr>
        <w:t>,</w:t>
      </w:r>
      <w:r w:rsidR="00445E4E">
        <w:rPr>
          <w:rFonts w:ascii="Times New Roman" w:hAnsi="Times New Roman" w:cs="Times New Roman"/>
          <w:bCs/>
          <w:sz w:val="24"/>
          <w:szCs w:val="24"/>
        </w:rPr>
        <w:t xml:space="preserve"> </w:t>
      </w:r>
      <w:hyperlink r:id="rId9" w:history="1">
        <w:r w:rsidR="00B00E40" w:rsidRPr="00D76543">
          <w:rPr>
            <w:rStyle w:val="Hyperlink"/>
            <w:rFonts w:ascii="Times New Roman" w:hAnsi="Times New Roman" w:cs="Times New Roman"/>
            <w:bCs/>
            <w:sz w:val="24"/>
            <w:szCs w:val="24"/>
          </w:rPr>
          <w:t>https://www.hedgefundresearch.com/hfri-indices-index-descriptions</w:t>
        </w:r>
      </w:hyperlink>
      <w:r w:rsidR="00B00E40">
        <w:rPr>
          <w:rFonts w:ascii="Times New Roman" w:hAnsi="Times New Roman" w:cs="Times New Roman"/>
          <w:bCs/>
          <w:sz w:val="24"/>
          <w:szCs w:val="24"/>
        </w:rPr>
        <w:t xml:space="preserve"> (</w:t>
      </w:r>
      <w:proofErr w:type="spellStart"/>
      <w:r w:rsidR="00B00E40">
        <w:rPr>
          <w:rFonts w:ascii="Times New Roman" w:hAnsi="Times New Roman" w:cs="Times New Roman"/>
          <w:bCs/>
          <w:sz w:val="24"/>
          <w:szCs w:val="24"/>
        </w:rPr>
        <w:t>Accessed</w:t>
      </w:r>
      <w:proofErr w:type="spellEnd"/>
      <w:r w:rsidR="00B00E40">
        <w:rPr>
          <w:rFonts w:ascii="Times New Roman" w:hAnsi="Times New Roman" w:cs="Times New Roman"/>
          <w:bCs/>
          <w:sz w:val="24"/>
          <w:szCs w:val="24"/>
        </w:rPr>
        <w:t xml:space="preserve"> 12 </w:t>
      </w:r>
      <w:proofErr w:type="spellStart"/>
      <w:r w:rsidR="00B00E40">
        <w:rPr>
          <w:rFonts w:ascii="Times New Roman" w:hAnsi="Times New Roman" w:cs="Times New Roman"/>
          <w:bCs/>
          <w:sz w:val="24"/>
          <w:szCs w:val="24"/>
        </w:rPr>
        <w:t>July</w:t>
      </w:r>
      <w:proofErr w:type="spellEnd"/>
      <w:r w:rsidR="00B00E40">
        <w:rPr>
          <w:rFonts w:ascii="Times New Roman" w:hAnsi="Times New Roman" w:cs="Times New Roman"/>
          <w:bCs/>
          <w:sz w:val="24"/>
          <w:szCs w:val="24"/>
        </w:rPr>
        <w:t xml:space="preserve"> 2017)</w:t>
      </w:r>
      <w:r>
        <w:rPr>
          <w:rFonts w:ascii="Times New Roman" w:hAnsi="Times New Roman" w:cs="Times New Roman"/>
          <w:bCs/>
          <w:sz w:val="24"/>
          <w:szCs w:val="24"/>
        </w:rPr>
        <w:t>.</w:t>
      </w:r>
    </w:p>
    <w:p w14:paraId="1BC721E7" w14:textId="4F8E5886" w:rsidR="005B2CC7" w:rsidRDefault="00827B32" w:rsidP="00445E4E">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[16] </w:t>
      </w:r>
      <w:r w:rsidR="005B2CC7">
        <w:rPr>
          <w:rFonts w:ascii="Times New Roman" w:hAnsi="Times New Roman" w:cs="Times New Roman"/>
          <w:bCs/>
          <w:sz w:val="24"/>
          <w:szCs w:val="24"/>
        </w:rPr>
        <w:t>Huang, Y. S., Chen, C.R., Kato, I.</w:t>
      </w:r>
      <w:proofErr w:type="gramStart"/>
      <w:r>
        <w:rPr>
          <w:rFonts w:ascii="Times New Roman" w:hAnsi="Times New Roman" w:cs="Times New Roman"/>
          <w:bCs/>
          <w:sz w:val="24"/>
          <w:szCs w:val="24"/>
        </w:rPr>
        <w:t>,</w:t>
      </w:r>
      <w:r w:rsidR="007E4571">
        <w:rPr>
          <w:rFonts w:ascii="Times New Roman" w:hAnsi="Times New Roman" w:cs="Times New Roman"/>
          <w:bCs/>
          <w:sz w:val="24"/>
          <w:szCs w:val="24"/>
        </w:rPr>
        <w:t xml:space="preserve">  </w:t>
      </w:r>
      <w:r w:rsidR="005B2CC7" w:rsidRPr="005B2CC7">
        <w:rPr>
          <w:rFonts w:ascii="Times New Roman" w:hAnsi="Times New Roman" w:cs="Times New Roman"/>
          <w:bCs/>
          <w:sz w:val="24"/>
          <w:szCs w:val="24"/>
        </w:rPr>
        <w:t>Different</w:t>
      </w:r>
      <w:proofErr w:type="gramEnd"/>
      <w:r w:rsidR="005B2CC7" w:rsidRPr="005B2CC7">
        <w:rPr>
          <w:rFonts w:ascii="Times New Roman" w:hAnsi="Times New Roman" w:cs="Times New Roman"/>
          <w:bCs/>
          <w:sz w:val="24"/>
          <w:szCs w:val="24"/>
        </w:rPr>
        <w:t xml:space="preserve"> </w:t>
      </w:r>
      <w:proofErr w:type="spellStart"/>
      <w:r w:rsidR="005B2CC7" w:rsidRPr="005B2CC7">
        <w:rPr>
          <w:rFonts w:ascii="Times New Roman" w:hAnsi="Times New Roman" w:cs="Times New Roman"/>
          <w:bCs/>
          <w:sz w:val="24"/>
          <w:szCs w:val="24"/>
        </w:rPr>
        <w:t>strokes</w:t>
      </w:r>
      <w:proofErr w:type="spellEnd"/>
      <w:r w:rsidR="005B2CC7" w:rsidRPr="005B2CC7">
        <w:rPr>
          <w:rFonts w:ascii="Times New Roman" w:hAnsi="Times New Roman" w:cs="Times New Roman"/>
          <w:bCs/>
          <w:sz w:val="24"/>
          <w:szCs w:val="24"/>
        </w:rPr>
        <w:t xml:space="preserve"> </w:t>
      </w:r>
      <w:proofErr w:type="spellStart"/>
      <w:r w:rsidR="005B2CC7" w:rsidRPr="005B2CC7">
        <w:rPr>
          <w:rFonts w:ascii="Times New Roman" w:hAnsi="Times New Roman" w:cs="Times New Roman"/>
          <w:bCs/>
          <w:sz w:val="24"/>
          <w:szCs w:val="24"/>
        </w:rPr>
        <w:t>by</w:t>
      </w:r>
      <w:proofErr w:type="spellEnd"/>
      <w:r w:rsidR="005B2CC7" w:rsidRPr="005B2CC7">
        <w:rPr>
          <w:rFonts w:ascii="Times New Roman" w:hAnsi="Times New Roman" w:cs="Times New Roman"/>
          <w:bCs/>
          <w:sz w:val="24"/>
          <w:szCs w:val="24"/>
        </w:rPr>
        <w:t xml:space="preserve"> different </w:t>
      </w:r>
      <w:proofErr w:type="spellStart"/>
      <w:r w:rsidR="005B2CC7" w:rsidRPr="005B2CC7">
        <w:rPr>
          <w:rFonts w:ascii="Times New Roman" w:hAnsi="Times New Roman" w:cs="Times New Roman"/>
          <w:bCs/>
          <w:sz w:val="24"/>
          <w:szCs w:val="24"/>
        </w:rPr>
        <w:t>folks</w:t>
      </w:r>
      <w:proofErr w:type="spellEnd"/>
      <w:r w:rsidR="005B2CC7" w:rsidRPr="005B2CC7">
        <w:rPr>
          <w:rFonts w:ascii="Times New Roman" w:hAnsi="Times New Roman" w:cs="Times New Roman"/>
          <w:bCs/>
          <w:sz w:val="24"/>
          <w:szCs w:val="24"/>
        </w:rPr>
        <w:t xml:space="preserve">: The </w:t>
      </w:r>
      <w:proofErr w:type="spellStart"/>
      <w:r w:rsidR="005B2CC7" w:rsidRPr="005B2CC7">
        <w:rPr>
          <w:rFonts w:ascii="Times New Roman" w:hAnsi="Times New Roman" w:cs="Times New Roman"/>
          <w:bCs/>
          <w:sz w:val="24"/>
          <w:szCs w:val="24"/>
        </w:rPr>
        <w:t>dynamics</w:t>
      </w:r>
      <w:proofErr w:type="spellEnd"/>
      <w:r w:rsidR="005B2CC7" w:rsidRPr="005B2CC7">
        <w:rPr>
          <w:rFonts w:ascii="Times New Roman" w:hAnsi="Times New Roman" w:cs="Times New Roman"/>
          <w:bCs/>
          <w:sz w:val="24"/>
          <w:szCs w:val="24"/>
        </w:rPr>
        <w:t xml:space="preserve"> of </w:t>
      </w:r>
      <w:proofErr w:type="spellStart"/>
      <w:r w:rsidR="005B2CC7" w:rsidRPr="005B2CC7">
        <w:rPr>
          <w:rFonts w:ascii="Times New Roman" w:hAnsi="Times New Roman" w:cs="Times New Roman"/>
          <w:bCs/>
          <w:sz w:val="24"/>
          <w:szCs w:val="24"/>
        </w:rPr>
        <w:t>hedge</w:t>
      </w:r>
      <w:proofErr w:type="spellEnd"/>
      <w:r w:rsidR="005B2CC7" w:rsidRPr="005B2CC7">
        <w:rPr>
          <w:rFonts w:ascii="Times New Roman" w:hAnsi="Times New Roman" w:cs="Times New Roman"/>
          <w:bCs/>
          <w:sz w:val="24"/>
          <w:szCs w:val="24"/>
        </w:rPr>
        <w:t xml:space="preserve"> </w:t>
      </w:r>
      <w:proofErr w:type="spellStart"/>
      <w:r w:rsidR="005B2CC7" w:rsidRPr="005B2CC7">
        <w:rPr>
          <w:rFonts w:ascii="Times New Roman" w:hAnsi="Times New Roman" w:cs="Times New Roman"/>
          <w:bCs/>
          <w:sz w:val="24"/>
          <w:szCs w:val="24"/>
        </w:rPr>
        <w:t>fund</w:t>
      </w:r>
      <w:proofErr w:type="spellEnd"/>
      <w:r w:rsidR="005B2CC7">
        <w:rPr>
          <w:rFonts w:ascii="Times New Roman" w:hAnsi="Times New Roman" w:cs="Times New Roman"/>
          <w:bCs/>
          <w:sz w:val="24"/>
          <w:szCs w:val="24"/>
        </w:rPr>
        <w:t xml:space="preserve"> </w:t>
      </w:r>
      <w:proofErr w:type="spellStart"/>
      <w:r w:rsidR="005B2CC7" w:rsidRPr="005B2CC7">
        <w:rPr>
          <w:rFonts w:ascii="Times New Roman" w:hAnsi="Times New Roman" w:cs="Times New Roman"/>
          <w:bCs/>
          <w:sz w:val="24"/>
          <w:szCs w:val="24"/>
        </w:rPr>
        <w:t>systematic</w:t>
      </w:r>
      <w:proofErr w:type="spellEnd"/>
      <w:r w:rsidR="005B2CC7" w:rsidRPr="005B2CC7">
        <w:rPr>
          <w:rFonts w:ascii="Times New Roman" w:hAnsi="Times New Roman" w:cs="Times New Roman"/>
          <w:bCs/>
          <w:sz w:val="24"/>
          <w:szCs w:val="24"/>
        </w:rPr>
        <w:t xml:space="preserve"> </w:t>
      </w:r>
      <w:proofErr w:type="spellStart"/>
      <w:r w:rsidR="005B2CC7" w:rsidRPr="005B2CC7">
        <w:rPr>
          <w:rFonts w:ascii="Times New Roman" w:hAnsi="Times New Roman" w:cs="Times New Roman"/>
          <w:bCs/>
          <w:sz w:val="24"/>
          <w:szCs w:val="24"/>
        </w:rPr>
        <w:t>risk</w:t>
      </w:r>
      <w:proofErr w:type="spellEnd"/>
      <w:r w:rsidR="005B2CC7" w:rsidRPr="005B2CC7">
        <w:rPr>
          <w:rFonts w:ascii="Times New Roman" w:hAnsi="Times New Roman" w:cs="Times New Roman"/>
          <w:bCs/>
          <w:sz w:val="24"/>
          <w:szCs w:val="24"/>
        </w:rPr>
        <w:t xml:space="preserve"> </w:t>
      </w:r>
      <w:proofErr w:type="spellStart"/>
      <w:r w:rsidR="005B2CC7" w:rsidRPr="005B2CC7">
        <w:rPr>
          <w:rFonts w:ascii="Times New Roman" w:hAnsi="Times New Roman" w:cs="Times New Roman"/>
          <w:bCs/>
          <w:sz w:val="24"/>
          <w:szCs w:val="24"/>
        </w:rPr>
        <w:t>exposure</w:t>
      </w:r>
      <w:proofErr w:type="spellEnd"/>
      <w:r w:rsidR="005B2CC7" w:rsidRPr="005B2CC7">
        <w:rPr>
          <w:rFonts w:ascii="Times New Roman" w:hAnsi="Times New Roman" w:cs="Times New Roman"/>
          <w:bCs/>
          <w:sz w:val="24"/>
          <w:szCs w:val="24"/>
        </w:rPr>
        <w:t xml:space="preserve"> and </w:t>
      </w:r>
      <w:proofErr w:type="spellStart"/>
      <w:r w:rsidR="005B2CC7" w:rsidRPr="005B2CC7">
        <w:rPr>
          <w:rFonts w:ascii="Times New Roman" w:hAnsi="Times New Roman" w:cs="Times New Roman"/>
          <w:bCs/>
          <w:sz w:val="24"/>
          <w:szCs w:val="24"/>
        </w:rPr>
        <w:t>performance</w:t>
      </w:r>
      <w:proofErr w:type="spellEnd"/>
      <w:r w:rsidR="007E4571">
        <w:rPr>
          <w:rFonts w:ascii="Times New Roman" w:hAnsi="Times New Roman" w:cs="Times New Roman"/>
          <w:bCs/>
          <w:sz w:val="24"/>
          <w:szCs w:val="24"/>
        </w:rPr>
        <w:t>,</w:t>
      </w:r>
      <w:r w:rsidR="005B2CC7">
        <w:rPr>
          <w:rFonts w:ascii="Times New Roman" w:hAnsi="Times New Roman" w:cs="Times New Roman"/>
          <w:bCs/>
          <w:sz w:val="24"/>
          <w:szCs w:val="24"/>
        </w:rPr>
        <w:t xml:space="preserve"> </w:t>
      </w:r>
      <w:r w:rsidR="005B2CC7" w:rsidRPr="00F6409C">
        <w:rPr>
          <w:rFonts w:ascii="Times New Roman" w:hAnsi="Times New Roman" w:cs="Times New Roman"/>
          <w:bCs/>
          <w:i/>
          <w:sz w:val="24"/>
          <w:szCs w:val="24"/>
        </w:rPr>
        <w:t xml:space="preserve">International Review of Economics and </w:t>
      </w:r>
      <w:proofErr w:type="spellStart"/>
      <w:r w:rsidR="005B2CC7" w:rsidRPr="00F6409C">
        <w:rPr>
          <w:rFonts w:ascii="Times New Roman" w:hAnsi="Times New Roman" w:cs="Times New Roman"/>
          <w:bCs/>
          <w:i/>
          <w:sz w:val="24"/>
          <w:szCs w:val="24"/>
        </w:rPr>
        <w:t>Finance</w:t>
      </w:r>
      <w:proofErr w:type="spellEnd"/>
      <w:r w:rsidR="005B2CC7" w:rsidRPr="00F6409C">
        <w:rPr>
          <w:rFonts w:ascii="Times New Roman" w:hAnsi="Times New Roman" w:cs="Times New Roman"/>
          <w:bCs/>
          <w:i/>
          <w:sz w:val="24"/>
          <w:szCs w:val="24"/>
        </w:rPr>
        <w:t>,</w:t>
      </w:r>
      <w:r w:rsidR="007E4571">
        <w:rPr>
          <w:rFonts w:ascii="Times New Roman" w:hAnsi="Times New Roman" w:cs="Times New Roman"/>
          <w:bCs/>
          <w:sz w:val="24"/>
          <w:szCs w:val="24"/>
        </w:rPr>
        <w:t xml:space="preserve"> </w:t>
      </w:r>
      <w:r w:rsidR="005B2CC7">
        <w:rPr>
          <w:rFonts w:ascii="Times New Roman" w:hAnsi="Times New Roman" w:cs="Times New Roman"/>
          <w:bCs/>
          <w:sz w:val="24"/>
          <w:szCs w:val="24"/>
        </w:rPr>
        <w:t>48,</w:t>
      </w:r>
      <w:r w:rsidR="005B2CC7" w:rsidRPr="005B2CC7">
        <w:rPr>
          <w:rFonts w:ascii="Times New Roman" w:hAnsi="Times New Roman" w:cs="Times New Roman"/>
          <w:bCs/>
          <w:sz w:val="24"/>
          <w:szCs w:val="24"/>
        </w:rPr>
        <w:t xml:space="preserve"> </w:t>
      </w:r>
      <w:r w:rsidR="007E4571">
        <w:rPr>
          <w:rFonts w:ascii="Times New Roman" w:hAnsi="Times New Roman" w:cs="Times New Roman"/>
          <w:bCs/>
          <w:sz w:val="24"/>
          <w:szCs w:val="24"/>
        </w:rPr>
        <w:t xml:space="preserve">(2017), </w:t>
      </w:r>
      <w:r w:rsidR="005B2CC7" w:rsidRPr="005B2CC7">
        <w:rPr>
          <w:rFonts w:ascii="Times New Roman" w:hAnsi="Times New Roman" w:cs="Times New Roman"/>
          <w:bCs/>
          <w:sz w:val="24"/>
          <w:szCs w:val="24"/>
        </w:rPr>
        <w:t>367–388</w:t>
      </w:r>
      <w:r w:rsidR="005B2CC7">
        <w:rPr>
          <w:rFonts w:ascii="Times New Roman" w:hAnsi="Times New Roman" w:cs="Times New Roman"/>
          <w:bCs/>
          <w:sz w:val="24"/>
          <w:szCs w:val="24"/>
        </w:rPr>
        <w:t>.</w:t>
      </w:r>
    </w:p>
    <w:p w14:paraId="416C6313" w14:textId="62E469ED" w:rsidR="00595E6A" w:rsidRDefault="007E4571" w:rsidP="00445E4E">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[17] </w:t>
      </w:r>
      <w:proofErr w:type="spellStart"/>
      <w:r w:rsidR="00595E6A">
        <w:rPr>
          <w:rFonts w:ascii="Times New Roman" w:hAnsi="Times New Roman" w:cs="Times New Roman"/>
          <w:bCs/>
          <w:sz w:val="24"/>
          <w:szCs w:val="24"/>
        </w:rPr>
        <w:t>Jackwert</w:t>
      </w:r>
      <w:r w:rsidR="00F938CD">
        <w:rPr>
          <w:rFonts w:ascii="Times New Roman" w:hAnsi="Times New Roman" w:cs="Times New Roman"/>
          <w:bCs/>
          <w:sz w:val="24"/>
          <w:szCs w:val="24"/>
        </w:rPr>
        <w:t>h</w:t>
      </w:r>
      <w:proofErr w:type="spellEnd"/>
      <w:r w:rsidR="00F938CD">
        <w:rPr>
          <w:rFonts w:ascii="Times New Roman" w:hAnsi="Times New Roman" w:cs="Times New Roman"/>
          <w:bCs/>
          <w:sz w:val="24"/>
          <w:szCs w:val="24"/>
        </w:rPr>
        <w:t xml:space="preserve">, J.C., </w:t>
      </w:r>
      <w:proofErr w:type="spellStart"/>
      <w:r w:rsidR="00F938CD">
        <w:rPr>
          <w:rFonts w:ascii="Times New Roman" w:hAnsi="Times New Roman" w:cs="Times New Roman"/>
          <w:bCs/>
          <w:sz w:val="24"/>
          <w:szCs w:val="24"/>
        </w:rPr>
        <w:t>Slavutskaya</w:t>
      </w:r>
      <w:proofErr w:type="spellEnd"/>
      <w:r w:rsidR="00F938CD">
        <w:rPr>
          <w:rFonts w:ascii="Times New Roman" w:hAnsi="Times New Roman" w:cs="Times New Roman"/>
          <w:bCs/>
          <w:sz w:val="24"/>
          <w:szCs w:val="24"/>
        </w:rPr>
        <w:t>, A.</w:t>
      </w:r>
      <w:r>
        <w:rPr>
          <w:rFonts w:ascii="Times New Roman" w:hAnsi="Times New Roman" w:cs="Times New Roman"/>
          <w:bCs/>
          <w:sz w:val="24"/>
          <w:szCs w:val="24"/>
        </w:rPr>
        <w:t xml:space="preserve">, </w:t>
      </w:r>
      <w:r w:rsidR="00595E6A">
        <w:rPr>
          <w:rFonts w:ascii="Times New Roman" w:hAnsi="Times New Roman" w:cs="Times New Roman"/>
          <w:bCs/>
          <w:sz w:val="24"/>
          <w:szCs w:val="24"/>
        </w:rPr>
        <w:t xml:space="preserve">The total </w:t>
      </w:r>
      <w:proofErr w:type="spellStart"/>
      <w:r w:rsidR="00595E6A">
        <w:rPr>
          <w:rFonts w:ascii="Times New Roman" w:hAnsi="Times New Roman" w:cs="Times New Roman"/>
          <w:bCs/>
          <w:sz w:val="24"/>
          <w:szCs w:val="24"/>
        </w:rPr>
        <w:t>benefit</w:t>
      </w:r>
      <w:proofErr w:type="spellEnd"/>
      <w:r w:rsidR="00595E6A">
        <w:rPr>
          <w:rFonts w:ascii="Times New Roman" w:hAnsi="Times New Roman" w:cs="Times New Roman"/>
          <w:bCs/>
          <w:sz w:val="24"/>
          <w:szCs w:val="24"/>
        </w:rPr>
        <w:t xml:space="preserve"> of alternative </w:t>
      </w:r>
      <w:proofErr w:type="spellStart"/>
      <w:r w:rsidR="00595E6A">
        <w:rPr>
          <w:rFonts w:ascii="Times New Roman" w:hAnsi="Times New Roman" w:cs="Times New Roman"/>
          <w:bCs/>
          <w:sz w:val="24"/>
          <w:szCs w:val="24"/>
        </w:rPr>
        <w:t>a</w:t>
      </w:r>
      <w:r>
        <w:rPr>
          <w:rFonts w:ascii="Times New Roman" w:hAnsi="Times New Roman" w:cs="Times New Roman"/>
          <w:bCs/>
          <w:sz w:val="24"/>
          <w:szCs w:val="24"/>
        </w:rPr>
        <w:t>sset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pension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fund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portfolios</w:t>
      </w:r>
      <w:proofErr w:type="spellEnd"/>
      <w:r>
        <w:rPr>
          <w:rFonts w:ascii="Times New Roman" w:hAnsi="Times New Roman" w:cs="Times New Roman"/>
          <w:bCs/>
          <w:sz w:val="24"/>
          <w:szCs w:val="24"/>
        </w:rPr>
        <w:t>,</w:t>
      </w:r>
      <w:r w:rsidR="00595E6A">
        <w:rPr>
          <w:rFonts w:ascii="Times New Roman" w:hAnsi="Times New Roman" w:cs="Times New Roman"/>
          <w:bCs/>
          <w:sz w:val="24"/>
          <w:szCs w:val="24"/>
        </w:rPr>
        <w:t xml:space="preserve"> </w:t>
      </w:r>
      <w:r w:rsidR="00595E6A" w:rsidRPr="00F6409C">
        <w:rPr>
          <w:rFonts w:ascii="Times New Roman" w:hAnsi="Times New Roman" w:cs="Times New Roman"/>
          <w:bCs/>
          <w:i/>
          <w:sz w:val="24"/>
          <w:szCs w:val="24"/>
        </w:rPr>
        <w:t xml:space="preserve">Journal of Financial </w:t>
      </w:r>
      <w:proofErr w:type="spellStart"/>
      <w:r w:rsidR="00595E6A" w:rsidRPr="00F6409C">
        <w:rPr>
          <w:rFonts w:ascii="Times New Roman" w:hAnsi="Times New Roman" w:cs="Times New Roman"/>
          <w:bCs/>
          <w:i/>
          <w:sz w:val="24"/>
          <w:szCs w:val="24"/>
        </w:rPr>
        <w:t>Markets</w:t>
      </w:r>
      <w:proofErr w:type="spellEnd"/>
      <w:r w:rsidR="00F938CD">
        <w:rPr>
          <w:rFonts w:ascii="Times New Roman" w:hAnsi="Times New Roman" w:cs="Times New Roman"/>
          <w:bCs/>
          <w:i/>
          <w:sz w:val="24"/>
          <w:szCs w:val="24"/>
        </w:rPr>
        <w:t>,</w:t>
      </w:r>
      <w:r w:rsidR="00595E6A">
        <w:rPr>
          <w:rFonts w:ascii="Times New Roman" w:hAnsi="Times New Roman" w:cs="Times New Roman"/>
          <w:bCs/>
          <w:sz w:val="24"/>
          <w:szCs w:val="24"/>
        </w:rPr>
        <w:t xml:space="preserve"> </w:t>
      </w:r>
      <w:r w:rsidR="00F938CD">
        <w:rPr>
          <w:rFonts w:ascii="Times New Roman" w:hAnsi="Times New Roman" w:cs="Times New Roman"/>
          <w:bCs/>
          <w:sz w:val="24"/>
          <w:szCs w:val="24"/>
        </w:rPr>
        <w:t>31,</w:t>
      </w:r>
      <w:r>
        <w:rPr>
          <w:rFonts w:ascii="Times New Roman" w:hAnsi="Times New Roman" w:cs="Times New Roman"/>
          <w:bCs/>
          <w:sz w:val="24"/>
          <w:szCs w:val="24"/>
        </w:rPr>
        <w:t xml:space="preserve"> (2016</w:t>
      </w:r>
      <w:proofErr w:type="gramStart"/>
      <w:r>
        <w:rPr>
          <w:rFonts w:ascii="Times New Roman" w:hAnsi="Times New Roman" w:cs="Times New Roman"/>
          <w:bCs/>
          <w:sz w:val="24"/>
          <w:szCs w:val="24"/>
        </w:rPr>
        <w:t xml:space="preserve">), </w:t>
      </w:r>
      <w:r w:rsidR="00595E6A">
        <w:rPr>
          <w:rFonts w:ascii="Times New Roman" w:hAnsi="Times New Roman" w:cs="Times New Roman"/>
          <w:bCs/>
          <w:sz w:val="24"/>
          <w:szCs w:val="24"/>
        </w:rPr>
        <w:t xml:space="preserve"> 25</w:t>
      </w:r>
      <w:proofErr w:type="gramEnd"/>
      <w:r w:rsidR="00595E6A">
        <w:rPr>
          <w:rFonts w:ascii="Times New Roman" w:hAnsi="Times New Roman" w:cs="Times New Roman"/>
          <w:bCs/>
          <w:sz w:val="24"/>
          <w:szCs w:val="24"/>
        </w:rPr>
        <w:t>-42.</w:t>
      </w:r>
    </w:p>
    <w:p w14:paraId="7621A6AB" w14:textId="7765897D" w:rsidR="009969DC" w:rsidRDefault="007E4571" w:rsidP="00445E4E">
      <w:pPr>
        <w:autoSpaceDE w:val="0"/>
        <w:autoSpaceDN w:val="0"/>
        <w:adjustRightInd w:val="0"/>
        <w:spacing w:after="0" w:line="360" w:lineRule="auto"/>
        <w:rPr>
          <w:rFonts w:ascii="Times New Roman" w:hAnsi="Times New Roman" w:cs="Times New Roman"/>
          <w:bCs/>
          <w:sz w:val="24"/>
          <w:szCs w:val="24"/>
          <w:lang w:val="de-DE"/>
        </w:rPr>
      </w:pPr>
      <w:r>
        <w:rPr>
          <w:rFonts w:ascii="Times New Roman" w:hAnsi="Times New Roman" w:cs="Times New Roman"/>
          <w:bCs/>
          <w:sz w:val="24"/>
          <w:szCs w:val="24"/>
        </w:rPr>
        <w:t>[18] Kaiser, D.,</w:t>
      </w:r>
      <w:r w:rsidR="009969DC" w:rsidRPr="00B9245E">
        <w:rPr>
          <w:rFonts w:ascii="Times New Roman" w:hAnsi="Times New Roman" w:cs="Times New Roman"/>
          <w:bCs/>
          <w:sz w:val="24"/>
          <w:szCs w:val="24"/>
        </w:rPr>
        <w:t xml:space="preserve"> </w:t>
      </w:r>
      <w:r w:rsidR="009969DC" w:rsidRPr="007E4571">
        <w:rPr>
          <w:rFonts w:ascii="Times New Roman" w:hAnsi="Times New Roman" w:cs="Times New Roman"/>
          <w:bCs/>
          <w:i/>
          <w:sz w:val="24"/>
          <w:szCs w:val="24"/>
        </w:rPr>
        <w:t>Hedgefonds</w:t>
      </w:r>
      <w:r w:rsidR="009969DC" w:rsidRPr="00B9245E">
        <w:rPr>
          <w:rFonts w:ascii="Times New Roman" w:hAnsi="Times New Roman" w:cs="Times New Roman"/>
          <w:bCs/>
          <w:sz w:val="24"/>
          <w:szCs w:val="24"/>
        </w:rPr>
        <w:t xml:space="preserve"> – </w:t>
      </w:r>
      <w:r w:rsidR="009969DC" w:rsidRPr="000E4103">
        <w:rPr>
          <w:rFonts w:ascii="Times New Roman" w:hAnsi="Times New Roman" w:cs="Times New Roman"/>
          <w:bCs/>
          <w:i/>
          <w:sz w:val="24"/>
          <w:szCs w:val="24"/>
        </w:rPr>
        <w:t xml:space="preserve">Entmystifizierung einer </w:t>
      </w:r>
      <w:proofErr w:type="spellStart"/>
      <w:r w:rsidR="009969DC" w:rsidRPr="000E4103">
        <w:rPr>
          <w:rFonts w:ascii="Times New Roman" w:hAnsi="Times New Roman" w:cs="Times New Roman"/>
          <w:bCs/>
          <w:i/>
          <w:sz w:val="24"/>
          <w:szCs w:val="24"/>
        </w:rPr>
        <w:t>Assetklasse</w:t>
      </w:r>
      <w:proofErr w:type="spellEnd"/>
      <w:r w:rsidR="00F938CD">
        <w:rPr>
          <w:rFonts w:ascii="Times New Roman" w:hAnsi="Times New Roman" w:cs="Times New Roman"/>
          <w:bCs/>
          <w:i/>
          <w:sz w:val="24"/>
          <w:szCs w:val="24"/>
        </w:rPr>
        <w:t xml:space="preserve">, </w:t>
      </w:r>
      <w:r w:rsidR="00F938CD" w:rsidRPr="007E4571">
        <w:rPr>
          <w:rFonts w:ascii="Times New Roman" w:hAnsi="Times New Roman" w:cs="Times New Roman"/>
          <w:bCs/>
          <w:sz w:val="24"/>
          <w:szCs w:val="24"/>
        </w:rPr>
        <w:t>1. Edition</w:t>
      </w:r>
      <w:r w:rsidR="00F938CD">
        <w:rPr>
          <w:rFonts w:ascii="Times New Roman" w:hAnsi="Times New Roman" w:cs="Times New Roman"/>
          <w:bCs/>
          <w:i/>
          <w:sz w:val="24"/>
          <w:szCs w:val="24"/>
        </w:rPr>
        <w:t>,</w:t>
      </w:r>
      <w:r w:rsidR="009969DC" w:rsidRPr="00B9245E">
        <w:rPr>
          <w:rFonts w:ascii="Times New Roman" w:hAnsi="Times New Roman" w:cs="Times New Roman"/>
          <w:bCs/>
          <w:sz w:val="24"/>
          <w:szCs w:val="24"/>
        </w:rPr>
        <w:t xml:space="preserve"> </w:t>
      </w:r>
      <w:r>
        <w:rPr>
          <w:rFonts w:ascii="Times New Roman" w:hAnsi="Times New Roman" w:cs="Times New Roman"/>
          <w:bCs/>
          <w:sz w:val="24"/>
          <w:szCs w:val="24"/>
          <w:lang w:val="de-DE"/>
        </w:rPr>
        <w:t>GWV Fachverlage GmbH, Wiesbaden, 2004.</w:t>
      </w:r>
    </w:p>
    <w:p w14:paraId="0403D500" w14:textId="4787BB6D" w:rsidR="009A48B2" w:rsidRDefault="007E4571" w:rsidP="00445E4E">
      <w:pPr>
        <w:autoSpaceDE w:val="0"/>
        <w:autoSpaceDN w:val="0"/>
        <w:adjustRightInd w:val="0"/>
        <w:spacing w:after="0" w:line="360" w:lineRule="auto"/>
        <w:rPr>
          <w:rFonts w:ascii="Times New Roman" w:hAnsi="Times New Roman" w:cs="Times New Roman"/>
          <w:bCs/>
          <w:sz w:val="24"/>
          <w:szCs w:val="24"/>
          <w:lang w:val="de-DE"/>
        </w:rPr>
      </w:pPr>
      <w:r>
        <w:rPr>
          <w:rFonts w:ascii="Times New Roman" w:hAnsi="Times New Roman" w:cs="Times New Roman"/>
          <w:bCs/>
          <w:sz w:val="24"/>
          <w:szCs w:val="24"/>
          <w:lang w:val="de-DE"/>
        </w:rPr>
        <w:t>[19] Kaiser, D.</w:t>
      </w:r>
      <w:proofErr w:type="gramStart"/>
      <w:r>
        <w:rPr>
          <w:rFonts w:ascii="Times New Roman" w:hAnsi="Times New Roman" w:cs="Times New Roman"/>
          <w:bCs/>
          <w:sz w:val="24"/>
          <w:szCs w:val="24"/>
          <w:lang w:val="de-DE"/>
        </w:rPr>
        <w:t xml:space="preserve">, </w:t>
      </w:r>
      <w:r w:rsidR="009A48B2">
        <w:rPr>
          <w:rFonts w:ascii="Times New Roman" w:hAnsi="Times New Roman" w:cs="Times New Roman"/>
          <w:bCs/>
          <w:sz w:val="24"/>
          <w:szCs w:val="24"/>
          <w:lang w:val="de-DE"/>
        </w:rPr>
        <w:t xml:space="preserve"> </w:t>
      </w:r>
      <w:r w:rsidR="009A48B2" w:rsidRPr="007E4571">
        <w:rPr>
          <w:rFonts w:ascii="Times New Roman" w:hAnsi="Times New Roman" w:cs="Times New Roman"/>
          <w:bCs/>
          <w:i/>
          <w:sz w:val="24"/>
          <w:szCs w:val="24"/>
          <w:lang w:val="de-DE"/>
        </w:rPr>
        <w:t>Hedgefond</w:t>
      </w:r>
      <w:r w:rsidR="009A48B2" w:rsidRPr="007E4571">
        <w:rPr>
          <w:rFonts w:ascii="Times New Roman" w:hAnsi="Times New Roman" w:cs="Times New Roman"/>
          <w:b/>
          <w:bCs/>
          <w:sz w:val="24"/>
          <w:szCs w:val="24"/>
          <w:lang w:val="de-DE"/>
        </w:rPr>
        <w:t>s</w:t>
      </w:r>
      <w:proofErr w:type="gramEnd"/>
      <w:r w:rsidR="009A48B2">
        <w:rPr>
          <w:rFonts w:ascii="Times New Roman" w:hAnsi="Times New Roman" w:cs="Times New Roman"/>
          <w:bCs/>
          <w:sz w:val="24"/>
          <w:szCs w:val="24"/>
          <w:lang w:val="de-DE"/>
        </w:rPr>
        <w:t xml:space="preserve"> – </w:t>
      </w:r>
      <w:r w:rsidR="009A48B2" w:rsidRPr="000E4103">
        <w:rPr>
          <w:rFonts w:ascii="Times New Roman" w:hAnsi="Times New Roman" w:cs="Times New Roman"/>
          <w:bCs/>
          <w:i/>
          <w:sz w:val="24"/>
          <w:szCs w:val="24"/>
          <w:lang w:val="de-DE"/>
        </w:rPr>
        <w:t xml:space="preserve">Entmystifizierung einer </w:t>
      </w:r>
      <w:proofErr w:type="spellStart"/>
      <w:r w:rsidR="009A48B2" w:rsidRPr="000E4103">
        <w:rPr>
          <w:rFonts w:ascii="Times New Roman" w:hAnsi="Times New Roman" w:cs="Times New Roman"/>
          <w:bCs/>
          <w:i/>
          <w:sz w:val="24"/>
          <w:szCs w:val="24"/>
          <w:lang w:val="de-DE"/>
        </w:rPr>
        <w:t>Assetklasse</w:t>
      </w:r>
      <w:proofErr w:type="spellEnd"/>
      <w:r w:rsidR="00F938CD">
        <w:rPr>
          <w:rFonts w:ascii="Times New Roman" w:hAnsi="Times New Roman" w:cs="Times New Roman"/>
          <w:bCs/>
          <w:i/>
          <w:sz w:val="24"/>
          <w:szCs w:val="24"/>
          <w:lang w:val="de-DE"/>
        </w:rPr>
        <w:t xml:space="preserve">, </w:t>
      </w:r>
      <w:r w:rsidR="00F938CD" w:rsidRPr="007E4571">
        <w:rPr>
          <w:rFonts w:ascii="Times New Roman" w:hAnsi="Times New Roman" w:cs="Times New Roman"/>
          <w:bCs/>
          <w:sz w:val="24"/>
          <w:szCs w:val="24"/>
          <w:lang w:val="de-DE"/>
        </w:rPr>
        <w:t>2. Edition</w:t>
      </w:r>
      <w:r w:rsidR="00F938CD">
        <w:rPr>
          <w:rFonts w:ascii="Times New Roman" w:hAnsi="Times New Roman" w:cs="Times New Roman"/>
          <w:bCs/>
          <w:i/>
          <w:sz w:val="24"/>
          <w:szCs w:val="24"/>
          <w:lang w:val="de-DE"/>
        </w:rPr>
        <w:t>,</w:t>
      </w:r>
      <w:r w:rsidR="009A48B2">
        <w:rPr>
          <w:rFonts w:ascii="Times New Roman" w:hAnsi="Times New Roman" w:cs="Times New Roman"/>
          <w:bCs/>
          <w:sz w:val="24"/>
          <w:szCs w:val="24"/>
          <w:lang w:val="de-DE"/>
        </w:rPr>
        <w:t xml:space="preserve"> GWV Fachverlage GmbH</w:t>
      </w:r>
      <w:r>
        <w:rPr>
          <w:rFonts w:ascii="Times New Roman" w:hAnsi="Times New Roman" w:cs="Times New Roman"/>
          <w:bCs/>
          <w:sz w:val="24"/>
          <w:szCs w:val="24"/>
          <w:lang w:val="de-DE"/>
        </w:rPr>
        <w:t>, Wiesbaden, 2009</w:t>
      </w:r>
      <w:r w:rsidR="009A48B2">
        <w:rPr>
          <w:rFonts w:ascii="Times New Roman" w:hAnsi="Times New Roman" w:cs="Times New Roman"/>
          <w:bCs/>
          <w:sz w:val="24"/>
          <w:szCs w:val="24"/>
          <w:lang w:val="de-DE"/>
        </w:rPr>
        <w:t>.</w:t>
      </w:r>
    </w:p>
    <w:p w14:paraId="220F239D" w14:textId="6538F407" w:rsidR="00EE250D" w:rsidRPr="00430971" w:rsidRDefault="007E4571" w:rsidP="00445E4E">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 xml:space="preserve">[20] </w:t>
      </w:r>
      <w:proofErr w:type="spellStart"/>
      <w:r>
        <w:rPr>
          <w:rFonts w:ascii="Times New Roman" w:hAnsi="Times New Roman" w:cs="Times New Roman"/>
          <w:bCs/>
          <w:sz w:val="24"/>
          <w:szCs w:val="24"/>
          <w:lang w:val="en-US"/>
        </w:rPr>
        <w:t>Lhabitant</w:t>
      </w:r>
      <w:proofErr w:type="spellEnd"/>
      <w:r>
        <w:rPr>
          <w:rFonts w:ascii="Times New Roman" w:hAnsi="Times New Roman" w:cs="Times New Roman"/>
          <w:bCs/>
          <w:sz w:val="24"/>
          <w:szCs w:val="24"/>
          <w:lang w:val="en-US"/>
        </w:rPr>
        <w:t>, F. S.,</w:t>
      </w:r>
      <w:r w:rsidR="00EE250D" w:rsidRPr="00B9245E">
        <w:rPr>
          <w:rFonts w:ascii="Times New Roman" w:hAnsi="Times New Roman" w:cs="Times New Roman"/>
          <w:bCs/>
          <w:sz w:val="24"/>
          <w:szCs w:val="24"/>
          <w:lang w:val="en-US"/>
        </w:rPr>
        <w:t xml:space="preserve"> </w:t>
      </w:r>
      <w:r w:rsidR="00EE250D" w:rsidRPr="007E4571">
        <w:rPr>
          <w:rFonts w:ascii="Times New Roman" w:hAnsi="Times New Roman" w:cs="Times New Roman"/>
          <w:bCs/>
          <w:i/>
          <w:sz w:val="24"/>
          <w:szCs w:val="24"/>
          <w:lang w:val="en-US"/>
        </w:rPr>
        <w:t xml:space="preserve">Hedge Funds – </w:t>
      </w:r>
      <w:r w:rsidR="00F938CD" w:rsidRPr="007E4571">
        <w:rPr>
          <w:rFonts w:ascii="Times New Roman" w:hAnsi="Times New Roman" w:cs="Times New Roman"/>
          <w:bCs/>
          <w:i/>
          <w:sz w:val="24"/>
          <w:szCs w:val="24"/>
          <w:lang w:val="en-US"/>
        </w:rPr>
        <w:t>Quantitative Insights</w:t>
      </w:r>
      <w:r w:rsidR="00F938CD">
        <w:rPr>
          <w:rFonts w:ascii="Times New Roman" w:hAnsi="Times New Roman" w:cs="Times New Roman"/>
          <w:bCs/>
          <w:i/>
          <w:sz w:val="24"/>
          <w:szCs w:val="24"/>
          <w:lang w:val="en-US"/>
        </w:rPr>
        <w:t>,</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 xml:space="preserve">John Wiley &amp; Sons Limited, </w:t>
      </w:r>
      <w:proofErr w:type="spellStart"/>
      <w:r>
        <w:rPr>
          <w:rFonts w:ascii="Times New Roman" w:hAnsi="Times New Roman" w:cs="Times New Roman"/>
          <w:bCs/>
          <w:sz w:val="24"/>
          <w:szCs w:val="24"/>
          <w:lang w:val="en-US"/>
        </w:rPr>
        <w:t>Chichester</w:t>
      </w:r>
      <w:proofErr w:type="spellEnd"/>
      <w:r>
        <w:rPr>
          <w:rFonts w:ascii="Times New Roman" w:hAnsi="Times New Roman" w:cs="Times New Roman"/>
          <w:bCs/>
          <w:sz w:val="24"/>
          <w:szCs w:val="24"/>
          <w:lang w:val="en-US"/>
        </w:rPr>
        <w:t>, 2004.</w:t>
      </w:r>
    </w:p>
    <w:p w14:paraId="39D603DE" w14:textId="3683FB34" w:rsidR="004B523E" w:rsidRDefault="007E4571"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[21] </w:t>
      </w:r>
      <w:proofErr w:type="spellStart"/>
      <w:r w:rsidR="00035D6B" w:rsidRPr="00035D6B">
        <w:rPr>
          <w:rFonts w:ascii="Times New Roman" w:hAnsi="Times New Roman" w:cs="Times New Roman"/>
          <w:bCs/>
          <w:sz w:val="24"/>
          <w:szCs w:val="24"/>
        </w:rPr>
        <w:t>Racic</w:t>
      </w:r>
      <w:r w:rsidR="00F938CD">
        <w:rPr>
          <w:rFonts w:ascii="Times New Roman" w:hAnsi="Times New Roman" w:cs="Times New Roman"/>
          <w:bCs/>
          <w:sz w:val="24"/>
          <w:szCs w:val="24"/>
        </w:rPr>
        <w:t>ot</w:t>
      </w:r>
      <w:proofErr w:type="spellEnd"/>
      <w:r w:rsidR="00F938CD">
        <w:rPr>
          <w:rFonts w:ascii="Times New Roman" w:hAnsi="Times New Roman" w:cs="Times New Roman"/>
          <w:bCs/>
          <w:sz w:val="24"/>
          <w:szCs w:val="24"/>
        </w:rPr>
        <w:t xml:space="preserve">, F. E., &amp; </w:t>
      </w:r>
      <w:proofErr w:type="spellStart"/>
      <w:r w:rsidR="00F938CD">
        <w:rPr>
          <w:rFonts w:ascii="Times New Roman" w:hAnsi="Times New Roman" w:cs="Times New Roman"/>
          <w:bCs/>
          <w:sz w:val="24"/>
          <w:szCs w:val="24"/>
        </w:rPr>
        <w:t>Theoret</w:t>
      </w:r>
      <w:proofErr w:type="spellEnd"/>
      <w:r w:rsidR="00F938CD">
        <w:rPr>
          <w:rFonts w:ascii="Times New Roman" w:hAnsi="Times New Roman" w:cs="Times New Roman"/>
          <w:bCs/>
          <w:sz w:val="24"/>
          <w:szCs w:val="24"/>
        </w:rPr>
        <w:t>, R.</w:t>
      </w:r>
      <w:r>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Macroeconomic</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shocks</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forward-looking</w:t>
      </w:r>
      <w:proofErr w:type="spellEnd"/>
      <w:r w:rsidR="00035D6B" w:rsidRPr="00035D6B">
        <w:rPr>
          <w:rFonts w:ascii="Times New Roman" w:hAnsi="Times New Roman" w:cs="Times New Roman"/>
          <w:bCs/>
          <w:sz w:val="24"/>
          <w:szCs w:val="24"/>
        </w:rPr>
        <w:t xml:space="preserve"> </w:t>
      </w:r>
      <w:proofErr w:type="spellStart"/>
      <w:r w:rsidR="00035D6B" w:rsidRPr="00035D6B">
        <w:rPr>
          <w:rFonts w:ascii="Times New Roman" w:hAnsi="Times New Roman" w:cs="Times New Roman"/>
          <w:bCs/>
          <w:sz w:val="24"/>
          <w:szCs w:val="24"/>
        </w:rPr>
        <w:t>dynamics</w:t>
      </w:r>
      <w:proofErr w:type="spellEnd"/>
      <w:r w:rsidR="00035D6B" w:rsidRPr="00035D6B">
        <w:rPr>
          <w:rFonts w:ascii="Times New Roman" w:hAnsi="Times New Roman" w:cs="Times New Roman"/>
          <w:bCs/>
          <w:sz w:val="24"/>
          <w:szCs w:val="24"/>
        </w:rPr>
        <w:t>, a</w:t>
      </w:r>
      <w:r w:rsidR="000F4E89">
        <w:rPr>
          <w:rFonts w:ascii="Times New Roman" w:hAnsi="Times New Roman" w:cs="Times New Roman"/>
          <w:bCs/>
          <w:sz w:val="24"/>
          <w:szCs w:val="24"/>
        </w:rPr>
        <w:t xml:space="preserve">nd </w:t>
      </w:r>
      <w:proofErr w:type="spellStart"/>
      <w:r w:rsidR="000F4E89">
        <w:rPr>
          <w:rFonts w:ascii="Times New Roman" w:hAnsi="Times New Roman" w:cs="Times New Roman"/>
          <w:bCs/>
          <w:sz w:val="24"/>
          <w:szCs w:val="24"/>
        </w:rPr>
        <w:t>the</w:t>
      </w:r>
      <w:proofErr w:type="spellEnd"/>
      <w:r w:rsidR="000F4E89">
        <w:rPr>
          <w:rFonts w:ascii="Times New Roman" w:hAnsi="Times New Roman" w:cs="Times New Roman"/>
          <w:bCs/>
          <w:sz w:val="24"/>
          <w:szCs w:val="24"/>
        </w:rPr>
        <w:t xml:space="preserve"> </w:t>
      </w:r>
      <w:proofErr w:type="spellStart"/>
      <w:r w:rsidR="000F4E89">
        <w:rPr>
          <w:rFonts w:ascii="Times New Roman" w:hAnsi="Times New Roman" w:cs="Times New Roman"/>
          <w:bCs/>
          <w:sz w:val="24"/>
          <w:szCs w:val="24"/>
        </w:rPr>
        <w:t>behaviour</w:t>
      </w:r>
      <w:proofErr w:type="spellEnd"/>
      <w:r w:rsidR="000F4E89">
        <w:rPr>
          <w:rFonts w:ascii="Times New Roman" w:hAnsi="Times New Roman" w:cs="Times New Roman"/>
          <w:bCs/>
          <w:sz w:val="24"/>
          <w:szCs w:val="24"/>
        </w:rPr>
        <w:t xml:space="preserve"> of </w:t>
      </w:r>
      <w:proofErr w:type="spellStart"/>
      <w:r w:rsidR="000F4E89">
        <w:rPr>
          <w:rFonts w:ascii="Times New Roman" w:hAnsi="Times New Roman" w:cs="Times New Roman"/>
          <w:bCs/>
          <w:sz w:val="24"/>
          <w:szCs w:val="24"/>
        </w:rPr>
        <w:t>hedge</w:t>
      </w:r>
      <w:proofErr w:type="spellEnd"/>
      <w:r w:rsidR="000F4E89">
        <w:rPr>
          <w:rFonts w:ascii="Times New Roman" w:hAnsi="Times New Roman" w:cs="Times New Roman"/>
          <w:bCs/>
          <w:sz w:val="24"/>
          <w:szCs w:val="24"/>
        </w:rPr>
        <w:t xml:space="preserve"> </w:t>
      </w:r>
      <w:proofErr w:type="spellStart"/>
      <w:r w:rsidR="000F4E89">
        <w:rPr>
          <w:rFonts w:ascii="Times New Roman" w:hAnsi="Times New Roman" w:cs="Times New Roman"/>
          <w:bCs/>
          <w:sz w:val="24"/>
          <w:szCs w:val="24"/>
        </w:rPr>
        <w:t>funds</w:t>
      </w:r>
      <w:proofErr w:type="spellEnd"/>
      <w:r w:rsidR="000F4E89">
        <w:rPr>
          <w:rFonts w:ascii="Times New Roman" w:hAnsi="Times New Roman" w:cs="Times New Roman"/>
          <w:bCs/>
          <w:sz w:val="24"/>
          <w:szCs w:val="24"/>
        </w:rPr>
        <w:t>,</w:t>
      </w:r>
      <w:r w:rsidR="00035D6B" w:rsidRPr="00035D6B">
        <w:rPr>
          <w:rFonts w:ascii="Times New Roman" w:hAnsi="Times New Roman" w:cs="Times New Roman"/>
          <w:bCs/>
          <w:sz w:val="24"/>
          <w:szCs w:val="24"/>
        </w:rPr>
        <w:t xml:space="preserve"> </w:t>
      </w:r>
      <w:r w:rsidR="00035D6B" w:rsidRPr="00F6409C">
        <w:rPr>
          <w:rFonts w:ascii="Times New Roman" w:hAnsi="Times New Roman" w:cs="Times New Roman"/>
          <w:bCs/>
          <w:i/>
          <w:sz w:val="24"/>
          <w:szCs w:val="24"/>
        </w:rPr>
        <w:t xml:space="preserve">Journal of Banking &amp; </w:t>
      </w:r>
      <w:proofErr w:type="spellStart"/>
      <w:r w:rsidR="00035D6B" w:rsidRPr="00F6409C">
        <w:rPr>
          <w:rFonts w:ascii="Times New Roman" w:hAnsi="Times New Roman" w:cs="Times New Roman"/>
          <w:bCs/>
          <w:i/>
          <w:sz w:val="24"/>
          <w:szCs w:val="24"/>
        </w:rPr>
        <w:t>Finance</w:t>
      </w:r>
      <w:proofErr w:type="spellEnd"/>
      <w:r w:rsidR="00035D6B" w:rsidRPr="00035D6B">
        <w:rPr>
          <w:rFonts w:ascii="Times New Roman" w:hAnsi="Times New Roman" w:cs="Times New Roman"/>
          <w:bCs/>
          <w:sz w:val="24"/>
          <w:szCs w:val="24"/>
        </w:rPr>
        <w:t>,</w:t>
      </w:r>
      <w:r w:rsidR="000E4103">
        <w:rPr>
          <w:rFonts w:ascii="Times New Roman" w:hAnsi="Times New Roman" w:cs="Times New Roman"/>
          <w:bCs/>
          <w:sz w:val="24"/>
          <w:szCs w:val="24"/>
        </w:rPr>
        <w:t xml:space="preserve"> </w:t>
      </w:r>
      <w:r>
        <w:rPr>
          <w:rFonts w:ascii="Times New Roman" w:hAnsi="Times New Roman" w:cs="Times New Roman"/>
          <w:bCs/>
          <w:sz w:val="24"/>
          <w:szCs w:val="24"/>
        </w:rPr>
        <w:t>62(</w:t>
      </w:r>
      <w:r w:rsidR="000E4103">
        <w:rPr>
          <w:rFonts w:ascii="Times New Roman" w:hAnsi="Times New Roman" w:cs="Times New Roman"/>
          <w:bCs/>
          <w:sz w:val="24"/>
          <w:szCs w:val="24"/>
        </w:rPr>
        <w:t>1</w:t>
      </w:r>
      <w:r>
        <w:rPr>
          <w:rFonts w:ascii="Times New Roman" w:hAnsi="Times New Roman" w:cs="Times New Roman"/>
          <w:bCs/>
          <w:sz w:val="24"/>
          <w:szCs w:val="24"/>
        </w:rPr>
        <w:t>)</w:t>
      </w:r>
      <w:r w:rsidR="00035D6B" w:rsidRPr="00035D6B">
        <w:rPr>
          <w:rFonts w:ascii="Times New Roman" w:hAnsi="Times New Roman" w:cs="Times New Roman"/>
          <w:bCs/>
          <w:sz w:val="24"/>
          <w:szCs w:val="24"/>
        </w:rPr>
        <w:t>,</w:t>
      </w:r>
      <w:r>
        <w:rPr>
          <w:rFonts w:ascii="Times New Roman" w:hAnsi="Times New Roman" w:cs="Times New Roman"/>
          <w:bCs/>
          <w:sz w:val="24"/>
          <w:szCs w:val="24"/>
        </w:rPr>
        <w:t xml:space="preserve"> (2016), </w:t>
      </w:r>
      <w:r w:rsidR="00035D6B" w:rsidRPr="00035D6B">
        <w:rPr>
          <w:rFonts w:ascii="Times New Roman" w:hAnsi="Times New Roman" w:cs="Times New Roman"/>
          <w:bCs/>
          <w:sz w:val="24"/>
          <w:szCs w:val="24"/>
        </w:rPr>
        <w:t>41–61.</w:t>
      </w:r>
    </w:p>
    <w:p w14:paraId="625F4093" w14:textId="067953E0" w:rsidR="00185275" w:rsidRPr="00035D6B" w:rsidRDefault="000F4E89"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lang w:val="en-US"/>
        </w:rPr>
        <w:t xml:space="preserve">[22] </w:t>
      </w:r>
      <w:proofErr w:type="spellStart"/>
      <w:r w:rsidR="00185275" w:rsidRPr="00B9245E">
        <w:rPr>
          <w:rFonts w:ascii="Times New Roman" w:hAnsi="Times New Roman" w:cs="Times New Roman"/>
          <w:sz w:val="24"/>
          <w:szCs w:val="24"/>
          <w:lang w:val="en-US"/>
        </w:rPr>
        <w:t>Schneeweis</w:t>
      </w:r>
      <w:proofErr w:type="spellEnd"/>
      <w:r w:rsidR="00185275" w:rsidRPr="00B9245E">
        <w:rPr>
          <w:rFonts w:ascii="Times New Roman" w:hAnsi="Times New Roman" w:cs="Times New Roman"/>
          <w:sz w:val="24"/>
          <w:szCs w:val="24"/>
          <w:lang w:val="en-US"/>
        </w:rPr>
        <w:t xml:space="preserve">, T., Martin, G., </w:t>
      </w:r>
      <w:proofErr w:type="spellStart"/>
      <w:r w:rsidR="00185275" w:rsidRPr="00B9245E">
        <w:rPr>
          <w:rFonts w:ascii="Times New Roman" w:hAnsi="Times New Roman" w:cs="Times New Roman"/>
          <w:sz w:val="24"/>
          <w:szCs w:val="24"/>
          <w:lang w:val="en-US"/>
        </w:rPr>
        <w:t>Kazemi</w:t>
      </w:r>
      <w:proofErr w:type="spellEnd"/>
      <w:r w:rsidR="00185275" w:rsidRPr="00B9245E">
        <w:rPr>
          <w:rFonts w:ascii="Times New Roman" w:hAnsi="Times New Roman" w:cs="Times New Roman"/>
          <w:sz w:val="24"/>
          <w:szCs w:val="24"/>
          <w:lang w:val="en-US"/>
        </w:rPr>
        <w:t>, H.</w:t>
      </w:r>
      <w:proofErr w:type="gramStart"/>
      <w:r w:rsidR="00185275" w:rsidRPr="00B9245E">
        <w:rPr>
          <w:rFonts w:ascii="Times New Roman" w:hAnsi="Times New Roman" w:cs="Times New Roman"/>
          <w:sz w:val="24"/>
          <w:szCs w:val="24"/>
          <w:lang w:val="en-US"/>
        </w:rPr>
        <w:t xml:space="preserve">,  </w:t>
      </w:r>
      <w:proofErr w:type="spellStart"/>
      <w:r w:rsidR="00185275" w:rsidRPr="00B9245E">
        <w:rPr>
          <w:rFonts w:ascii="Times New Roman" w:hAnsi="Times New Roman" w:cs="Times New Roman"/>
          <w:sz w:val="24"/>
          <w:szCs w:val="24"/>
          <w:lang w:val="en-US"/>
        </w:rPr>
        <w:t>Karavas</w:t>
      </w:r>
      <w:proofErr w:type="spellEnd"/>
      <w:proofErr w:type="gramEnd"/>
      <w:r w:rsidR="00185275" w:rsidRPr="00B9245E">
        <w:rPr>
          <w:rFonts w:ascii="Times New Roman" w:hAnsi="Times New Roman" w:cs="Times New Roman"/>
          <w:sz w:val="24"/>
          <w:szCs w:val="24"/>
          <w:lang w:val="en-US"/>
        </w:rPr>
        <w:t>, V.</w:t>
      </w:r>
      <w:r>
        <w:rPr>
          <w:rFonts w:ascii="Times New Roman" w:hAnsi="Times New Roman" w:cs="Times New Roman"/>
          <w:sz w:val="24"/>
          <w:szCs w:val="24"/>
          <w:lang w:val="en-US"/>
        </w:rPr>
        <w:t>,</w:t>
      </w:r>
      <w:r w:rsidR="00185275" w:rsidRPr="00B9245E">
        <w:rPr>
          <w:rFonts w:ascii="Times New Roman" w:hAnsi="Times New Roman" w:cs="Times New Roman"/>
          <w:sz w:val="24"/>
          <w:szCs w:val="24"/>
          <w:lang w:val="en-US"/>
        </w:rPr>
        <w:t xml:space="preserve"> The impact of leverag</w:t>
      </w:r>
      <w:r>
        <w:rPr>
          <w:rFonts w:ascii="Times New Roman" w:hAnsi="Times New Roman" w:cs="Times New Roman"/>
          <w:sz w:val="24"/>
          <w:szCs w:val="24"/>
          <w:lang w:val="en-US"/>
        </w:rPr>
        <w:t>e on Hedge fund risk and return,</w:t>
      </w:r>
      <w:r w:rsidR="00185275" w:rsidRPr="00B9245E">
        <w:rPr>
          <w:rFonts w:ascii="Times New Roman" w:hAnsi="Times New Roman" w:cs="Times New Roman"/>
          <w:sz w:val="24"/>
          <w:szCs w:val="24"/>
          <w:lang w:val="en-US"/>
        </w:rPr>
        <w:t xml:space="preserve"> </w:t>
      </w:r>
      <w:r w:rsidR="00185275" w:rsidRPr="00F6409C">
        <w:rPr>
          <w:rFonts w:ascii="Times New Roman" w:hAnsi="Times New Roman" w:cs="Times New Roman"/>
          <w:i/>
          <w:sz w:val="24"/>
          <w:szCs w:val="24"/>
          <w:lang w:val="en-US"/>
        </w:rPr>
        <w:t>Journal of Alternative Investments</w:t>
      </w:r>
      <w:r w:rsidR="00F938CD">
        <w:rPr>
          <w:rFonts w:ascii="Times New Roman" w:hAnsi="Times New Roman" w:cs="Times New Roman"/>
          <w:sz w:val="24"/>
          <w:szCs w:val="24"/>
          <w:lang w:val="en-US"/>
        </w:rPr>
        <w:t>,</w:t>
      </w:r>
      <w:r w:rsidR="005E306E">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5E306E">
        <w:rPr>
          <w:rFonts w:ascii="Times New Roman" w:hAnsi="Times New Roman" w:cs="Times New Roman"/>
          <w:sz w:val="24"/>
          <w:szCs w:val="24"/>
          <w:lang w:val="en-US"/>
        </w:rPr>
        <w:t>4</w:t>
      </w:r>
      <w:r>
        <w:rPr>
          <w:rFonts w:ascii="Times New Roman" w:hAnsi="Times New Roman" w:cs="Times New Roman"/>
          <w:sz w:val="24"/>
          <w:szCs w:val="24"/>
          <w:lang w:val="en-US"/>
        </w:rPr>
        <w:t>)</w:t>
      </w:r>
      <w:r w:rsidR="005E30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(2005), </w:t>
      </w:r>
      <w:r w:rsidR="00185275" w:rsidRPr="00B9245E">
        <w:rPr>
          <w:rFonts w:ascii="Times New Roman" w:hAnsi="Times New Roman" w:cs="Times New Roman"/>
          <w:sz w:val="24"/>
          <w:szCs w:val="24"/>
          <w:lang w:val="en-US"/>
        </w:rPr>
        <w:t>10-21.</w:t>
      </w:r>
    </w:p>
    <w:p w14:paraId="7B3D3AF0" w14:textId="4E0FA067" w:rsidR="00C46674" w:rsidRDefault="000F4E89" w:rsidP="00445E4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[23] </w:t>
      </w:r>
      <w:proofErr w:type="spellStart"/>
      <w:r w:rsidR="00035D6B">
        <w:rPr>
          <w:rFonts w:ascii="Times New Roman" w:hAnsi="Times New Roman" w:cs="Times New Roman"/>
          <w:bCs/>
          <w:sz w:val="24"/>
          <w:szCs w:val="24"/>
        </w:rPr>
        <w:t>Stafylas</w:t>
      </w:r>
      <w:proofErr w:type="spellEnd"/>
      <w:r w:rsidR="00035D6B">
        <w:rPr>
          <w:rFonts w:ascii="Times New Roman" w:hAnsi="Times New Roman" w:cs="Times New Roman"/>
          <w:bCs/>
          <w:sz w:val="24"/>
          <w:szCs w:val="24"/>
        </w:rPr>
        <w:t>, D</w:t>
      </w:r>
      <w:r w:rsidR="00035D6B" w:rsidRPr="00035D6B">
        <w:rPr>
          <w:rFonts w:ascii="Times New Roman" w:hAnsi="Times New Roman" w:cs="Times New Roman"/>
          <w:bCs/>
          <w:sz w:val="24"/>
          <w:szCs w:val="24"/>
        </w:rPr>
        <w:t>.</w:t>
      </w:r>
      <w:r w:rsidR="00035D6B">
        <w:rPr>
          <w:rFonts w:ascii="Times New Roman" w:hAnsi="Times New Roman" w:cs="Times New Roman"/>
          <w:bCs/>
          <w:sz w:val="24"/>
          <w:szCs w:val="24"/>
        </w:rPr>
        <w:t>,</w:t>
      </w:r>
      <w:r>
        <w:rPr>
          <w:rFonts w:ascii="Times New Roman" w:hAnsi="Times New Roman" w:cs="Times New Roman"/>
          <w:bCs/>
          <w:sz w:val="24"/>
          <w:szCs w:val="24"/>
        </w:rPr>
        <w:t xml:space="preserve"> Anderson, K., Uddin, M., </w:t>
      </w:r>
      <w:proofErr w:type="spellStart"/>
      <w:r w:rsidR="00035D6B">
        <w:rPr>
          <w:rFonts w:ascii="Times New Roman" w:hAnsi="Times New Roman" w:cs="Times New Roman"/>
          <w:bCs/>
          <w:sz w:val="24"/>
          <w:szCs w:val="24"/>
        </w:rPr>
        <w:t>Recent</w:t>
      </w:r>
      <w:proofErr w:type="spellEnd"/>
      <w:r w:rsidR="00035D6B">
        <w:rPr>
          <w:rFonts w:ascii="Times New Roman" w:hAnsi="Times New Roman" w:cs="Times New Roman"/>
          <w:bCs/>
          <w:sz w:val="24"/>
          <w:szCs w:val="24"/>
        </w:rPr>
        <w:t xml:space="preserve"> </w:t>
      </w:r>
      <w:proofErr w:type="spellStart"/>
      <w:r w:rsidR="00035D6B">
        <w:rPr>
          <w:rFonts w:ascii="Times New Roman" w:hAnsi="Times New Roman" w:cs="Times New Roman"/>
          <w:bCs/>
          <w:sz w:val="24"/>
          <w:szCs w:val="24"/>
        </w:rPr>
        <w:t>advances</w:t>
      </w:r>
      <w:proofErr w:type="spellEnd"/>
      <w:r w:rsidR="00035D6B">
        <w:rPr>
          <w:rFonts w:ascii="Times New Roman" w:hAnsi="Times New Roman" w:cs="Times New Roman"/>
          <w:bCs/>
          <w:sz w:val="24"/>
          <w:szCs w:val="24"/>
        </w:rPr>
        <w:t xml:space="preserve"> in </w:t>
      </w:r>
      <w:proofErr w:type="spellStart"/>
      <w:r w:rsidR="00035D6B">
        <w:rPr>
          <w:rFonts w:ascii="Times New Roman" w:hAnsi="Times New Roman" w:cs="Times New Roman"/>
          <w:bCs/>
          <w:sz w:val="24"/>
          <w:szCs w:val="24"/>
        </w:rPr>
        <w:t>explaining</w:t>
      </w:r>
      <w:proofErr w:type="spellEnd"/>
      <w:r w:rsidR="00035D6B">
        <w:rPr>
          <w:rFonts w:ascii="Times New Roman" w:hAnsi="Times New Roman" w:cs="Times New Roman"/>
          <w:bCs/>
          <w:sz w:val="24"/>
          <w:szCs w:val="24"/>
        </w:rPr>
        <w:t xml:space="preserve"> </w:t>
      </w:r>
      <w:proofErr w:type="spellStart"/>
      <w:r w:rsidR="00035D6B">
        <w:rPr>
          <w:rFonts w:ascii="Times New Roman" w:hAnsi="Times New Roman" w:cs="Times New Roman"/>
          <w:bCs/>
          <w:sz w:val="24"/>
          <w:szCs w:val="24"/>
        </w:rPr>
        <w:t>hedge</w:t>
      </w:r>
      <w:proofErr w:type="spellEnd"/>
      <w:r w:rsidR="00035D6B">
        <w:rPr>
          <w:rFonts w:ascii="Times New Roman" w:hAnsi="Times New Roman" w:cs="Times New Roman"/>
          <w:bCs/>
          <w:sz w:val="24"/>
          <w:szCs w:val="24"/>
        </w:rPr>
        <w:t xml:space="preserve"> </w:t>
      </w:r>
      <w:proofErr w:type="spellStart"/>
      <w:r w:rsidR="00035D6B">
        <w:rPr>
          <w:rFonts w:ascii="Times New Roman" w:hAnsi="Times New Roman" w:cs="Times New Roman"/>
          <w:bCs/>
          <w:sz w:val="24"/>
          <w:szCs w:val="24"/>
        </w:rPr>
        <w:t>fund</w:t>
      </w:r>
      <w:proofErr w:type="spellEnd"/>
      <w:r w:rsidR="00035D6B">
        <w:rPr>
          <w:rFonts w:ascii="Times New Roman" w:hAnsi="Times New Roman" w:cs="Times New Roman"/>
          <w:bCs/>
          <w:sz w:val="24"/>
          <w:szCs w:val="24"/>
        </w:rPr>
        <w:t xml:space="preserve"> </w:t>
      </w:r>
      <w:proofErr w:type="spellStart"/>
      <w:r w:rsidR="00035D6B">
        <w:rPr>
          <w:rFonts w:ascii="Times New Roman" w:hAnsi="Times New Roman" w:cs="Times New Roman"/>
          <w:bCs/>
          <w:sz w:val="24"/>
          <w:szCs w:val="24"/>
        </w:rPr>
        <w:t>returns</w:t>
      </w:r>
      <w:proofErr w:type="spellEnd"/>
      <w:r w:rsidR="00035D6B">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Implicit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factors</w:t>
      </w:r>
      <w:proofErr w:type="spellEnd"/>
      <w:r>
        <w:rPr>
          <w:rFonts w:ascii="Times New Roman" w:hAnsi="Times New Roman" w:cs="Times New Roman"/>
          <w:bCs/>
          <w:sz w:val="24"/>
          <w:szCs w:val="24"/>
        </w:rPr>
        <w:t xml:space="preserve"> and </w:t>
      </w:r>
      <w:proofErr w:type="spellStart"/>
      <w:proofErr w:type="gramStart"/>
      <w:r>
        <w:rPr>
          <w:rFonts w:ascii="Times New Roman" w:hAnsi="Times New Roman" w:cs="Times New Roman"/>
          <w:bCs/>
          <w:sz w:val="24"/>
          <w:szCs w:val="24"/>
        </w:rPr>
        <w:t>exposures</w:t>
      </w:r>
      <w:proofErr w:type="spellEnd"/>
      <w:r>
        <w:rPr>
          <w:rFonts w:ascii="Times New Roman" w:hAnsi="Times New Roman" w:cs="Times New Roman"/>
          <w:bCs/>
          <w:sz w:val="24"/>
          <w:szCs w:val="24"/>
        </w:rPr>
        <w:t xml:space="preserve">, </w:t>
      </w:r>
      <w:r w:rsidR="00035D6B" w:rsidRPr="00035D6B">
        <w:rPr>
          <w:rFonts w:ascii="Times New Roman" w:hAnsi="Times New Roman" w:cs="Times New Roman"/>
          <w:bCs/>
          <w:sz w:val="24"/>
          <w:szCs w:val="24"/>
        </w:rPr>
        <w:t xml:space="preserve"> </w:t>
      </w:r>
      <w:r w:rsidR="00035D6B" w:rsidRPr="00F6409C">
        <w:rPr>
          <w:rFonts w:ascii="Times New Roman" w:hAnsi="Times New Roman" w:cs="Times New Roman"/>
          <w:bCs/>
          <w:i/>
          <w:sz w:val="24"/>
          <w:szCs w:val="24"/>
        </w:rPr>
        <w:t>International</w:t>
      </w:r>
      <w:proofErr w:type="gramEnd"/>
      <w:r w:rsidR="00035D6B" w:rsidRPr="00F6409C">
        <w:rPr>
          <w:rFonts w:ascii="Times New Roman" w:hAnsi="Times New Roman" w:cs="Times New Roman"/>
          <w:bCs/>
          <w:i/>
          <w:sz w:val="24"/>
          <w:szCs w:val="24"/>
        </w:rPr>
        <w:t xml:space="preserve"> Review of Financial Analysis</w:t>
      </w:r>
      <w:r w:rsidR="00035D6B">
        <w:rPr>
          <w:rFonts w:ascii="Times New Roman" w:hAnsi="Times New Roman" w:cs="Times New Roman"/>
          <w:bCs/>
          <w:sz w:val="24"/>
          <w:szCs w:val="24"/>
        </w:rPr>
        <w:t>,</w:t>
      </w:r>
      <w:r w:rsidR="005E306E">
        <w:rPr>
          <w:rFonts w:ascii="Times New Roman" w:hAnsi="Times New Roman" w:cs="Times New Roman"/>
          <w:bCs/>
          <w:sz w:val="24"/>
          <w:szCs w:val="24"/>
        </w:rPr>
        <w:t xml:space="preserve"> </w:t>
      </w:r>
      <w:r w:rsidR="00035D6B" w:rsidRPr="00035D6B">
        <w:rPr>
          <w:rFonts w:ascii="Times New Roman" w:hAnsi="Times New Roman" w:cs="Times New Roman"/>
          <w:bCs/>
          <w:sz w:val="24"/>
          <w:szCs w:val="24"/>
        </w:rPr>
        <w:t>43</w:t>
      </w:r>
      <w:r w:rsidR="00035D6B">
        <w:rPr>
          <w:rFonts w:ascii="Times New Roman" w:hAnsi="Times New Roman" w:cs="Times New Roman"/>
          <w:bCs/>
          <w:sz w:val="24"/>
          <w:szCs w:val="24"/>
        </w:rPr>
        <w:t>,</w:t>
      </w:r>
      <w:r>
        <w:rPr>
          <w:rFonts w:ascii="Times New Roman" w:hAnsi="Times New Roman" w:cs="Times New Roman"/>
          <w:bCs/>
          <w:sz w:val="24"/>
          <w:szCs w:val="24"/>
        </w:rPr>
        <w:t xml:space="preserve"> (2016),</w:t>
      </w:r>
      <w:r w:rsidR="005E306E">
        <w:rPr>
          <w:rFonts w:ascii="Times New Roman" w:hAnsi="Times New Roman" w:cs="Times New Roman"/>
          <w:bCs/>
          <w:sz w:val="24"/>
          <w:szCs w:val="24"/>
        </w:rPr>
        <w:t xml:space="preserve"> </w:t>
      </w:r>
      <w:r w:rsidR="00035D6B" w:rsidRPr="00035D6B">
        <w:rPr>
          <w:rFonts w:ascii="Times New Roman" w:hAnsi="Times New Roman" w:cs="Times New Roman"/>
          <w:bCs/>
          <w:sz w:val="24"/>
          <w:szCs w:val="24"/>
        </w:rPr>
        <w:t>48 –61</w:t>
      </w:r>
      <w:r w:rsidR="00035D6B">
        <w:rPr>
          <w:rFonts w:ascii="Times New Roman" w:hAnsi="Times New Roman" w:cs="Times New Roman"/>
          <w:bCs/>
          <w:sz w:val="24"/>
          <w:szCs w:val="24"/>
        </w:rPr>
        <w:t>.</w:t>
      </w:r>
    </w:p>
    <w:p w14:paraId="770B0CD5" w14:textId="1472DE55" w:rsidR="00185275" w:rsidRPr="00B9245E" w:rsidRDefault="000F4E89" w:rsidP="0018527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proofErr w:type="spellStart"/>
      <w:r>
        <w:rPr>
          <w:rFonts w:ascii="Times New Roman" w:hAnsi="Times New Roman" w:cs="Times New Roman"/>
          <w:sz w:val="24"/>
          <w:szCs w:val="24"/>
          <w:lang w:val="en-US"/>
        </w:rPr>
        <w:t>Tolonen</w:t>
      </w:r>
      <w:proofErr w:type="spellEnd"/>
      <w:r>
        <w:rPr>
          <w:rFonts w:ascii="Times New Roman" w:hAnsi="Times New Roman" w:cs="Times New Roman"/>
          <w:sz w:val="24"/>
          <w:szCs w:val="24"/>
          <w:lang w:val="en-US"/>
        </w:rPr>
        <w:t xml:space="preserve">, P., </w:t>
      </w:r>
      <w:r w:rsidR="00185275" w:rsidRPr="00B9245E">
        <w:rPr>
          <w:rFonts w:ascii="Times New Roman" w:hAnsi="Times New Roman" w:cs="Times New Roman"/>
          <w:sz w:val="24"/>
          <w:szCs w:val="24"/>
          <w:lang w:val="en-US"/>
        </w:rPr>
        <w:t xml:space="preserve">Three </w:t>
      </w:r>
      <w:r>
        <w:rPr>
          <w:rFonts w:ascii="Times New Roman" w:hAnsi="Times New Roman" w:cs="Times New Roman"/>
          <w:sz w:val="24"/>
          <w:szCs w:val="24"/>
          <w:lang w:val="en-US"/>
        </w:rPr>
        <w:t>essay on hedge fund performance,</w:t>
      </w:r>
      <w:r w:rsidR="00185275" w:rsidRPr="00B9245E">
        <w:rPr>
          <w:rFonts w:ascii="Times New Roman" w:hAnsi="Times New Roman" w:cs="Times New Roman"/>
          <w:sz w:val="24"/>
          <w:szCs w:val="24"/>
          <w:lang w:val="en-US"/>
        </w:rPr>
        <w:t xml:space="preserve"> </w:t>
      </w:r>
      <w:r w:rsidR="00FC65B8">
        <w:rPr>
          <w:rFonts w:ascii="Times New Roman" w:hAnsi="Times New Roman" w:cs="Times New Roman"/>
          <w:sz w:val="24"/>
          <w:szCs w:val="24"/>
          <w:lang w:val="en-US"/>
        </w:rPr>
        <w:t>Unpublished PhD thesis</w:t>
      </w:r>
      <w:r>
        <w:rPr>
          <w:rFonts w:ascii="Times New Roman" w:hAnsi="Times New Roman" w:cs="Times New Roman"/>
          <w:sz w:val="24"/>
          <w:szCs w:val="24"/>
          <w:lang w:val="en-US"/>
        </w:rPr>
        <w:t>, University of Oulu, Finland, 2014.</w:t>
      </w:r>
    </w:p>
    <w:p w14:paraId="7DF84D1F" w14:textId="77777777" w:rsidR="00185275" w:rsidRPr="00035D6B" w:rsidRDefault="00185275" w:rsidP="00445E4E">
      <w:pPr>
        <w:autoSpaceDE w:val="0"/>
        <w:autoSpaceDN w:val="0"/>
        <w:adjustRightInd w:val="0"/>
        <w:spacing w:after="0" w:line="360" w:lineRule="auto"/>
        <w:jc w:val="both"/>
        <w:rPr>
          <w:rFonts w:ascii="Times New Roman" w:hAnsi="Times New Roman" w:cs="Times New Roman"/>
          <w:bCs/>
          <w:sz w:val="24"/>
          <w:szCs w:val="24"/>
        </w:rPr>
      </w:pPr>
    </w:p>
    <w:p w14:paraId="39B3A74E" w14:textId="77777777" w:rsidR="00C46674" w:rsidRPr="00B9245E" w:rsidRDefault="00C46674" w:rsidP="00A4343F">
      <w:pPr>
        <w:spacing w:line="480" w:lineRule="auto"/>
        <w:jc w:val="both"/>
        <w:rPr>
          <w:rFonts w:ascii="Times New Roman" w:hAnsi="Times New Roman" w:cs="Times New Roman"/>
          <w:sz w:val="24"/>
          <w:szCs w:val="24"/>
          <w:lang w:val="en-US"/>
        </w:rPr>
      </w:pPr>
    </w:p>
    <w:p w14:paraId="3C263DB8" w14:textId="77777777" w:rsidR="00C46674" w:rsidRPr="00B9245E" w:rsidRDefault="00C46674" w:rsidP="004C6FCA">
      <w:pPr>
        <w:spacing w:line="480" w:lineRule="auto"/>
        <w:jc w:val="both"/>
        <w:rPr>
          <w:rFonts w:ascii="Times New Roman" w:hAnsi="Times New Roman" w:cs="Times New Roman"/>
          <w:sz w:val="24"/>
          <w:szCs w:val="24"/>
          <w:lang w:val="en-US"/>
        </w:rPr>
      </w:pPr>
    </w:p>
    <w:p w14:paraId="221A8247" w14:textId="77777777" w:rsidR="006F7B25" w:rsidRPr="00B9245E" w:rsidRDefault="006F7B25" w:rsidP="004C6FCA">
      <w:pPr>
        <w:spacing w:line="480" w:lineRule="auto"/>
        <w:rPr>
          <w:rFonts w:ascii="Times New Roman" w:hAnsi="Times New Roman" w:cs="Times New Roman"/>
          <w:sz w:val="24"/>
          <w:szCs w:val="24"/>
          <w:lang w:val="en-US"/>
        </w:rPr>
      </w:pPr>
    </w:p>
    <w:sectPr w:rsidR="006F7B25" w:rsidRPr="00B9245E" w:rsidSect="0020437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1AD0E" w14:textId="77777777" w:rsidR="00827B32" w:rsidRDefault="00827B32">
      <w:r>
        <w:separator/>
      </w:r>
    </w:p>
  </w:endnote>
  <w:endnote w:type="continuationSeparator" w:id="0">
    <w:p w14:paraId="7BFAB876" w14:textId="77777777" w:rsidR="00827B32" w:rsidRDefault="0082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dvGulliv-I">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C37D" w14:textId="77777777" w:rsidR="00827B32" w:rsidRDefault="00827B32">
      <w:r>
        <w:separator/>
      </w:r>
    </w:p>
  </w:footnote>
  <w:footnote w:type="continuationSeparator" w:id="0">
    <w:p w14:paraId="471CC0DB" w14:textId="77777777" w:rsidR="00827B32" w:rsidRDefault="00827B32">
      <w:r>
        <w:continuationSeparator/>
      </w:r>
    </w:p>
  </w:footnote>
  <w:footnote w:id="1">
    <w:p w14:paraId="66E17370" w14:textId="77777777" w:rsidR="00827B32" w:rsidRPr="00B1310B" w:rsidRDefault="00827B32" w:rsidP="00B1310B">
      <w:pPr>
        <w:pStyle w:val="Funotentext"/>
        <w:rPr>
          <w:lang w:val="de-DE"/>
        </w:rPr>
      </w:pPr>
      <w:r>
        <w:rPr>
          <w:rStyle w:val="Funotenzeichen"/>
        </w:rPr>
        <w:footnoteRef/>
      </w:r>
      <w:r>
        <w:t xml:space="preserve"> </w:t>
      </w:r>
      <w:proofErr w:type="spellStart"/>
      <w:r w:rsidRPr="00BD7D2A">
        <w:rPr>
          <w:b/>
          <w:bCs/>
        </w:rPr>
        <w:t>Corresponding</w:t>
      </w:r>
      <w:proofErr w:type="spellEnd"/>
      <w:r w:rsidRPr="00BD7D2A">
        <w:rPr>
          <w:b/>
          <w:bCs/>
        </w:rPr>
        <w:t xml:space="preserve"> </w:t>
      </w:r>
      <w:proofErr w:type="spellStart"/>
      <w:r w:rsidRPr="00BD7D2A">
        <w:rPr>
          <w:b/>
          <w:bCs/>
        </w:rPr>
        <w:t>author</w:t>
      </w:r>
      <w:proofErr w:type="spellEnd"/>
      <w:r w:rsidRPr="00BD7D2A">
        <w:rPr>
          <w:b/>
          <w:bCs/>
        </w:rPr>
        <w:t>:</w:t>
      </w:r>
      <w:r w:rsidRPr="00644387">
        <w:rPr>
          <w:rFonts w:hint="eastAsia"/>
          <w:bCs/>
        </w:rPr>
        <w:t xml:space="preserve"> </w:t>
      </w:r>
      <w:r w:rsidRPr="00F848ED">
        <w:t xml:space="preserve">Gerhard Lechner, </w:t>
      </w:r>
      <w:proofErr w:type="spellStart"/>
      <w:r>
        <w:t>Ph.D</w:t>
      </w:r>
      <w:proofErr w:type="spellEnd"/>
      <w:r>
        <w:t xml:space="preserve">., </w:t>
      </w:r>
      <w:proofErr w:type="spellStart"/>
      <w:r>
        <w:t>lecturer</w:t>
      </w:r>
      <w:proofErr w:type="spellEnd"/>
      <w:r>
        <w:t xml:space="preserve">, </w:t>
      </w:r>
      <w:r w:rsidRPr="00B1310B">
        <w:t xml:space="preserve">FH JOANNEUM, University of Applied </w:t>
      </w:r>
      <w:proofErr w:type="spellStart"/>
      <w:r w:rsidRPr="00B1310B">
        <w:t>Sciences</w:t>
      </w:r>
      <w:proofErr w:type="spellEnd"/>
      <w:r w:rsidRPr="00B1310B">
        <w:rPr>
          <w:rFonts w:hint="eastAsia"/>
        </w:rPr>
        <w:t>,</w:t>
      </w:r>
      <w:r w:rsidRPr="00B1310B">
        <w:t xml:space="preserve"> Department of Management, Institute of Banking and Insurance, Alte </w:t>
      </w:r>
      <w:proofErr w:type="spellStart"/>
      <w:r w:rsidRPr="00B1310B">
        <w:t>Poststrasse</w:t>
      </w:r>
      <w:proofErr w:type="spellEnd"/>
      <w:r w:rsidRPr="00B1310B">
        <w:t xml:space="preserve"> 147, 8020 Graz</w:t>
      </w:r>
      <w:r>
        <w:t>, E-Mail: gerhard.lechner@fh-joanneum.at</w:t>
      </w:r>
    </w:p>
  </w:footnote>
  <w:footnote w:id="2">
    <w:p w14:paraId="72167F2E" w14:textId="77777777" w:rsidR="00827B32" w:rsidRPr="00B1310B" w:rsidRDefault="00827B32">
      <w:pPr>
        <w:pStyle w:val="Funotentext"/>
        <w:rPr>
          <w:lang w:val="de-DE"/>
        </w:rPr>
      </w:pPr>
      <w:r>
        <w:rPr>
          <w:rStyle w:val="Funotenzeichen"/>
        </w:rPr>
        <w:footnoteRef/>
      </w:r>
      <w:r>
        <w:t xml:space="preserve"> </w:t>
      </w:r>
      <w:r w:rsidRPr="00B1310B">
        <w:rPr>
          <w:b/>
        </w:rPr>
        <w:t>Co-</w:t>
      </w:r>
      <w:proofErr w:type="spellStart"/>
      <w:r w:rsidRPr="00B1310B">
        <w:rPr>
          <w:b/>
        </w:rPr>
        <w:t>Author</w:t>
      </w:r>
      <w:proofErr w:type="spellEnd"/>
      <w:r>
        <w:t>: Rupert Beinhauer</w:t>
      </w:r>
      <w:r w:rsidRPr="00F848ED">
        <w:t xml:space="preserve">, </w:t>
      </w:r>
      <w:proofErr w:type="spellStart"/>
      <w:r>
        <w:t>Ph.D</w:t>
      </w:r>
      <w:proofErr w:type="spellEnd"/>
      <w:r>
        <w:t xml:space="preserve">., </w:t>
      </w:r>
      <w:proofErr w:type="spellStart"/>
      <w:r>
        <w:t>lecturer</w:t>
      </w:r>
      <w:proofErr w:type="spellEnd"/>
      <w:r>
        <w:t xml:space="preserve">, </w:t>
      </w:r>
      <w:r w:rsidRPr="00B1310B">
        <w:t xml:space="preserve">FH JOANNEUM, University of Applied </w:t>
      </w:r>
      <w:proofErr w:type="spellStart"/>
      <w:r w:rsidRPr="00B1310B">
        <w:t>Sciences</w:t>
      </w:r>
      <w:proofErr w:type="spellEnd"/>
      <w:r w:rsidRPr="00B1310B">
        <w:rPr>
          <w:rFonts w:hint="eastAsia"/>
        </w:rPr>
        <w:t>,</w:t>
      </w:r>
      <w:r w:rsidRPr="00B1310B">
        <w:t xml:space="preserve"> Department </w:t>
      </w:r>
      <w:r>
        <w:t>of International Management</w:t>
      </w:r>
      <w:r w:rsidRPr="00B1310B">
        <w:t xml:space="preserve">, Alte </w:t>
      </w:r>
      <w:proofErr w:type="spellStart"/>
      <w:r w:rsidRPr="00B1310B">
        <w:t>Poststrasse</w:t>
      </w:r>
      <w:proofErr w:type="spellEnd"/>
      <w:r w:rsidRPr="00B1310B">
        <w:t xml:space="preserve"> 147, 8020 Graz</w:t>
      </w:r>
      <w:r>
        <w:t>, E-Mail: rupert.beinhauer@fh-joanneum.at</w:t>
      </w:r>
    </w:p>
  </w:footnote>
  <w:footnote w:id="3">
    <w:p w14:paraId="6419EC56" w14:textId="77777777" w:rsidR="00827B32" w:rsidRPr="008977D9" w:rsidRDefault="00827B32" w:rsidP="007F17B7">
      <w:pPr>
        <w:pStyle w:val="Funotentext"/>
        <w:rPr>
          <w:lang w:val="en-US"/>
        </w:rPr>
      </w:pPr>
      <w:r>
        <w:rPr>
          <w:rStyle w:val="Funotenzeichen"/>
        </w:rPr>
        <w:footnoteRef/>
      </w:r>
      <w:r w:rsidRPr="008977D9">
        <w:rPr>
          <w:lang w:val="en-US"/>
        </w:rPr>
        <w:t xml:space="preserve"> The CRB (Commodity Research bureau) index is a benchmark index for commodities.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D438" w14:textId="77777777" w:rsidR="00827B32" w:rsidRDefault="00827B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5AF"/>
    <w:multiLevelType w:val="hybridMultilevel"/>
    <w:tmpl w:val="B7E6904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F5F2CF4"/>
    <w:multiLevelType w:val="hybridMultilevel"/>
    <w:tmpl w:val="6798B398"/>
    <w:lvl w:ilvl="0" w:tplc="B3ECE14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2B48D0"/>
    <w:multiLevelType w:val="hybridMultilevel"/>
    <w:tmpl w:val="0CBA8280"/>
    <w:lvl w:ilvl="0" w:tplc="7CD8F40E">
      <w:start w:val="1"/>
      <w:numFmt w:val="decimal"/>
      <w:lvlText w:val="%1."/>
      <w:lvlJc w:val="left"/>
      <w:pPr>
        <w:ind w:left="720" w:hanging="360"/>
      </w:pPr>
    </w:lvl>
    <w:lvl w:ilvl="1" w:tplc="65B8C0F0">
      <w:start w:val="1"/>
      <w:numFmt w:val="lowerLetter"/>
      <w:lvlText w:val="%2."/>
      <w:lvlJc w:val="left"/>
      <w:pPr>
        <w:ind w:left="1440" w:hanging="360"/>
      </w:pPr>
    </w:lvl>
    <w:lvl w:ilvl="2" w:tplc="343C3664">
      <w:start w:val="1"/>
      <w:numFmt w:val="lowerRoman"/>
      <w:lvlText w:val="%3."/>
      <w:lvlJc w:val="right"/>
      <w:pPr>
        <w:ind w:left="2160" w:hanging="180"/>
      </w:pPr>
    </w:lvl>
    <w:lvl w:ilvl="3" w:tplc="E68C4978">
      <w:start w:val="1"/>
      <w:numFmt w:val="decimal"/>
      <w:lvlText w:val="%4."/>
      <w:lvlJc w:val="left"/>
      <w:pPr>
        <w:ind w:left="2880" w:hanging="360"/>
      </w:pPr>
    </w:lvl>
    <w:lvl w:ilvl="4" w:tplc="097E8956">
      <w:start w:val="1"/>
      <w:numFmt w:val="lowerLetter"/>
      <w:lvlText w:val="%5."/>
      <w:lvlJc w:val="left"/>
      <w:pPr>
        <w:ind w:left="3600" w:hanging="360"/>
      </w:pPr>
    </w:lvl>
    <w:lvl w:ilvl="5" w:tplc="2C284B56">
      <w:start w:val="1"/>
      <w:numFmt w:val="lowerRoman"/>
      <w:lvlText w:val="%6."/>
      <w:lvlJc w:val="right"/>
      <w:pPr>
        <w:ind w:left="4320" w:hanging="180"/>
      </w:pPr>
    </w:lvl>
    <w:lvl w:ilvl="6" w:tplc="731803D6">
      <w:start w:val="1"/>
      <w:numFmt w:val="decimal"/>
      <w:lvlText w:val="%7."/>
      <w:lvlJc w:val="left"/>
      <w:pPr>
        <w:ind w:left="5040" w:hanging="360"/>
      </w:pPr>
    </w:lvl>
    <w:lvl w:ilvl="7" w:tplc="782828DE">
      <w:start w:val="1"/>
      <w:numFmt w:val="lowerLetter"/>
      <w:lvlText w:val="%8."/>
      <w:lvlJc w:val="left"/>
      <w:pPr>
        <w:ind w:left="5760" w:hanging="360"/>
      </w:pPr>
    </w:lvl>
    <w:lvl w:ilvl="8" w:tplc="544EC212">
      <w:start w:val="1"/>
      <w:numFmt w:val="lowerRoman"/>
      <w:lvlText w:val="%9."/>
      <w:lvlJc w:val="right"/>
      <w:pPr>
        <w:ind w:left="6480" w:hanging="180"/>
      </w:pPr>
    </w:lvl>
  </w:abstractNum>
  <w:abstractNum w:abstractNumId="3" w15:restartNumberingAfterBreak="0">
    <w:nsid w:val="3C4A2714"/>
    <w:multiLevelType w:val="hybridMultilevel"/>
    <w:tmpl w:val="CF76769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FFB310B"/>
    <w:multiLevelType w:val="hybridMultilevel"/>
    <w:tmpl w:val="D074AB56"/>
    <w:lvl w:ilvl="0" w:tplc="00AE4DB0">
      <w:start w:val="2"/>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B105144"/>
    <w:multiLevelType w:val="multilevel"/>
    <w:tmpl w:val="A10CF5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B80256"/>
    <w:multiLevelType w:val="multilevel"/>
    <w:tmpl w:val="A10CF5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C9B0CA5"/>
    <w:multiLevelType w:val="hybridMultilevel"/>
    <w:tmpl w:val="0CBA82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de-A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F8"/>
    <w:rsid w:val="000014DC"/>
    <w:rsid w:val="00003237"/>
    <w:rsid w:val="0001032E"/>
    <w:rsid w:val="00014F7C"/>
    <w:rsid w:val="0002026F"/>
    <w:rsid w:val="0002259F"/>
    <w:rsid w:val="000259F7"/>
    <w:rsid w:val="0003294F"/>
    <w:rsid w:val="00035D6B"/>
    <w:rsid w:val="00040832"/>
    <w:rsid w:val="000415F7"/>
    <w:rsid w:val="0005341B"/>
    <w:rsid w:val="00055AA9"/>
    <w:rsid w:val="00056A2D"/>
    <w:rsid w:val="000649C5"/>
    <w:rsid w:val="00066866"/>
    <w:rsid w:val="00070FA6"/>
    <w:rsid w:val="00073985"/>
    <w:rsid w:val="00076A5D"/>
    <w:rsid w:val="000815A2"/>
    <w:rsid w:val="00090898"/>
    <w:rsid w:val="00090DCC"/>
    <w:rsid w:val="00097823"/>
    <w:rsid w:val="000A4481"/>
    <w:rsid w:val="000B0537"/>
    <w:rsid w:val="000B5FD9"/>
    <w:rsid w:val="000B77AC"/>
    <w:rsid w:val="000C1BDF"/>
    <w:rsid w:val="000C34BB"/>
    <w:rsid w:val="000D5BC3"/>
    <w:rsid w:val="000D6DC7"/>
    <w:rsid w:val="000E145C"/>
    <w:rsid w:val="000E4103"/>
    <w:rsid w:val="000F4E89"/>
    <w:rsid w:val="000F7685"/>
    <w:rsid w:val="00106C3F"/>
    <w:rsid w:val="00111847"/>
    <w:rsid w:val="001124EA"/>
    <w:rsid w:val="00114333"/>
    <w:rsid w:val="00121A90"/>
    <w:rsid w:val="001235D9"/>
    <w:rsid w:val="00125B47"/>
    <w:rsid w:val="00135ED8"/>
    <w:rsid w:val="00140DC7"/>
    <w:rsid w:val="001416BA"/>
    <w:rsid w:val="001424C7"/>
    <w:rsid w:val="0014460E"/>
    <w:rsid w:val="001517C8"/>
    <w:rsid w:val="001560F9"/>
    <w:rsid w:val="001575A2"/>
    <w:rsid w:val="00170D44"/>
    <w:rsid w:val="00171834"/>
    <w:rsid w:val="00174EB8"/>
    <w:rsid w:val="001824FA"/>
    <w:rsid w:val="00185275"/>
    <w:rsid w:val="0018757B"/>
    <w:rsid w:val="00187843"/>
    <w:rsid w:val="00195B81"/>
    <w:rsid w:val="00195E15"/>
    <w:rsid w:val="001A0AFD"/>
    <w:rsid w:val="001A1051"/>
    <w:rsid w:val="001A7619"/>
    <w:rsid w:val="001A7875"/>
    <w:rsid w:val="001B7692"/>
    <w:rsid w:val="001C1BE3"/>
    <w:rsid w:val="001C5490"/>
    <w:rsid w:val="001D16C5"/>
    <w:rsid w:val="001D2AB9"/>
    <w:rsid w:val="001E75BE"/>
    <w:rsid w:val="001F09F4"/>
    <w:rsid w:val="001F1D3B"/>
    <w:rsid w:val="001F36EF"/>
    <w:rsid w:val="001F44B5"/>
    <w:rsid w:val="0020362F"/>
    <w:rsid w:val="002037BC"/>
    <w:rsid w:val="00204377"/>
    <w:rsid w:val="00210AF5"/>
    <w:rsid w:val="00210EE6"/>
    <w:rsid w:val="002123AC"/>
    <w:rsid w:val="00222ED7"/>
    <w:rsid w:val="00235DCD"/>
    <w:rsid w:val="00241E8A"/>
    <w:rsid w:val="0025450F"/>
    <w:rsid w:val="00254534"/>
    <w:rsid w:val="002633AA"/>
    <w:rsid w:val="0026385B"/>
    <w:rsid w:val="00265C32"/>
    <w:rsid w:val="002676C8"/>
    <w:rsid w:val="00271DE3"/>
    <w:rsid w:val="00274420"/>
    <w:rsid w:val="00280AB7"/>
    <w:rsid w:val="002851EA"/>
    <w:rsid w:val="00287C46"/>
    <w:rsid w:val="00290889"/>
    <w:rsid w:val="002A7AD1"/>
    <w:rsid w:val="002B02A6"/>
    <w:rsid w:val="002B76AF"/>
    <w:rsid w:val="002C0C07"/>
    <w:rsid w:val="002C7B5B"/>
    <w:rsid w:val="002D46B9"/>
    <w:rsid w:val="002D6D5B"/>
    <w:rsid w:val="002D7E89"/>
    <w:rsid w:val="002E59A1"/>
    <w:rsid w:val="002E7EC8"/>
    <w:rsid w:val="002F13DC"/>
    <w:rsid w:val="002F2FA8"/>
    <w:rsid w:val="00317636"/>
    <w:rsid w:val="0032350E"/>
    <w:rsid w:val="00332D4F"/>
    <w:rsid w:val="00340C30"/>
    <w:rsid w:val="00345402"/>
    <w:rsid w:val="00360321"/>
    <w:rsid w:val="00363D68"/>
    <w:rsid w:val="00371D17"/>
    <w:rsid w:val="00374829"/>
    <w:rsid w:val="00380562"/>
    <w:rsid w:val="00395DBA"/>
    <w:rsid w:val="003A1493"/>
    <w:rsid w:val="003A2B04"/>
    <w:rsid w:val="003B1FA4"/>
    <w:rsid w:val="003B2DE2"/>
    <w:rsid w:val="003B47C5"/>
    <w:rsid w:val="003B6FDD"/>
    <w:rsid w:val="003C1AC5"/>
    <w:rsid w:val="003E372B"/>
    <w:rsid w:val="003E45AE"/>
    <w:rsid w:val="003F0F2F"/>
    <w:rsid w:val="004011D7"/>
    <w:rsid w:val="004244C3"/>
    <w:rsid w:val="00430870"/>
    <w:rsid w:val="00430971"/>
    <w:rsid w:val="0043657C"/>
    <w:rsid w:val="00437CD6"/>
    <w:rsid w:val="00445E4E"/>
    <w:rsid w:val="00451A4F"/>
    <w:rsid w:val="004521DF"/>
    <w:rsid w:val="004553DD"/>
    <w:rsid w:val="0046620B"/>
    <w:rsid w:val="00473555"/>
    <w:rsid w:val="004768F9"/>
    <w:rsid w:val="00485636"/>
    <w:rsid w:val="004871B5"/>
    <w:rsid w:val="00495570"/>
    <w:rsid w:val="004958DF"/>
    <w:rsid w:val="00495F9A"/>
    <w:rsid w:val="004A6086"/>
    <w:rsid w:val="004B1404"/>
    <w:rsid w:val="004B523E"/>
    <w:rsid w:val="004B5C84"/>
    <w:rsid w:val="004C0A3B"/>
    <w:rsid w:val="004C3268"/>
    <w:rsid w:val="004C6FCA"/>
    <w:rsid w:val="004D0B7E"/>
    <w:rsid w:val="004D2E1A"/>
    <w:rsid w:val="004D3029"/>
    <w:rsid w:val="004D39D5"/>
    <w:rsid w:val="004D3CE6"/>
    <w:rsid w:val="004D5865"/>
    <w:rsid w:val="004E4267"/>
    <w:rsid w:val="004E6898"/>
    <w:rsid w:val="00504C4D"/>
    <w:rsid w:val="0050558F"/>
    <w:rsid w:val="00513F43"/>
    <w:rsid w:val="00524CD1"/>
    <w:rsid w:val="005313CC"/>
    <w:rsid w:val="0053324B"/>
    <w:rsid w:val="0054340C"/>
    <w:rsid w:val="00546DC7"/>
    <w:rsid w:val="005618AA"/>
    <w:rsid w:val="005633B9"/>
    <w:rsid w:val="005635CE"/>
    <w:rsid w:val="0056588B"/>
    <w:rsid w:val="00566C20"/>
    <w:rsid w:val="0057623E"/>
    <w:rsid w:val="00580EFC"/>
    <w:rsid w:val="0058180D"/>
    <w:rsid w:val="00583155"/>
    <w:rsid w:val="00591951"/>
    <w:rsid w:val="00591E83"/>
    <w:rsid w:val="00595E6A"/>
    <w:rsid w:val="005969DC"/>
    <w:rsid w:val="005A1A65"/>
    <w:rsid w:val="005A5425"/>
    <w:rsid w:val="005B152E"/>
    <w:rsid w:val="005B2CC7"/>
    <w:rsid w:val="005B726B"/>
    <w:rsid w:val="005C055D"/>
    <w:rsid w:val="005C15AC"/>
    <w:rsid w:val="005C47BD"/>
    <w:rsid w:val="005D0348"/>
    <w:rsid w:val="005D03AC"/>
    <w:rsid w:val="005D47F2"/>
    <w:rsid w:val="005D4FDC"/>
    <w:rsid w:val="005D7949"/>
    <w:rsid w:val="005E306E"/>
    <w:rsid w:val="005E6D05"/>
    <w:rsid w:val="005F1B49"/>
    <w:rsid w:val="005F3B4B"/>
    <w:rsid w:val="005F62F8"/>
    <w:rsid w:val="00600B42"/>
    <w:rsid w:val="00600C96"/>
    <w:rsid w:val="006306F6"/>
    <w:rsid w:val="00632B44"/>
    <w:rsid w:val="00635214"/>
    <w:rsid w:val="00636900"/>
    <w:rsid w:val="0063694B"/>
    <w:rsid w:val="00645CC8"/>
    <w:rsid w:val="0065279E"/>
    <w:rsid w:val="00654C85"/>
    <w:rsid w:val="006551DB"/>
    <w:rsid w:val="00655301"/>
    <w:rsid w:val="0065638A"/>
    <w:rsid w:val="00670752"/>
    <w:rsid w:val="006759A3"/>
    <w:rsid w:val="00687651"/>
    <w:rsid w:val="00687BD9"/>
    <w:rsid w:val="006A75A2"/>
    <w:rsid w:val="006B6529"/>
    <w:rsid w:val="006B73AC"/>
    <w:rsid w:val="006D042D"/>
    <w:rsid w:val="006D3D48"/>
    <w:rsid w:val="006D6950"/>
    <w:rsid w:val="006E5CE8"/>
    <w:rsid w:val="006F20CB"/>
    <w:rsid w:val="006F7B25"/>
    <w:rsid w:val="0070403A"/>
    <w:rsid w:val="00704138"/>
    <w:rsid w:val="0071279F"/>
    <w:rsid w:val="0071509F"/>
    <w:rsid w:val="00715748"/>
    <w:rsid w:val="00716149"/>
    <w:rsid w:val="00716887"/>
    <w:rsid w:val="007170CB"/>
    <w:rsid w:val="00733ECD"/>
    <w:rsid w:val="0074199D"/>
    <w:rsid w:val="00744CD6"/>
    <w:rsid w:val="007458C8"/>
    <w:rsid w:val="007509D3"/>
    <w:rsid w:val="00750F9D"/>
    <w:rsid w:val="00751487"/>
    <w:rsid w:val="00751D9F"/>
    <w:rsid w:val="00752894"/>
    <w:rsid w:val="00771361"/>
    <w:rsid w:val="007778CB"/>
    <w:rsid w:val="00780148"/>
    <w:rsid w:val="0078419A"/>
    <w:rsid w:val="0079157A"/>
    <w:rsid w:val="00793225"/>
    <w:rsid w:val="0079365B"/>
    <w:rsid w:val="0079719A"/>
    <w:rsid w:val="007A04B2"/>
    <w:rsid w:val="007A2AE3"/>
    <w:rsid w:val="007A6B9E"/>
    <w:rsid w:val="007A7229"/>
    <w:rsid w:val="007B2DCB"/>
    <w:rsid w:val="007B3FEB"/>
    <w:rsid w:val="007B6CB0"/>
    <w:rsid w:val="007D11E5"/>
    <w:rsid w:val="007D6575"/>
    <w:rsid w:val="007E2D08"/>
    <w:rsid w:val="007E4571"/>
    <w:rsid w:val="007E4EB4"/>
    <w:rsid w:val="007E517A"/>
    <w:rsid w:val="007E5579"/>
    <w:rsid w:val="007E663F"/>
    <w:rsid w:val="007E7E85"/>
    <w:rsid w:val="007F17B7"/>
    <w:rsid w:val="008009AE"/>
    <w:rsid w:val="008058F3"/>
    <w:rsid w:val="00806BF3"/>
    <w:rsid w:val="00816F5C"/>
    <w:rsid w:val="00821322"/>
    <w:rsid w:val="00821E6E"/>
    <w:rsid w:val="00825CE0"/>
    <w:rsid w:val="00827B32"/>
    <w:rsid w:val="00841F9C"/>
    <w:rsid w:val="008503B7"/>
    <w:rsid w:val="00850F05"/>
    <w:rsid w:val="00860293"/>
    <w:rsid w:val="008617D0"/>
    <w:rsid w:val="00865FE5"/>
    <w:rsid w:val="00872635"/>
    <w:rsid w:val="00873A18"/>
    <w:rsid w:val="0088731B"/>
    <w:rsid w:val="00891F1F"/>
    <w:rsid w:val="00892182"/>
    <w:rsid w:val="00893337"/>
    <w:rsid w:val="00895ECE"/>
    <w:rsid w:val="00896D64"/>
    <w:rsid w:val="008B0EB1"/>
    <w:rsid w:val="008B2C2A"/>
    <w:rsid w:val="008C3540"/>
    <w:rsid w:val="008C6CFE"/>
    <w:rsid w:val="008D48F3"/>
    <w:rsid w:val="008D6775"/>
    <w:rsid w:val="008E2522"/>
    <w:rsid w:val="008E6F2A"/>
    <w:rsid w:val="008F5F01"/>
    <w:rsid w:val="009037AC"/>
    <w:rsid w:val="00906918"/>
    <w:rsid w:val="00906FF7"/>
    <w:rsid w:val="009117C3"/>
    <w:rsid w:val="00912BFC"/>
    <w:rsid w:val="00915411"/>
    <w:rsid w:val="00920AA5"/>
    <w:rsid w:val="00926D3D"/>
    <w:rsid w:val="009322E1"/>
    <w:rsid w:val="009365EE"/>
    <w:rsid w:val="00936863"/>
    <w:rsid w:val="00940937"/>
    <w:rsid w:val="009429FC"/>
    <w:rsid w:val="00944A7E"/>
    <w:rsid w:val="009459DD"/>
    <w:rsid w:val="0095007D"/>
    <w:rsid w:val="0095484B"/>
    <w:rsid w:val="009622E9"/>
    <w:rsid w:val="00962C92"/>
    <w:rsid w:val="00971A66"/>
    <w:rsid w:val="00984734"/>
    <w:rsid w:val="009909AA"/>
    <w:rsid w:val="009969DC"/>
    <w:rsid w:val="00996B68"/>
    <w:rsid w:val="0099754A"/>
    <w:rsid w:val="009A48B2"/>
    <w:rsid w:val="009A74B8"/>
    <w:rsid w:val="009C2B22"/>
    <w:rsid w:val="009D1D09"/>
    <w:rsid w:val="009D6E60"/>
    <w:rsid w:val="009F297A"/>
    <w:rsid w:val="009F3032"/>
    <w:rsid w:val="009F3183"/>
    <w:rsid w:val="009F6044"/>
    <w:rsid w:val="00A23FD8"/>
    <w:rsid w:val="00A25752"/>
    <w:rsid w:val="00A279BE"/>
    <w:rsid w:val="00A31C65"/>
    <w:rsid w:val="00A36C28"/>
    <w:rsid w:val="00A4094A"/>
    <w:rsid w:val="00A41D26"/>
    <w:rsid w:val="00A4343F"/>
    <w:rsid w:val="00A519E3"/>
    <w:rsid w:val="00A57A16"/>
    <w:rsid w:val="00A63186"/>
    <w:rsid w:val="00A839F8"/>
    <w:rsid w:val="00A95858"/>
    <w:rsid w:val="00A96F31"/>
    <w:rsid w:val="00A9763C"/>
    <w:rsid w:val="00AA4A84"/>
    <w:rsid w:val="00AB07E1"/>
    <w:rsid w:val="00AB3CC4"/>
    <w:rsid w:val="00AB6644"/>
    <w:rsid w:val="00AC2E29"/>
    <w:rsid w:val="00AD332C"/>
    <w:rsid w:val="00AE1046"/>
    <w:rsid w:val="00AE289B"/>
    <w:rsid w:val="00AE672E"/>
    <w:rsid w:val="00AE6AF4"/>
    <w:rsid w:val="00AF7313"/>
    <w:rsid w:val="00AF7BF0"/>
    <w:rsid w:val="00B00148"/>
    <w:rsid w:val="00B00E40"/>
    <w:rsid w:val="00B01A93"/>
    <w:rsid w:val="00B1029F"/>
    <w:rsid w:val="00B1310B"/>
    <w:rsid w:val="00B162BF"/>
    <w:rsid w:val="00B2691C"/>
    <w:rsid w:val="00B300DE"/>
    <w:rsid w:val="00B35059"/>
    <w:rsid w:val="00B37185"/>
    <w:rsid w:val="00B415A8"/>
    <w:rsid w:val="00B43735"/>
    <w:rsid w:val="00B439B6"/>
    <w:rsid w:val="00B6265B"/>
    <w:rsid w:val="00B77207"/>
    <w:rsid w:val="00B80BD1"/>
    <w:rsid w:val="00B834D2"/>
    <w:rsid w:val="00B84091"/>
    <w:rsid w:val="00B86ED5"/>
    <w:rsid w:val="00B9245E"/>
    <w:rsid w:val="00B93B17"/>
    <w:rsid w:val="00B94160"/>
    <w:rsid w:val="00BA071C"/>
    <w:rsid w:val="00BA255A"/>
    <w:rsid w:val="00BB0699"/>
    <w:rsid w:val="00BB6CFA"/>
    <w:rsid w:val="00BB7D1B"/>
    <w:rsid w:val="00BC56C9"/>
    <w:rsid w:val="00BD675A"/>
    <w:rsid w:val="00BD6DC8"/>
    <w:rsid w:val="00BD70EB"/>
    <w:rsid w:val="00BD7186"/>
    <w:rsid w:val="00BE17F0"/>
    <w:rsid w:val="00BE1F14"/>
    <w:rsid w:val="00BE25DF"/>
    <w:rsid w:val="00BE2946"/>
    <w:rsid w:val="00BE6B2E"/>
    <w:rsid w:val="00BF33F8"/>
    <w:rsid w:val="00BF7783"/>
    <w:rsid w:val="00C0747E"/>
    <w:rsid w:val="00C11316"/>
    <w:rsid w:val="00C12DFE"/>
    <w:rsid w:val="00C16B78"/>
    <w:rsid w:val="00C400F3"/>
    <w:rsid w:val="00C46674"/>
    <w:rsid w:val="00C55D76"/>
    <w:rsid w:val="00C56A45"/>
    <w:rsid w:val="00C56E6D"/>
    <w:rsid w:val="00C56F77"/>
    <w:rsid w:val="00C574A9"/>
    <w:rsid w:val="00C65E0C"/>
    <w:rsid w:val="00C66B07"/>
    <w:rsid w:val="00C7733A"/>
    <w:rsid w:val="00C81735"/>
    <w:rsid w:val="00C84F56"/>
    <w:rsid w:val="00C9067F"/>
    <w:rsid w:val="00C947EA"/>
    <w:rsid w:val="00C95339"/>
    <w:rsid w:val="00CA2E4B"/>
    <w:rsid w:val="00CA5FA0"/>
    <w:rsid w:val="00CB135C"/>
    <w:rsid w:val="00CB1467"/>
    <w:rsid w:val="00CB4BA6"/>
    <w:rsid w:val="00CB6DC5"/>
    <w:rsid w:val="00CC0CB4"/>
    <w:rsid w:val="00CC3C66"/>
    <w:rsid w:val="00CE22AD"/>
    <w:rsid w:val="00CF627A"/>
    <w:rsid w:val="00D126FC"/>
    <w:rsid w:val="00D215A3"/>
    <w:rsid w:val="00D232C1"/>
    <w:rsid w:val="00D462D9"/>
    <w:rsid w:val="00D73E76"/>
    <w:rsid w:val="00D73F8B"/>
    <w:rsid w:val="00D76795"/>
    <w:rsid w:val="00D81BA6"/>
    <w:rsid w:val="00D8240A"/>
    <w:rsid w:val="00D83C63"/>
    <w:rsid w:val="00D9037C"/>
    <w:rsid w:val="00D91346"/>
    <w:rsid w:val="00DA6704"/>
    <w:rsid w:val="00DB27B8"/>
    <w:rsid w:val="00DC0D82"/>
    <w:rsid w:val="00DC1FCB"/>
    <w:rsid w:val="00DC36A5"/>
    <w:rsid w:val="00DC6C08"/>
    <w:rsid w:val="00DC7741"/>
    <w:rsid w:val="00DD7FFC"/>
    <w:rsid w:val="00DE3407"/>
    <w:rsid w:val="00DE499B"/>
    <w:rsid w:val="00E000D2"/>
    <w:rsid w:val="00E02C5E"/>
    <w:rsid w:val="00E05CE1"/>
    <w:rsid w:val="00E143E4"/>
    <w:rsid w:val="00E21A3A"/>
    <w:rsid w:val="00E2637D"/>
    <w:rsid w:val="00E31303"/>
    <w:rsid w:val="00E32954"/>
    <w:rsid w:val="00E32C7B"/>
    <w:rsid w:val="00E330B4"/>
    <w:rsid w:val="00E47154"/>
    <w:rsid w:val="00E54144"/>
    <w:rsid w:val="00E61022"/>
    <w:rsid w:val="00E83CC0"/>
    <w:rsid w:val="00E8477F"/>
    <w:rsid w:val="00E860C9"/>
    <w:rsid w:val="00E906E0"/>
    <w:rsid w:val="00E90972"/>
    <w:rsid w:val="00EA1D47"/>
    <w:rsid w:val="00EA2217"/>
    <w:rsid w:val="00EB0CBE"/>
    <w:rsid w:val="00EB1583"/>
    <w:rsid w:val="00EB336E"/>
    <w:rsid w:val="00EC4B30"/>
    <w:rsid w:val="00ED3F0E"/>
    <w:rsid w:val="00ED4152"/>
    <w:rsid w:val="00ED49ED"/>
    <w:rsid w:val="00EE09DA"/>
    <w:rsid w:val="00EE14F1"/>
    <w:rsid w:val="00EE15D4"/>
    <w:rsid w:val="00EE250D"/>
    <w:rsid w:val="00EE6051"/>
    <w:rsid w:val="00EE7699"/>
    <w:rsid w:val="00EE78DF"/>
    <w:rsid w:val="00F1194A"/>
    <w:rsid w:val="00F15F7F"/>
    <w:rsid w:val="00F22C60"/>
    <w:rsid w:val="00F251EC"/>
    <w:rsid w:val="00F343CE"/>
    <w:rsid w:val="00F41407"/>
    <w:rsid w:val="00F41706"/>
    <w:rsid w:val="00F420C9"/>
    <w:rsid w:val="00F421FF"/>
    <w:rsid w:val="00F50162"/>
    <w:rsid w:val="00F57734"/>
    <w:rsid w:val="00F6409C"/>
    <w:rsid w:val="00F64383"/>
    <w:rsid w:val="00F7486B"/>
    <w:rsid w:val="00F81790"/>
    <w:rsid w:val="00F825C3"/>
    <w:rsid w:val="00F8321D"/>
    <w:rsid w:val="00F938CD"/>
    <w:rsid w:val="00F93C8E"/>
    <w:rsid w:val="00F952D2"/>
    <w:rsid w:val="00FA3E05"/>
    <w:rsid w:val="00FB20D0"/>
    <w:rsid w:val="00FC1D16"/>
    <w:rsid w:val="00FC65B8"/>
    <w:rsid w:val="00FD214A"/>
    <w:rsid w:val="00FE02E2"/>
    <w:rsid w:val="00FE0E06"/>
    <w:rsid w:val="00FE15A8"/>
    <w:rsid w:val="00FE3688"/>
    <w:rsid w:val="00FE5383"/>
    <w:rsid w:val="00FF0130"/>
    <w:rsid w:val="00FF1231"/>
    <w:rsid w:val="00FF14B2"/>
    <w:rsid w:val="00FF1701"/>
    <w:rsid w:val="00FF1B3D"/>
    <w:rsid w:val="00FF41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1E6D4"/>
  <w15:docId w15:val="{8ADFA674-1155-4C36-A2DD-51937AAD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3F8"/>
    <w:pPr>
      <w:spacing w:after="200" w:line="276" w:lineRule="auto"/>
    </w:pPr>
    <w:rPr>
      <w:rFonts w:cs="Calibri"/>
      <w:lang w:eastAsia="en-US"/>
    </w:rPr>
  </w:style>
  <w:style w:type="paragraph" w:styleId="berschrift1">
    <w:name w:val="heading 1"/>
    <w:basedOn w:val="Standard"/>
    <w:next w:val="Standard"/>
    <w:link w:val="berschrift1Zchn"/>
    <w:qFormat/>
    <w:locked/>
    <w:rsid w:val="003805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locked/>
    <w:rsid w:val="001F1D3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nhideWhenUsed/>
    <w:qFormat/>
    <w:locked/>
    <w:rsid w:val="00CB4B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F57734"/>
    <w:rPr>
      <w:sz w:val="20"/>
      <w:szCs w:val="20"/>
    </w:rPr>
  </w:style>
  <w:style w:type="character" w:customStyle="1" w:styleId="FunotentextZchn">
    <w:name w:val="Fußnotentext Zchn"/>
    <w:basedOn w:val="Absatz-Standardschriftart"/>
    <w:link w:val="Funotentext"/>
    <w:uiPriority w:val="99"/>
    <w:semiHidden/>
    <w:locked/>
    <w:rsid w:val="006B6529"/>
    <w:rPr>
      <w:sz w:val="20"/>
      <w:szCs w:val="20"/>
      <w:lang w:eastAsia="en-US"/>
    </w:rPr>
  </w:style>
  <w:style w:type="character" w:styleId="Funotenzeichen">
    <w:name w:val="footnote reference"/>
    <w:basedOn w:val="Absatz-Standardschriftart"/>
    <w:uiPriority w:val="99"/>
    <w:semiHidden/>
    <w:rsid w:val="00F57734"/>
    <w:rPr>
      <w:vertAlign w:val="superscript"/>
    </w:rPr>
  </w:style>
  <w:style w:type="character" w:customStyle="1" w:styleId="apple-converted-space">
    <w:name w:val="apple-converted-space"/>
    <w:basedOn w:val="Absatz-Standardschriftart"/>
    <w:uiPriority w:val="99"/>
    <w:rsid w:val="005F3B4B"/>
  </w:style>
  <w:style w:type="paragraph" w:styleId="Listenabsatz">
    <w:name w:val="List Paragraph"/>
    <w:basedOn w:val="Standard"/>
    <w:uiPriority w:val="34"/>
    <w:qFormat/>
    <w:rsid w:val="00C46674"/>
    <w:pPr>
      <w:ind w:left="720"/>
      <w:contextualSpacing/>
    </w:pPr>
    <w:rPr>
      <w:rFonts w:asciiTheme="minorHAnsi" w:eastAsiaTheme="minorHAnsi" w:hAnsiTheme="minorHAnsi" w:cstheme="minorBidi"/>
      <w:lang w:val="en-GB" w:eastAsia="en-GB" w:bidi="en-GB"/>
    </w:rPr>
  </w:style>
  <w:style w:type="character" w:styleId="Hyperlink">
    <w:name w:val="Hyperlink"/>
    <w:basedOn w:val="Absatz-Standardschriftart"/>
    <w:uiPriority w:val="99"/>
    <w:unhideWhenUsed/>
    <w:rsid w:val="004C6FCA"/>
    <w:rPr>
      <w:color w:val="0000FF" w:themeColor="hyperlink"/>
      <w:u w:val="single"/>
    </w:rPr>
  </w:style>
  <w:style w:type="paragraph" w:styleId="Sprechblasentext">
    <w:name w:val="Balloon Text"/>
    <w:basedOn w:val="Standard"/>
    <w:link w:val="SprechblasentextZchn"/>
    <w:uiPriority w:val="99"/>
    <w:semiHidden/>
    <w:unhideWhenUsed/>
    <w:rsid w:val="00944A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A7E"/>
    <w:rPr>
      <w:rFonts w:ascii="Segoe UI" w:hAnsi="Segoe UI" w:cs="Segoe UI"/>
      <w:sz w:val="18"/>
      <w:szCs w:val="18"/>
      <w:lang w:eastAsia="en-US"/>
    </w:rPr>
  </w:style>
  <w:style w:type="paragraph" w:customStyle="1" w:styleId="Els-Abstract-text">
    <w:name w:val="Els-Abstract-text"/>
    <w:next w:val="Standard"/>
    <w:rsid w:val="003E372B"/>
    <w:pPr>
      <w:spacing w:line="220" w:lineRule="exact"/>
      <w:jc w:val="both"/>
    </w:pPr>
    <w:rPr>
      <w:rFonts w:ascii="Times New Roman" w:eastAsia="SimSun" w:hAnsi="Times New Roman"/>
      <w:sz w:val="18"/>
      <w:szCs w:val="20"/>
      <w:lang w:val="en-US" w:eastAsia="en-US"/>
    </w:rPr>
  </w:style>
  <w:style w:type="character" w:customStyle="1" w:styleId="searchword">
    <w:name w:val="searchword"/>
    <w:basedOn w:val="Absatz-Standardschriftart"/>
    <w:rsid w:val="006E5CE8"/>
  </w:style>
  <w:style w:type="character" w:customStyle="1" w:styleId="exldetailsdisplayval">
    <w:name w:val="exldetailsdisplayval"/>
    <w:basedOn w:val="Absatz-Standardschriftart"/>
    <w:rsid w:val="006E5CE8"/>
  </w:style>
  <w:style w:type="character" w:customStyle="1" w:styleId="berschrift2Zchn">
    <w:name w:val="Überschrift 2 Zchn"/>
    <w:basedOn w:val="Absatz-Standardschriftart"/>
    <w:link w:val="berschrift2"/>
    <w:uiPriority w:val="9"/>
    <w:rsid w:val="001F1D3B"/>
    <w:rPr>
      <w:rFonts w:ascii="Times New Roman" w:eastAsia="Times New Roman" w:hAnsi="Times New Roman"/>
      <w:b/>
      <w:bCs/>
      <w:sz w:val="36"/>
      <w:szCs w:val="36"/>
    </w:rPr>
  </w:style>
  <w:style w:type="character" w:customStyle="1" w:styleId="exlresultdetails">
    <w:name w:val="exlresultdetails"/>
    <w:basedOn w:val="Absatz-Standardschriftart"/>
    <w:rsid w:val="001F1D3B"/>
  </w:style>
  <w:style w:type="character" w:customStyle="1" w:styleId="berschrift1Zchn">
    <w:name w:val="Überschrift 1 Zchn"/>
    <w:basedOn w:val="Absatz-Standardschriftart"/>
    <w:link w:val="berschrift1"/>
    <w:uiPriority w:val="9"/>
    <w:rsid w:val="00380562"/>
    <w:rPr>
      <w:rFonts w:asciiTheme="majorHAnsi" w:eastAsiaTheme="majorEastAsia" w:hAnsiTheme="majorHAnsi" w:cstheme="majorBidi"/>
      <w:color w:val="365F91" w:themeColor="accent1" w:themeShade="BF"/>
      <w:sz w:val="32"/>
      <w:szCs w:val="32"/>
      <w:lang w:eastAsia="en-US"/>
    </w:rPr>
  </w:style>
  <w:style w:type="character" w:customStyle="1" w:styleId="berschrift3Zchn">
    <w:name w:val="Überschrift 3 Zchn"/>
    <w:basedOn w:val="Absatz-Standardschriftart"/>
    <w:link w:val="berschrift3"/>
    <w:rsid w:val="00CB4BA6"/>
    <w:rPr>
      <w:rFonts w:asciiTheme="majorHAnsi" w:eastAsiaTheme="majorEastAsia" w:hAnsiTheme="majorHAnsi" w:cstheme="majorBidi"/>
      <w:color w:val="243F60" w:themeColor="accent1" w:themeShade="7F"/>
      <w:sz w:val="24"/>
      <w:szCs w:val="24"/>
      <w:lang w:eastAsia="en-US"/>
    </w:rPr>
  </w:style>
  <w:style w:type="character" w:customStyle="1" w:styleId="searchword1">
    <w:name w:val="searchword1"/>
    <w:basedOn w:val="Absatz-Standardschriftart"/>
    <w:rsid w:val="00CB4BA6"/>
    <w:rPr>
      <w:shd w:val="clear" w:color="auto" w:fill="FFD302"/>
    </w:rPr>
  </w:style>
  <w:style w:type="paragraph" w:styleId="Kopfzeile">
    <w:name w:val="header"/>
    <w:basedOn w:val="Standard"/>
    <w:link w:val="KopfzeileZchn"/>
    <w:uiPriority w:val="99"/>
    <w:unhideWhenUsed/>
    <w:rsid w:val="009F60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044"/>
    <w:rPr>
      <w:rFonts w:cs="Calibri"/>
      <w:lang w:eastAsia="en-US"/>
    </w:rPr>
  </w:style>
  <w:style w:type="paragraph" w:styleId="Fuzeile">
    <w:name w:val="footer"/>
    <w:basedOn w:val="Standard"/>
    <w:link w:val="FuzeileZchn"/>
    <w:uiPriority w:val="99"/>
    <w:unhideWhenUsed/>
    <w:rsid w:val="009F60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04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603">
      <w:bodyDiv w:val="1"/>
      <w:marLeft w:val="0"/>
      <w:marRight w:val="0"/>
      <w:marTop w:val="0"/>
      <w:marBottom w:val="0"/>
      <w:divBdr>
        <w:top w:val="none" w:sz="0" w:space="0" w:color="auto"/>
        <w:left w:val="none" w:sz="0" w:space="0" w:color="auto"/>
        <w:bottom w:val="none" w:sz="0" w:space="0" w:color="auto"/>
        <w:right w:val="none" w:sz="0" w:space="0" w:color="auto"/>
      </w:divBdr>
    </w:div>
    <w:div w:id="86584177">
      <w:bodyDiv w:val="1"/>
      <w:marLeft w:val="0"/>
      <w:marRight w:val="0"/>
      <w:marTop w:val="0"/>
      <w:marBottom w:val="0"/>
      <w:divBdr>
        <w:top w:val="none" w:sz="0" w:space="0" w:color="auto"/>
        <w:left w:val="none" w:sz="0" w:space="0" w:color="auto"/>
        <w:bottom w:val="none" w:sz="0" w:space="0" w:color="auto"/>
        <w:right w:val="none" w:sz="0" w:space="0" w:color="auto"/>
      </w:divBdr>
    </w:div>
    <w:div w:id="90586938">
      <w:bodyDiv w:val="1"/>
      <w:marLeft w:val="0"/>
      <w:marRight w:val="0"/>
      <w:marTop w:val="0"/>
      <w:marBottom w:val="0"/>
      <w:divBdr>
        <w:top w:val="none" w:sz="0" w:space="0" w:color="auto"/>
        <w:left w:val="none" w:sz="0" w:space="0" w:color="auto"/>
        <w:bottom w:val="none" w:sz="0" w:space="0" w:color="auto"/>
        <w:right w:val="none" w:sz="0" w:space="0" w:color="auto"/>
      </w:divBdr>
    </w:div>
    <w:div w:id="141966194">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80887651">
      <w:bodyDiv w:val="1"/>
      <w:marLeft w:val="0"/>
      <w:marRight w:val="0"/>
      <w:marTop w:val="0"/>
      <w:marBottom w:val="0"/>
      <w:divBdr>
        <w:top w:val="none" w:sz="0" w:space="0" w:color="auto"/>
        <w:left w:val="none" w:sz="0" w:space="0" w:color="auto"/>
        <w:bottom w:val="none" w:sz="0" w:space="0" w:color="auto"/>
        <w:right w:val="none" w:sz="0" w:space="0" w:color="auto"/>
      </w:divBdr>
    </w:div>
    <w:div w:id="291979847">
      <w:bodyDiv w:val="1"/>
      <w:marLeft w:val="0"/>
      <w:marRight w:val="0"/>
      <w:marTop w:val="0"/>
      <w:marBottom w:val="0"/>
      <w:divBdr>
        <w:top w:val="none" w:sz="0" w:space="0" w:color="auto"/>
        <w:left w:val="none" w:sz="0" w:space="0" w:color="auto"/>
        <w:bottom w:val="none" w:sz="0" w:space="0" w:color="auto"/>
        <w:right w:val="none" w:sz="0" w:space="0" w:color="auto"/>
      </w:divBdr>
    </w:div>
    <w:div w:id="331642148">
      <w:bodyDiv w:val="1"/>
      <w:marLeft w:val="4"/>
      <w:marRight w:val="4"/>
      <w:marTop w:val="0"/>
      <w:marBottom w:val="2"/>
      <w:divBdr>
        <w:top w:val="single" w:sz="2" w:space="0" w:color="BCBCBB"/>
        <w:left w:val="single" w:sz="2" w:space="0" w:color="BCBCBB"/>
        <w:bottom w:val="single" w:sz="2" w:space="0" w:color="BCBCBB"/>
        <w:right w:val="single" w:sz="2" w:space="0" w:color="BCBCBB"/>
      </w:divBdr>
      <w:divsChild>
        <w:div w:id="1403523187">
          <w:marLeft w:val="0"/>
          <w:marRight w:val="0"/>
          <w:marTop w:val="0"/>
          <w:marBottom w:val="0"/>
          <w:divBdr>
            <w:top w:val="none" w:sz="0" w:space="0" w:color="auto"/>
            <w:left w:val="none" w:sz="0" w:space="0" w:color="auto"/>
            <w:bottom w:val="none" w:sz="0" w:space="0" w:color="auto"/>
            <w:right w:val="none" w:sz="0" w:space="0" w:color="auto"/>
          </w:divBdr>
          <w:divsChild>
            <w:div w:id="2132700550">
              <w:marLeft w:val="0"/>
              <w:marRight w:val="0"/>
              <w:marTop w:val="0"/>
              <w:marBottom w:val="0"/>
              <w:divBdr>
                <w:top w:val="none" w:sz="0" w:space="0" w:color="auto"/>
                <w:left w:val="none" w:sz="0" w:space="0" w:color="auto"/>
                <w:bottom w:val="none" w:sz="0" w:space="0" w:color="auto"/>
                <w:right w:val="none" w:sz="0" w:space="0" w:color="auto"/>
              </w:divBdr>
              <w:divsChild>
                <w:div w:id="1343779501">
                  <w:marLeft w:val="0"/>
                  <w:marRight w:val="0"/>
                  <w:marTop w:val="0"/>
                  <w:marBottom w:val="0"/>
                  <w:divBdr>
                    <w:top w:val="none" w:sz="0" w:space="0" w:color="auto"/>
                    <w:left w:val="none" w:sz="0" w:space="0" w:color="auto"/>
                    <w:bottom w:val="none" w:sz="0" w:space="0" w:color="auto"/>
                    <w:right w:val="none" w:sz="0" w:space="0" w:color="auto"/>
                  </w:divBdr>
                  <w:divsChild>
                    <w:div w:id="1307972164">
                      <w:marLeft w:val="0"/>
                      <w:marRight w:val="0"/>
                      <w:marTop w:val="0"/>
                      <w:marBottom w:val="0"/>
                      <w:divBdr>
                        <w:top w:val="none" w:sz="0" w:space="0" w:color="auto"/>
                        <w:left w:val="none" w:sz="0" w:space="0" w:color="auto"/>
                        <w:bottom w:val="none" w:sz="0" w:space="0" w:color="auto"/>
                        <w:right w:val="none" w:sz="0" w:space="0" w:color="auto"/>
                      </w:divBdr>
                      <w:divsChild>
                        <w:div w:id="1299451420">
                          <w:marLeft w:val="0"/>
                          <w:marRight w:val="0"/>
                          <w:marTop w:val="0"/>
                          <w:marBottom w:val="0"/>
                          <w:divBdr>
                            <w:top w:val="none" w:sz="0" w:space="0" w:color="auto"/>
                            <w:left w:val="none" w:sz="0" w:space="0" w:color="auto"/>
                            <w:bottom w:val="none" w:sz="0" w:space="0" w:color="auto"/>
                            <w:right w:val="none" w:sz="0" w:space="0" w:color="auto"/>
                          </w:divBdr>
                          <w:divsChild>
                            <w:div w:id="939262034">
                              <w:marLeft w:val="0"/>
                              <w:marRight w:val="0"/>
                              <w:marTop w:val="0"/>
                              <w:marBottom w:val="240"/>
                              <w:divBdr>
                                <w:top w:val="none" w:sz="0" w:space="0" w:color="auto"/>
                                <w:left w:val="none" w:sz="0" w:space="0" w:color="auto"/>
                                <w:bottom w:val="none" w:sz="0" w:space="0" w:color="auto"/>
                                <w:right w:val="none" w:sz="0" w:space="0" w:color="auto"/>
                              </w:divBdr>
                              <w:divsChild>
                                <w:div w:id="1270042104">
                                  <w:marLeft w:val="0"/>
                                  <w:marRight w:val="0"/>
                                  <w:marTop w:val="0"/>
                                  <w:marBottom w:val="0"/>
                                  <w:divBdr>
                                    <w:top w:val="none" w:sz="0" w:space="0" w:color="auto"/>
                                    <w:left w:val="single" w:sz="6" w:space="0" w:color="5A4C6F"/>
                                    <w:bottom w:val="single" w:sz="6" w:space="0" w:color="5A4C6F"/>
                                    <w:right w:val="single" w:sz="6" w:space="0" w:color="5A4C6F"/>
                                  </w:divBdr>
                                  <w:divsChild>
                                    <w:div w:id="1545826971">
                                      <w:marLeft w:val="0"/>
                                      <w:marRight w:val="0"/>
                                      <w:marTop w:val="0"/>
                                      <w:marBottom w:val="0"/>
                                      <w:divBdr>
                                        <w:top w:val="none" w:sz="0" w:space="0" w:color="auto"/>
                                        <w:left w:val="none" w:sz="0" w:space="0" w:color="auto"/>
                                        <w:bottom w:val="none" w:sz="0" w:space="0" w:color="auto"/>
                                        <w:right w:val="none" w:sz="0" w:space="0" w:color="auto"/>
                                      </w:divBdr>
                                      <w:divsChild>
                                        <w:div w:id="11335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974448">
      <w:bodyDiv w:val="1"/>
      <w:marLeft w:val="0"/>
      <w:marRight w:val="0"/>
      <w:marTop w:val="0"/>
      <w:marBottom w:val="0"/>
      <w:divBdr>
        <w:top w:val="none" w:sz="0" w:space="0" w:color="auto"/>
        <w:left w:val="none" w:sz="0" w:space="0" w:color="auto"/>
        <w:bottom w:val="none" w:sz="0" w:space="0" w:color="auto"/>
        <w:right w:val="none" w:sz="0" w:space="0" w:color="auto"/>
      </w:divBdr>
    </w:div>
    <w:div w:id="418604093">
      <w:bodyDiv w:val="1"/>
      <w:marLeft w:val="0"/>
      <w:marRight w:val="0"/>
      <w:marTop w:val="0"/>
      <w:marBottom w:val="0"/>
      <w:divBdr>
        <w:top w:val="none" w:sz="0" w:space="0" w:color="auto"/>
        <w:left w:val="none" w:sz="0" w:space="0" w:color="auto"/>
        <w:bottom w:val="none" w:sz="0" w:space="0" w:color="auto"/>
        <w:right w:val="none" w:sz="0" w:space="0" w:color="auto"/>
      </w:divBdr>
    </w:div>
    <w:div w:id="445541499">
      <w:bodyDiv w:val="1"/>
      <w:marLeft w:val="0"/>
      <w:marRight w:val="0"/>
      <w:marTop w:val="0"/>
      <w:marBottom w:val="0"/>
      <w:divBdr>
        <w:top w:val="none" w:sz="0" w:space="0" w:color="auto"/>
        <w:left w:val="none" w:sz="0" w:space="0" w:color="auto"/>
        <w:bottom w:val="none" w:sz="0" w:space="0" w:color="auto"/>
        <w:right w:val="none" w:sz="0" w:space="0" w:color="auto"/>
      </w:divBdr>
    </w:div>
    <w:div w:id="452335106">
      <w:bodyDiv w:val="1"/>
      <w:marLeft w:val="0"/>
      <w:marRight w:val="0"/>
      <w:marTop w:val="0"/>
      <w:marBottom w:val="0"/>
      <w:divBdr>
        <w:top w:val="none" w:sz="0" w:space="0" w:color="auto"/>
        <w:left w:val="none" w:sz="0" w:space="0" w:color="auto"/>
        <w:bottom w:val="none" w:sz="0" w:space="0" w:color="auto"/>
        <w:right w:val="none" w:sz="0" w:space="0" w:color="auto"/>
      </w:divBdr>
    </w:div>
    <w:div w:id="496238857">
      <w:bodyDiv w:val="1"/>
      <w:marLeft w:val="0"/>
      <w:marRight w:val="0"/>
      <w:marTop w:val="0"/>
      <w:marBottom w:val="0"/>
      <w:divBdr>
        <w:top w:val="none" w:sz="0" w:space="0" w:color="auto"/>
        <w:left w:val="none" w:sz="0" w:space="0" w:color="auto"/>
        <w:bottom w:val="none" w:sz="0" w:space="0" w:color="auto"/>
        <w:right w:val="none" w:sz="0" w:space="0" w:color="auto"/>
      </w:divBdr>
    </w:div>
    <w:div w:id="497312831">
      <w:bodyDiv w:val="1"/>
      <w:marLeft w:val="0"/>
      <w:marRight w:val="0"/>
      <w:marTop w:val="0"/>
      <w:marBottom w:val="0"/>
      <w:divBdr>
        <w:top w:val="none" w:sz="0" w:space="0" w:color="auto"/>
        <w:left w:val="none" w:sz="0" w:space="0" w:color="auto"/>
        <w:bottom w:val="none" w:sz="0" w:space="0" w:color="auto"/>
        <w:right w:val="none" w:sz="0" w:space="0" w:color="auto"/>
      </w:divBdr>
    </w:div>
    <w:div w:id="519585259">
      <w:bodyDiv w:val="1"/>
      <w:marLeft w:val="0"/>
      <w:marRight w:val="0"/>
      <w:marTop w:val="0"/>
      <w:marBottom w:val="0"/>
      <w:divBdr>
        <w:top w:val="none" w:sz="0" w:space="0" w:color="auto"/>
        <w:left w:val="none" w:sz="0" w:space="0" w:color="auto"/>
        <w:bottom w:val="none" w:sz="0" w:space="0" w:color="auto"/>
        <w:right w:val="none" w:sz="0" w:space="0" w:color="auto"/>
      </w:divBdr>
    </w:div>
    <w:div w:id="550531712">
      <w:bodyDiv w:val="1"/>
      <w:marLeft w:val="0"/>
      <w:marRight w:val="0"/>
      <w:marTop w:val="0"/>
      <w:marBottom w:val="0"/>
      <w:divBdr>
        <w:top w:val="none" w:sz="0" w:space="0" w:color="auto"/>
        <w:left w:val="none" w:sz="0" w:space="0" w:color="auto"/>
        <w:bottom w:val="none" w:sz="0" w:space="0" w:color="auto"/>
        <w:right w:val="none" w:sz="0" w:space="0" w:color="auto"/>
      </w:divBdr>
    </w:div>
    <w:div w:id="576324613">
      <w:bodyDiv w:val="1"/>
      <w:marLeft w:val="0"/>
      <w:marRight w:val="0"/>
      <w:marTop w:val="0"/>
      <w:marBottom w:val="0"/>
      <w:divBdr>
        <w:top w:val="none" w:sz="0" w:space="0" w:color="auto"/>
        <w:left w:val="none" w:sz="0" w:space="0" w:color="auto"/>
        <w:bottom w:val="none" w:sz="0" w:space="0" w:color="auto"/>
        <w:right w:val="none" w:sz="0" w:space="0" w:color="auto"/>
      </w:divBdr>
    </w:div>
    <w:div w:id="588656964">
      <w:bodyDiv w:val="1"/>
      <w:marLeft w:val="0"/>
      <w:marRight w:val="0"/>
      <w:marTop w:val="0"/>
      <w:marBottom w:val="0"/>
      <w:divBdr>
        <w:top w:val="none" w:sz="0" w:space="0" w:color="auto"/>
        <w:left w:val="none" w:sz="0" w:space="0" w:color="auto"/>
        <w:bottom w:val="none" w:sz="0" w:space="0" w:color="auto"/>
        <w:right w:val="none" w:sz="0" w:space="0" w:color="auto"/>
      </w:divBdr>
    </w:div>
    <w:div w:id="681856145">
      <w:bodyDiv w:val="1"/>
      <w:marLeft w:val="0"/>
      <w:marRight w:val="0"/>
      <w:marTop w:val="0"/>
      <w:marBottom w:val="0"/>
      <w:divBdr>
        <w:top w:val="none" w:sz="0" w:space="0" w:color="auto"/>
        <w:left w:val="none" w:sz="0" w:space="0" w:color="auto"/>
        <w:bottom w:val="none" w:sz="0" w:space="0" w:color="auto"/>
        <w:right w:val="none" w:sz="0" w:space="0" w:color="auto"/>
      </w:divBdr>
    </w:div>
    <w:div w:id="727219263">
      <w:bodyDiv w:val="1"/>
      <w:marLeft w:val="0"/>
      <w:marRight w:val="0"/>
      <w:marTop w:val="0"/>
      <w:marBottom w:val="0"/>
      <w:divBdr>
        <w:top w:val="none" w:sz="0" w:space="0" w:color="auto"/>
        <w:left w:val="none" w:sz="0" w:space="0" w:color="auto"/>
        <w:bottom w:val="none" w:sz="0" w:space="0" w:color="auto"/>
        <w:right w:val="none" w:sz="0" w:space="0" w:color="auto"/>
      </w:divBdr>
    </w:div>
    <w:div w:id="759176131">
      <w:bodyDiv w:val="1"/>
      <w:marLeft w:val="0"/>
      <w:marRight w:val="0"/>
      <w:marTop w:val="0"/>
      <w:marBottom w:val="0"/>
      <w:divBdr>
        <w:top w:val="none" w:sz="0" w:space="0" w:color="auto"/>
        <w:left w:val="none" w:sz="0" w:space="0" w:color="auto"/>
        <w:bottom w:val="none" w:sz="0" w:space="0" w:color="auto"/>
        <w:right w:val="none" w:sz="0" w:space="0" w:color="auto"/>
      </w:divBdr>
    </w:div>
    <w:div w:id="775104890">
      <w:bodyDiv w:val="1"/>
      <w:marLeft w:val="0"/>
      <w:marRight w:val="0"/>
      <w:marTop w:val="0"/>
      <w:marBottom w:val="0"/>
      <w:divBdr>
        <w:top w:val="none" w:sz="0" w:space="0" w:color="auto"/>
        <w:left w:val="none" w:sz="0" w:space="0" w:color="auto"/>
        <w:bottom w:val="none" w:sz="0" w:space="0" w:color="auto"/>
        <w:right w:val="none" w:sz="0" w:space="0" w:color="auto"/>
      </w:divBdr>
    </w:div>
    <w:div w:id="778255500">
      <w:bodyDiv w:val="1"/>
      <w:marLeft w:val="0"/>
      <w:marRight w:val="0"/>
      <w:marTop w:val="0"/>
      <w:marBottom w:val="0"/>
      <w:divBdr>
        <w:top w:val="none" w:sz="0" w:space="0" w:color="auto"/>
        <w:left w:val="none" w:sz="0" w:space="0" w:color="auto"/>
        <w:bottom w:val="none" w:sz="0" w:space="0" w:color="auto"/>
        <w:right w:val="none" w:sz="0" w:space="0" w:color="auto"/>
      </w:divBdr>
    </w:div>
    <w:div w:id="890658274">
      <w:bodyDiv w:val="1"/>
      <w:marLeft w:val="0"/>
      <w:marRight w:val="0"/>
      <w:marTop w:val="0"/>
      <w:marBottom w:val="0"/>
      <w:divBdr>
        <w:top w:val="none" w:sz="0" w:space="0" w:color="auto"/>
        <w:left w:val="none" w:sz="0" w:space="0" w:color="auto"/>
        <w:bottom w:val="none" w:sz="0" w:space="0" w:color="auto"/>
        <w:right w:val="none" w:sz="0" w:space="0" w:color="auto"/>
      </w:divBdr>
    </w:div>
    <w:div w:id="914586389">
      <w:bodyDiv w:val="1"/>
      <w:marLeft w:val="0"/>
      <w:marRight w:val="0"/>
      <w:marTop w:val="0"/>
      <w:marBottom w:val="0"/>
      <w:divBdr>
        <w:top w:val="none" w:sz="0" w:space="0" w:color="auto"/>
        <w:left w:val="none" w:sz="0" w:space="0" w:color="auto"/>
        <w:bottom w:val="none" w:sz="0" w:space="0" w:color="auto"/>
        <w:right w:val="none" w:sz="0" w:space="0" w:color="auto"/>
      </w:divBdr>
    </w:div>
    <w:div w:id="976034259">
      <w:bodyDiv w:val="1"/>
      <w:marLeft w:val="0"/>
      <w:marRight w:val="0"/>
      <w:marTop w:val="0"/>
      <w:marBottom w:val="0"/>
      <w:divBdr>
        <w:top w:val="none" w:sz="0" w:space="0" w:color="auto"/>
        <w:left w:val="none" w:sz="0" w:space="0" w:color="auto"/>
        <w:bottom w:val="none" w:sz="0" w:space="0" w:color="auto"/>
        <w:right w:val="none" w:sz="0" w:space="0" w:color="auto"/>
      </w:divBdr>
    </w:div>
    <w:div w:id="987787206">
      <w:bodyDiv w:val="1"/>
      <w:marLeft w:val="0"/>
      <w:marRight w:val="0"/>
      <w:marTop w:val="0"/>
      <w:marBottom w:val="0"/>
      <w:divBdr>
        <w:top w:val="none" w:sz="0" w:space="0" w:color="auto"/>
        <w:left w:val="none" w:sz="0" w:space="0" w:color="auto"/>
        <w:bottom w:val="none" w:sz="0" w:space="0" w:color="auto"/>
        <w:right w:val="none" w:sz="0" w:space="0" w:color="auto"/>
      </w:divBdr>
    </w:div>
    <w:div w:id="1055197443">
      <w:bodyDiv w:val="1"/>
      <w:marLeft w:val="0"/>
      <w:marRight w:val="0"/>
      <w:marTop w:val="0"/>
      <w:marBottom w:val="0"/>
      <w:divBdr>
        <w:top w:val="none" w:sz="0" w:space="0" w:color="auto"/>
        <w:left w:val="none" w:sz="0" w:space="0" w:color="auto"/>
        <w:bottom w:val="none" w:sz="0" w:space="0" w:color="auto"/>
        <w:right w:val="none" w:sz="0" w:space="0" w:color="auto"/>
      </w:divBdr>
    </w:div>
    <w:div w:id="1064332513">
      <w:bodyDiv w:val="1"/>
      <w:marLeft w:val="0"/>
      <w:marRight w:val="0"/>
      <w:marTop w:val="0"/>
      <w:marBottom w:val="0"/>
      <w:divBdr>
        <w:top w:val="none" w:sz="0" w:space="0" w:color="auto"/>
        <w:left w:val="none" w:sz="0" w:space="0" w:color="auto"/>
        <w:bottom w:val="none" w:sz="0" w:space="0" w:color="auto"/>
        <w:right w:val="none" w:sz="0" w:space="0" w:color="auto"/>
      </w:divBdr>
    </w:div>
    <w:div w:id="1065026881">
      <w:bodyDiv w:val="1"/>
      <w:marLeft w:val="0"/>
      <w:marRight w:val="0"/>
      <w:marTop w:val="0"/>
      <w:marBottom w:val="0"/>
      <w:divBdr>
        <w:top w:val="none" w:sz="0" w:space="0" w:color="auto"/>
        <w:left w:val="none" w:sz="0" w:space="0" w:color="auto"/>
        <w:bottom w:val="none" w:sz="0" w:space="0" w:color="auto"/>
        <w:right w:val="none" w:sz="0" w:space="0" w:color="auto"/>
      </w:divBdr>
    </w:div>
    <w:div w:id="1086193788">
      <w:bodyDiv w:val="1"/>
      <w:marLeft w:val="0"/>
      <w:marRight w:val="0"/>
      <w:marTop w:val="0"/>
      <w:marBottom w:val="0"/>
      <w:divBdr>
        <w:top w:val="none" w:sz="0" w:space="0" w:color="auto"/>
        <w:left w:val="none" w:sz="0" w:space="0" w:color="auto"/>
        <w:bottom w:val="none" w:sz="0" w:space="0" w:color="auto"/>
        <w:right w:val="none" w:sz="0" w:space="0" w:color="auto"/>
      </w:divBdr>
    </w:div>
    <w:div w:id="1107889121">
      <w:bodyDiv w:val="1"/>
      <w:marLeft w:val="0"/>
      <w:marRight w:val="0"/>
      <w:marTop w:val="0"/>
      <w:marBottom w:val="0"/>
      <w:divBdr>
        <w:top w:val="none" w:sz="0" w:space="0" w:color="auto"/>
        <w:left w:val="none" w:sz="0" w:space="0" w:color="auto"/>
        <w:bottom w:val="none" w:sz="0" w:space="0" w:color="auto"/>
        <w:right w:val="none" w:sz="0" w:space="0" w:color="auto"/>
      </w:divBdr>
    </w:div>
    <w:div w:id="1139030428">
      <w:bodyDiv w:val="1"/>
      <w:marLeft w:val="0"/>
      <w:marRight w:val="0"/>
      <w:marTop w:val="0"/>
      <w:marBottom w:val="0"/>
      <w:divBdr>
        <w:top w:val="none" w:sz="0" w:space="0" w:color="auto"/>
        <w:left w:val="none" w:sz="0" w:space="0" w:color="auto"/>
        <w:bottom w:val="none" w:sz="0" w:space="0" w:color="auto"/>
        <w:right w:val="none" w:sz="0" w:space="0" w:color="auto"/>
      </w:divBdr>
    </w:div>
    <w:div w:id="1214002580">
      <w:bodyDiv w:val="1"/>
      <w:marLeft w:val="0"/>
      <w:marRight w:val="0"/>
      <w:marTop w:val="0"/>
      <w:marBottom w:val="0"/>
      <w:divBdr>
        <w:top w:val="none" w:sz="0" w:space="0" w:color="auto"/>
        <w:left w:val="none" w:sz="0" w:space="0" w:color="auto"/>
        <w:bottom w:val="none" w:sz="0" w:space="0" w:color="auto"/>
        <w:right w:val="none" w:sz="0" w:space="0" w:color="auto"/>
      </w:divBdr>
    </w:div>
    <w:div w:id="1219976164">
      <w:bodyDiv w:val="1"/>
      <w:marLeft w:val="0"/>
      <w:marRight w:val="0"/>
      <w:marTop w:val="0"/>
      <w:marBottom w:val="0"/>
      <w:divBdr>
        <w:top w:val="none" w:sz="0" w:space="0" w:color="auto"/>
        <w:left w:val="none" w:sz="0" w:space="0" w:color="auto"/>
        <w:bottom w:val="none" w:sz="0" w:space="0" w:color="auto"/>
        <w:right w:val="none" w:sz="0" w:space="0" w:color="auto"/>
      </w:divBdr>
    </w:div>
    <w:div w:id="1300304229">
      <w:bodyDiv w:val="1"/>
      <w:marLeft w:val="0"/>
      <w:marRight w:val="0"/>
      <w:marTop w:val="0"/>
      <w:marBottom w:val="0"/>
      <w:divBdr>
        <w:top w:val="none" w:sz="0" w:space="0" w:color="auto"/>
        <w:left w:val="none" w:sz="0" w:space="0" w:color="auto"/>
        <w:bottom w:val="none" w:sz="0" w:space="0" w:color="auto"/>
        <w:right w:val="none" w:sz="0" w:space="0" w:color="auto"/>
      </w:divBdr>
    </w:div>
    <w:div w:id="1315059892">
      <w:bodyDiv w:val="1"/>
      <w:marLeft w:val="0"/>
      <w:marRight w:val="0"/>
      <w:marTop w:val="0"/>
      <w:marBottom w:val="0"/>
      <w:divBdr>
        <w:top w:val="none" w:sz="0" w:space="0" w:color="auto"/>
        <w:left w:val="none" w:sz="0" w:space="0" w:color="auto"/>
        <w:bottom w:val="none" w:sz="0" w:space="0" w:color="auto"/>
        <w:right w:val="none" w:sz="0" w:space="0" w:color="auto"/>
      </w:divBdr>
    </w:div>
    <w:div w:id="1343974531">
      <w:bodyDiv w:val="1"/>
      <w:marLeft w:val="0"/>
      <w:marRight w:val="0"/>
      <w:marTop w:val="0"/>
      <w:marBottom w:val="0"/>
      <w:divBdr>
        <w:top w:val="none" w:sz="0" w:space="0" w:color="auto"/>
        <w:left w:val="none" w:sz="0" w:space="0" w:color="auto"/>
        <w:bottom w:val="none" w:sz="0" w:space="0" w:color="auto"/>
        <w:right w:val="none" w:sz="0" w:space="0" w:color="auto"/>
      </w:divBdr>
    </w:div>
    <w:div w:id="1414934402">
      <w:bodyDiv w:val="1"/>
      <w:marLeft w:val="0"/>
      <w:marRight w:val="0"/>
      <w:marTop w:val="0"/>
      <w:marBottom w:val="0"/>
      <w:divBdr>
        <w:top w:val="none" w:sz="0" w:space="0" w:color="auto"/>
        <w:left w:val="none" w:sz="0" w:space="0" w:color="auto"/>
        <w:bottom w:val="none" w:sz="0" w:space="0" w:color="auto"/>
        <w:right w:val="none" w:sz="0" w:space="0" w:color="auto"/>
      </w:divBdr>
    </w:div>
    <w:div w:id="1435829127">
      <w:bodyDiv w:val="1"/>
      <w:marLeft w:val="0"/>
      <w:marRight w:val="0"/>
      <w:marTop w:val="0"/>
      <w:marBottom w:val="0"/>
      <w:divBdr>
        <w:top w:val="none" w:sz="0" w:space="0" w:color="auto"/>
        <w:left w:val="none" w:sz="0" w:space="0" w:color="auto"/>
        <w:bottom w:val="none" w:sz="0" w:space="0" w:color="auto"/>
        <w:right w:val="none" w:sz="0" w:space="0" w:color="auto"/>
      </w:divBdr>
    </w:div>
    <w:div w:id="1481651534">
      <w:bodyDiv w:val="1"/>
      <w:marLeft w:val="0"/>
      <w:marRight w:val="0"/>
      <w:marTop w:val="0"/>
      <w:marBottom w:val="0"/>
      <w:divBdr>
        <w:top w:val="none" w:sz="0" w:space="0" w:color="auto"/>
        <w:left w:val="none" w:sz="0" w:space="0" w:color="auto"/>
        <w:bottom w:val="none" w:sz="0" w:space="0" w:color="auto"/>
        <w:right w:val="none" w:sz="0" w:space="0" w:color="auto"/>
      </w:divBdr>
    </w:div>
    <w:div w:id="1548685819">
      <w:bodyDiv w:val="1"/>
      <w:marLeft w:val="0"/>
      <w:marRight w:val="0"/>
      <w:marTop w:val="0"/>
      <w:marBottom w:val="0"/>
      <w:divBdr>
        <w:top w:val="none" w:sz="0" w:space="0" w:color="auto"/>
        <w:left w:val="none" w:sz="0" w:space="0" w:color="auto"/>
        <w:bottom w:val="none" w:sz="0" w:space="0" w:color="auto"/>
        <w:right w:val="none" w:sz="0" w:space="0" w:color="auto"/>
      </w:divBdr>
    </w:div>
    <w:div w:id="1580863803">
      <w:bodyDiv w:val="1"/>
      <w:marLeft w:val="0"/>
      <w:marRight w:val="0"/>
      <w:marTop w:val="0"/>
      <w:marBottom w:val="0"/>
      <w:divBdr>
        <w:top w:val="none" w:sz="0" w:space="0" w:color="auto"/>
        <w:left w:val="none" w:sz="0" w:space="0" w:color="auto"/>
        <w:bottom w:val="none" w:sz="0" w:space="0" w:color="auto"/>
        <w:right w:val="none" w:sz="0" w:space="0" w:color="auto"/>
      </w:divBdr>
    </w:div>
    <w:div w:id="1598711771">
      <w:bodyDiv w:val="1"/>
      <w:marLeft w:val="4"/>
      <w:marRight w:val="4"/>
      <w:marTop w:val="0"/>
      <w:marBottom w:val="2"/>
      <w:divBdr>
        <w:top w:val="single" w:sz="2" w:space="0" w:color="BCBCBB"/>
        <w:left w:val="single" w:sz="2" w:space="0" w:color="BCBCBB"/>
        <w:bottom w:val="single" w:sz="2" w:space="0" w:color="BCBCBB"/>
        <w:right w:val="single" w:sz="2" w:space="0" w:color="BCBCBB"/>
      </w:divBdr>
      <w:divsChild>
        <w:div w:id="769081831">
          <w:marLeft w:val="0"/>
          <w:marRight w:val="0"/>
          <w:marTop w:val="0"/>
          <w:marBottom w:val="0"/>
          <w:divBdr>
            <w:top w:val="none" w:sz="0" w:space="0" w:color="auto"/>
            <w:left w:val="none" w:sz="0" w:space="0" w:color="auto"/>
            <w:bottom w:val="none" w:sz="0" w:space="0" w:color="auto"/>
            <w:right w:val="none" w:sz="0" w:space="0" w:color="auto"/>
          </w:divBdr>
          <w:divsChild>
            <w:div w:id="455024900">
              <w:marLeft w:val="0"/>
              <w:marRight w:val="0"/>
              <w:marTop w:val="0"/>
              <w:marBottom w:val="0"/>
              <w:divBdr>
                <w:top w:val="none" w:sz="0" w:space="0" w:color="auto"/>
                <w:left w:val="none" w:sz="0" w:space="0" w:color="auto"/>
                <w:bottom w:val="none" w:sz="0" w:space="0" w:color="auto"/>
                <w:right w:val="none" w:sz="0" w:space="0" w:color="auto"/>
              </w:divBdr>
              <w:divsChild>
                <w:div w:id="1270818209">
                  <w:marLeft w:val="0"/>
                  <w:marRight w:val="0"/>
                  <w:marTop w:val="0"/>
                  <w:marBottom w:val="0"/>
                  <w:divBdr>
                    <w:top w:val="none" w:sz="0" w:space="0" w:color="auto"/>
                    <w:left w:val="none" w:sz="0" w:space="0" w:color="auto"/>
                    <w:bottom w:val="none" w:sz="0" w:space="0" w:color="auto"/>
                    <w:right w:val="none" w:sz="0" w:space="0" w:color="auto"/>
                  </w:divBdr>
                  <w:divsChild>
                    <w:div w:id="1394891881">
                      <w:marLeft w:val="0"/>
                      <w:marRight w:val="0"/>
                      <w:marTop w:val="0"/>
                      <w:marBottom w:val="0"/>
                      <w:divBdr>
                        <w:top w:val="single" w:sz="2" w:space="0" w:color="BCBCBB"/>
                        <w:left w:val="single" w:sz="2" w:space="0" w:color="BCBCBB"/>
                        <w:bottom w:val="single" w:sz="2" w:space="0" w:color="BCBCBB"/>
                        <w:right w:val="single" w:sz="2" w:space="0" w:color="BCBCBB"/>
                      </w:divBdr>
                      <w:divsChild>
                        <w:div w:id="1556350522">
                          <w:marLeft w:val="0"/>
                          <w:marRight w:val="0"/>
                          <w:marTop w:val="0"/>
                          <w:marBottom w:val="0"/>
                          <w:divBdr>
                            <w:top w:val="none" w:sz="0" w:space="0" w:color="auto"/>
                            <w:left w:val="none" w:sz="0" w:space="0" w:color="auto"/>
                            <w:bottom w:val="none" w:sz="0" w:space="0" w:color="auto"/>
                            <w:right w:val="none" w:sz="0" w:space="0" w:color="auto"/>
                          </w:divBdr>
                          <w:divsChild>
                            <w:div w:id="11750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09913">
      <w:bodyDiv w:val="1"/>
      <w:marLeft w:val="0"/>
      <w:marRight w:val="0"/>
      <w:marTop w:val="0"/>
      <w:marBottom w:val="0"/>
      <w:divBdr>
        <w:top w:val="none" w:sz="0" w:space="0" w:color="auto"/>
        <w:left w:val="none" w:sz="0" w:space="0" w:color="auto"/>
        <w:bottom w:val="none" w:sz="0" w:space="0" w:color="auto"/>
        <w:right w:val="none" w:sz="0" w:space="0" w:color="auto"/>
      </w:divBdr>
    </w:div>
    <w:div w:id="1652783293">
      <w:bodyDiv w:val="1"/>
      <w:marLeft w:val="0"/>
      <w:marRight w:val="0"/>
      <w:marTop w:val="0"/>
      <w:marBottom w:val="0"/>
      <w:divBdr>
        <w:top w:val="none" w:sz="0" w:space="0" w:color="auto"/>
        <w:left w:val="none" w:sz="0" w:space="0" w:color="auto"/>
        <w:bottom w:val="none" w:sz="0" w:space="0" w:color="auto"/>
        <w:right w:val="none" w:sz="0" w:space="0" w:color="auto"/>
      </w:divBdr>
    </w:div>
    <w:div w:id="1667515119">
      <w:bodyDiv w:val="1"/>
      <w:marLeft w:val="0"/>
      <w:marRight w:val="0"/>
      <w:marTop w:val="0"/>
      <w:marBottom w:val="0"/>
      <w:divBdr>
        <w:top w:val="none" w:sz="0" w:space="0" w:color="auto"/>
        <w:left w:val="none" w:sz="0" w:space="0" w:color="auto"/>
        <w:bottom w:val="none" w:sz="0" w:space="0" w:color="auto"/>
        <w:right w:val="none" w:sz="0" w:space="0" w:color="auto"/>
      </w:divBdr>
    </w:div>
    <w:div w:id="1709839134">
      <w:bodyDiv w:val="1"/>
      <w:marLeft w:val="0"/>
      <w:marRight w:val="0"/>
      <w:marTop w:val="0"/>
      <w:marBottom w:val="0"/>
      <w:divBdr>
        <w:top w:val="none" w:sz="0" w:space="0" w:color="auto"/>
        <w:left w:val="none" w:sz="0" w:space="0" w:color="auto"/>
        <w:bottom w:val="none" w:sz="0" w:space="0" w:color="auto"/>
        <w:right w:val="none" w:sz="0" w:space="0" w:color="auto"/>
      </w:divBdr>
    </w:div>
    <w:div w:id="1743982981">
      <w:bodyDiv w:val="1"/>
      <w:marLeft w:val="0"/>
      <w:marRight w:val="0"/>
      <w:marTop w:val="0"/>
      <w:marBottom w:val="0"/>
      <w:divBdr>
        <w:top w:val="none" w:sz="0" w:space="0" w:color="auto"/>
        <w:left w:val="none" w:sz="0" w:space="0" w:color="auto"/>
        <w:bottom w:val="none" w:sz="0" w:space="0" w:color="auto"/>
        <w:right w:val="none" w:sz="0" w:space="0" w:color="auto"/>
      </w:divBdr>
    </w:div>
    <w:div w:id="1753351150">
      <w:bodyDiv w:val="1"/>
      <w:marLeft w:val="0"/>
      <w:marRight w:val="0"/>
      <w:marTop w:val="0"/>
      <w:marBottom w:val="0"/>
      <w:divBdr>
        <w:top w:val="none" w:sz="0" w:space="0" w:color="auto"/>
        <w:left w:val="none" w:sz="0" w:space="0" w:color="auto"/>
        <w:bottom w:val="none" w:sz="0" w:space="0" w:color="auto"/>
        <w:right w:val="none" w:sz="0" w:space="0" w:color="auto"/>
      </w:divBdr>
    </w:div>
    <w:div w:id="1768888025">
      <w:bodyDiv w:val="1"/>
      <w:marLeft w:val="0"/>
      <w:marRight w:val="0"/>
      <w:marTop w:val="0"/>
      <w:marBottom w:val="0"/>
      <w:divBdr>
        <w:top w:val="none" w:sz="0" w:space="0" w:color="auto"/>
        <w:left w:val="none" w:sz="0" w:space="0" w:color="auto"/>
        <w:bottom w:val="none" w:sz="0" w:space="0" w:color="auto"/>
        <w:right w:val="none" w:sz="0" w:space="0" w:color="auto"/>
      </w:divBdr>
    </w:div>
    <w:div w:id="1831559593">
      <w:bodyDiv w:val="1"/>
      <w:marLeft w:val="0"/>
      <w:marRight w:val="0"/>
      <w:marTop w:val="0"/>
      <w:marBottom w:val="0"/>
      <w:divBdr>
        <w:top w:val="none" w:sz="0" w:space="0" w:color="auto"/>
        <w:left w:val="none" w:sz="0" w:space="0" w:color="auto"/>
        <w:bottom w:val="none" w:sz="0" w:space="0" w:color="auto"/>
        <w:right w:val="none" w:sz="0" w:space="0" w:color="auto"/>
      </w:divBdr>
    </w:div>
    <w:div w:id="1835604240">
      <w:bodyDiv w:val="1"/>
      <w:marLeft w:val="0"/>
      <w:marRight w:val="0"/>
      <w:marTop w:val="0"/>
      <w:marBottom w:val="0"/>
      <w:divBdr>
        <w:top w:val="none" w:sz="0" w:space="0" w:color="auto"/>
        <w:left w:val="none" w:sz="0" w:space="0" w:color="auto"/>
        <w:bottom w:val="none" w:sz="0" w:space="0" w:color="auto"/>
        <w:right w:val="none" w:sz="0" w:space="0" w:color="auto"/>
      </w:divBdr>
    </w:div>
    <w:div w:id="1915822378">
      <w:bodyDiv w:val="1"/>
      <w:marLeft w:val="0"/>
      <w:marRight w:val="0"/>
      <w:marTop w:val="0"/>
      <w:marBottom w:val="0"/>
      <w:divBdr>
        <w:top w:val="none" w:sz="0" w:space="0" w:color="auto"/>
        <w:left w:val="none" w:sz="0" w:space="0" w:color="auto"/>
        <w:bottom w:val="none" w:sz="0" w:space="0" w:color="auto"/>
        <w:right w:val="none" w:sz="0" w:space="0" w:color="auto"/>
      </w:divBdr>
    </w:div>
    <w:div w:id="1920016288">
      <w:bodyDiv w:val="1"/>
      <w:marLeft w:val="0"/>
      <w:marRight w:val="0"/>
      <w:marTop w:val="0"/>
      <w:marBottom w:val="0"/>
      <w:divBdr>
        <w:top w:val="none" w:sz="0" w:space="0" w:color="auto"/>
        <w:left w:val="none" w:sz="0" w:space="0" w:color="auto"/>
        <w:bottom w:val="none" w:sz="0" w:space="0" w:color="auto"/>
        <w:right w:val="none" w:sz="0" w:space="0" w:color="auto"/>
      </w:divBdr>
    </w:div>
    <w:div w:id="2014338005">
      <w:bodyDiv w:val="1"/>
      <w:marLeft w:val="0"/>
      <w:marRight w:val="0"/>
      <w:marTop w:val="0"/>
      <w:marBottom w:val="0"/>
      <w:divBdr>
        <w:top w:val="none" w:sz="0" w:space="0" w:color="auto"/>
        <w:left w:val="none" w:sz="0" w:space="0" w:color="auto"/>
        <w:bottom w:val="none" w:sz="0" w:space="0" w:color="auto"/>
        <w:right w:val="none" w:sz="0" w:space="0" w:color="auto"/>
      </w:divBdr>
    </w:div>
    <w:div w:id="2018997026">
      <w:bodyDiv w:val="1"/>
      <w:marLeft w:val="0"/>
      <w:marRight w:val="0"/>
      <w:marTop w:val="0"/>
      <w:marBottom w:val="0"/>
      <w:divBdr>
        <w:top w:val="none" w:sz="0" w:space="0" w:color="auto"/>
        <w:left w:val="none" w:sz="0" w:space="0" w:color="auto"/>
        <w:bottom w:val="none" w:sz="0" w:space="0" w:color="auto"/>
        <w:right w:val="none" w:sz="0" w:space="0" w:color="auto"/>
      </w:divBdr>
    </w:div>
    <w:div w:id="20499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pc.com/writable/research_articles/file/09_07_nepc_leverage_hf_and_ris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dgefundresearch.com/hfri-indices-index-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8938-1AFA-4698-BEE8-A0BB9AF3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4648</Words>
  <Characters>26009</Characters>
  <Application>Microsoft Office Word</Application>
  <DocSecurity>0</DocSecurity>
  <Lines>216</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ABSTRACT</vt:lpstr>
      <vt:lpstr>ABSTRACT</vt:lpstr>
    </vt:vector>
  </TitlesOfParts>
  <Company>FH Joanneum Gesellschaft mbH</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Lechner Gerhard</dc:creator>
  <cp:keywords/>
  <dc:description/>
  <cp:lastModifiedBy>Lechner Gerhard</cp:lastModifiedBy>
  <cp:revision>3</cp:revision>
  <cp:lastPrinted>2015-07-16T10:04:00Z</cp:lastPrinted>
  <dcterms:created xsi:type="dcterms:W3CDTF">2017-08-21T08:56:00Z</dcterms:created>
  <dcterms:modified xsi:type="dcterms:W3CDTF">2017-08-21T10:50:00Z</dcterms:modified>
</cp:coreProperties>
</file>