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02441" w14:textId="77777777" w:rsidR="006A35C6" w:rsidRPr="006A35C6" w:rsidRDefault="006A35C6" w:rsidP="00410DC7">
      <w:pPr>
        <w:rPr>
          <w:rFonts w:ascii="Calibri" w:hAnsi="Calibri"/>
          <w:b/>
          <w:sz w:val="36"/>
          <w:szCs w:val="36"/>
        </w:rPr>
      </w:pPr>
    </w:p>
    <w:p w14:paraId="738BC1C7" w14:textId="247605C9" w:rsidR="006A35C6" w:rsidRPr="00F51ECD" w:rsidRDefault="00D67B89" w:rsidP="006A35C6">
      <w:pPr>
        <w:jc w:val="center"/>
        <w:rPr>
          <w:rFonts w:ascii="Cambria" w:hAnsi="Cambria"/>
          <w:sz w:val="10"/>
          <w:szCs w:val="20"/>
        </w:rPr>
      </w:pPr>
      <w:r w:rsidRPr="000C52CD">
        <w:rPr>
          <w:rFonts w:ascii="Calibri" w:hAnsi="Calibri"/>
          <w:b/>
          <w:sz w:val="36"/>
        </w:rPr>
        <w:t xml:space="preserve">Are </w:t>
      </w:r>
      <w:r w:rsidR="00943A40" w:rsidRPr="000C52CD">
        <w:rPr>
          <w:rFonts w:ascii="Calibri" w:hAnsi="Calibri"/>
          <w:b/>
          <w:sz w:val="36"/>
        </w:rPr>
        <w:t xml:space="preserve">Banks </w:t>
      </w:r>
      <w:r w:rsidR="0045508B">
        <w:rPr>
          <w:rFonts w:ascii="Calibri" w:hAnsi="Calibri"/>
          <w:b/>
          <w:sz w:val="36"/>
        </w:rPr>
        <w:t>a</w:t>
      </w:r>
      <w:r w:rsidR="00943A40" w:rsidRPr="000C52CD">
        <w:rPr>
          <w:rFonts w:ascii="Calibri" w:hAnsi="Calibri"/>
          <w:b/>
          <w:sz w:val="36"/>
        </w:rPr>
        <w:t xml:space="preserve"> Casualty </w:t>
      </w:r>
      <w:r w:rsidR="0045508B">
        <w:rPr>
          <w:rFonts w:ascii="Calibri" w:hAnsi="Calibri"/>
          <w:b/>
          <w:sz w:val="36"/>
        </w:rPr>
        <w:t>o</w:t>
      </w:r>
      <w:r w:rsidR="00943A40" w:rsidRPr="000C52CD">
        <w:rPr>
          <w:rFonts w:ascii="Calibri" w:hAnsi="Calibri"/>
          <w:b/>
          <w:sz w:val="36"/>
        </w:rPr>
        <w:t xml:space="preserve">f </w:t>
      </w:r>
      <w:r w:rsidR="0045508B">
        <w:rPr>
          <w:rFonts w:ascii="Calibri" w:hAnsi="Calibri"/>
          <w:b/>
          <w:sz w:val="36"/>
        </w:rPr>
        <w:t>t</w:t>
      </w:r>
      <w:r w:rsidR="00943A40" w:rsidRPr="000C52CD">
        <w:rPr>
          <w:rFonts w:ascii="Calibri" w:hAnsi="Calibri"/>
          <w:b/>
          <w:sz w:val="36"/>
        </w:rPr>
        <w:t xml:space="preserve">he </w:t>
      </w:r>
      <w:r w:rsidRPr="000C52CD">
        <w:rPr>
          <w:rFonts w:ascii="Calibri" w:hAnsi="Calibri"/>
          <w:b/>
          <w:sz w:val="36"/>
        </w:rPr>
        <w:t>Arab Spring</w:t>
      </w:r>
      <w:r w:rsidR="00943A40" w:rsidRPr="000C52CD">
        <w:rPr>
          <w:rFonts w:ascii="Calibri" w:hAnsi="Calibri"/>
          <w:b/>
          <w:sz w:val="36"/>
        </w:rPr>
        <w:t>?</w:t>
      </w:r>
    </w:p>
    <w:p w14:paraId="5395EC46" w14:textId="77777777" w:rsidR="003809E8" w:rsidRPr="00F51ECD" w:rsidRDefault="003809E8" w:rsidP="00F51ECD">
      <w:pPr>
        <w:jc w:val="center"/>
        <w:rPr>
          <w:rFonts w:ascii="Calibri" w:hAnsi="Calibri"/>
        </w:rPr>
      </w:pPr>
    </w:p>
    <w:p w14:paraId="3996125F" w14:textId="77777777" w:rsidR="007B0F7B" w:rsidRDefault="007B0F7B" w:rsidP="00F51ECD">
      <w:pPr>
        <w:pBdr>
          <w:top w:val="single" w:sz="4" w:space="1" w:color="auto"/>
        </w:pBdr>
        <w:autoSpaceDE w:val="0"/>
        <w:autoSpaceDN w:val="0"/>
        <w:adjustRightInd w:val="0"/>
        <w:jc w:val="both"/>
        <w:rPr>
          <w:rFonts w:ascii="Calibri" w:hAnsi="Calibri"/>
          <w:b/>
        </w:rPr>
      </w:pPr>
    </w:p>
    <w:p w14:paraId="6118FBEF" w14:textId="77777777" w:rsidR="00BD0B05" w:rsidRPr="00BD0B05" w:rsidRDefault="00BD0B05" w:rsidP="00BD0B05">
      <w:pPr>
        <w:pBdr>
          <w:top w:val="single" w:sz="4" w:space="1" w:color="auto"/>
        </w:pBdr>
        <w:autoSpaceDE w:val="0"/>
        <w:autoSpaceDN w:val="0"/>
        <w:adjustRightInd w:val="0"/>
        <w:jc w:val="both"/>
        <w:rPr>
          <w:rFonts w:ascii="Calibri" w:hAnsi="Calibri"/>
        </w:rPr>
      </w:pPr>
      <w:r w:rsidRPr="00BD0B05">
        <w:rPr>
          <w:rFonts w:ascii="Calibri" w:hAnsi="Calibri"/>
        </w:rPr>
        <w:t>JEL Classification Numbers: E58; F3; G21; and G28.</w:t>
      </w:r>
    </w:p>
    <w:p w14:paraId="1A3BA6D4" w14:textId="2C2E171E" w:rsidR="00CA37E9" w:rsidRPr="00BD0B05" w:rsidRDefault="00BD0B05" w:rsidP="00BD0B05">
      <w:pPr>
        <w:pBdr>
          <w:top w:val="single" w:sz="4" w:space="1" w:color="auto"/>
        </w:pBdr>
        <w:autoSpaceDE w:val="0"/>
        <w:autoSpaceDN w:val="0"/>
        <w:adjustRightInd w:val="0"/>
        <w:jc w:val="both"/>
        <w:rPr>
          <w:rFonts w:ascii="Calibri" w:hAnsi="Calibri"/>
        </w:rPr>
      </w:pPr>
      <w:r w:rsidRPr="00BD0B05">
        <w:rPr>
          <w:rFonts w:ascii="Calibri" w:hAnsi="Calibri"/>
        </w:rPr>
        <w:t>Keywords: Arab Spring, banks, and credit.</w:t>
      </w:r>
    </w:p>
    <w:p w14:paraId="7D7BC6DD" w14:textId="77777777" w:rsidR="00CA37E9" w:rsidRPr="00F51ECD" w:rsidRDefault="00CA37E9" w:rsidP="00F51ECD">
      <w:pPr>
        <w:pBdr>
          <w:top w:val="single" w:sz="4" w:space="1" w:color="auto"/>
        </w:pBdr>
        <w:autoSpaceDE w:val="0"/>
        <w:autoSpaceDN w:val="0"/>
        <w:adjustRightInd w:val="0"/>
        <w:jc w:val="both"/>
        <w:rPr>
          <w:rFonts w:ascii="Calibri" w:hAnsi="Calibri"/>
          <w:b/>
        </w:rPr>
      </w:pPr>
    </w:p>
    <w:p w14:paraId="2FA34B54" w14:textId="77777777" w:rsidR="00CA37E9" w:rsidRPr="00516A21" w:rsidRDefault="00CA37E9" w:rsidP="00516A21">
      <w:pPr>
        <w:pBdr>
          <w:top w:val="single" w:sz="4" w:space="1" w:color="auto"/>
        </w:pBdr>
        <w:autoSpaceDE w:val="0"/>
        <w:autoSpaceDN w:val="0"/>
        <w:adjustRightInd w:val="0"/>
        <w:jc w:val="center"/>
        <w:rPr>
          <w:rFonts w:ascii="Calibri" w:hAnsi="Calibri"/>
          <w:i/>
        </w:rPr>
      </w:pPr>
      <w:r w:rsidRPr="00516A21">
        <w:rPr>
          <w:rFonts w:ascii="Calibri" w:hAnsi="Calibri"/>
          <w:i/>
        </w:rPr>
        <w:t>Abstract</w:t>
      </w:r>
    </w:p>
    <w:p w14:paraId="7E35D2D8" w14:textId="14184363" w:rsidR="00C51EB3" w:rsidRPr="00B1343E" w:rsidRDefault="000932F5" w:rsidP="00F51ECD">
      <w:pPr>
        <w:pBdr>
          <w:top w:val="single" w:sz="4" w:space="1" w:color="auto"/>
        </w:pBdr>
        <w:autoSpaceDE w:val="0"/>
        <w:autoSpaceDN w:val="0"/>
        <w:adjustRightInd w:val="0"/>
        <w:jc w:val="both"/>
        <w:rPr>
          <w:rFonts w:asciiTheme="minorHAnsi" w:hAnsiTheme="minorHAnsi"/>
          <w:i/>
        </w:rPr>
      </w:pPr>
      <w:r w:rsidRPr="00B1343E">
        <w:rPr>
          <w:rFonts w:asciiTheme="minorHAnsi" w:hAnsiTheme="minorHAnsi"/>
          <w:i/>
        </w:rPr>
        <w:t xml:space="preserve">Despite contrasting levels of stagnation in bank credit, the economic growth in the five countries of the Arab Spring remains decidedly low.  </w:t>
      </w:r>
      <w:r w:rsidR="00C51EB3" w:rsidRPr="00B1343E">
        <w:rPr>
          <w:rFonts w:asciiTheme="minorHAnsi" w:hAnsiTheme="minorHAnsi"/>
          <w:i/>
        </w:rPr>
        <w:t>We analyze the</w:t>
      </w:r>
      <w:r w:rsidR="00003642" w:rsidRPr="00B1343E">
        <w:rPr>
          <w:rFonts w:asciiTheme="minorHAnsi" w:hAnsiTheme="minorHAnsi"/>
          <w:i/>
        </w:rPr>
        <w:t xml:space="preserve"> role </w:t>
      </w:r>
      <w:r w:rsidR="00866D8E" w:rsidRPr="00B1343E">
        <w:rPr>
          <w:rFonts w:asciiTheme="minorHAnsi" w:hAnsiTheme="minorHAnsi"/>
          <w:i/>
        </w:rPr>
        <w:t xml:space="preserve">of </w:t>
      </w:r>
      <w:r w:rsidR="00C51EB3" w:rsidRPr="00B1343E">
        <w:rPr>
          <w:rFonts w:asciiTheme="minorHAnsi" w:hAnsiTheme="minorHAnsi"/>
          <w:i/>
        </w:rPr>
        <w:t>bank</w:t>
      </w:r>
      <w:r w:rsidR="00003642" w:rsidRPr="00B1343E">
        <w:rPr>
          <w:rFonts w:asciiTheme="minorHAnsi" w:hAnsiTheme="minorHAnsi"/>
          <w:i/>
        </w:rPr>
        <w:t>s in Bahrain, Egypt, Libya, Tunisia, and Yemen</w:t>
      </w:r>
      <w:r w:rsidR="00866D8E" w:rsidRPr="00B1343E">
        <w:rPr>
          <w:rFonts w:asciiTheme="minorHAnsi" w:hAnsiTheme="minorHAnsi"/>
          <w:i/>
        </w:rPr>
        <w:t>,</w:t>
      </w:r>
      <w:r w:rsidRPr="00B1343E">
        <w:rPr>
          <w:rFonts w:asciiTheme="minorHAnsi" w:hAnsiTheme="minorHAnsi"/>
          <w:i/>
        </w:rPr>
        <w:t xml:space="preserve"> </w:t>
      </w:r>
      <w:r w:rsidR="00866D8E" w:rsidRPr="00B1343E">
        <w:rPr>
          <w:rFonts w:asciiTheme="minorHAnsi" w:hAnsiTheme="minorHAnsi"/>
          <w:i/>
        </w:rPr>
        <w:t xml:space="preserve">pre-and post-revolution, and </w:t>
      </w:r>
      <w:r w:rsidR="00003642" w:rsidRPr="00B1343E">
        <w:rPr>
          <w:rFonts w:asciiTheme="minorHAnsi" w:hAnsiTheme="minorHAnsi"/>
          <w:i/>
        </w:rPr>
        <w:t xml:space="preserve">find that </w:t>
      </w:r>
      <w:r w:rsidR="00866D8E" w:rsidRPr="00B1343E">
        <w:rPr>
          <w:rFonts w:asciiTheme="minorHAnsi" w:hAnsiTheme="minorHAnsi"/>
          <w:i/>
        </w:rPr>
        <w:t>the</w:t>
      </w:r>
      <w:r w:rsidR="00DE055F" w:rsidRPr="00B1343E">
        <w:rPr>
          <w:rFonts w:asciiTheme="minorHAnsi" w:hAnsiTheme="minorHAnsi"/>
          <w:i/>
        </w:rPr>
        <w:t xml:space="preserve"> volume of </w:t>
      </w:r>
      <w:r w:rsidR="00003642" w:rsidRPr="00B1343E">
        <w:rPr>
          <w:rFonts w:asciiTheme="minorHAnsi" w:hAnsiTheme="minorHAnsi"/>
          <w:i/>
        </w:rPr>
        <w:t xml:space="preserve">credit </w:t>
      </w:r>
      <w:r w:rsidR="00DE055F" w:rsidRPr="00B1343E">
        <w:rPr>
          <w:rFonts w:asciiTheme="minorHAnsi" w:hAnsiTheme="minorHAnsi"/>
          <w:i/>
        </w:rPr>
        <w:t>the</w:t>
      </w:r>
      <w:r w:rsidR="0045508B">
        <w:rPr>
          <w:rFonts w:asciiTheme="minorHAnsi" w:hAnsiTheme="minorHAnsi"/>
          <w:i/>
        </w:rPr>
        <w:t>se banks</w:t>
      </w:r>
      <w:r w:rsidR="00DE055F" w:rsidRPr="00B1343E">
        <w:rPr>
          <w:rFonts w:asciiTheme="minorHAnsi" w:hAnsiTheme="minorHAnsi"/>
          <w:i/>
        </w:rPr>
        <w:t xml:space="preserve"> offered to the private sector </w:t>
      </w:r>
      <w:r w:rsidR="008F6D14" w:rsidRPr="00B1343E">
        <w:rPr>
          <w:rFonts w:asciiTheme="minorHAnsi" w:hAnsiTheme="minorHAnsi"/>
          <w:i/>
        </w:rPr>
        <w:t>was</w:t>
      </w:r>
      <w:r w:rsidR="00003642" w:rsidRPr="00B1343E">
        <w:rPr>
          <w:rFonts w:asciiTheme="minorHAnsi" w:hAnsiTheme="minorHAnsi"/>
          <w:i/>
        </w:rPr>
        <w:t xml:space="preserve"> neutral to real </w:t>
      </w:r>
      <w:r w:rsidR="00DE055F" w:rsidRPr="00B1343E">
        <w:rPr>
          <w:rFonts w:asciiTheme="minorHAnsi" w:hAnsiTheme="minorHAnsi"/>
          <w:i/>
        </w:rPr>
        <w:t xml:space="preserve">economic </w:t>
      </w:r>
      <w:r w:rsidR="00003642" w:rsidRPr="00B1343E">
        <w:rPr>
          <w:rFonts w:asciiTheme="minorHAnsi" w:hAnsiTheme="minorHAnsi"/>
          <w:i/>
        </w:rPr>
        <w:t>growth</w:t>
      </w:r>
      <w:r w:rsidR="00866D8E" w:rsidRPr="00B1343E">
        <w:rPr>
          <w:rFonts w:asciiTheme="minorHAnsi" w:hAnsiTheme="minorHAnsi"/>
          <w:i/>
        </w:rPr>
        <w:t xml:space="preserve">. This </w:t>
      </w:r>
      <w:r w:rsidR="00003642" w:rsidRPr="00B1343E">
        <w:rPr>
          <w:rFonts w:asciiTheme="minorHAnsi" w:hAnsiTheme="minorHAnsi"/>
          <w:i/>
        </w:rPr>
        <w:t xml:space="preserve">result </w:t>
      </w:r>
      <w:r w:rsidR="00866D8E" w:rsidRPr="00B1343E">
        <w:rPr>
          <w:rFonts w:asciiTheme="minorHAnsi" w:hAnsiTheme="minorHAnsi"/>
          <w:i/>
        </w:rPr>
        <w:t xml:space="preserve">is </w:t>
      </w:r>
      <w:r w:rsidR="00003642" w:rsidRPr="00B1343E">
        <w:rPr>
          <w:rFonts w:asciiTheme="minorHAnsi" w:hAnsiTheme="minorHAnsi"/>
          <w:i/>
        </w:rPr>
        <w:t>confirmed by several leading studies</w:t>
      </w:r>
      <w:r w:rsidR="00DF2E1A" w:rsidRPr="00B1343E">
        <w:rPr>
          <w:rFonts w:asciiTheme="minorHAnsi" w:hAnsiTheme="minorHAnsi"/>
          <w:i/>
        </w:rPr>
        <w:t xml:space="preserve"> on credit-less economic recoveries </w:t>
      </w:r>
      <w:r w:rsidR="00DE055F" w:rsidRPr="00B1343E">
        <w:rPr>
          <w:rFonts w:asciiTheme="minorHAnsi" w:hAnsiTheme="minorHAnsi"/>
          <w:i/>
        </w:rPr>
        <w:t xml:space="preserve">that </w:t>
      </w:r>
      <w:r w:rsidR="00A022BD" w:rsidRPr="00B1343E">
        <w:rPr>
          <w:rFonts w:asciiTheme="minorHAnsi" w:hAnsiTheme="minorHAnsi"/>
          <w:i/>
        </w:rPr>
        <w:t xml:space="preserve">follow </w:t>
      </w:r>
      <w:r w:rsidR="00DF2E1A" w:rsidRPr="00B1343E">
        <w:rPr>
          <w:rFonts w:asciiTheme="minorHAnsi" w:hAnsiTheme="minorHAnsi"/>
          <w:i/>
        </w:rPr>
        <w:t xml:space="preserve">a </w:t>
      </w:r>
      <w:r w:rsidR="005978C3" w:rsidRPr="00B1343E">
        <w:rPr>
          <w:rFonts w:asciiTheme="minorHAnsi" w:hAnsiTheme="minorHAnsi"/>
          <w:i/>
        </w:rPr>
        <w:t xml:space="preserve">financial </w:t>
      </w:r>
      <w:r w:rsidR="00DF2E1A" w:rsidRPr="00B1343E">
        <w:rPr>
          <w:rFonts w:asciiTheme="minorHAnsi" w:hAnsiTheme="minorHAnsi"/>
          <w:i/>
        </w:rPr>
        <w:t>crisi</w:t>
      </w:r>
      <w:r w:rsidR="00F87DB6" w:rsidRPr="00B1343E">
        <w:rPr>
          <w:rFonts w:asciiTheme="minorHAnsi" w:hAnsiTheme="minorHAnsi"/>
          <w:i/>
        </w:rPr>
        <w:t>s</w:t>
      </w:r>
      <w:r w:rsidR="00DF2E1A" w:rsidRPr="00B1343E">
        <w:rPr>
          <w:rFonts w:asciiTheme="minorHAnsi" w:hAnsiTheme="minorHAnsi"/>
          <w:i/>
        </w:rPr>
        <w:t xml:space="preserve">.  </w:t>
      </w:r>
      <w:r w:rsidR="005978C3" w:rsidRPr="00B1343E">
        <w:rPr>
          <w:rFonts w:asciiTheme="minorHAnsi" w:hAnsiTheme="minorHAnsi"/>
          <w:i/>
        </w:rPr>
        <w:t xml:space="preserve">Supported by a recent IMF study </w:t>
      </w:r>
      <w:r w:rsidR="0045508B">
        <w:rPr>
          <w:rFonts w:asciiTheme="minorHAnsi" w:hAnsiTheme="minorHAnsi"/>
          <w:i/>
        </w:rPr>
        <w:t>that</w:t>
      </w:r>
      <w:r w:rsidR="0045508B" w:rsidRPr="00B1343E">
        <w:rPr>
          <w:rFonts w:asciiTheme="minorHAnsi" w:hAnsiTheme="minorHAnsi"/>
          <w:i/>
        </w:rPr>
        <w:t xml:space="preserve"> </w:t>
      </w:r>
      <w:r w:rsidR="005978C3" w:rsidRPr="00B1343E">
        <w:rPr>
          <w:rFonts w:asciiTheme="minorHAnsi" w:hAnsiTheme="minorHAnsi"/>
          <w:i/>
        </w:rPr>
        <w:t xml:space="preserve">ranks </w:t>
      </w:r>
      <w:r w:rsidR="00CD10CE" w:rsidRPr="00B1343E">
        <w:rPr>
          <w:rFonts w:asciiTheme="minorHAnsi" w:hAnsiTheme="minorHAnsi"/>
          <w:i/>
        </w:rPr>
        <w:t xml:space="preserve">banking regulation and supervision </w:t>
      </w:r>
      <w:r w:rsidR="00A022BD" w:rsidRPr="00B1343E">
        <w:rPr>
          <w:rFonts w:asciiTheme="minorHAnsi" w:hAnsiTheme="minorHAnsi"/>
          <w:i/>
        </w:rPr>
        <w:t>“poor</w:t>
      </w:r>
      <w:r w:rsidR="00CD10CE" w:rsidRPr="00B1343E">
        <w:rPr>
          <w:rFonts w:asciiTheme="minorHAnsi" w:hAnsiTheme="minorHAnsi"/>
          <w:i/>
        </w:rPr>
        <w:t>”</w:t>
      </w:r>
      <w:r w:rsidR="00A022BD" w:rsidRPr="00B1343E">
        <w:rPr>
          <w:rFonts w:asciiTheme="minorHAnsi" w:hAnsiTheme="minorHAnsi"/>
          <w:i/>
        </w:rPr>
        <w:t xml:space="preserve"> or </w:t>
      </w:r>
      <w:r w:rsidR="00CD10CE" w:rsidRPr="00B1343E">
        <w:rPr>
          <w:rFonts w:asciiTheme="minorHAnsi" w:hAnsiTheme="minorHAnsi"/>
          <w:i/>
        </w:rPr>
        <w:t>“</w:t>
      </w:r>
      <w:r w:rsidR="00A022BD" w:rsidRPr="00B1343E">
        <w:rPr>
          <w:rFonts w:asciiTheme="minorHAnsi" w:hAnsiTheme="minorHAnsi"/>
          <w:i/>
        </w:rPr>
        <w:t>below</w:t>
      </w:r>
      <w:r w:rsidR="00CD10CE" w:rsidRPr="00B1343E">
        <w:rPr>
          <w:rFonts w:asciiTheme="minorHAnsi" w:hAnsiTheme="minorHAnsi"/>
          <w:i/>
        </w:rPr>
        <w:t>-</w:t>
      </w:r>
      <w:r w:rsidR="00A022BD" w:rsidRPr="00B1343E">
        <w:rPr>
          <w:rFonts w:asciiTheme="minorHAnsi" w:hAnsiTheme="minorHAnsi"/>
          <w:i/>
        </w:rPr>
        <w:t xml:space="preserve"> average” </w:t>
      </w:r>
      <w:r w:rsidR="005978C3" w:rsidRPr="00B1343E">
        <w:rPr>
          <w:rFonts w:asciiTheme="minorHAnsi" w:hAnsiTheme="minorHAnsi"/>
          <w:i/>
        </w:rPr>
        <w:t xml:space="preserve">in </w:t>
      </w:r>
      <w:r w:rsidR="0045508B">
        <w:rPr>
          <w:rFonts w:asciiTheme="minorHAnsi" w:hAnsiTheme="minorHAnsi"/>
          <w:i/>
        </w:rPr>
        <w:t>four</w:t>
      </w:r>
      <w:r w:rsidR="00A022BD" w:rsidRPr="00B1343E">
        <w:rPr>
          <w:rFonts w:asciiTheme="minorHAnsi" w:hAnsiTheme="minorHAnsi"/>
          <w:i/>
        </w:rPr>
        <w:t xml:space="preserve"> out of the </w:t>
      </w:r>
      <w:r w:rsidR="0045508B">
        <w:rPr>
          <w:rFonts w:asciiTheme="minorHAnsi" w:hAnsiTheme="minorHAnsi"/>
          <w:i/>
        </w:rPr>
        <w:t>five</w:t>
      </w:r>
      <w:r w:rsidR="0045508B" w:rsidRPr="00B1343E">
        <w:rPr>
          <w:rFonts w:asciiTheme="minorHAnsi" w:hAnsiTheme="minorHAnsi"/>
          <w:i/>
        </w:rPr>
        <w:t xml:space="preserve"> </w:t>
      </w:r>
      <w:r w:rsidR="005978C3" w:rsidRPr="00B1343E">
        <w:rPr>
          <w:rFonts w:asciiTheme="minorHAnsi" w:hAnsiTheme="minorHAnsi"/>
          <w:i/>
        </w:rPr>
        <w:t>countries</w:t>
      </w:r>
      <w:r w:rsidR="00F87DB6" w:rsidRPr="00B1343E">
        <w:rPr>
          <w:rFonts w:asciiTheme="minorHAnsi" w:hAnsiTheme="minorHAnsi"/>
          <w:i/>
        </w:rPr>
        <w:t xml:space="preserve"> under study</w:t>
      </w:r>
      <w:r w:rsidR="005978C3" w:rsidRPr="00B1343E">
        <w:rPr>
          <w:rFonts w:asciiTheme="minorHAnsi" w:hAnsiTheme="minorHAnsi"/>
          <w:i/>
        </w:rPr>
        <w:t>, w</w:t>
      </w:r>
      <w:r w:rsidR="00DF2E1A" w:rsidRPr="00B1343E">
        <w:rPr>
          <w:rFonts w:asciiTheme="minorHAnsi" w:hAnsiTheme="minorHAnsi"/>
          <w:i/>
        </w:rPr>
        <w:t xml:space="preserve">e attribute the </w:t>
      </w:r>
      <w:r w:rsidR="005978C3" w:rsidRPr="00B1343E">
        <w:rPr>
          <w:rFonts w:asciiTheme="minorHAnsi" w:hAnsiTheme="minorHAnsi"/>
          <w:i/>
        </w:rPr>
        <w:t xml:space="preserve">limited effectiveness of </w:t>
      </w:r>
      <w:r w:rsidR="00CD10CE" w:rsidRPr="00B1343E">
        <w:rPr>
          <w:rFonts w:asciiTheme="minorHAnsi" w:hAnsiTheme="minorHAnsi"/>
          <w:i/>
        </w:rPr>
        <w:t xml:space="preserve">their </w:t>
      </w:r>
      <w:r w:rsidR="005978C3" w:rsidRPr="00B1343E">
        <w:rPr>
          <w:rFonts w:asciiTheme="minorHAnsi" w:hAnsiTheme="minorHAnsi"/>
          <w:i/>
        </w:rPr>
        <w:t>bank</w:t>
      </w:r>
      <w:r w:rsidR="00CD10CE" w:rsidRPr="00B1343E">
        <w:rPr>
          <w:rFonts w:asciiTheme="minorHAnsi" w:hAnsiTheme="minorHAnsi"/>
          <w:i/>
        </w:rPr>
        <w:t xml:space="preserve">s </w:t>
      </w:r>
      <w:r w:rsidR="00003642" w:rsidRPr="00B1343E">
        <w:rPr>
          <w:rFonts w:asciiTheme="minorHAnsi" w:hAnsiTheme="minorHAnsi"/>
          <w:i/>
        </w:rPr>
        <w:t xml:space="preserve">to </w:t>
      </w:r>
      <w:r w:rsidR="008F6D14" w:rsidRPr="00B1343E">
        <w:rPr>
          <w:rFonts w:asciiTheme="minorHAnsi" w:hAnsiTheme="minorHAnsi"/>
          <w:i/>
        </w:rPr>
        <w:t xml:space="preserve">government intervention in credit allocation and pricing. </w:t>
      </w:r>
      <w:r w:rsidR="005978C3" w:rsidRPr="00B1343E">
        <w:rPr>
          <w:rFonts w:asciiTheme="minorHAnsi" w:hAnsiTheme="minorHAnsi"/>
          <w:i/>
        </w:rPr>
        <w:t xml:space="preserve"> </w:t>
      </w:r>
      <w:r w:rsidR="008F6D14" w:rsidRPr="00B1343E">
        <w:rPr>
          <w:rFonts w:asciiTheme="minorHAnsi" w:hAnsiTheme="minorHAnsi"/>
          <w:i/>
        </w:rPr>
        <w:t xml:space="preserve">Our results cast doubt on the banks’ ability to lead </w:t>
      </w:r>
      <w:r w:rsidR="00F87DB6" w:rsidRPr="00B1343E">
        <w:rPr>
          <w:rFonts w:asciiTheme="minorHAnsi" w:hAnsiTheme="minorHAnsi"/>
          <w:i/>
        </w:rPr>
        <w:t>an</w:t>
      </w:r>
      <w:r w:rsidR="00DE055F" w:rsidRPr="00B1343E">
        <w:rPr>
          <w:rFonts w:asciiTheme="minorHAnsi" w:hAnsiTheme="minorHAnsi"/>
          <w:i/>
        </w:rPr>
        <w:t xml:space="preserve"> </w:t>
      </w:r>
      <w:r w:rsidR="008F6D14" w:rsidRPr="00B1343E">
        <w:rPr>
          <w:rFonts w:asciiTheme="minorHAnsi" w:hAnsiTheme="minorHAnsi"/>
          <w:i/>
        </w:rPr>
        <w:t>economic recovery</w:t>
      </w:r>
      <w:r w:rsidR="00F87DB6" w:rsidRPr="00B1343E">
        <w:rPr>
          <w:rFonts w:asciiTheme="minorHAnsi" w:hAnsiTheme="minorHAnsi"/>
          <w:i/>
        </w:rPr>
        <w:t xml:space="preserve"> and </w:t>
      </w:r>
      <w:r w:rsidR="00613450" w:rsidRPr="00B1343E">
        <w:rPr>
          <w:rFonts w:asciiTheme="minorHAnsi" w:hAnsiTheme="minorHAnsi"/>
          <w:i/>
        </w:rPr>
        <w:t xml:space="preserve">suggest </w:t>
      </w:r>
      <w:r w:rsidR="00F87DB6" w:rsidRPr="00B1343E">
        <w:rPr>
          <w:rFonts w:asciiTheme="minorHAnsi" w:hAnsiTheme="minorHAnsi"/>
          <w:i/>
        </w:rPr>
        <w:t>that monetary policy</w:t>
      </w:r>
      <w:r w:rsidR="00F87DB6" w:rsidRPr="00B1343E">
        <w:rPr>
          <w:rFonts w:asciiTheme="minorHAnsi" w:hAnsiTheme="minorHAnsi"/>
        </w:rPr>
        <w:t xml:space="preserve"> </w:t>
      </w:r>
      <w:r w:rsidR="00F87DB6" w:rsidRPr="00B1343E">
        <w:rPr>
          <w:rFonts w:asciiTheme="minorHAnsi" w:hAnsiTheme="minorHAnsi"/>
          <w:i/>
        </w:rPr>
        <w:t>alone will not be</w:t>
      </w:r>
      <w:r w:rsidR="00410DC7">
        <w:rPr>
          <w:rFonts w:asciiTheme="minorHAnsi" w:hAnsiTheme="minorHAnsi"/>
          <w:i/>
        </w:rPr>
        <w:t xml:space="preserve"> </w:t>
      </w:r>
      <w:proofErr w:type="gramStart"/>
      <w:r w:rsidR="00F87DB6" w:rsidRPr="00B1343E">
        <w:rPr>
          <w:rFonts w:asciiTheme="minorHAnsi" w:hAnsiTheme="minorHAnsi"/>
          <w:i/>
        </w:rPr>
        <w:t>successful</w:t>
      </w:r>
      <w:proofErr w:type="gramEnd"/>
      <w:r w:rsidR="00F87DB6" w:rsidRPr="00B1343E">
        <w:rPr>
          <w:rFonts w:asciiTheme="minorHAnsi" w:hAnsiTheme="minorHAnsi"/>
          <w:i/>
        </w:rPr>
        <w:t xml:space="preserve"> within its first </w:t>
      </w:r>
      <w:r w:rsidR="0045508B">
        <w:rPr>
          <w:rFonts w:asciiTheme="minorHAnsi" w:hAnsiTheme="minorHAnsi"/>
          <w:i/>
        </w:rPr>
        <w:t>three</w:t>
      </w:r>
      <w:r w:rsidR="00F87DB6" w:rsidRPr="00B1343E">
        <w:rPr>
          <w:rFonts w:asciiTheme="minorHAnsi" w:hAnsiTheme="minorHAnsi"/>
          <w:i/>
        </w:rPr>
        <w:t xml:space="preserve"> years. </w:t>
      </w:r>
      <w:r w:rsidR="00613450" w:rsidRPr="00B1343E">
        <w:rPr>
          <w:rFonts w:asciiTheme="minorHAnsi" w:hAnsiTheme="minorHAnsi"/>
          <w:i/>
        </w:rPr>
        <w:t xml:space="preserve">We recommend the introduction of a </w:t>
      </w:r>
      <w:r w:rsidR="008F6D14" w:rsidRPr="00B1343E">
        <w:rPr>
          <w:rFonts w:asciiTheme="minorHAnsi" w:hAnsiTheme="minorHAnsi"/>
          <w:i/>
        </w:rPr>
        <w:t xml:space="preserve">fiscal </w:t>
      </w:r>
      <w:r w:rsidR="00DE055F" w:rsidRPr="00B1343E">
        <w:rPr>
          <w:rFonts w:asciiTheme="minorHAnsi" w:hAnsiTheme="minorHAnsi"/>
          <w:i/>
        </w:rPr>
        <w:t>stimulus</w:t>
      </w:r>
      <w:r w:rsidR="00F87DB6" w:rsidRPr="00B1343E">
        <w:rPr>
          <w:rFonts w:asciiTheme="minorHAnsi" w:hAnsiTheme="minorHAnsi"/>
          <w:i/>
        </w:rPr>
        <w:t xml:space="preserve"> and policies that prevent economic slumps</w:t>
      </w:r>
      <w:r w:rsidR="008F6D14" w:rsidRPr="00B1343E">
        <w:rPr>
          <w:rFonts w:asciiTheme="minorHAnsi" w:hAnsiTheme="minorHAnsi"/>
          <w:i/>
        </w:rPr>
        <w:t xml:space="preserve"> in the countries of the Arab Spring.  </w:t>
      </w:r>
    </w:p>
    <w:p w14:paraId="3961FC18" w14:textId="6E2B951E" w:rsidR="00613450" w:rsidRDefault="00F87DB6" w:rsidP="00F51ECD">
      <w:pPr>
        <w:pBdr>
          <w:top w:val="single" w:sz="4" w:space="1" w:color="auto"/>
        </w:pBdr>
        <w:autoSpaceDE w:val="0"/>
        <w:autoSpaceDN w:val="0"/>
        <w:adjustRightInd w:val="0"/>
        <w:jc w:val="both"/>
        <w:rPr>
          <w:rFonts w:ascii="Calibri" w:hAnsi="Calibri"/>
          <w:b/>
        </w:rPr>
      </w:pPr>
      <w:r>
        <w:rPr>
          <w:rFonts w:ascii="Calibri" w:hAnsi="Calibri"/>
          <w:b/>
        </w:rPr>
        <w:t xml:space="preserve"> </w:t>
      </w:r>
    </w:p>
    <w:p w14:paraId="24E90398" w14:textId="77777777" w:rsidR="00CA37E9" w:rsidRPr="00F51ECD" w:rsidRDefault="00CA37E9" w:rsidP="00F51ECD">
      <w:pPr>
        <w:pBdr>
          <w:top w:val="single" w:sz="4" w:space="1" w:color="auto"/>
        </w:pBdr>
        <w:autoSpaceDE w:val="0"/>
        <w:autoSpaceDN w:val="0"/>
        <w:adjustRightInd w:val="0"/>
        <w:jc w:val="both"/>
        <w:rPr>
          <w:rFonts w:ascii="Calibri" w:hAnsi="Calibri"/>
          <w:b/>
        </w:rPr>
      </w:pPr>
    </w:p>
    <w:p w14:paraId="6711A85C" w14:textId="6ED2D80A" w:rsidR="003809E8" w:rsidRPr="00516A21" w:rsidRDefault="00B6165E" w:rsidP="00F51ECD">
      <w:pPr>
        <w:numPr>
          <w:ilvl w:val="0"/>
          <w:numId w:val="3"/>
        </w:numPr>
        <w:autoSpaceDE w:val="0"/>
        <w:autoSpaceDN w:val="0"/>
        <w:adjustRightInd w:val="0"/>
        <w:jc w:val="both"/>
        <w:rPr>
          <w:rFonts w:asciiTheme="minorHAnsi" w:hAnsiTheme="minorHAnsi"/>
          <w:b/>
        </w:rPr>
      </w:pPr>
      <w:r>
        <w:rPr>
          <w:rFonts w:asciiTheme="minorHAnsi" w:hAnsiTheme="minorHAnsi"/>
          <w:b/>
        </w:rPr>
        <w:t>Introduction and Objective</w:t>
      </w:r>
    </w:p>
    <w:p w14:paraId="2B74C184" w14:textId="77777777" w:rsidR="00C64C6F" w:rsidRPr="00516A21" w:rsidRDefault="00C64C6F" w:rsidP="00F51ECD">
      <w:pPr>
        <w:autoSpaceDE w:val="0"/>
        <w:autoSpaceDN w:val="0"/>
        <w:adjustRightInd w:val="0"/>
        <w:ind w:left="720"/>
        <w:jc w:val="both"/>
        <w:rPr>
          <w:rFonts w:asciiTheme="minorHAnsi" w:hAnsiTheme="minorHAnsi"/>
          <w:b/>
        </w:rPr>
      </w:pPr>
    </w:p>
    <w:p w14:paraId="3930B49A" w14:textId="62CFCE9F" w:rsidR="00943A40" w:rsidRPr="00516A21" w:rsidRDefault="00EC32E8" w:rsidP="00410DC7">
      <w:pPr>
        <w:jc w:val="both"/>
        <w:rPr>
          <w:rFonts w:asciiTheme="minorHAnsi" w:hAnsiTheme="minorHAnsi" w:cs="Arial"/>
          <w:color w:val="000000"/>
          <w:shd w:val="clear" w:color="auto" w:fill="FFFFFF"/>
        </w:rPr>
      </w:pPr>
      <w:r w:rsidRPr="00516A21">
        <w:rPr>
          <w:rFonts w:asciiTheme="minorHAnsi" w:hAnsiTheme="minorHAnsi" w:cs="Arial"/>
          <w:color w:val="000000"/>
          <w:shd w:val="clear" w:color="auto" w:fill="FFFFFF"/>
        </w:rPr>
        <w:t>Undoubtedly, b</w:t>
      </w:r>
      <w:r w:rsidR="00943A40" w:rsidRPr="00516A21">
        <w:rPr>
          <w:rFonts w:asciiTheme="minorHAnsi" w:hAnsiTheme="minorHAnsi" w:cs="Arial"/>
          <w:color w:val="000000"/>
          <w:shd w:val="clear" w:color="auto" w:fill="FFFFFF"/>
        </w:rPr>
        <w:t>anks were the main financial institutions to feel the</w:t>
      </w:r>
      <w:r w:rsidR="009B5C83">
        <w:rPr>
          <w:rFonts w:asciiTheme="minorHAnsi" w:hAnsiTheme="minorHAnsi" w:cs="Arial"/>
          <w:color w:val="000000"/>
          <w:shd w:val="clear" w:color="auto" w:fill="FFFFFF"/>
        </w:rPr>
        <w:t xml:space="preserve"> immediate</w:t>
      </w:r>
      <w:r w:rsidR="00943A40" w:rsidRPr="00516A21">
        <w:rPr>
          <w:rFonts w:asciiTheme="minorHAnsi" w:hAnsiTheme="minorHAnsi" w:cs="Arial"/>
          <w:color w:val="000000"/>
          <w:shd w:val="clear" w:color="auto" w:fill="FFFFFF"/>
        </w:rPr>
        <w:t xml:space="preserve"> impact of the volatile political landscape in the countries </w:t>
      </w:r>
      <w:r w:rsidRPr="00516A21">
        <w:rPr>
          <w:rFonts w:asciiTheme="minorHAnsi" w:hAnsiTheme="minorHAnsi" w:cs="Arial"/>
          <w:color w:val="000000"/>
          <w:shd w:val="clear" w:color="auto" w:fill="FFFFFF"/>
        </w:rPr>
        <w:t xml:space="preserve">of </w:t>
      </w:r>
      <w:r w:rsidR="00943A40" w:rsidRPr="00516A21">
        <w:rPr>
          <w:rFonts w:asciiTheme="minorHAnsi" w:hAnsiTheme="minorHAnsi" w:cs="Arial"/>
          <w:color w:val="000000"/>
          <w:shd w:val="clear" w:color="auto" w:fill="FFFFFF"/>
        </w:rPr>
        <w:t xml:space="preserve">the Arab Spring. Political unrest slowed economic development markedly, with real GDP in </w:t>
      </w:r>
      <w:r w:rsidR="00292DD5">
        <w:rPr>
          <w:rFonts w:asciiTheme="minorHAnsi" w:hAnsiTheme="minorHAnsi" w:cs="Arial"/>
          <w:color w:val="000000"/>
          <w:shd w:val="clear" w:color="auto" w:fill="FFFFFF"/>
        </w:rPr>
        <w:t xml:space="preserve">Yemen and Libya declining year-on-year by more than 15% and slowing growth throughout the Arab World by 2.2%. </w:t>
      </w:r>
    </w:p>
    <w:p w14:paraId="1C8D5502" w14:textId="77777777" w:rsidR="00943A40" w:rsidRPr="00516A21" w:rsidRDefault="00943A40" w:rsidP="00943A40">
      <w:pPr>
        <w:rPr>
          <w:rFonts w:asciiTheme="minorHAnsi" w:hAnsiTheme="minorHAnsi" w:cs="Arial"/>
          <w:color w:val="000000"/>
          <w:shd w:val="clear" w:color="auto" w:fill="FFFFFF"/>
        </w:rPr>
      </w:pPr>
    </w:p>
    <w:p w14:paraId="7502F821" w14:textId="1B075B64" w:rsidR="00EC32E8" w:rsidRPr="00516A21" w:rsidRDefault="00EC32E8" w:rsidP="00F51ECD">
      <w:pPr>
        <w:autoSpaceDE w:val="0"/>
        <w:autoSpaceDN w:val="0"/>
        <w:adjustRightInd w:val="0"/>
        <w:jc w:val="both"/>
        <w:rPr>
          <w:rFonts w:asciiTheme="minorHAnsi" w:hAnsiTheme="minorHAnsi" w:cs="Arial"/>
          <w:color w:val="000000"/>
          <w:shd w:val="clear" w:color="auto" w:fill="FFFFFF"/>
        </w:rPr>
      </w:pPr>
      <w:r w:rsidRPr="00516A21">
        <w:rPr>
          <w:rFonts w:asciiTheme="minorHAnsi" w:hAnsiTheme="minorHAnsi" w:cs="Arial"/>
          <w:color w:val="000000"/>
          <w:shd w:val="clear" w:color="auto" w:fill="FFFFFF"/>
        </w:rPr>
        <w:t xml:space="preserve">After more than </w:t>
      </w:r>
      <w:r w:rsidR="0045508B">
        <w:rPr>
          <w:rFonts w:asciiTheme="minorHAnsi" w:hAnsiTheme="minorHAnsi" w:cs="Arial"/>
          <w:color w:val="000000"/>
          <w:shd w:val="clear" w:color="auto" w:fill="FFFFFF"/>
        </w:rPr>
        <w:t>three</w:t>
      </w:r>
      <w:r w:rsidRPr="00516A21">
        <w:rPr>
          <w:rFonts w:asciiTheme="minorHAnsi" w:hAnsiTheme="minorHAnsi" w:cs="Arial"/>
          <w:color w:val="000000"/>
          <w:shd w:val="clear" w:color="auto" w:fill="FFFFFF"/>
        </w:rPr>
        <w:t xml:space="preserve"> years of economic and financial instability, a</w:t>
      </w:r>
      <w:r w:rsidR="00943A40" w:rsidRPr="00516A21">
        <w:rPr>
          <w:rFonts w:asciiTheme="minorHAnsi" w:hAnsiTheme="minorHAnsi" w:cs="Arial"/>
          <w:color w:val="000000"/>
          <w:shd w:val="clear" w:color="auto" w:fill="FFFFFF"/>
        </w:rPr>
        <w:t xml:space="preserve">ny turnaround </w:t>
      </w:r>
      <w:r w:rsidR="005A0B46" w:rsidRPr="00516A21">
        <w:rPr>
          <w:rFonts w:asciiTheme="minorHAnsi" w:hAnsiTheme="minorHAnsi" w:cs="Arial"/>
          <w:color w:val="000000"/>
          <w:shd w:val="clear" w:color="auto" w:fill="FFFFFF"/>
        </w:rPr>
        <w:t>is expected to</w:t>
      </w:r>
      <w:r w:rsidRPr="00516A21">
        <w:rPr>
          <w:rFonts w:asciiTheme="minorHAnsi" w:hAnsiTheme="minorHAnsi" w:cs="Arial"/>
          <w:color w:val="000000"/>
          <w:shd w:val="clear" w:color="auto" w:fill="FFFFFF"/>
        </w:rPr>
        <w:t xml:space="preserve"> </w:t>
      </w:r>
      <w:r w:rsidR="00943A40" w:rsidRPr="00516A21">
        <w:rPr>
          <w:rFonts w:asciiTheme="minorHAnsi" w:hAnsiTheme="minorHAnsi" w:cs="Arial"/>
          <w:color w:val="000000"/>
          <w:shd w:val="clear" w:color="auto" w:fill="FFFFFF"/>
        </w:rPr>
        <w:t xml:space="preserve">require leadership from a strong and healthy banking sector recognized to be the main </w:t>
      </w:r>
      <w:r w:rsidRPr="00516A21">
        <w:rPr>
          <w:rFonts w:asciiTheme="minorHAnsi" w:hAnsiTheme="minorHAnsi" w:cs="Arial"/>
          <w:color w:val="000000"/>
          <w:shd w:val="clear" w:color="auto" w:fill="FFFFFF"/>
        </w:rPr>
        <w:t xml:space="preserve">source of credit to </w:t>
      </w:r>
      <w:r w:rsidR="00943A40" w:rsidRPr="00516A21">
        <w:rPr>
          <w:rFonts w:asciiTheme="minorHAnsi" w:hAnsiTheme="minorHAnsi" w:cs="Arial"/>
          <w:color w:val="000000"/>
          <w:shd w:val="clear" w:color="auto" w:fill="FFFFFF"/>
        </w:rPr>
        <w:t>spur</w:t>
      </w:r>
      <w:r w:rsidRPr="00516A21">
        <w:rPr>
          <w:rFonts w:asciiTheme="minorHAnsi" w:hAnsiTheme="minorHAnsi" w:cs="Arial"/>
          <w:color w:val="000000"/>
          <w:shd w:val="clear" w:color="auto" w:fill="FFFFFF"/>
        </w:rPr>
        <w:t xml:space="preserve"> </w:t>
      </w:r>
      <w:r w:rsidR="009B5C83">
        <w:rPr>
          <w:rFonts w:asciiTheme="minorHAnsi" w:hAnsiTheme="minorHAnsi" w:cs="Arial"/>
          <w:color w:val="000000"/>
          <w:shd w:val="clear" w:color="auto" w:fill="FFFFFF"/>
        </w:rPr>
        <w:t xml:space="preserve">economic </w:t>
      </w:r>
      <w:r w:rsidRPr="00516A21">
        <w:rPr>
          <w:rFonts w:asciiTheme="minorHAnsi" w:hAnsiTheme="minorHAnsi" w:cs="Arial"/>
          <w:color w:val="000000"/>
          <w:shd w:val="clear" w:color="auto" w:fill="FFFFFF"/>
        </w:rPr>
        <w:t>growth.  This</w:t>
      </w:r>
      <w:r w:rsidR="0045508B">
        <w:rPr>
          <w:rFonts w:asciiTheme="minorHAnsi" w:hAnsiTheme="minorHAnsi" w:cs="Arial"/>
          <w:color w:val="000000"/>
          <w:shd w:val="clear" w:color="auto" w:fill="FFFFFF"/>
        </w:rPr>
        <w:t xml:space="preserve"> concept</w:t>
      </w:r>
      <w:r w:rsidRPr="00516A21">
        <w:rPr>
          <w:rFonts w:asciiTheme="minorHAnsi" w:hAnsiTheme="minorHAnsi" w:cs="Arial"/>
          <w:color w:val="000000"/>
          <w:shd w:val="clear" w:color="auto" w:fill="FFFFFF"/>
        </w:rPr>
        <w:t xml:space="preserve"> is </w:t>
      </w:r>
      <w:r w:rsidR="00943A40" w:rsidRPr="00516A21">
        <w:rPr>
          <w:rFonts w:asciiTheme="minorHAnsi" w:hAnsiTheme="minorHAnsi" w:cs="Arial"/>
          <w:color w:val="000000"/>
          <w:shd w:val="clear" w:color="auto" w:fill="FFFFFF"/>
        </w:rPr>
        <w:t xml:space="preserve">documented in </w:t>
      </w:r>
      <w:r w:rsidRPr="00516A21">
        <w:rPr>
          <w:rFonts w:asciiTheme="minorHAnsi" w:hAnsiTheme="minorHAnsi" w:cs="Arial"/>
          <w:color w:val="000000"/>
          <w:shd w:val="clear" w:color="auto" w:fill="FFFFFF"/>
        </w:rPr>
        <w:t xml:space="preserve">several studies about the pivotal role that banks play in an environment marked with uncertainty </w:t>
      </w:r>
      <w:r w:rsidR="00530F3A">
        <w:rPr>
          <w:rFonts w:asciiTheme="minorHAnsi" w:hAnsiTheme="minorHAnsi" w:cs="Arial"/>
          <w:color w:val="000000"/>
          <w:shd w:val="clear" w:color="auto" w:fill="FFFFFF"/>
        </w:rPr>
        <w:t>[</w:t>
      </w:r>
      <w:r w:rsidR="00530F3A" w:rsidRPr="00E43BC1">
        <w:rPr>
          <w:rFonts w:asciiTheme="minorHAnsi" w:hAnsiTheme="minorHAnsi" w:cs="Arial"/>
          <w:color w:val="000000"/>
          <w:shd w:val="clear" w:color="auto" w:fill="FFFFFF"/>
        </w:rPr>
        <w:t>King and Levine (1993)</w:t>
      </w:r>
      <w:r w:rsidR="00530F3A">
        <w:rPr>
          <w:rFonts w:asciiTheme="minorHAnsi" w:hAnsiTheme="minorHAnsi" w:cs="Arial"/>
          <w:color w:val="000000"/>
          <w:shd w:val="clear" w:color="auto" w:fill="FFFFFF"/>
        </w:rPr>
        <w:t xml:space="preserve">; </w:t>
      </w:r>
      <w:r w:rsidR="00943A40" w:rsidRPr="00516A21">
        <w:rPr>
          <w:rFonts w:asciiTheme="minorHAnsi" w:hAnsiTheme="minorHAnsi" w:cs="Arial"/>
          <w:color w:val="000000"/>
          <w:shd w:val="clear" w:color="auto" w:fill="FFFFFF"/>
        </w:rPr>
        <w:t>Levine (1997)</w:t>
      </w:r>
      <w:r w:rsidR="00530F3A">
        <w:rPr>
          <w:rFonts w:asciiTheme="minorHAnsi" w:hAnsiTheme="minorHAnsi" w:cs="Arial"/>
          <w:color w:val="000000"/>
          <w:shd w:val="clear" w:color="auto" w:fill="FFFFFF"/>
        </w:rPr>
        <w:t>;</w:t>
      </w:r>
      <w:r w:rsidR="00943A40" w:rsidRPr="00516A21">
        <w:rPr>
          <w:rFonts w:asciiTheme="minorHAnsi" w:hAnsiTheme="minorHAnsi" w:cs="Arial"/>
          <w:color w:val="000000"/>
          <w:shd w:val="clear" w:color="auto" w:fill="FFFFFF"/>
        </w:rPr>
        <w:t xml:space="preserve"> </w:t>
      </w:r>
      <w:proofErr w:type="spellStart"/>
      <w:r w:rsidR="00943A40" w:rsidRPr="00516A21">
        <w:rPr>
          <w:rFonts w:asciiTheme="minorHAnsi" w:hAnsiTheme="minorHAnsi" w:cs="Arial"/>
          <w:color w:val="000000"/>
          <w:shd w:val="clear" w:color="auto" w:fill="FFFFFF"/>
        </w:rPr>
        <w:t>Rajan</w:t>
      </w:r>
      <w:proofErr w:type="spellEnd"/>
      <w:r w:rsidR="00943A40" w:rsidRPr="00516A21">
        <w:rPr>
          <w:rFonts w:asciiTheme="minorHAnsi" w:hAnsiTheme="minorHAnsi" w:cs="Arial"/>
          <w:color w:val="000000"/>
          <w:shd w:val="clear" w:color="auto" w:fill="FFFFFF"/>
        </w:rPr>
        <w:t xml:space="preserve"> and </w:t>
      </w:r>
      <w:proofErr w:type="spellStart"/>
      <w:r w:rsidR="00943A40" w:rsidRPr="00516A21">
        <w:rPr>
          <w:rFonts w:asciiTheme="minorHAnsi" w:hAnsiTheme="minorHAnsi" w:cs="Arial"/>
          <w:color w:val="000000"/>
          <w:shd w:val="clear" w:color="auto" w:fill="FFFFFF"/>
        </w:rPr>
        <w:t>Zingales</w:t>
      </w:r>
      <w:proofErr w:type="spellEnd"/>
      <w:r w:rsidR="00943A40" w:rsidRPr="00516A21">
        <w:rPr>
          <w:rFonts w:asciiTheme="minorHAnsi" w:hAnsiTheme="minorHAnsi" w:cs="Arial"/>
          <w:color w:val="000000"/>
          <w:shd w:val="clear" w:color="auto" w:fill="FFFFFF"/>
        </w:rPr>
        <w:t xml:space="preserve"> (2003)</w:t>
      </w:r>
      <w:r w:rsidR="00530F3A">
        <w:rPr>
          <w:rFonts w:asciiTheme="minorHAnsi" w:hAnsiTheme="minorHAnsi" w:cs="Arial"/>
          <w:color w:val="000000"/>
          <w:shd w:val="clear" w:color="auto" w:fill="FFFFFF"/>
        </w:rPr>
        <w:t>]</w:t>
      </w:r>
      <w:r w:rsidR="00943A40" w:rsidRPr="00516A21">
        <w:rPr>
          <w:rFonts w:asciiTheme="minorHAnsi" w:hAnsiTheme="minorHAnsi" w:cs="Arial"/>
          <w:color w:val="000000"/>
          <w:shd w:val="clear" w:color="auto" w:fill="FFFFFF"/>
        </w:rPr>
        <w:t>. This</w:t>
      </w:r>
      <w:r w:rsidR="0045508B">
        <w:rPr>
          <w:rFonts w:asciiTheme="minorHAnsi" w:hAnsiTheme="minorHAnsi" w:cs="Arial"/>
          <w:color w:val="000000"/>
          <w:shd w:val="clear" w:color="auto" w:fill="FFFFFF"/>
        </w:rPr>
        <w:t xml:space="preserve"> concept</w:t>
      </w:r>
      <w:r w:rsidR="00943A40" w:rsidRPr="00516A21">
        <w:rPr>
          <w:rFonts w:asciiTheme="minorHAnsi" w:hAnsiTheme="minorHAnsi" w:cs="Arial"/>
          <w:color w:val="000000"/>
          <w:shd w:val="clear" w:color="auto" w:fill="FFFFFF"/>
        </w:rPr>
        <w:t xml:space="preserve"> is also the principal rationale </w:t>
      </w:r>
      <w:r w:rsidR="0045508B">
        <w:rPr>
          <w:rFonts w:asciiTheme="minorHAnsi" w:hAnsiTheme="minorHAnsi" w:cs="Arial"/>
          <w:color w:val="000000"/>
          <w:shd w:val="clear" w:color="auto" w:fill="FFFFFF"/>
        </w:rPr>
        <w:t xml:space="preserve">concerning </w:t>
      </w:r>
      <w:r w:rsidR="005A0B46" w:rsidRPr="00516A21">
        <w:rPr>
          <w:rFonts w:asciiTheme="minorHAnsi" w:hAnsiTheme="minorHAnsi" w:cs="Arial"/>
          <w:color w:val="000000"/>
          <w:shd w:val="clear" w:color="auto" w:fill="FFFFFF"/>
        </w:rPr>
        <w:t>why</w:t>
      </w:r>
      <w:r w:rsidR="00943A40" w:rsidRPr="00516A21">
        <w:rPr>
          <w:rFonts w:asciiTheme="minorHAnsi" w:hAnsiTheme="minorHAnsi" w:cs="Arial"/>
          <w:color w:val="000000"/>
          <w:shd w:val="clear" w:color="auto" w:fill="FFFFFF"/>
        </w:rPr>
        <w:t xml:space="preserve"> international agencies and development officials </w:t>
      </w:r>
      <w:r w:rsidR="00C7713C" w:rsidRPr="00516A21">
        <w:rPr>
          <w:rFonts w:asciiTheme="minorHAnsi" w:hAnsiTheme="minorHAnsi" w:cs="Arial"/>
          <w:color w:val="000000"/>
          <w:shd w:val="clear" w:color="auto" w:fill="FFFFFF"/>
        </w:rPr>
        <w:t xml:space="preserve">strengthen </w:t>
      </w:r>
      <w:r w:rsidR="009B5C83">
        <w:rPr>
          <w:rFonts w:asciiTheme="minorHAnsi" w:hAnsiTheme="minorHAnsi" w:cs="Arial"/>
          <w:color w:val="000000"/>
          <w:shd w:val="clear" w:color="auto" w:fill="FFFFFF"/>
        </w:rPr>
        <w:t xml:space="preserve">the </w:t>
      </w:r>
      <w:r w:rsidR="00C7713C" w:rsidRPr="00516A21">
        <w:rPr>
          <w:rFonts w:asciiTheme="minorHAnsi" w:hAnsiTheme="minorHAnsi" w:cs="Arial"/>
          <w:color w:val="000000"/>
          <w:shd w:val="clear" w:color="auto" w:fill="FFFFFF"/>
        </w:rPr>
        <w:t>bank</w:t>
      </w:r>
      <w:r w:rsidR="009B5C83">
        <w:rPr>
          <w:rFonts w:asciiTheme="minorHAnsi" w:hAnsiTheme="minorHAnsi" w:cs="Arial"/>
          <w:color w:val="000000"/>
          <w:shd w:val="clear" w:color="auto" w:fill="FFFFFF"/>
        </w:rPr>
        <w:t xml:space="preserve">ing </w:t>
      </w:r>
      <w:r w:rsidR="00C7713C" w:rsidRPr="00516A21">
        <w:rPr>
          <w:rFonts w:asciiTheme="minorHAnsi" w:hAnsiTheme="minorHAnsi" w:cs="Arial"/>
          <w:color w:val="000000"/>
          <w:shd w:val="clear" w:color="auto" w:fill="FFFFFF"/>
        </w:rPr>
        <w:t>s</w:t>
      </w:r>
      <w:r w:rsidR="009B5C83">
        <w:rPr>
          <w:rFonts w:asciiTheme="minorHAnsi" w:hAnsiTheme="minorHAnsi" w:cs="Arial"/>
          <w:color w:val="000000"/>
          <w:shd w:val="clear" w:color="auto" w:fill="FFFFFF"/>
        </w:rPr>
        <w:t>ector</w:t>
      </w:r>
      <w:r w:rsidR="00C7713C" w:rsidRPr="00516A21">
        <w:rPr>
          <w:rFonts w:asciiTheme="minorHAnsi" w:hAnsiTheme="minorHAnsi" w:cs="Arial"/>
          <w:color w:val="000000"/>
          <w:shd w:val="clear" w:color="auto" w:fill="FFFFFF"/>
        </w:rPr>
        <w:t xml:space="preserve"> in order to </w:t>
      </w:r>
      <w:r w:rsidR="00943A40" w:rsidRPr="00516A21">
        <w:rPr>
          <w:rFonts w:asciiTheme="minorHAnsi" w:hAnsiTheme="minorHAnsi" w:cs="Arial"/>
          <w:color w:val="000000"/>
          <w:shd w:val="clear" w:color="auto" w:fill="FFFFFF"/>
        </w:rPr>
        <w:t>bolster</w:t>
      </w:r>
      <w:r w:rsidR="009B5C83">
        <w:rPr>
          <w:rFonts w:asciiTheme="minorHAnsi" w:hAnsiTheme="minorHAnsi" w:cs="Arial"/>
          <w:color w:val="000000"/>
          <w:shd w:val="clear" w:color="auto" w:fill="FFFFFF"/>
        </w:rPr>
        <w:t xml:space="preserve"> the economy</w:t>
      </w:r>
      <w:r w:rsidR="00943A40" w:rsidRPr="00516A21">
        <w:rPr>
          <w:rFonts w:asciiTheme="minorHAnsi" w:hAnsiTheme="minorHAnsi" w:cs="Arial"/>
          <w:color w:val="000000"/>
          <w:shd w:val="clear" w:color="auto" w:fill="FFFFFF"/>
        </w:rPr>
        <w:t>.</w:t>
      </w:r>
      <w:r w:rsidR="000C52CD" w:rsidRPr="00516A21">
        <w:rPr>
          <w:rFonts w:asciiTheme="minorHAnsi" w:hAnsiTheme="minorHAnsi" w:cs="Arial"/>
          <w:color w:val="000000"/>
          <w:shd w:val="clear" w:color="auto" w:fill="FFFFFF"/>
        </w:rPr>
        <w:t xml:space="preserve">  However, recent evidence </w:t>
      </w:r>
      <w:r w:rsidR="000F2AB7" w:rsidRPr="00516A21">
        <w:rPr>
          <w:rFonts w:asciiTheme="minorHAnsi" w:hAnsiTheme="minorHAnsi" w:cs="Arial"/>
          <w:color w:val="000000"/>
          <w:shd w:val="clear" w:color="auto" w:fill="FFFFFF"/>
        </w:rPr>
        <w:t>about the economic relation between credit and growth</w:t>
      </w:r>
      <w:r w:rsidR="001E04C7" w:rsidRPr="00516A21">
        <w:rPr>
          <w:rFonts w:asciiTheme="minorHAnsi" w:hAnsiTheme="minorHAnsi" w:cs="Arial"/>
          <w:color w:val="000000"/>
          <w:shd w:val="clear" w:color="auto" w:fill="FFFFFF"/>
        </w:rPr>
        <w:t xml:space="preserve"> fails to identify a clear link between these variables</w:t>
      </w:r>
      <w:r w:rsidR="00292DD5">
        <w:rPr>
          <w:rFonts w:asciiTheme="minorHAnsi" w:hAnsiTheme="minorHAnsi" w:cs="Arial"/>
          <w:color w:val="000000"/>
          <w:shd w:val="clear" w:color="auto" w:fill="FFFFFF"/>
        </w:rPr>
        <w:t xml:space="preserve"> in several countries</w:t>
      </w:r>
      <w:r w:rsidR="001E04C7" w:rsidRPr="00516A21">
        <w:rPr>
          <w:rFonts w:asciiTheme="minorHAnsi" w:hAnsiTheme="minorHAnsi" w:cs="Arial"/>
          <w:color w:val="000000"/>
          <w:shd w:val="clear" w:color="auto" w:fill="FFFFFF"/>
        </w:rPr>
        <w:t>.</w:t>
      </w:r>
      <w:r w:rsidR="000F2AB7" w:rsidRPr="00516A21">
        <w:rPr>
          <w:rFonts w:asciiTheme="minorHAnsi" w:hAnsiTheme="minorHAnsi" w:cs="Arial"/>
          <w:color w:val="000000"/>
          <w:shd w:val="clear" w:color="auto" w:fill="FFFFFF"/>
        </w:rPr>
        <w:t xml:space="preserve">  </w:t>
      </w:r>
      <w:r w:rsidR="00292DD5">
        <w:rPr>
          <w:rFonts w:asciiTheme="minorHAnsi" w:hAnsiTheme="minorHAnsi" w:cs="Arial"/>
          <w:color w:val="000000"/>
          <w:shd w:val="clear" w:color="auto" w:fill="FFFFFF"/>
        </w:rPr>
        <w:t xml:space="preserve">This relation is </w:t>
      </w:r>
      <w:r w:rsidR="00A46B44">
        <w:rPr>
          <w:rFonts w:asciiTheme="minorHAnsi" w:hAnsiTheme="minorHAnsi" w:cs="Arial"/>
          <w:color w:val="000000"/>
          <w:shd w:val="clear" w:color="auto" w:fill="FFFFFF"/>
        </w:rPr>
        <w:t>now doubt</w:t>
      </w:r>
      <w:r w:rsidR="00CA37E9">
        <w:rPr>
          <w:rFonts w:asciiTheme="minorHAnsi" w:hAnsiTheme="minorHAnsi" w:cs="Arial"/>
          <w:color w:val="000000"/>
          <w:shd w:val="clear" w:color="auto" w:fill="FFFFFF"/>
        </w:rPr>
        <w:t>ed</w:t>
      </w:r>
      <w:r w:rsidR="00A46B44">
        <w:rPr>
          <w:rFonts w:asciiTheme="minorHAnsi" w:hAnsiTheme="minorHAnsi" w:cs="Arial"/>
          <w:color w:val="000000"/>
          <w:shd w:val="clear" w:color="auto" w:fill="FFFFFF"/>
        </w:rPr>
        <w:t xml:space="preserve"> in countries </w:t>
      </w:r>
      <w:r w:rsidR="0045508B">
        <w:rPr>
          <w:rFonts w:asciiTheme="minorHAnsi" w:hAnsiTheme="minorHAnsi" w:cs="Arial"/>
          <w:color w:val="000000"/>
          <w:shd w:val="clear" w:color="auto" w:fill="FFFFFF"/>
        </w:rPr>
        <w:t xml:space="preserve">that </w:t>
      </w:r>
      <w:r w:rsidR="00A46B44">
        <w:rPr>
          <w:rFonts w:asciiTheme="minorHAnsi" w:hAnsiTheme="minorHAnsi" w:cs="Arial"/>
          <w:color w:val="000000"/>
          <w:shd w:val="clear" w:color="auto" w:fill="FFFFFF"/>
        </w:rPr>
        <w:t xml:space="preserve">have experienced a financial crisis, and especially when bank credit is dictated by political considerations and social </w:t>
      </w:r>
      <w:r w:rsidR="0045508B">
        <w:rPr>
          <w:rFonts w:asciiTheme="minorHAnsi" w:hAnsiTheme="minorHAnsi" w:cs="Arial"/>
          <w:color w:val="000000"/>
          <w:shd w:val="clear" w:color="auto" w:fill="FFFFFF"/>
        </w:rPr>
        <w:t>pressures distorting</w:t>
      </w:r>
      <w:r w:rsidR="00A46B44">
        <w:rPr>
          <w:rFonts w:asciiTheme="minorHAnsi" w:hAnsiTheme="minorHAnsi" w:cs="Arial"/>
          <w:color w:val="000000"/>
          <w:shd w:val="clear" w:color="auto" w:fill="FFFFFF"/>
        </w:rPr>
        <w:t xml:space="preserve"> the local credit markets and disrupt</w:t>
      </w:r>
      <w:r w:rsidR="009B5C83">
        <w:rPr>
          <w:rFonts w:asciiTheme="minorHAnsi" w:hAnsiTheme="minorHAnsi" w:cs="Arial"/>
          <w:color w:val="000000"/>
          <w:shd w:val="clear" w:color="auto" w:fill="FFFFFF"/>
        </w:rPr>
        <w:t>ing</w:t>
      </w:r>
      <w:r w:rsidR="00A46B44">
        <w:rPr>
          <w:rFonts w:asciiTheme="minorHAnsi" w:hAnsiTheme="minorHAnsi" w:cs="Arial"/>
          <w:color w:val="000000"/>
          <w:shd w:val="clear" w:color="auto" w:fill="FFFFFF"/>
        </w:rPr>
        <w:t xml:space="preserve"> the regular channels of monetary policy.</w:t>
      </w:r>
      <w:r w:rsidR="00292DD5">
        <w:rPr>
          <w:rFonts w:asciiTheme="minorHAnsi" w:hAnsiTheme="minorHAnsi" w:cs="Arial"/>
          <w:color w:val="000000"/>
          <w:shd w:val="clear" w:color="auto" w:fill="FFFFFF"/>
        </w:rPr>
        <w:t xml:space="preserve"> </w:t>
      </w:r>
      <w:r w:rsidR="001851D1">
        <w:rPr>
          <w:rFonts w:asciiTheme="minorHAnsi" w:hAnsiTheme="minorHAnsi" w:cs="Arial"/>
          <w:color w:val="000000"/>
          <w:shd w:val="clear" w:color="auto" w:fill="FFFFFF"/>
        </w:rPr>
        <w:t xml:space="preserve"> At the moment, </w:t>
      </w:r>
      <w:r w:rsidR="009B5C83">
        <w:rPr>
          <w:rFonts w:asciiTheme="minorHAnsi" w:hAnsiTheme="minorHAnsi" w:cs="Arial"/>
          <w:color w:val="000000"/>
          <w:shd w:val="clear" w:color="auto" w:fill="FFFFFF"/>
        </w:rPr>
        <w:t>b</w:t>
      </w:r>
      <w:r w:rsidR="000932F5" w:rsidRPr="000932F5">
        <w:rPr>
          <w:rFonts w:asciiTheme="minorHAnsi" w:hAnsiTheme="minorHAnsi" w:cs="Arial"/>
          <w:color w:val="000000"/>
          <w:shd w:val="clear" w:color="auto" w:fill="FFFFFF"/>
        </w:rPr>
        <w:t xml:space="preserve">ank credit to the private sector is stagnating in Yemen and especially Egypt where </w:t>
      </w:r>
      <w:r w:rsidR="0045508B">
        <w:rPr>
          <w:rFonts w:asciiTheme="minorHAnsi" w:hAnsiTheme="minorHAnsi" w:cs="Arial"/>
          <w:color w:val="000000"/>
          <w:shd w:val="clear" w:color="auto" w:fill="FFFFFF"/>
        </w:rPr>
        <w:t xml:space="preserve">credit </w:t>
      </w:r>
      <w:r w:rsidR="000932F5" w:rsidRPr="000932F5">
        <w:rPr>
          <w:rFonts w:asciiTheme="minorHAnsi" w:hAnsiTheme="minorHAnsi" w:cs="Arial"/>
          <w:color w:val="000000"/>
          <w:shd w:val="clear" w:color="auto" w:fill="FFFFFF"/>
        </w:rPr>
        <w:t>is down 8% from its levels prior to the revolution</w:t>
      </w:r>
      <w:r w:rsidR="0045508B">
        <w:rPr>
          <w:rFonts w:asciiTheme="minorHAnsi" w:hAnsiTheme="minorHAnsi" w:cs="Arial"/>
          <w:color w:val="000000"/>
          <w:shd w:val="clear" w:color="auto" w:fill="FFFFFF"/>
        </w:rPr>
        <w:t>,</w:t>
      </w:r>
      <w:r w:rsidR="000932F5" w:rsidRPr="000932F5">
        <w:rPr>
          <w:rFonts w:asciiTheme="minorHAnsi" w:hAnsiTheme="minorHAnsi" w:cs="Arial"/>
          <w:color w:val="000000"/>
          <w:shd w:val="clear" w:color="auto" w:fill="FFFFFF"/>
        </w:rPr>
        <w:t xml:space="preserve"> but it is on the rise in Tunisia and Bahrain </w:t>
      </w:r>
      <w:r w:rsidR="000932F5" w:rsidRPr="000932F5">
        <w:rPr>
          <w:rFonts w:asciiTheme="minorHAnsi" w:hAnsiTheme="minorHAnsi" w:cs="Arial"/>
          <w:color w:val="000000"/>
          <w:shd w:val="clear" w:color="auto" w:fill="FFFFFF"/>
        </w:rPr>
        <w:lastRenderedPageBreak/>
        <w:t>(11% and 2% respectively).  Yet despite the contrast</w:t>
      </w:r>
      <w:r w:rsidR="000932F5">
        <w:rPr>
          <w:rFonts w:asciiTheme="minorHAnsi" w:hAnsiTheme="minorHAnsi" w:cs="Arial"/>
          <w:color w:val="000000"/>
          <w:shd w:val="clear" w:color="auto" w:fill="FFFFFF"/>
        </w:rPr>
        <w:t xml:space="preserve"> </w:t>
      </w:r>
      <w:r w:rsidR="000932F5" w:rsidRPr="000932F5">
        <w:rPr>
          <w:rFonts w:asciiTheme="minorHAnsi" w:hAnsiTheme="minorHAnsi" w:cs="Arial"/>
          <w:color w:val="000000"/>
          <w:shd w:val="clear" w:color="auto" w:fill="FFFFFF"/>
        </w:rPr>
        <w:t xml:space="preserve">in bank performance </w:t>
      </w:r>
      <w:r w:rsidR="009B5C83">
        <w:rPr>
          <w:rFonts w:asciiTheme="minorHAnsi" w:hAnsiTheme="minorHAnsi" w:cs="Arial"/>
          <w:color w:val="000000"/>
          <w:shd w:val="clear" w:color="auto" w:fill="FFFFFF"/>
        </w:rPr>
        <w:t>across</w:t>
      </w:r>
      <w:r w:rsidR="000932F5" w:rsidRPr="000932F5">
        <w:rPr>
          <w:rFonts w:asciiTheme="minorHAnsi" w:hAnsiTheme="minorHAnsi" w:cs="Arial"/>
          <w:color w:val="000000"/>
          <w:shd w:val="clear" w:color="auto" w:fill="FFFFFF"/>
        </w:rPr>
        <w:t xml:space="preserve"> these countries, the GDP growth rate is decidedly low and has been unable to regain its pre-revolution levels.</w:t>
      </w:r>
      <w:r w:rsidR="009B5C83">
        <w:rPr>
          <w:rFonts w:asciiTheme="minorHAnsi" w:hAnsiTheme="minorHAnsi" w:cs="Arial"/>
          <w:color w:val="000000"/>
          <w:shd w:val="clear" w:color="auto" w:fill="FFFFFF"/>
        </w:rPr>
        <w:t xml:space="preserve">  </w:t>
      </w:r>
    </w:p>
    <w:p w14:paraId="0DF5F1FE" w14:textId="77777777" w:rsidR="007B0F7B" w:rsidRPr="00516A21" w:rsidRDefault="007B0F7B" w:rsidP="00F51ECD">
      <w:pPr>
        <w:autoSpaceDE w:val="0"/>
        <w:autoSpaceDN w:val="0"/>
        <w:adjustRightInd w:val="0"/>
        <w:jc w:val="both"/>
        <w:rPr>
          <w:rFonts w:asciiTheme="minorHAnsi" w:hAnsiTheme="minorHAnsi"/>
          <w:b/>
        </w:rPr>
      </w:pPr>
    </w:p>
    <w:p w14:paraId="0BEEAFD6" w14:textId="6786F16B" w:rsidR="00B2216E" w:rsidRDefault="00EC32E8" w:rsidP="00943A40">
      <w:pPr>
        <w:jc w:val="both"/>
        <w:rPr>
          <w:rFonts w:asciiTheme="minorHAnsi" w:hAnsiTheme="minorHAnsi"/>
        </w:rPr>
      </w:pPr>
      <w:r w:rsidRPr="00516A21">
        <w:rPr>
          <w:rFonts w:asciiTheme="minorHAnsi" w:hAnsiTheme="minorHAnsi"/>
        </w:rPr>
        <w:t>Against this backdrop, w</w:t>
      </w:r>
      <w:r w:rsidR="00943A40" w:rsidRPr="00516A21">
        <w:rPr>
          <w:rFonts w:asciiTheme="minorHAnsi" w:hAnsiTheme="minorHAnsi"/>
        </w:rPr>
        <w:t>e</w:t>
      </w:r>
      <w:r w:rsidR="0045508B">
        <w:rPr>
          <w:rFonts w:asciiTheme="minorHAnsi" w:hAnsiTheme="minorHAnsi"/>
        </w:rPr>
        <w:t xml:space="preserve"> (researchers)</w:t>
      </w:r>
      <w:r w:rsidR="00943A40" w:rsidRPr="00516A21">
        <w:rPr>
          <w:rFonts w:asciiTheme="minorHAnsi" w:hAnsiTheme="minorHAnsi"/>
        </w:rPr>
        <w:t xml:space="preserve"> analyze the </w:t>
      </w:r>
      <w:r w:rsidR="00BE345E">
        <w:rPr>
          <w:rFonts w:asciiTheme="minorHAnsi" w:hAnsiTheme="minorHAnsi"/>
        </w:rPr>
        <w:t>role of commercial banks before, during</w:t>
      </w:r>
      <w:r w:rsidR="0045508B">
        <w:rPr>
          <w:rFonts w:asciiTheme="minorHAnsi" w:hAnsiTheme="minorHAnsi"/>
        </w:rPr>
        <w:t>,</w:t>
      </w:r>
      <w:r w:rsidR="00BE345E">
        <w:rPr>
          <w:rFonts w:asciiTheme="minorHAnsi" w:hAnsiTheme="minorHAnsi"/>
        </w:rPr>
        <w:t xml:space="preserve"> and in the aftermath of </w:t>
      </w:r>
      <w:r w:rsidR="00943A40" w:rsidRPr="00516A21">
        <w:rPr>
          <w:rFonts w:asciiTheme="minorHAnsi" w:hAnsiTheme="minorHAnsi"/>
        </w:rPr>
        <w:t xml:space="preserve"> the Arab Spring  in the countries that experienced </w:t>
      </w:r>
      <w:r w:rsidR="00C7713C" w:rsidRPr="00516A21">
        <w:rPr>
          <w:rFonts w:asciiTheme="minorHAnsi" w:hAnsiTheme="minorHAnsi"/>
        </w:rPr>
        <w:t xml:space="preserve">an </w:t>
      </w:r>
      <w:r w:rsidR="00943A40" w:rsidRPr="00516A21">
        <w:rPr>
          <w:rFonts w:asciiTheme="minorHAnsi" w:hAnsiTheme="minorHAnsi"/>
        </w:rPr>
        <w:t>uprising since 201</w:t>
      </w:r>
      <w:r w:rsidR="00C7713C" w:rsidRPr="00516A21">
        <w:rPr>
          <w:rFonts w:asciiTheme="minorHAnsi" w:hAnsiTheme="minorHAnsi"/>
        </w:rPr>
        <w:t>0</w:t>
      </w:r>
      <w:r w:rsidR="001D366F">
        <w:rPr>
          <w:rFonts w:asciiTheme="minorHAnsi" w:hAnsiTheme="minorHAnsi"/>
        </w:rPr>
        <w:t>/2011</w:t>
      </w:r>
      <w:r w:rsidRPr="00516A21">
        <w:rPr>
          <w:rFonts w:asciiTheme="minorHAnsi" w:hAnsiTheme="minorHAnsi"/>
        </w:rPr>
        <w:t>, namely</w:t>
      </w:r>
      <w:r w:rsidR="00943A40" w:rsidRPr="00516A21">
        <w:rPr>
          <w:rFonts w:asciiTheme="minorHAnsi" w:hAnsiTheme="minorHAnsi"/>
        </w:rPr>
        <w:t xml:space="preserve"> Bahrain, Tunisia, Egypt, Libya</w:t>
      </w:r>
      <w:r w:rsidR="0045508B">
        <w:rPr>
          <w:rFonts w:asciiTheme="minorHAnsi" w:hAnsiTheme="minorHAnsi"/>
        </w:rPr>
        <w:t>,</w:t>
      </w:r>
      <w:r w:rsidR="00943A40" w:rsidRPr="00516A21">
        <w:rPr>
          <w:rFonts w:asciiTheme="minorHAnsi" w:hAnsiTheme="minorHAnsi"/>
        </w:rPr>
        <w:t xml:space="preserve"> and Yemen. </w:t>
      </w:r>
      <w:r w:rsidR="00B2216E">
        <w:rPr>
          <w:rFonts w:asciiTheme="minorHAnsi" w:hAnsiTheme="minorHAnsi"/>
        </w:rPr>
        <w:t xml:space="preserve"> We </w:t>
      </w:r>
      <w:proofErr w:type="gramStart"/>
      <w:r w:rsidR="00B2216E">
        <w:rPr>
          <w:rFonts w:asciiTheme="minorHAnsi" w:hAnsiTheme="minorHAnsi"/>
        </w:rPr>
        <w:t>ask  fundamental</w:t>
      </w:r>
      <w:proofErr w:type="gramEnd"/>
      <w:r w:rsidR="00B2216E">
        <w:rPr>
          <w:rFonts w:asciiTheme="minorHAnsi" w:hAnsiTheme="minorHAnsi"/>
        </w:rPr>
        <w:t xml:space="preserve"> question</w:t>
      </w:r>
      <w:r w:rsidR="0045508B">
        <w:rPr>
          <w:rFonts w:asciiTheme="minorHAnsi" w:hAnsiTheme="minorHAnsi"/>
        </w:rPr>
        <w:t>s</w:t>
      </w:r>
      <w:r w:rsidR="00B2216E">
        <w:rPr>
          <w:rFonts w:asciiTheme="minorHAnsi" w:hAnsiTheme="minorHAnsi"/>
        </w:rPr>
        <w:t>:</w:t>
      </w:r>
      <w:r w:rsidR="0045508B">
        <w:rPr>
          <w:rFonts w:asciiTheme="minorHAnsi" w:hAnsiTheme="minorHAnsi"/>
        </w:rPr>
        <w:t xml:space="preserve">  S</w:t>
      </w:r>
      <w:r w:rsidR="00B2216E">
        <w:rPr>
          <w:rFonts w:asciiTheme="minorHAnsi" w:hAnsiTheme="minorHAnsi"/>
        </w:rPr>
        <w:t>hould banks be the primary sector to lead the econom</w:t>
      </w:r>
      <w:r w:rsidR="00A46B44">
        <w:rPr>
          <w:rFonts w:asciiTheme="minorHAnsi" w:hAnsiTheme="minorHAnsi"/>
        </w:rPr>
        <w:t>ic</w:t>
      </w:r>
      <w:r w:rsidR="00B2216E">
        <w:rPr>
          <w:rFonts w:asciiTheme="minorHAnsi" w:hAnsiTheme="minorHAnsi"/>
        </w:rPr>
        <w:t xml:space="preserve"> recovery? And if so, how soon </w:t>
      </w:r>
      <w:r w:rsidR="006D5025">
        <w:rPr>
          <w:rFonts w:asciiTheme="minorHAnsi" w:hAnsiTheme="minorHAnsi"/>
        </w:rPr>
        <w:t xml:space="preserve">can </w:t>
      </w:r>
      <w:r w:rsidR="00B2216E">
        <w:rPr>
          <w:rFonts w:asciiTheme="minorHAnsi" w:hAnsiTheme="minorHAnsi"/>
        </w:rPr>
        <w:t xml:space="preserve">the results </w:t>
      </w:r>
      <w:r w:rsidR="006D5025">
        <w:rPr>
          <w:rFonts w:asciiTheme="minorHAnsi" w:hAnsiTheme="minorHAnsi"/>
        </w:rPr>
        <w:t>materialize</w:t>
      </w:r>
      <w:r w:rsidR="00B2216E">
        <w:rPr>
          <w:rFonts w:asciiTheme="minorHAnsi" w:hAnsiTheme="minorHAnsi"/>
        </w:rPr>
        <w:t xml:space="preserve">? </w:t>
      </w:r>
    </w:p>
    <w:p w14:paraId="45E0B1A3" w14:textId="77777777" w:rsidR="00B2216E" w:rsidRDefault="00B2216E" w:rsidP="00943A40">
      <w:pPr>
        <w:jc w:val="both"/>
        <w:rPr>
          <w:rFonts w:asciiTheme="minorHAnsi" w:hAnsiTheme="minorHAnsi"/>
        </w:rPr>
      </w:pPr>
    </w:p>
    <w:p w14:paraId="5E401FA9" w14:textId="3EE871CF" w:rsidR="006A35C6" w:rsidRPr="00516A21" w:rsidRDefault="009B1D79" w:rsidP="00F51ECD">
      <w:pPr>
        <w:rPr>
          <w:rFonts w:asciiTheme="minorHAnsi" w:hAnsiTheme="minorHAnsi"/>
        </w:rPr>
      </w:pPr>
      <w:r w:rsidRPr="00516A21">
        <w:rPr>
          <w:rFonts w:asciiTheme="minorHAnsi" w:hAnsiTheme="minorHAnsi" w:cs="Arial"/>
          <w:color w:val="000000"/>
          <w:shd w:val="clear" w:color="auto" w:fill="FFFFFF"/>
        </w:rPr>
        <w:t>Th</w:t>
      </w:r>
      <w:r w:rsidR="00A46B44">
        <w:rPr>
          <w:rFonts w:asciiTheme="minorHAnsi" w:hAnsiTheme="minorHAnsi" w:cs="Arial"/>
          <w:color w:val="000000"/>
          <w:shd w:val="clear" w:color="auto" w:fill="FFFFFF"/>
        </w:rPr>
        <w:t>ese</w:t>
      </w:r>
      <w:r w:rsidR="006D5025">
        <w:rPr>
          <w:rFonts w:asciiTheme="minorHAnsi" w:hAnsiTheme="minorHAnsi" w:cs="Arial"/>
          <w:color w:val="000000"/>
          <w:shd w:val="clear" w:color="auto" w:fill="FFFFFF"/>
        </w:rPr>
        <w:t xml:space="preserve"> </w:t>
      </w:r>
      <w:r w:rsidR="00CA37E9">
        <w:rPr>
          <w:rFonts w:asciiTheme="minorHAnsi" w:hAnsiTheme="minorHAnsi" w:cs="Arial"/>
          <w:color w:val="000000"/>
          <w:shd w:val="clear" w:color="auto" w:fill="FFFFFF"/>
        </w:rPr>
        <w:t xml:space="preserve">basic </w:t>
      </w:r>
      <w:r w:rsidR="006D5025">
        <w:rPr>
          <w:rFonts w:asciiTheme="minorHAnsi" w:hAnsiTheme="minorHAnsi" w:cs="Arial"/>
          <w:color w:val="000000"/>
          <w:shd w:val="clear" w:color="auto" w:fill="FFFFFF"/>
        </w:rPr>
        <w:t>question</w:t>
      </w:r>
      <w:r w:rsidR="00A46B44">
        <w:rPr>
          <w:rFonts w:asciiTheme="minorHAnsi" w:hAnsiTheme="minorHAnsi" w:cs="Arial"/>
          <w:color w:val="000000"/>
          <w:shd w:val="clear" w:color="auto" w:fill="FFFFFF"/>
        </w:rPr>
        <w:t>s</w:t>
      </w:r>
      <w:r w:rsidR="00CA37E9">
        <w:rPr>
          <w:rFonts w:asciiTheme="minorHAnsi" w:hAnsiTheme="minorHAnsi" w:cs="Arial"/>
          <w:color w:val="000000"/>
          <w:shd w:val="clear" w:color="auto" w:fill="FFFFFF"/>
        </w:rPr>
        <w:t xml:space="preserve"> </w:t>
      </w:r>
      <w:r w:rsidR="00A46B44">
        <w:rPr>
          <w:rFonts w:asciiTheme="minorHAnsi" w:hAnsiTheme="minorHAnsi" w:cs="Arial"/>
          <w:color w:val="000000"/>
          <w:shd w:val="clear" w:color="auto" w:fill="FFFFFF"/>
        </w:rPr>
        <w:t xml:space="preserve">are </w:t>
      </w:r>
      <w:r w:rsidRPr="00516A21">
        <w:rPr>
          <w:rFonts w:asciiTheme="minorHAnsi" w:hAnsiTheme="minorHAnsi" w:cs="Arial"/>
          <w:color w:val="000000"/>
          <w:shd w:val="clear" w:color="auto" w:fill="FFFFFF"/>
        </w:rPr>
        <w:t>important</w:t>
      </w:r>
      <w:r w:rsidR="0045508B">
        <w:rPr>
          <w:rFonts w:asciiTheme="minorHAnsi" w:hAnsiTheme="minorHAnsi" w:cs="Arial"/>
          <w:color w:val="000000"/>
          <w:shd w:val="clear" w:color="auto" w:fill="FFFFFF"/>
        </w:rPr>
        <w:t xml:space="preserve"> to ask</w:t>
      </w:r>
      <w:r w:rsidRPr="00516A21">
        <w:rPr>
          <w:rFonts w:asciiTheme="minorHAnsi" w:hAnsiTheme="minorHAnsi" w:cs="Arial"/>
          <w:color w:val="000000"/>
          <w:shd w:val="clear" w:color="auto" w:fill="FFFFFF"/>
        </w:rPr>
        <w:t xml:space="preserve"> because if banks are </w:t>
      </w:r>
      <w:r w:rsidR="00C7713C" w:rsidRPr="00516A21">
        <w:rPr>
          <w:rFonts w:asciiTheme="minorHAnsi" w:hAnsiTheme="minorHAnsi" w:cs="Arial"/>
          <w:color w:val="000000"/>
          <w:shd w:val="clear" w:color="auto" w:fill="FFFFFF"/>
        </w:rPr>
        <w:t>debilitated b</w:t>
      </w:r>
      <w:r w:rsidRPr="00516A21">
        <w:rPr>
          <w:rFonts w:asciiTheme="minorHAnsi" w:hAnsiTheme="minorHAnsi" w:cs="Arial"/>
          <w:color w:val="000000"/>
          <w:shd w:val="clear" w:color="auto" w:fill="FFFFFF"/>
        </w:rPr>
        <w:t xml:space="preserve">y the </w:t>
      </w:r>
      <w:r w:rsidR="00C7713C" w:rsidRPr="00516A21">
        <w:rPr>
          <w:rFonts w:asciiTheme="minorHAnsi" w:hAnsiTheme="minorHAnsi" w:cs="Arial"/>
          <w:color w:val="000000"/>
          <w:shd w:val="clear" w:color="auto" w:fill="FFFFFF"/>
        </w:rPr>
        <w:t>uprising</w:t>
      </w:r>
      <w:r w:rsidRPr="00516A21">
        <w:rPr>
          <w:rFonts w:asciiTheme="minorHAnsi" w:hAnsiTheme="minorHAnsi" w:cs="Arial"/>
          <w:color w:val="000000"/>
          <w:shd w:val="clear" w:color="auto" w:fill="FFFFFF"/>
        </w:rPr>
        <w:t xml:space="preserve">, </w:t>
      </w:r>
      <w:r w:rsidR="00943A40" w:rsidRPr="00516A21">
        <w:rPr>
          <w:rFonts w:asciiTheme="minorHAnsi" w:hAnsiTheme="minorHAnsi" w:cs="Arial"/>
          <w:color w:val="000000"/>
          <w:shd w:val="clear" w:color="auto" w:fill="FFFFFF"/>
        </w:rPr>
        <w:t xml:space="preserve">suffer from </w:t>
      </w:r>
      <w:r w:rsidR="00EC32E8" w:rsidRPr="00516A21">
        <w:rPr>
          <w:rFonts w:asciiTheme="minorHAnsi" w:hAnsiTheme="minorHAnsi" w:cs="Arial"/>
          <w:color w:val="000000"/>
          <w:shd w:val="clear" w:color="auto" w:fill="FFFFFF"/>
        </w:rPr>
        <w:t xml:space="preserve">a </w:t>
      </w:r>
      <w:r w:rsidR="00943A40" w:rsidRPr="00516A21">
        <w:rPr>
          <w:rFonts w:asciiTheme="minorHAnsi" w:hAnsiTheme="minorHAnsi" w:cs="Arial"/>
          <w:color w:val="000000"/>
          <w:shd w:val="clear" w:color="auto" w:fill="FFFFFF"/>
        </w:rPr>
        <w:t xml:space="preserve">lack of </w:t>
      </w:r>
      <w:r w:rsidRPr="00516A21">
        <w:rPr>
          <w:rFonts w:asciiTheme="minorHAnsi" w:hAnsiTheme="minorHAnsi" w:cs="Arial"/>
          <w:color w:val="000000"/>
          <w:shd w:val="clear" w:color="auto" w:fill="FFFFFF"/>
        </w:rPr>
        <w:t xml:space="preserve">liquidity, </w:t>
      </w:r>
      <w:r w:rsidR="005A0B46" w:rsidRPr="00516A21">
        <w:rPr>
          <w:rFonts w:asciiTheme="minorHAnsi" w:hAnsiTheme="minorHAnsi" w:cs="Arial"/>
          <w:color w:val="000000"/>
          <w:shd w:val="clear" w:color="auto" w:fill="FFFFFF"/>
        </w:rPr>
        <w:t xml:space="preserve">and </w:t>
      </w:r>
      <w:r w:rsidRPr="00516A21">
        <w:rPr>
          <w:rFonts w:asciiTheme="minorHAnsi" w:hAnsiTheme="minorHAnsi" w:cs="Arial"/>
          <w:color w:val="000000"/>
          <w:shd w:val="clear" w:color="auto" w:fill="FFFFFF"/>
        </w:rPr>
        <w:t xml:space="preserve">are unable or unwilling to participate in the recovery effort, </w:t>
      </w:r>
      <w:r w:rsidR="00943A40" w:rsidRPr="00516A21">
        <w:rPr>
          <w:rFonts w:asciiTheme="minorHAnsi" w:hAnsiTheme="minorHAnsi" w:cs="Arial"/>
          <w:color w:val="000000"/>
          <w:shd w:val="clear" w:color="auto" w:fill="FFFFFF"/>
        </w:rPr>
        <w:t xml:space="preserve">then </w:t>
      </w:r>
      <w:r w:rsidRPr="00516A21">
        <w:rPr>
          <w:rFonts w:asciiTheme="minorHAnsi" w:hAnsiTheme="minorHAnsi" w:cs="Arial"/>
          <w:color w:val="000000"/>
          <w:shd w:val="clear" w:color="auto" w:fill="FFFFFF"/>
        </w:rPr>
        <w:t xml:space="preserve">the </w:t>
      </w:r>
      <w:r w:rsidR="00530F3A">
        <w:rPr>
          <w:rFonts w:asciiTheme="minorHAnsi" w:hAnsiTheme="minorHAnsi" w:cs="Arial"/>
          <w:color w:val="000000"/>
          <w:shd w:val="clear" w:color="auto" w:fill="FFFFFF"/>
        </w:rPr>
        <w:t xml:space="preserve">government </w:t>
      </w:r>
      <w:r w:rsidRPr="00516A21">
        <w:rPr>
          <w:rFonts w:asciiTheme="minorHAnsi" w:hAnsiTheme="minorHAnsi" w:cs="Arial"/>
          <w:color w:val="000000"/>
          <w:shd w:val="clear" w:color="auto" w:fill="FFFFFF"/>
        </w:rPr>
        <w:t xml:space="preserve">needs to step in with </w:t>
      </w:r>
      <w:r w:rsidR="00943A40" w:rsidRPr="00516A21">
        <w:rPr>
          <w:rFonts w:asciiTheme="minorHAnsi" w:hAnsiTheme="minorHAnsi" w:cs="Arial"/>
          <w:color w:val="000000"/>
          <w:shd w:val="clear" w:color="auto" w:fill="FFFFFF"/>
        </w:rPr>
        <w:t xml:space="preserve">classical </w:t>
      </w:r>
      <w:r w:rsidRPr="00516A21">
        <w:rPr>
          <w:rFonts w:asciiTheme="minorHAnsi" w:hAnsiTheme="minorHAnsi" w:cs="Arial"/>
          <w:color w:val="000000"/>
          <w:shd w:val="clear" w:color="auto" w:fill="FFFFFF"/>
        </w:rPr>
        <w:t xml:space="preserve">Keynesian measures to </w:t>
      </w:r>
      <w:r w:rsidR="00AC7B49">
        <w:rPr>
          <w:rFonts w:asciiTheme="minorHAnsi" w:hAnsiTheme="minorHAnsi" w:cs="Arial"/>
          <w:color w:val="000000"/>
          <w:shd w:val="clear" w:color="auto" w:fill="FFFFFF"/>
        </w:rPr>
        <w:t>boost</w:t>
      </w:r>
      <w:r w:rsidRPr="00516A21">
        <w:rPr>
          <w:rFonts w:asciiTheme="minorHAnsi" w:hAnsiTheme="minorHAnsi" w:cs="Arial"/>
          <w:color w:val="000000"/>
          <w:shd w:val="clear" w:color="auto" w:fill="FFFFFF"/>
        </w:rPr>
        <w:t xml:space="preserve"> economic activity</w:t>
      </w:r>
      <w:r w:rsidR="00CA37E9">
        <w:rPr>
          <w:rFonts w:asciiTheme="minorHAnsi" w:hAnsiTheme="minorHAnsi" w:cs="Arial"/>
          <w:color w:val="000000"/>
          <w:shd w:val="clear" w:color="auto" w:fill="FFFFFF"/>
        </w:rPr>
        <w:t xml:space="preserve"> and re</w:t>
      </w:r>
      <w:r w:rsidR="00530F3A">
        <w:rPr>
          <w:rFonts w:asciiTheme="minorHAnsi" w:hAnsiTheme="minorHAnsi" w:cs="Arial"/>
          <w:color w:val="000000"/>
          <w:shd w:val="clear" w:color="auto" w:fill="FFFFFF"/>
        </w:rPr>
        <w:t xml:space="preserve">store growth </w:t>
      </w:r>
      <w:r w:rsidR="00CA37E9">
        <w:rPr>
          <w:rFonts w:asciiTheme="minorHAnsi" w:hAnsiTheme="minorHAnsi" w:cs="Arial"/>
          <w:color w:val="000000"/>
          <w:shd w:val="clear" w:color="auto" w:fill="FFFFFF"/>
        </w:rPr>
        <w:t xml:space="preserve">to its </w:t>
      </w:r>
      <w:r w:rsidR="00530F3A">
        <w:rPr>
          <w:rFonts w:asciiTheme="minorHAnsi" w:hAnsiTheme="minorHAnsi" w:cs="Arial"/>
          <w:color w:val="000000"/>
          <w:shd w:val="clear" w:color="auto" w:fill="FFFFFF"/>
        </w:rPr>
        <w:t xml:space="preserve">prior </w:t>
      </w:r>
      <w:r w:rsidR="00CA37E9">
        <w:rPr>
          <w:rFonts w:asciiTheme="minorHAnsi" w:hAnsiTheme="minorHAnsi" w:cs="Arial"/>
          <w:color w:val="000000"/>
          <w:shd w:val="clear" w:color="auto" w:fill="FFFFFF"/>
        </w:rPr>
        <w:t>levels</w:t>
      </w:r>
      <w:r w:rsidRPr="00516A21">
        <w:rPr>
          <w:rFonts w:asciiTheme="minorHAnsi" w:hAnsiTheme="minorHAnsi" w:cs="Arial"/>
          <w:color w:val="000000"/>
          <w:shd w:val="clear" w:color="auto" w:fill="FFFFFF"/>
        </w:rPr>
        <w:t xml:space="preserve">. </w:t>
      </w:r>
      <w:r w:rsidR="00983797">
        <w:rPr>
          <w:rFonts w:asciiTheme="minorHAnsi" w:hAnsiTheme="minorHAnsi" w:cs="Arial"/>
          <w:color w:val="000000"/>
          <w:shd w:val="clear" w:color="auto" w:fill="FFFFFF"/>
        </w:rPr>
        <w:t xml:space="preserve"> This</w:t>
      </w:r>
      <w:r w:rsidR="00AC7B49">
        <w:rPr>
          <w:rFonts w:asciiTheme="minorHAnsi" w:hAnsiTheme="minorHAnsi" w:cs="Arial"/>
          <w:color w:val="000000"/>
          <w:shd w:val="clear" w:color="auto" w:fill="FFFFFF"/>
        </w:rPr>
        <w:t xml:space="preserve"> measure</w:t>
      </w:r>
      <w:r w:rsidR="00983797">
        <w:rPr>
          <w:rFonts w:asciiTheme="minorHAnsi" w:hAnsiTheme="minorHAnsi" w:cs="Arial"/>
          <w:color w:val="000000"/>
          <w:shd w:val="clear" w:color="auto" w:fill="FFFFFF"/>
        </w:rPr>
        <w:t xml:space="preserve"> is the traditional economic recipe that International organizations</w:t>
      </w:r>
      <w:r w:rsidR="00983797">
        <w:rPr>
          <w:rStyle w:val="FootnoteReference"/>
          <w:rFonts w:asciiTheme="minorHAnsi" w:hAnsiTheme="minorHAnsi" w:cs="Arial"/>
          <w:color w:val="000000"/>
          <w:shd w:val="clear" w:color="auto" w:fill="FFFFFF"/>
        </w:rPr>
        <w:footnoteReference w:id="2"/>
      </w:r>
      <w:r w:rsidR="00983797">
        <w:rPr>
          <w:rFonts w:asciiTheme="minorHAnsi" w:hAnsiTheme="minorHAnsi" w:cs="Arial"/>
          <w:color w:val="000000"/>
          <w:shd w:val="clear" w:color="auto" w:fill="FFFFFF"/>
        </w:rPr>
        <w:t xml:space="preserve"> have advocated</w:t>
      </w:r>
      <w:r w:rsidR="00B836D7">
        <w:rPr>
          <w:rFonts w:asciiTheme="minorHAnsi" w:hAnsiTheme="minorHAnsi" w:cs="Arial"/>
          <w:color w:val="000000"/>
          <w:shd w:val="clear" w:color="auto" w:fill="FFFFFF"/>
        </w:rPr>
        <w:t xml:space="preserve"> for countries that have suffered a major crisis. </w:t>
      </w:r>
      <w:r w:rsidR="00CA37E9">
        <w:rPr>
          <w:rFonts w:asciiTheme="minorHAnsi" w:hAnsiTheme="minorHAnsi" w:cs="Arial"/>
          <w:color w:val="000000"/>
          <w:shd w:val="clear" w:color="auto" w:fill="FFFFFF"/>
        </w:rPr>
        <w:t xml:space="preserve"> </w:t>
      </w:r>
      <w:r w:rsidR="00530F3A">
        <w:rPr>
          <w:rFonts w:asciiTheme="minorHAnsi" w:hAnsiTheme="minorHAnsi" w:cs="Arial"/>
          <w:color w:val="000000"/>
          <w:shd w:val="clear" w:color="auto" w:fill="FFFFFF"/>
        </w:rPr>
        <w:t>However, i</w:t>
      </w:r>
      <w:r w:rsidR="00CA37E9">
        <w:rPr>
          <w:rFonts w:asciiTheme="minorHAnsi" w:hAnsiTheme="minorHAnsi" w:cs="Arial"/>
          <w:color w:val="000000"/>
          <w:shd w:val="clear" w:color="auto" w:fill="FFFFFF"/>
        </w:rPr>
        <w:t>f</w:t>
      </w:r>
      <w:r w:rsidR="006D5025">
        <w:rPr>
          <w:rFonts w:asciiTheme="minorHAnsi" w:hAnsiTheme="minorHAnsi" w:cs="Arial"/>
          <w:color w:val="000000"/>
          <w:shd w:val="clear" w:color="auto" w:fill="FFFFFF"/>
        </w:rPr>
        <w:t xml:space="preserve"> </w:t>
      </w:r>
      <w:r w:rsidR="003C1BBF">
        <w:rPr>
          <w:rFonts w:asciiTheme="minorHAnsi" w:hAnsiTheme="minorHAnsi" w:cs="Arial"/>
          <w:color w:val="000000"/>
          <w:shd w:val="clear" w:color="auto" w:fill="FFFFFF"/>
        </w:rPr>
        <w:t>a</w:t>
      </w:r>
      <w:r w:rsidR="00CA37E9">
        <w:rPr>
          <w:rFonts w:asciiTheme="minorHAnsi" w:hAnsiTheme="minorHAnsi" w:cs="Arial"/>
          <w:color w:val="000000"/>
          <w:shd w:val="clear" w:color="auto" w:fill="FFFFFF"/>
        </w:rPr>
        <w:t>n economic</w:t>
      </w:r>
      <w:r w:rsidR="003C1BBF">
        <w:rPr>
          <w:rFonts w:asciiTheme="minorHAnsi" w:hAnsiTheme="minorHAnsi" w:cs="Arial"/>
          <w:color w:val="000000"/>
          <w:shd w:val="clear" w:color="auto" w:fill="FFFFFF"/>
        </w:rPr>
        <w:t xml:space="preserve"> recovery can take place without bank credit</w:t>
      </w:r>
      <w:r w:rsidR="00B836D7">
        <w:rPr>
          <w:rFonts w:asciiTheme="minorHAnsi" w:hAnsiTheme="minorHAnsi" w:cs="Arial"/>
          <w:color w:val="000000"/>
          <w:shd w:val="clear" w:color="auto" w:fill="FFFFFF"/>
        </w:rPr>
        <w:t xml:space="preserve">, </w:t>
      </w:r>
      <w:r w:rsidR="00C3013D">
        <w:rPr>
          <w:rFonts w:asciiTheme="minorHAnsi" w:hAnsiTheme="minorHAnsi" w:cs="Arial"/>
          <w:color w:val="000000"/>
          <w:shd w:val="clear" w:color="auto" w:fill="FFFFFF"/>
        </w:rPr>
        <w:t xml:space="preserve">then </w:t>
      </w:r>
      <w:r w:rsidR="00B836D7">
        <w:rPr>
          <w:rFonts w:asciiTheme="minorHAnsi" w:hAnsiTheme="minorHAnsi" w:cs="Arial"/>
          <w:color w:val="000000"/>
          <w:shd w:val="clear" w:color="auto" w:fill="FFFFFF"/>
        </w:rPr>
        <w:t>pinning hopes on th</w:t>
      </w:r>
      <w:r w:rsidR="003C1BBF">
        <w:rPr>
          <w:rFonts w:asciiTheme="minorHAnsi" w:hAnsiTheme="minorHAnsi" w:cs="Arial"/>
          <w:color w:val="000000"/>
          <w:shd w:val="clear" w:color="auto" w:fill="FFFFFF"/>
        </w:rPr>
        <w:t>at</w:t>
      </w:r>
      <w:r w:rsidR="00B836D7">
        <w:rPr>
          <w:rFonts w:asciiTheme="minorHAnsi" w:hAnsiTheme="minorHAnsi" w:cs="Arial"/>
          <w:color w:val="000000"/>
          <w:shd w:val="clear" w:color="auto" w:fill="FFFFFF"/>
        </w:rPr>
        <w:t xml:space="preserve"> </w:t>
      </w:r>
      <w:r w:rsidR="00C3013D">
        <w:rPr>
          <w:rFonts w:asciiTheme="minorHAnsi" w:hAnsiTheme="minorHAnsi" w:cs="Arial"/>
          <w:color w:val="000000"/>
          <w:shd w:val="clear" w:color="auto" w:fill="FFFFFF"/>
        </w:rPr>
        <w:t xml:space="preserve">sector </w:t>
      </w:r>
      <w:r w:rsidR="00B836D7">
        <w:rPr>
          <w:rFonts w:asciiTheme="minorHAnsi" w:hAnsiTheme="minorHAnsi" w:cs="Arial"/>
          <w:color w:val="000000"/>
          <w:shd w:val="clear" w:color="auto" w:fill="FFFFFF"/>
        </w:rPr>
        <w:t>lead</w:t>
      </w:r>
      <w:r w:rsidR="005C1879">
        <w:rPr>
          <w:rFonts w:asciiTheme="minorHAnsi" w:hAnsiTheme="minorHAnsi" w:cs="Arial"/>
          <w:color w:val="000000"/>
          <w:shd w:val="clear" w:color="auto" w:fill="FFFFFF"/>
        </w:rPr>
        <w:t>s</w:t>
      </w:r>
      <w:r w:rsidR="00B836D7">
        <w:rPr>
          <w:rFonts w:asciiTheme="minorHAnsi" w:hAnsiTheme="minorHAnsi" w:cs="Arial"/>
          <w:color w:val="000000"/>
          <w:shd w:val="clear" w:color="auto" w:fill="FFFFFF"/>
        </w:rPr>
        <w:t xml:space="preserve"> to </w:t>
      </w:r>
      <w:r w:rsidR="00530F3A">
        <w:rPr>
          <w:rFonts w:asciiTheme="minorHAnsi" w:hAnsiTheme="minorHAnsi" w:cs="Arial"/>
          <w:color w:val="000000"/>
          <w:shd w:val="clear" w:color="auto" w:fill="FFFFFF"/>
        </w:rPr>
        <w:t xml:space="preserve">misdirection and </w:t>
      </w:r>
      <w:r w:rsidR="00B836D7">
        <w:rPr>
          <w:rFonts w:asciiTheme="minorHAnsi" w:hAnsiTheme="minorHAnsi" w:cs="Arial"/>
          <w:color w:val="000000"/>
          <w:shd w:val="clear" w:color="auto" w:fill="FFFFFF"/>
        </w:rPr>
        <w:t>disappointment.</w:t>
      </w:r>
      <w:r w:rsidR="00983797">
        <w:rPr>
          <w:rFonts w:asciiTheme="minorHAnsi" w:hAnsiTheme="minorHAnsi" w:cs="Arial"/>
          <w:color w:val="000000"/>
          <w:shd w:val="clear" w:color="auto" w:fill="FFFFFF"/>
        </w:rPr>
        <w:t xml:space="preserve"> </w:t>
      </w:r>
    </w:p>
    <w:p w14:paraId="5D0B8510" w14:textId="77777777" w:rsidR="000C36EC" w:rsidRDefault="000C36EC" w:rsidP="00F51ECD">
      <w:pPr>
        <w:rPr>
          <w:rFonts w:asciiTheme="minorHAnsi" w:hAnsiTheme="minorHAnsi"/>
        </w:rPr>
      </w:pPr>
    </w:p>
    <w:p w14:paraId="4E8ABD15" w14:textId="77777777" w:rsidR="00B13B0B" w:rsidRPr="00516A21" w:rsidRDefault="00B13B0B" w:rsidP="00F51ECD">
      <w:pPr>
        <w:rPr>
          <w:rFonts w:asciiTheme="minorHAnsi" w:hAnsiTheme="minorHAnsi"/>
        </w:rPr>
      </w:pPr>
    </w:p>
    <w:p w14:paraId="1DFC9B85" w14:textId="0FA6B30A" w:rsidR="00582BA3" w:rsidRPr="00516A21" w:rsidRDefault="00B6165E" w:rsidP="00516A21">
      <w:pPr>
        <w:numPr>
          <w:ilvl w:val="0"/>
          <w:numId w:val="3"/>
        </w:numPr>
        <w:jc w:val="both"/>
        <w:rPr>
          <w:rFonts w:asciiTheme="minorHAnsi" w:hAnsiTheme="minorHAnsi"/>
          <w:b/>
        </w:rPr>
      </w:pPr>
      <w:r>
        <w:rPr>
          <w:rFonts w:asciiTheme="minorHAnsi" w:hAnsiTheme="minorHAnsi"/>
          <w:b/>
        </w:rPr>
        <w:t>Literature R</w:t>
      </w:r>
      <w:r w:rsidR="005A177B" w:rsidRPr="00516A21">
        <w:rPr>
          <w:rFonts w:asciiTheme="minorHAnsi" w:hAnsiTheme="minorHAnsi"/>
          <w:b/>
        </w:rPr>
        <w:t>eview</w:t>
      </w:r>
    </w:p>
    <w:p w14:paraId="3B84BE0C" w14:textId="77777777" w:rsidR="00B13B0B" w:rsidRDefault="00B13B0B" w:rsidP="00447482">
      <w:pPr>
        <w:jc w:val="both"/>
        <w:rPr>
          <w:rFonts w:asciiTheme="minorHAnsi" w:hAnsiTheme="minorHAnsi"/>
        </w:rPr>
      </w:pPr>
    </w:p>
    <w:p w14:paraId="46006691" w14:textId="1F585FE9" w:rsidR="005A177B" w:rsidRDefault="00215EF5" w:rsidP="000E743F">
      <w:pPr>
        <w:jc w:val="both"/>
        <w:rPr>
          <w:rFonts w:asciiTheme="minorHAnsi" w:hAnsiTheme="minorHAnsi"/>
        </w:rPr>
      </w:pPr>
      <w:r>
        <w:rPr>
          <w:rFonts w:asciiTheme="minorHAnsi" w:hAnsiTheme="minorHAnsi"/>
        </w:rPr>
        <w:t>In the aftermath of a financial crisis, t</w:t>
      </w:r>
      <w:r w:rsidR="005A177B">
        <w:rPr>
          <w:rFonts w:asciiTheme="minorHAnsi" w:hAnsiTheme="minorHAnsi"/>
        </w:rPr>
        <w:t xml:space="preserve">he collapse of output has been investigated by </w:t>
      </w:r>
      <w:proofErr w:type="spellStart"/>
      <w:r w:rsidR="005A177B">
        <w:rPr>
          <w:rFonts w:asciiTheme="minorHAnsi" w:hAnsiTheme="minorHAnsi"/>
        </w:rPr>
        <w:t>Calvo</w:t>
      </w:r>
      <w:proofErr w:type="spellEnd"/>
      <w:r w:rsidR="005A177B">
        <w:rPr>
          <w:rFonts w:asciiTheme="minorHAnsi" w:hAnsiTheme="minorHAnsi"/>
        </w:rPr>
        <w:t xml:space="preserve"> et al</w:t>
      </w:r>
      <w:r w:rsidR="00CA37E9">
        <w:rPr>
          <w:rFonts w:asciiTheme="minorHAnsi" w:hAnsiTheme="minorHAnsi"/>
        </w:rPr>
        <w:t>.</w:t>
      </w:r>
      <w:r w:rsidR="005A177B">
        <w:rPr>
          <w:rFonts w:asciiTheme="minorHAnsi" w:hAnsiTheme="minorHAnsi"/>
        </w:rPr>
        <w:t xml:space="preserve"> (2006) who place the blame</w:t>
      </w:r>
      <w:r w:rsidR="00AC7B49">
        <w:rPr>
          <w:rFonts w:asciiTheme="minorHAnsi" w:hAnsiTheme="minorHAnsi"/>
        </w:rPr>
        <w:t xml:space="preserve"> for the crisis</w:t>
      </w:r>
      <w:r w:rsidR="005A177B">
        <w:rPr>
          <w:rFonts w:asciiTheme="minorHAnsi" w:hAnsiTheme="minorHAnsi"/>
        </w:rPr>
        <w:t xml:space="preserve"> on </w:t>
      </w:r>
      <w:r w:rsidR="005A177B" w:rsidRPr="005A177B">
        <w:rPr>
          <w:rFonts w:asciiTheme="minorHAnsi" w:hAnsiTheme="minorHAnsi"/>
        </w:rPr>
        <w:t xml:space="preserve">the serious malfunctioning </w:t>
      </w:r>
      <w:r w:rsidR="005A177B">
        <w:rPr>
          <w:rFonts w:asciiTheme="minorHAnsi" w:hAnsiTheme="minorHAnsi"/>
        </w:rPr>
        <w:t xml:space="preserve">in </w:t>
      </w:r>
      <w:r w:rsidR="005A177B" w:rsidRPr="005A177B">
        <w:rPr>
          <w:rFonts w:asciiTheme="minorHAnsi" w:hAnsiTheme="minorHAnsi"/>
        </w:rPr>
        <w:t xml:space="preserve">Emerging Market economies </w:t>
      </w:r>
      <w:r w:rsidR="00AC7B49">
        <w:rPr>
          <w:rFonts w:asciiTheme="minorHAnsi" w:hAnsiTheme="minorHAnsi"/>
        </w:rPr>
        <w:t xml:space="preserve">that </w:t>
      </w:r>
      <w:r w:rsidR="005A177B">
        <w:rPr>
          <w:rFonts w:asciiTheme="minorHAnsi" w:hAnsiTheme="minorHAnsi"/>
        </w:rPr>
        <w:t>depend on</w:t>
      </w:r>
      <w:r w:rsidR="005A177B" w:rsidRPr="005A177B">
        <w:rPr>
          <w:rFonts w:asciiTheme="minorHAnsi" w:hAnsiTheme="minorHAnsi"/>
        </w:rPr>
        <w:t xml:space="preserve"> excessive short-term lending. </w:t>
      </w:r>
      <w:r w:rsidR="00CA37E9">
        <w:rPr>
          <w:rFonts w:asciiTheme="minorHAnsi" w:hAnsiTheme="minorHAnsi"/>
        </w:rPr>
        <w:t>T</w:t>
      </w:r>
      <w:r w:rsidR="005A177B">
        <w:rPr>
          <w:rFonts w:asciiTheme="minorHAnsi" w:hAnsiTheme="minorHAnsi"/>
        </w:rPr>
        <w:t xml:space="preserve">hese </w:t>
      </w:r>
      <w:r w:rsidR="005A177B" w:rsidRPr="005A177B">
        <w:rPr>
          <w:rFonts w:asciiTheme="minorHAnsi" w:hAnsiTheme="minorHAnsi"/>
        </w:rPr>
        <w:t xml:space="preserve">economies </w:t>
      </w:r>
      <w:r w:rsidR="005A177B">
        <w:rPr>
          <w:rFonts w:asciiTheme="minorHAnsi" w:hAnsiTheme="minorHAnsi"/>
        </w:rPr>
        <w:t xml:space="preserve">become </w:t>
      </w:r>
      <w:r w:rsidR="005A177B" w:rsidRPr="005A177B">
        <w:rPr>
          <w:rFonts w:asciiTheme="minorHAnsi" w:hAnsiTheme="minorHAnsi"/>
        </w:rPr>
        <w:t>vulnerable to shocks</w:t>
      </w:r>
      <w:r>
        <w:rPr>
          <w:rFonts w:asciiTheme="minorHAnsi" w:hAnsiTheme="minorHAnsi"/>
        </w:rPr>
        <w:t xml:space="preserve"> when foreign inflows </w:t>
      </w:r>
      <w:r w:rsidR="00AC7B49">
        <w:rPr>
          <w:rFonts w:asciiTheme="minorHAnsi" w:hAnsiTheme="minorHAnsi"/>
        </w:rPr>
        <w:t>disappear</w:t>
      </w:r>
      <w:r w:rsidR="005A177B" w:rsidRPr="005A177B">
        <w:rPr>
          <w:rFonts w:asciiTheme="minorHAnsi" w:hAnsiTheme="minorHAnsi"/>
        </w:rPr>
        <w:t>.</w:t>
      </w:r>
      <w:r w:rsidR="005A177B">
        <w:rPr>
          <w:rFonts w:asciiTheme="minorHAnsi" w:hAnsiTheme="minorHAnsi"/>
        </w:rPr>
        <w:t xml:space="preserve">  </w:t>
      </w:r>
      <w:r w:rsidR="00530F3A">
        <w:rPr>
          <w:rFonts w:asciiTheme="minorHAnsi" w:hAnsiTheme="minorHAnsi"/>
        </w:rPr>
        <w:t>T</w:t>
      </w:r>
      <w:r w:rsidR="005A177B">
        <w:rPr>
          <w:rFonts w:asciiTheme="minorHAnsi" w:hAnsiTheme="minorHAnsi"/>
        </w:rPr>
        <w:t xml:space="preserve">he authors find </w:t>
      </w:r>
      <w:r w:rsidR="005A177B" w:rsidRPr="005A177B">
        <w:rPr>
          <w:rFonts w:asciiTheme="minorHAnsi" w:hAnsiTheme="minorHAnsi"/>
        </w:rPr>
        <w:t>th</w:t>
      </w:r>
      <w:r w:rsidR="005A177B">
        <w:rPr>
          <w:rFonts w:asciiTheme="minorHAnsi" w:hAnsiTheme="minorHAnsi"/>
        </w:rPr>
        <w:t>e</w:t>
      </w:r>
      <w:r w:rsidR="005A177B" w:rsidRPr="005A177B">
        <w:rPr>
          <w:rFonts w:asciiTheme="minorHAnsi" w:hAnsiTheme="minorHAnsi"/>
        </w:rPr>
        <w:t xml:space="preserve"> recovery </w:t>
      </w:r>
      <w:r w:rsidR="005A177B">
        <w:rPr>
          <w:rFonts w:asciiTheme="minorHAnsi" w:hAnsiTheme="minorHAnsi"/>
        </w:rPr>
        <w:t xml:space="preserve">was </w:t>
      </w:r>
      <w:r w:rsidR="005A177B" w:rsidRPr="005A177B">
        <w:rPr>
          <w:rFonts w:asciiTheme="minorHAnsi" w:hAnsiTheme="minorHAnsi"/>
        </w:rPr>
        <w:t>fast</w:t>
      </w:r>
      <w:r>
        <w:rPr>
          <w:rFonts w:asciiTheme="minorHAnsi" w:hAnsiTheme="minorHAnsi"/>
        </w:rPr>
        <w:t>er than anticipated,</w:t>
      </w:r>
      <w:r w:rsidR="005A177B" w:rsidRPr="005A177B">
        <w:rPr>
          <w:rFonts w:asciiTheme="minorHAnsi" w:hAnsiTheme="minorHAnsi"/>
        </w:rPr>
        <w:t xml:space="preserve"> </w:t>
      </w:r>
      <w:r w:rsidR="005A177B">
        <w:rPr>
          <w:rFonts w:asciiTheme="minorHAnsi" w:hAnsiTheme="minorHAnsi"/>
        </w:rPr>
        <w:t xml:space="preserve">and took </w:t>
      </w:r>
      <w:r w:rsidR="005A177B" w:rsidRPr="005A177B">
        <w:rPr>
          <w:rFonts w:asciiTheme="minorHAnsi" w:hAnsiTheme="minorHAnsi"/>
        </w:rPr>
        <w:t>place without credit</w:t>
      </w:r>
      <w:r w:rsidR="00530F3A" w:rsidRPr="00530F3A">
        <w:rPr>
          <w:rFonts w:asciiTheme="minorHAnsi" w:hAnsiTheme="minorHAnsi"/>
        </w:rPr>
        <w:t xml:space="preserve"> </w:t>
      </w:r>
      <w:r w:rsidR="00530F3A">
        <w:rPr>
          <w:rFonts w:asciiTheme="minorHAnsi" w:hAnsiTheme="minorHAnsi"/>
        </w:rPr>
        <w:t>in the economies that have suffered a significant decline in output</w:t>
      </w:r>
      <w:r w:rsidR="005A177B" w:rsidRPr="005A177B">
        <w:rPr>
          <w:rFonts w:asciiTheme="minorHAnsi" w:hAnsiTheme="minorHAnsi"/>
        </w:rPr>
        <w:t>. Th</w:t>
      </w:r>
      <w:r w:rsidR="00447482">
        <w:rPr>
          <w:rFonts w:asciiTheme="minorHAnsi" w:hAnsiTheme="minorHAnsi"/>
        </w:rPr>
        <w:t>e</w:t>
      </w:r>
      <w:r w:rsidR="00530F3A">
        <w:rPr>
          <w:rFonts w:asciiTheme="minorHAnsi" w:hAnsiTheme="minorHAnsi"/>
        </w:rPr>
        <w:t>y</w:t>
      </w:r>
      <w:r w:rsidR="00447482">
        <w:rPr>
          <w:rFonts w:asciiTheme="minorHAnsi" w:hAnsiTheme="minorHAnsi"/>
        </w:rPr>
        <w:t xml:space="preserve"> argue that a failure of the domestic banking system to spur </w:t>
      </w:r>
      <w:r>
        <w:rPr>
          <w:rFonts w:asciiTheme="minorHAnsi" w:hAnsiTheme="minorHAnsi"/>
        </w:rPr>
        <w:t xml:space="preserve">lending </w:t>
      </w:r>
      <w:r w:rsidR="005A177B" w:rsidRPr="005A177B">
        <w:rPr>
          <w:rFonts w:asciiTheme="minorHAnsi" w:hAnsiTheme="minorHAnsi"/>
        </w:rPr>
        <w:t>during the recovery phase</w:t>
      </w:r>
      <w:r w:rsidR="00447482">
        <w:rPr>
          <w:rFonts w:asciiTheme="minorHAnsi" w:hAnsiTheme="minorHAnsi"/>
        </w:rPr>
        <w:t xml:space="preserve"> is not important for output growth to return to its pre-crisi</w:t>
      </w:r>
      <w:r w:rsidR="004E38F3">
        <w:rPr>
          <w:rFonts w:asciiTheme="minorHAnsi" w:hAnsiTheme="minorHAnsi"/>
        </w:rPr>
        <w:t>s</w:t>
      </w:r>
      <w:r w:rsidR="00447482">
        <w:rPr>
          <w:rFonts w:asciiTheme="minorHAnsi" w:hAnsiTheme="minorHAnsi"/>
        </w:rPr>
        <w:t xml:space="preserve"> levels</w:t>
      </w:r>
      <w:r w:rsidR="005A177B" w:rsidRPr="005A177B">
        <w:rPr>
          <w:rFonts w:asciiTheme="minorHAnsi" w:hAnsiTheme="minorHAnsi"/>
        </w:rPr>
        <w:t>.</w:t>
      </w:r>
      <w:r w:rsidR="00FE67C1">
        <w:rPr>
          <w:rFonts w:asciiTheme="minorHAnsi" w:hAnsiTheme="minorHAnsi"/>
        </w:rPr>
        <w:t xml:space="preserve"> These “</w:t>
      </w:r>
      <w:r w:rsidR="005A177B" w:rsidRPr="005A177B">
        <w:rPr>
          <w:rFonts w:asciiTheme="minorHAnsi" w:hAnsiTheme="minorHAnsi"/>
        </w:rPr>
        <w:t>Credit-less</w:t>
      </w:r>
      <w:r w:rsidR="00FE67C1">
        <w:rPr>
          <w:rFonts w:asciiTheme="minorHAnsi" w:hAnsiTheme="minorHAnsi"/>
        </w:rPr>
        <w:t>” recoveries, as they are known in the literature,</w:t>
      </w:r>
      <w:r w:rsidR="00447482">
        <w:rPr>
          <w:rFonts w:asciiTheme="minorHAnsi" w:hAnsiTheme="minorHAnsi"/>
        </w:rPr>
        <w:t xml:space="preserve"> are possible</w:t>
      </w:r>
      <w:r w:rsidR="00530F3A">
        <w:rPr>
          <w:rFonts w:asciiTheme="minorHAnsi" w:hAnsiTheme="minorHAnsi"/>
        </w:rPr>
        <w:t xml:space="preserve">.  </w:t>
      </w:r>
      <w:r>
        <w:rPr>
          <w:rFonts w:asciiTheme="minorHAnsi" w:hAnsiTheme="minorHAnsi"/>
        </w:rPr>
        <w:t xml:space="preserve">Along those lines, </w:t>
      </w:r>
      <w:proofErr w:type="spellStart"/>
      <w:r>
        <w:rPr>
          <w:rFonts w:asciiTheme="minorHAnsi" w:hAnsiTheme="minorHAnsi"/>
        </w:rPr>
        <w:t>Abiad</w:t>
      </w:r>
      <w:proofErr w:type="spellEnd"/>
      <w:r>
        <w:rPr>
          <w:rFonts w:asciiTheme="minorHAnsi" w:hAnsiTheme="minorHAnsi"/>
        </w:rPr>
        <w:t xml:space="preserve"> et al</w:t>
      </w:r>
      <w:r w:rsidR="00AC7B49">
        <w:rPr>
          <w:rFonts w:asciiTheme="minorHAnsi" w:hAnsiTheme="minorHAnsi"/>
        </w:rPr>
        <w:t>.</w:t>
      </w:r>
      <w:r>
        <w:rPr>
          <w:rFonts w:asciiTheme="minorHAnsi" w:hAnsiTheme="minorHAnsi"/>
        </w:rPr>
        <w:t xml:space="preserve"> (2011) show that </w:t>
      </w:r>
      <w:r w:rsidR="008A0D22">
        <w:rPr>
          <w:rFonts w:asciiTheme="minorHAnsi" w:hAnsiTheme="minorHAnsi"/>
        </w:rPr>
        <w:t xml:space="preserve">20% of all </w:t>
      </w:r>
      <w:r>
        <w:rPr>
          <w:rFonts w:asciiTheme="minorHAnsi" w:hAnsiTheme="minorHAnsi"/>
        </w:rPr>
        <w:t>r</w:t>
      </w:r>
      <w:r w:rsidRPr="00215EF5">
        <w:rPr>
          <w:rFonts w:asciiTheme="minorHAnsi" w:hAnsiTheme="minorHAnsi"/>
        </w:rPr>
        <w:t xml:space="preserve">ecoveries occur in the absence of credit growth </w:t>
      </w:r>
      <w:r w:rsidR="008A0D22">
        <w:rPr>
          <w:rFonts w:asciiTheme="minorHAnsi" w:hAnsiTheme="minorHAnsi"/>
        </w:rPr>
        <w:t xml:space="preserve">but that the </w:t>
      </w:r>
      <w:r w:rsidRPr="00215EF5">
        <w:rPr>
          <w:rFonts w:asciiTheme="minorHAnsi" w:hAnsiTheme="minorHAnsi"/>
        </w:rPr>
        <w:t xml:space="preserve">average </w:t>
      </w:r>
      <w:r w:rsidR="008A0D22">
        <w:rPr>
          <w:rFonts w:asciiTheme="minorHAnsi" w:hAnsiTheme="minorHAnsi"/>
        </w:rPr>
        <w:t xml:space="preserve">economic </w:t>
      </w:r>
      <w:r w:rsidRPr="00215EF5">
        <w:rPr>
          <w:rFonts w:asciiTheme="minorHAnsi" w:hAnsiTheme="minorHAnsi"/>
        </w:rPr>
        <w:t>growth during these episodes is about a</w:t>
      </w:r>
      <w:r w:rsidR="008A0D22">
        <w:rPr>
          <w:rFonts w:asciiTheme="minorHAnsi" w:hAnsiTheme="minorHAnsi"/>
        </w:rPr>
        <w:t xml:space="preserve"> </w:t>
      </w:r>
      <w:r w:rsidRPr="00215EF5">
        <w:rPr>
          <w:rFonts w:asciiTheme="minorHAnsi" w:hAnsiTheme="minorHAnsi"/>
        </w:rPr>
        <w:t xml:space="preserve">third lower than during “normal” recoveries. </w:t>
      </w:r>
      <w:r w:rsidR="00530F3A">
        <w:rPr>
          <w:rFonts w:asciiTheme="minorHAnsi" w:hAnsiTheme="minorHAnsi"/>
        </w:rPr>
        <w:t xml:space="preserve"> </w:t>
      </w:r>
      <w:r w:rsidR="008F3933">
        <w:rPr>
          <w:rFonts w:asciiTheme="minorHAnsi" w:hAnsiTheme="minorHAnsi"/>
        </w:rPr>
        <w:t xml:space="preserve">More recently, </w:t>
      </w:r>
      <w:proofErr w:type="spellStart"/>
      <w:r w:rsidR="008F3933">
        <w:rPr>
          <w:rFonts w:asciiTheme="minorHAnsi" w:hAnsiTheme="minorHAnsi"/>
        </w:rPr>
        <w:t>Gambocarta</w:t>
      </w:r>
      <w:proofErr w:type="spellEnd"/>
      <w:r w:rsidR="008F3933">
        <w:rPr>
          <w:rFonts w:asciiTheme="minorHAnsi" w:hAnsiTheme="minorHAnsi"/>
        </w:rPr>
        <w:t xml:space="preserve"> et al</w:t>
      </w:r>
      <w:r w:rsidR="00AC7B49">
        <w:rPr>
          <w:rFonts w:asciiTheme="minorHAnsi" w:hAnsiTheme="minorHAnsi"/>
        </w:rPr>
        <w:t>.</w:t>
      </w:r>
      <w:r w:rsidR="008F3933">
        <w:rPr>
          <w:rFonts w:asciiTheme="minorHAnsi" w:hAnsiTheme="minorHAnsi"/>
        </w:rPr>
        <w:t xml:space="preserve"> (2014) find that </w:t>
      </w:r>
      <w:r w:rsidR="008F3933" w:rsidRPr="008F3933">
        <w:rPr>
          <w:rFonts w:asciiTheme="minorHAnsi" w:hAnsiTheme="minorHAnsi"/>
        </w:rPr>
        <w:t>banks</w:t>
      </w:r>
      <w:r w:rsidR="00AC7B49">
        <w:rPr>
          <w:rFonts w:asciiTheme="minorHAnsi" w:hAnsiTheme="minorHAnsi"/>
        </w:rPr>
        <w:t>’</w:t>
      </w:r>
      <w:r w:rsidR="008F3933" w:rsidRPr="008F3933">
        <w:rPr>
          <w:rFonts w:asciiTheme="minorHAnsi" w:hAnsiTheme="minorHAnsi"/>
        </w:rPr>
        <w:t xml:space="preserve"> </w:t>
      </w:r>
      <w:r w:rsidR="000E743F">
        <w:rPr>
          <w:rFonts w:asciiTheme="minorHAnsi" w:hAnsiTheme="minorHAnsi"/>
        </w:rPr>
        <w:t xml:space="preserve">credit </w:t>
      </w:r>
      <w:r w:rsidR="008F3933" w:rsidRPr="008F3933">
        <w:rPr>
          <w:rFonts w:asciiTheme="minorHAnsi" w:hAnsiTheme="minorHAnsi"/>
        </w:rPr>
        <w:t>foster</w:t>
      </w:r>
      <w:r w:rsidR="000E743F">
        <w:rPr>
          <w:rFonts w:asciiTheme="minorHAnsi" w:hAnsiTheme="minorHAnsi"/>
        </w:rPr>
        <w:t>s</w:t>
      </w:r>
      <w:r w:rsidR="008F3933" w:rsidRPr="008F3933">
        <w:rPr>
          <w:rFonts w:asciiTheme="minorHAnsi" w:hAnsiTheme="minorHAnsi"/>
        </w:rPr>
        <w:t xml:space="preserve"> economic growth</w:t>
      </w:r>
      <w:r w:rsidR="000E743F">
        <w:rPr>
          <w:rFonts w:asciiTheme="minorHAnsi" w:hAnsiTheme="minorHAnsi"/>
        </w:rPr>
        <w:t xml:space="preserve"> only up to a certain point</w:t>
      </w:r>
      <w:r w:rsidR="00AC7B49">
        <w:rPr>
          <w:rFonts w:asciiTheme="minorHAnsi" w:hAnsiTheme="minorHAnsi"/>
        </w:rPr>
        <w:t>,</w:t>
      </w:r>
      <w:r w:rsidR="000E743F">
        <w:rPr>
          <w:rFonts w:asciiTheme="minorHAnsi" w:hAnsiTheme="minorHAnsi"/>
        </w:rPr>
        <w:t xml:space="preserve"> which clearly varies with each country.</w:t>
      </w:r>
      <w:r w:rsidR="008F3933" w:rsidRPr="008F3933">
        <w:rPr>
          <w:rFonts w:asciiTheme="minorHAnsi" w:hAnsiTheme="minorHAnsi"/>
        </w:rPr>
        <w:t xml:space="preserve"> Beyond that limit,</w:t>
      </w:r>
      <w:r w:rsidR="000E743F">
        <w:rPr>
          <w:rFonts w:asciiTheme="minorHAnsi" w:hAnsiTheme="minorHAnsi"/>
        </w:rPr>
        <w:t xml:space="preserve"> </w:t>
      </w:r>
      <w:r w:rsidR="008F3933" w:rsidRPr="008F3933">
        <w:rPr>
          <w:rFonts w:asciiTheme="minorHAnsi" w:hAnsiTheme="minorHAnsi"/>
        </w:rPr>
        <w:t xml:space="preserve">bank lending </w:t>
      </w:r>
      <w:r w:rsidR="000E743F">
        <w:rPr>
          <w:rFonts w:asciiTheme="minorHAnsi" w:hAnsiTheme="minorHAnsi"/>
        </w:rPr>
        <w:t xml:space="preserve">is no longer effective and becomes neutral to </w:t>
      </w:r>
      <w:r w:rsidR="008F3933" w:rsidRPr="008F3933">
        <w:rPr>
          <w:rFonts w:asciiTheme="minorHAnsi" w:hAnsiTheme="minorHAnsi"/>
        </w:rPr>
        <w:t xml:space="preserve">real growth. </w:t>
      </w:r>
      <w:r w:rsidR="000E743F">
        <w:rPr>
          <w:rFonts w:asciiTheme="minorHAnsi" w:hAnsiTheme="minorHAnsi"/>
        </w:rPr>
        <w:t xml:space="preserve"> </w:t>
      </w:r>
    </w:p>
    <w:p w14:paraId="62CBC94C" w14:textId="77777777" w:rsidR="000E743F" w:rsidRDefault="000E743F" w:rsidP="000E743F">
      <w:pPr>
        <w:jc w:val="both"/>
        <w:rPr>
          <w:rFonts w:asciiTheme="minorHAnsi" w:hAnsiTheme="minorHAnsi"/>
        </w:rPr>
      </w:pPr>
    </w:p>
    <w:p w14:paraId="5CBF8671" w14:textId="6A620E02" w:rsidR="00780DBE" w:rsidRDefault="00780DBE" w:rsidP="00780DBE">
      <w:pPr>
        <w:jc w:val="both"/>
        <w:rPr>
          <w:rFonts w:asciiTheme="minorHAnsi" w:hAnsiTheme="minorHAnsi"/>
        </w:rPr>
      </w:pPr>
      <w:r>
        <w:rPr>
          <w:rFonts w:asciiTheme="minorHAnsi" w:hAnsiTheme="minorHAnsi"/>
        </w:rPr>
        <w:t xml:space="preserve">In a nuanced variation to the preceding studies, </w:t>
      </w:r>
      <w:proofErr w:type="spellStart"/>
      <w:r w:rsidRPr="00405D7B">
        <w:rPr>
          <w:rFonts w:asciiTheme="minorHAnsi" w:hAnsiTheme="minorHAnsi"/>
        </w:rPr>
        <w:t>Bijsterbosch</w:t>
      </w:r>
      <w:proofErr w:type="spellEnd"/>
      <w:r w:rsidRPr="00405D7B">
        <w:rPr>
          <w:rFonts w:asciiTheme="minorHAnsi" w:hAnsiTheme="minorHAnsi"/>
        </w:rPr>
        <w:t xml:space="preserve"> </w:t>
      </w:r>
      <w:r>
        <w:rPr>
          <w:rFonts w:asciiTheme="minorHAnsi" w:hAnsiTheme="minorHAnsi"/>
        </w:rPr>
        <w:t xml:space="preserve">and </w:t>
      </w:r>
      <w:proofErr w:type="spellStart"/>
      <w:r>
        <w:rPr>
          <w:rFonts w:asciiTheme="minorHAnsi" w:hAnsiTheme="minorHAnsi"/>
        </w:rPr>
        <w:t>Dahlhaus</w:t>
      </w:r>
      <w:proofErr w:type="spellEnd"/>
      <w:r>
        <w:rPr>
          <w:rFonts w:asciiTheme="minorHAnsi" w:hAnsiTheme="minorHAnsi"/>
        </w:rPr>
        <w:t xml:space="preserve"> (2011) investigate the determinants of </w:t>
      </w:r>
      <w:r w:rsidRPr="001B32C1">
        <w:rPr>
          <w:rFonts w:asciiTheme="minorHAnsi" w:hAnsiTheme="minorHAnsi"/>
        </w:rPr>
        <w:t>credit-less</w:t>
      </w:r>
      <w:r>
        <w:rPr>
          <w:rFonts w:asciiTheme="minorHAnsi" w:hAnsiTheme="minorHAnsi"/>
        </w:rPr>
        <w:t xml:space="preserve"> economic </w:t>
      </w:r>
      <w:r w:rsidRPr="001B32C1">
        <w:rPr>
          <w:rFonts w:asciiTheme="minorHAnsi" w:hAnsiTheme="minorHAnsi"/>
        </w:rPr>
        <w:t>recoveries. After building a dataset and documenting some styli</w:t>
      </w:r>
      <w:r w:rsidR="004E38F3">
        <w:rPr>
          <w:rFonts w:asciiTheme="minorHAnsi" w:hAnsiTheme="minorHAnsi"/>
        </w:rPr>
        <w:t>z</w:t>
      </w:r>
      <w:r w:rsidRPr="001B32C1">
        <w:rPr>
          <w:rFonts w:asciiTheme="minorHAnsi" w:hAnsiTheme="minorHAnsi"/>
        </w:rPr>
        <w:t>ed facts of credit-less recoveries</w:t>
      </w:r>
      <w:r>
        <w:rPr>
          <w:rFonts w:asciiTheme="minorHAnsi" w:hAnsiTheme="minorHAnsi"/>
        </w:rPr>
        <w:t xml:space="preserve"> </w:t>
      </w:r>
      <w:r w:rsidRPr="001B32C1">
        <w:rPr>
          <w:rFonts w:asciiTheme="minorHAnsi" w:hAnsiTheme="minorHAnsi"/>
        </w:rPr>
        <w:t xml:space="preserve">in emerging market </w:t>
      </w:r>
      <w:r w:rsidRPr="001B32C1">
        <w:rPr>
          <w:rFonts w:asciiTheme="minorHAnsi" w:hAnsiTheme="minorHAnsi"/>
        </w:rPr>
        <w:lastRenderedPageBreak/>
        <w:t xml:space="preserve">economies, </w:t>
      </w:r>
      <w:r>
        <w:rPr>
          <w:rFonts w:asciiTheme="minorHAnsi" w:hAnsiTheme="minorHAnsi"/>
        </w:rPr>
        <w:t xml:space="preserve">the authors identify the key factors </w:t>
      </w:r>
      <w:r w:rsidR="00AC7B49">
        <w:rPr>
          <w:rFonts w:asciiTheme="minorHAnsi" w:hAnsiTheme="minorHAnsi"/>
        </w:rPr>
        <w:t xml:space="preserve">that </w:t>
      </w:r>
      <w:r>
        <w:rPr>
          <w:rFonts w:asciiTheme="minorHAnsi" w:hAnsiTheme="minorHAnsi"/>
        </w:rPr>
        <w:t xml:space="preserve">lead to such phenomenon. </w:t>
      </w:r>
      <w:r w:rsidR="004E38F3">
        <w:rPr>
          <w:rFonts w:asciiTheme="minorHAnsi" w:hAnsiTheme="minorHAnsi"/>
        </w:rPr>
        <w:t xml:space="preserve"> </w:t>
      </w:r>
      <w:r w:rsidR="00D25292">
        <w:rPr>
          <w:rFonts w:asciiTheme="minorHAnsi" w:hAnsiTheme="minorHAnsi"/>
        </w:rPr>
        <w:t xml:space="preserve">The authors </w:t>
      </w:r>
      <w:r w:rsidRPr="001B32C1">
        <w:rPr>
          <w:rFonts w:asciiTheme="minorHAnsi" w:hAnsiTheme="minorHAnsi"/>
        </w:rPr>
        <w:t>predict the probability of</w:t>
      </w:r>
      <w:r w:rsidR="004E38F3">
        <w:rPr>
          <w:rFonts w:asciiTheme="minorHAnsi" w:hAnsiTheme="minorHAnsi"/>
        </w:rPr>
        <w:t xml:space="preserve"> </w:t>
      </w:r>
      <w:r w:rsidRPr="001B32C1">
        <w:rPr>
          <w:rFonts w:asciiTheme="minorHAnsi" w:hAnsiTheme="minorHAnsi"/>
        </w:rPr>
        <w:t>credit-less recoveries in central and eastern European EU Member States in the coming</w:t>
      </w:r>
      <w:r w:rsidR="004E38F3">
        <w:rPr>
          <w:rFonts w:asciiTheme="minorHAnsi" w:hAnsiTheme="minorHAnsi"/>
        </w:rPr>
        <w:t xml:space="preserve"> </w:t>
      </w:r>
      <w:r w:rsidRPr="001B32C1">
        <w:rPr>
          <w:rFonts w:asciiTheme="minorHAnsi" w:hAnsiTheme="minorHAnsi"/>
        </w:rPr>
        <w:t>years.</w:t>
      </w:r>
      <w:r>
        <w:rPr>
          <w:rFonts w:asciiTheme="minorHAnsi" w:hAnsiTheme="minorHAnsi"/>
        </w:rPr>
        <w:t xml:space="preserve">  Their </w:t>
      </w:r>
      <w:r w:rsidRPr="005E76BD">
        <w:rPr>
          <w:rFonts w:asciiTheme="minorHAnsi" w:hAnsiTheme="minorHAnsi"/>
        </w:rPr>
        <w:t xml:space="preserve">findings confirm earlier </w:t>
      </w:r>
      <w:r>
        <w:rPr>
          <w:rFonts w:asciiTheme="minorHAnsi" w:hAnsiTheme="minorHAnsi"/>
        </w:rPr>
        <w:t xml:space="preserve">results </w:t>
      </w:r>
      <w:r w:rsidRPr="005E76BD">
        <w:rPr>
          <w:rFonts w:asciiTheme="minorHAnsi" w:hAnsiTheme="minorHAnsi"/>
        </w:rPr>
        <w:t xml:space="preserve">that credit-less recoveries are not at all rare events. In </w:t>
      </w:r>
      <w:r>
        <w:rPr>
          <w:rFonts w:asciiTheme="minorHAnsi" w:hAnsiTheme="minorHAnsi"/>
        </w:rPr>
        <w:t xml:space="preserve">their </w:t>
      </w:r>
      <w:r w:rsidRPr="005E76BD">
        <w:rPr>
          <w:rFonts w:asciiTheme="minorHAnsi" w:hAnsiTheme="minorHAnsi"/>
        </w:rPr>
        <w:t>sample of low</w:t>
      </w:r>
      <w:r w:rsidR="004E38F3">
        <w:rPr>
          <w:rFonts w:asciiTheme="minorHAnsi" w:hAnsiTheme="minorHAnsi"/>
        </w:rPr>
        <w:t>-</w:t>
      </w:r>
      <w:r w:rsidRPr="005E76BD">
        <w:rPr>
          <w:rFonts w:asciiTheme="minorHAnsi" w:hAnsiTheme="minorHAnsi"/>
        </w:rPr>
        <w:t xml:space="preserve"> and middle</w:t>
      </w:r>
      <w:r w:rsidR="004E38F3">
        <w:rPr>
          <w:rFonts w:asciiTheme="minorHAnsi" w:hAnsiTheme="minorHAnsi"/>
        </w:rPr>
        <w:t>-i</w:t>
      </w:r>
      <w:r w:rsidRPr="005E76BD">
        <w:rPr>
          <w:rFonts w:asciiTheme="minorHAnsi" w:hAnsiTheme="minorHAnsi"/>
        </w:rPr>
        <w:t>ncome economies</w:t>
      </w:r>
      <w:r>
        <w:rPr>
          <w:rFonts w:asciiTheme="minorHAnsi" w:hAnsiTheme="minorHAnsi"/>
        </w:rPr>
        <w:t>,</w:t>
      </w:r>
      <w:r w:rsidRPr="005E76BD">
        <w:rPr>
          <w:rFonts w:asciiTheme="minorHAnsi" w:hAnsiTheme="minorHAnsi"/>
        </w:rPr>
        <w:t xml:space="preserve"> </w:t>
      </w:r>
      <w:r w:rsidR="00AC7B49">
        <w:rPr>
          <w:rFonts w:asciiTheme="minorHAnsi" w:hAnsiTheme="minorHAnsi"/>
        </w:rPr>
        <w:t>one</w:t>
      </w:r>
      <w:r>
        <w:rPr>
          <w:rFonts w:asciiTheme="minorHAnsi" w:hAnsiTheme="minorHAnsi"/>
        </w:rPr>
        <w:t xml:space="preserve"> in </w:t>
      </w:r>
      <w:r w:rsidR="00AC7B49">
        <w:rPr>
          <w:rFonts w:asciiTheme="minorHAnsi" w:hAnsiTheme="minorHAnsi"/>
        </w:rPr>
        <w:t>four</w:t>
      </w:r>
      <w:r w:rsidRPr="005E76BD">
        <w:rPr>
          <w:rFonts w:asciiTheme="minorHAnsi" w:hAnsiTheme="minorHAnsi"/>
        </w:rPr>
        <w:t xml:space="preserve"> recoveries in output occurs without a pick-up in credit.</w:t>
      </w:r>
      <w:r>
        <w:rPr>
          <w:rFonts w:asciiTheme="minorHAnsi" w:hAnsiTheme="minorHAnsi"/>
        </w:rPr>
        <w:t xml:space="preserve"> Their results are useful for </w:t>
      </w:r>
      <w:r w:rsidR="00AC7B49">
        <w:rPr>
          <w:rFonts w:asciiTheme="minorHAnsi" w:hAnsiTheme="minorHAnsi"/>
        </w:rPr>
        <w:t xml:space="preserve">this </w:t>
      </w:r>
      <w:r>
        <w:rPr>
          <w:rFonts w:asciiTheme="minorHAnsi" w:hAnsiTheme="minorHAnsi"/>
        </w:rPr>
        <w:t>analysis to the ex</w:t>
      </w:r>
      <w:r w:rsidR="004E38F3">
        <w:rPr>
          <w:rFonts w:asciiTheme="minorHAnsi" w:hAnsiTheme="minorHAnsi"/>
        </w:rPr>
        <w:t>t</w:t>
      </w:r>
      <w:r>
        <w:rPr>
          <w:rFonts w:asciiTheme="minorHAnsi" w:hAnsiTheme="minorHAnsi"/>
        </w:rPr>
        <w:t>ent that their data is based on countries with a level of development similar to the ones investigat</w:t>
      </w:r>
      <w:r w:rsidR="00AC7B49">
        <w:rPr>
          <w:rFonts w:asciiTheme="minorHAnsi" w:hAnsiTheme="minorHAnsi"/>
        </w:rPr>
        <w:t>ed</w:t>
      </w:r>
      <w:r w:rsidR="004E38F3">
        <w:rPr>
          <w:rFonts w:asciiTheme="minorHAnsi" w:hAnsiTheme="minorHAnsi"/>
        </w:rPr>
        <w:t xml:space="preserve"> in this paper</w:t>
      </w:r>
      <w:r>
        <w:rPr>
          <w:rFonts w:asciiTheme="minorHAnsi" w:hAnsiTheme="minorHAnsi"/>
        </w:rPr>
        <w:t>.</w:t>
      </w:r>
    </w:p>
    <w:p w14:paraId="02421366" w14:textId="77777777" w:rsidR="00780DBE" w:rsidRDefault="00780DBE" w:rsidP="000E743F">
      <w:pPr>
        <w:jc w:val="both"/>
        <w:rPr>
          <w:rFonts w:asciiTheme="minorHAnsi" w:hAnsiTheme="minorHAnsi"/>
        </w:rPr>
      </w:pPr>
    </w:p>
    <w:p w14:paraId="0AE7D1EF" w14:textId="3922D944" w:rsidR="00E85B7E" w:rsidRPr="00E85B7E" w:rsidRDefault="00FE67C1" w:rsidP="00E85B7E">
      <w:pPr>
        <w:jc w:val="both"/>
        <w:rPr>
          <w:rFonts w:asciiTheme="minorHAnsi" w:hAnsiTheme="minorHAnsi"/>
        </w:rPr>
      </w:pPr>
      <w:r>
        <w:rPr>
          <w:rFonts w:asciiTheme="minorHAnsi" w:hAnsiTheme="minorHAnsi"/>
        </w:rPr>
        <w:t>Following a crisis, t</w:t>
      </w:r>
      <w:r w:rsidR="009A68E6">
        <w:rPr>
          <w:rFonts w:asciiTheme="minorHAnsi" w:hAnsiTheme="minorHAnsi"/>
        </w:rPr>
        <w:t xml:space="preserve">he notion that bank credit is indispensable to an economic recovery is rooted in the tenets of monetary policy.  Banks represent the arm through which a Central Bank can expand credit using a variety of monetary policy tools ranging from open market operations, setting the discount rate or the reserve requirement ratio. </w:t>
      </w:r>
      <w:r w:rsidR="002A674D">
        <w:rPr>
          <w:rFonts w:asciiTheme="minorHAnsi" w:hAnsiTheme="minorHAnsi"/>
        </w:rPr>
        <w:t xml:space="preserve"> </w:t>
      </w:r>
      <w:r w:rsidR="00E85B7E" w:rsidRPr="00E85B7E">
        <w:rPr>
          <w:rFonts w:asciiTheme="minorHAnsi" w:hAnsiTheme="minorHAnsi"/>
        </w:rPr>
        <w:t xml:space="preserve">In </w:t>
      </w:r>
      <w:r w:rsidR="002A674D">
        <w:rPr>
          <w:rFonts w:asciiTheme="minorHAnsi" w:hAnsiTheme="minorHAnsi"/>
        </w:rPr>
        <w:t xml:space="preserve">an economic </w:t>
      </w:r>
      <w:r w:rsidR="00E85B7E" w:rsidRPr="00E85B7E">
        <w:rPr>
          <w:rFonts w:asciiTheme="minorHAnsi" w:hAnsiTheme="minorHAnsi"/>
        </w:rPr>
        <w:t>downturn, banks</w:t>
      </w:r>
      <w:r w:rsidR="002A674D">
        <w:rPr>
          <w:rFonts w:asciiTheme="minorHAnsi" w:hAnsiTheme="minorHAnsi"/>
        </w:rPr>
        <w:t xml:space="preserve"> </w:t>
      </w:r>
      <w:r w:rsidR="00B31E23">
        <w:rPr>
          <w:rFonts w:asciiTheme="minorHAnsi" w:hAnsiTheme="minorHAnsi"/>
        </w:rPr>
        <w:t xml:space="preserve">that </w:t>
      </w:r>
      <w:r w:rsidR="002A674D">
        <w:rPr>
          <w:rFonts w:asciiTheme="minorHAnsi" w:hAnsiTheme="minorHAnsi"/>
        </w:rPr>
        <w:t xml:space="preserve">are otherwise healthy, are able to extend </w:t>
      </w:r>
      <w:r w:rsidR="00B31E23">
        <w:rPr>
          <w:rFonts w:asciiTheme="minorHAnsi" w:hAnsiTheme="minorHAnsi"/>
        </w:rPr>
        <w:t xml:space="preserve">credit </w:t>
      </w:r>
      <w:r w:rsidR="00B31E23" w:rsidRPr="00E85B7E">
        <w:rPr>
          <w:rFonts w:asciiTheme="minorHAnsi" w:hAnsiTheme="minorHAnsi"/>
        </w:rPr>
        <w:t>more</w:t>
      </w:r>
      <w:r w:rsidR="00B31E23">
        <w:rPr>
          <w:rFonts w:asciiTheme="minorHAnsi" w:hAnsiTheme="minorHAnsi"/>
        </w:rPr>
        <w:t xml:space="preserve"> readily</w:t>
      </w:r>
      <w:r w:rsidR="008722DD">
        <w:rPr>
          <w:rFonts w:asciiTheme="minorHAnsi" w:hAnsiTheme="minorHAnsi"/>
        </w:rPr>
        <w:t xml:space="preserve"> </w:t>
      </w:r>
      <w:r w:rsidR="00E85B7E" w:rsidRPr="00E85B7E">
        <w:rPr>
          <w:rFonts w:asciiTheme="minorHAnsi" w:hAnsiTheme="minorHAnsi"/>
        </w:rPr>
        <w:t xml:space="preserve">than </w:t>
      </w:r>
      <w:r w:rsidR="002A674D">
        <w:rPr>
          <w:rFonts w:asciiTheme="minorHAnsi" w:hAnsiTheme="minorHAnsi"/>
        </w:rPr>
        <w:t xml:space="preserve">other financial intermediaries </w:t>
      </w:r>
      <w:r w:rsidR="00E85B7E" w:rsidRPr="00E85B7E">
        <w:rPr>
          <w:rFonts w:asciiTheme="minorHAnsi" w:hAnsiTheme="minorHAnsi"/>
        </w:rPr>
        <w:t>(Bolton et al</w:t>
      </w:r>
      <w:r w:rsidR="00577682">
        <w:rPr>
          <w:rFonts w:asciiTheme="minorHAnsi" w:hAnsiTheme="minorHAnsi"/>
        </w:rPr>
        <w:t>.</w:t>
      </w:r>
      <w:r w:rsidR="00E85B7E" w:rsidRPr="00E85B7E">
        <w:rPr>
          <w:rFonts w:asciiTheme="minorHAnsi" w:hAnsiTheme="minorHAnsi"/>
        </w:rPr>
        <w:t xml:space="preserve"> (2013))</w:t>
      </w:r>
      <w:r w:rsidR="002A674D">
        <w:rPr>
          <w:rFonts w:asciiTheme="minorHAnsi" w:hAnsiTheme="minorHAnsi"/>
        </w:rPr>
        <w:t>. Because they often have an established</w:t>
      </w:r>
      <w:r w:rsidR="008722DD">
        <w:rPr>
          <w:rFonts w:asciiTheme="minorHAnsi" w:hAnsiTheme="minorHAnsi"/>
        </w:rPr>
        <w:t>,</w:t>
      </w:r>
      <w:r w:rsidR="002A674D">
        <w:rPr>
          <w:rFonts w:asciiTheme="minorHAnsi" w:hAnsiTheme="minorHAnsi"/>
        </w:rPr>
        <w:t xml:space="preserve"> and sometimes </w:t>
      </w:r>
      <w:r w:rsidR="00E85B7E" w:rsidRPr="00E85B7E">
        <w:rPr>
          <w:rFonts w:asciiTheme="minorHAnsi" w:hAnsiTheme="minorHAnsi"/>
        </w:rPr>
        <w:t>long-term</w:t>
      </w:r>
      <w:r w:rsidR="008722DD">
        <w:rPr>
          <w:rFonts w:asciiTheme="minorHAnsi" w:hAnsiTheme="minorHAnsi"/>
        </w:rPr>
        <w:t>,</w:t>
      </w:r>
      <w:r w:rsidR="00E85B7E" w:rsidRPr="00E85B7E">
        <w:rPr>
          <w:rFonts w:asciiTheme="minorHAnsi" w:hAnsiTheme="minorHAnsi"/>
        </w:rPr>
        <w:t xml:space="preserve"> relationship with </w:t>
      </w:r>
      <w:r w:rsidR="002A674D">
        <w:rPr>
          <w:rFonts w:asciiTheme="minorHAnsi" w:hAnsiTheme="minorHAnsi"/>
        </w:rPr>
        <w:t xml:space="preserve">their </w:t>
      </w:r>
      <w:r w:rsidR="00E85B7E" w:rsidRPr="00E85B7E">
        <w:rPr>
          <w:rFonts w:asciiTheme="minorHAnsi" w:hAnsiTheme="minorHAnsi"/>
        </w:rPr>
        <w:t xml:space="preserve">clients, banks are </w:t>
      </w:r>
      <w:r w:rsidR="002A674D">
        <w:rPr>
          <w:rFonts w:asciiTheme="minorHAnsi" w:hAnsiTheme="minorHAnsi"/>
        </w:rPr>
        <w:t xml:space="preserve">able to </w:t>
      </w:r>
      <w:r w:rsidR="00E85B7E" w:rsidRPr="00E85B7E">
        <w:rPr>
          <w:rFonts w:asciiTheme="minorHAnsi" w:hAnsiTheme="minorHAnsi"/>
        </w:rPr>
        <w:t xml:space="preserve">offer credit </w:t>
      </w:r>
      <w:r w:rsidR="002A674D">
        <w:rPr>
          <w:rFonts w:asciiTheme="minorHAnsi" w:hAnsiTheme="minorHAnsi"/>
        </w:rPr>
        <w:t xml:space="preserve">even </w:t>
      </w:r>
      <w:r w:rsidR="00213B8B">
        <w:rPr>
          <w:rFonts w:asciiTheme="minorHAnsi" w:hAnsiTheme="minorHAnsi"/>
        </w:rPr>
        <w:t xml:space="preserve">during </w:t>
      </w:r>
      <w:r w:rsidR="00E85B7E" w:rsidRPr="00E85B7E">
        <w:rPr>
          <w:rFonts w:asciiTheme="minorHAnsi" w:hAnsiTheme="minorHAnsi"/>
        </w:rPr>
        <w:t>a downturn</w:t>
      </w:r>
      <w:r w:rsidR="00213B8B">
        <w:rPr>
          <w:rFonts w:asciiTheme="minorHAnsi" w:hAnsiTheme="minorHAnsi"/>
        </w:rPr>
        <w:t xml:space="preserve"> when other </w:t>
      </w:r>
      <w:r w:rsidR="00E85B7E" w:rsidRPr="00E85B7E">
        <w:rPr>
          <w:rFonts w:asciiTheme="minorHAnsi" w:hAnsiTheme="minorHAnsi"/>
        </w:rPr>
        <w:t>lenders</w:t>
      </w:r>
      <w:r w:rsidR="00213B8B">
        <w:rPr>
          <w:rFonts w:asciiTheme="minorHAnsi" w:hAnsiTheme="minorHAnsi"/>
        </w:rPr>
        <w:t xml:space="preserve"> </w:t>
      </w:r>
      <w:r w:rsidR="00B31E23">
        <w:rPr>
          <w:rFonts w:asciiTheme="minorHAnsi" w:hAnsiTheme="minorHAnsi"/>
        </w:rPr>
        <w:t>withdraw</w:t>
      </w:r>
      <w:r w:rsidR="00E85B7E" w:rsidRPr="00E85B7E">
        <w:rPr>
          <w:rFonts w:asciiTheme="minorHAnsi" w:hAnsiTheme="minorHAnsi"/>
        </w:rPr>
        <w:t xml:space="preserve">. </w:t>
      </w:r>
    </w:p>
    <w:p w14:paraId="7A6D6682" w14:textId="77777777" w:rsidR="00E85B7E" w:rsidRPr="00E85B7E" w:rsidRDefault="00E85B7E" w:rsidP="00E85B7E">
      <w:pPr>
        <w:jc w:val="both"/>
        <w:rPr>
          <w:rFonts w:asciiTheme="minorHAnsi" w:hAnsiTheme="minorHAnsi"/>
        </w:rPr>
      </w:pPr>
    </w:p>
    <w:p w14:paraId="04C3E2EF" w14:textId="34E34A44" w:rsidR="00493475" w:rsidRDefault="00D25292" w:rsidP="00410DC7">
      <w:pPr>
        <w:jc w:val="both"/>
        <w:rPr>
          <w:rFonts w:asciiTheme="minorHAnsi" w:hAnsiTheme="minorHAnsi"/>
        </w:rPr>
      </w:pPr>
      <w:r w:rsidRPr="00516A21">
        <w:rPr>
          <w:rFonts w:asciiTheme="minorHAnsi" w:hAnsiTheme="minorHAnsi"/>
          <w:color w:val="000000" w:themeColor="text1"/>
        </w:rPr>
        <w:t xml:space="preserve">Closely related to the topic of </w:t>
      </w:r>
      <w:r w:rsidR="00B31E23">
        <w:rPr>
          <w:rFonts w:asciiTheme="minorHAnsi" w:hAnsiTheme="minorHAnsi"/>
          <w:color w:val="000000" w:themeColor="text1"/>
        </w:rPr>
        <w:t>this</w:t>
      </w:r>
      <w:r w:rsidR="00B31E23" w:rsidRPr="00516A21">
        <w:rPr>
          <w:rFonts w:asciiTheme="minorHAnsi" w:hAnsiTheme="minorHAnsi"/>
          <w:color w:val="000000" w:themeColor="text1"/>
        </w:rPr>
        <w:t xml:space="preserve"> </w:t>
      </w:r>
      <w:r w:rsidRPr="00516A21">
        <w:rPr>
          <w:rFonts w:asciiTheme="minorHAnsi" w:hAnsiTheme="minorHAnsi"/>
          <w:color w:val="000000" w:themeColor="text1"/>
        </w:rPr>
        <w:t xml:space="preserve">paper, </w:t>
      </w:r>
      <w:r>
        <w:rPr>
          <w:rFonts w:asciiTheme="minorHAnsi" w:hAnsiTheme="minorHAnsi"/>
          <w:color w:val="000000" w:themeColor="text1"/>
        </w:rPr>
        <w:t>a</w:t>
      </w:r>
      <w:r w:rsidR="000627F4" w:rsidRPr="00516A21">
        <w:rPr>
          <w:rFonts w:asciiTheme="minorHAnsi" w:hAnsiTheme="minorHAnsi"/>
          <w:color w:val="000000" w:themeColor="text1"/>
        </w:rPr>
        <w:t xml:space="preserve"> number of academic studies have </w:t>
      </w:r>
      <w:r>
        <w:rPr>
          <w:rFonts w:asciiTheme="minorHAnsi" w:hAnsiTheme="minorHAnsi"/>
          <w:color w:val="000000" w:themeColor="text1"/>
        </w:rPr>
        <w:t>analyzed</w:t>
      </w:r>
      <w:r w:rsidR="000627F4">
        <w:rPr>
          <w:rFonts w:asciiTheme="minorHAnsi" w:hAnsiTheme="minorHAnsi"/>
        </w:rPr>
        <w:t xml:space="preserve"> the relation</w:t>
      </w:r>
      <w:r w:rsidR="00B31E23">
        <w:rPr>
          <w:rFonts w:asciiTheme="minorHAnsi" w:hAnsiTheme="minorHAnsi"/>
        </w:rPr>
        <w:t>ship</w:t>
      </w:r>
      <w:r w:rsidR="000627F4">
        <w:rPr>
          <w:rFonts w:asciiTheme="minorHAnsi" w:hAnsiTheme="minorHAnsi"/>
        </w:rPr>
        <w:t xml:space="preserve"> between financial </w:t>
      </w:r>
      <w:r w:rsidR="00A022BD">
        <w:rPr>
          <w:rFonts w:asciiTheme="minorHAnsi" w:hAnsiTheme="minorHAnsi"/>
        </w:rPr>
        <w:t>development</w:t>
      </w:r>
      <w:r w:rsidR="000627F4">
        <w:rPr>
          <w:rFonts w:asciiTheme="minorHAnsi" w:hAnsiTheme="minorHAnsi"/>
        </w:rPr>
        <w:t xml:space="preserve"> and growth. </w:t>
      </w:r>
      <w:r>
        <w:rPr>
          <w:rFonts w:asciiTheme="minorHAnsi" w:hAnsiTheme="minorHAnsi"/>
        </w:rPr>
        <w:t xml:space="preserve"> The focus of these studies is on the level of financial development (scope, breadth, and reach of financial markets and institutions) as opposed to the volume of bank credit.   </w:t>
      </w:r>
      <w:r w:rsidR="000627F4">
        <w:rPr>
          <w:rFonts w:asciiTheme="minorHAnsi" w:hAnsiTheme="minorHAnsi"/>
        </w:rPr>
        <w:t xml:space="preserve"> </w:t>
      </w:r>
      <w:r w:rsidR="00B31E23">
        <w:rPr>
          <w:rFonts w:asciiTheme="minorHAnsi" w:hAnsiTheme="minorHAnsi"/>
        </w:rPr>
        <w:t>Mostly</w:t>
      </w:r>
      <w:r w:rsidR="000627F4">
        <w:rPr>
          <w:rFonts w:asciiTheme="minorHAnsi" w:hAnsiTheme="minorHAnsi"/>
        </w:rPr>
        <w:t xml:space="preserve">, the literature includes </w:t>
      </w:r>
      <w:r w:rsidR="0049360F" w:rsidRPr="0049360F">
        <w:rPr>
          <w:rFonts w:asciiTheme="minorHAnsi" w:hAnsiTheme="minorHAnsi"/>
        </w:rPr>
        <w:t>divergent views on the issue of causality</w:t>
      </w:r>
      <w:r w:rsidR="000627F4">
        <w:rPr>
          <w:rFonts w:asciiTheme="minorHAnsi" w:hAnsiTheme="minorHAnsi"/>
        </w:rPr>
        <w:t xml:space="preserve">, </w:t>
      </w:r>
      <w:r w:rsidR="00B31E23">
        <w:rPr>
          <w:rFonts w:asciiTheme="minorHAnsi" w:hAnsiTheme="minorHAnsi"/>
        </w:rPr>
        <w:t>in which</w:t>
      </w:r>
      <w:r w:rsidR="000627F4">
        <w:rPr>
          <w:rFonts w:asciiTheme="minorHAnsi" w:hAnsiTheme="minorHAnsi"/>
        </w:rPr>
        <w:t xml:space="preserve"> one side of the debate </w:t>
      </w:r>
      <w:r w:rsidR="004E38F3">
        <w:rPr>
          <w:rFonts w:asciiTheme="minorHAnsi" w:hAnsiTheme="minorHAnsi"/>
        </w:rPr>
        <w:t>contends</w:t>
      </w:r>
      <w:r w:rsidR="000627F4">
        <w:rPr>
          <w:rFonts w:asciiTheme="minorHAnsi" w:hAnsiTheme="minorHAnsi"/>
        </w:rPr>
        <w:t xml:space="preserve"> that </w:t>
      </w:r>
      <w:r>
        <w:rPr>
          <w:rFonts w:asciiTheme="minorHAnsi" w:hAnsiTheme="minorHAnsi"/>
        </w:rPr>
        <w:t xml:space="preserve">financial development </w:t>
      </w:r>
      <w:r w:rsidR="0049360F" w:rsidRPr="0049360F">
        <w:rPr>
          <w:rFonts w:asciiTheme="minorHAnsi" w:hAnsiTheme="minorHAnsi"/>
        </w:rPr>
        <w:t xml:space="preserve">can be a causal factor for economic growth. </w:t>
      </w:r>
      <w:r w:rsidR="000627F4">
        <w:rPr>
          <w:rFonts w:asciiTheme="minorHAnsi" w:hAnsiTheme="minorHAnsi"/>
        </w:rPr>
        <w:t xml:space="preserve"> Studies in this camp include</w:t>
      </w:r>
      <w:r w:rsidR="001A6528" w:rsidRPr="001A6528">
        <w:rPr>
          <w:rFonts w:asciiTheme="minorHAnsi" w:hAnsiTheme="minorHAnsi"/>
        </w:rPr>
        <w:t xml:space="preserve"> </w:t>
      </w:r>
      <w:r w:rsidR="001A6528" w:rsidRPr="0049360F">
        <w:rPr>
          <w:rFonts w:asciiTheme="minorHAnsi" w:hAnsiTheme="minorHAnsi"/>
        </w:rPr>
        <w:t xml:space="preserve">King and Levine (1993) </w:t>
      </w:r>
      <w:r w:rsidR="001A6528">
        <w:rPr>
          <w:rFonts w:asciiTheme="minorHAnsi" w:hAnsiTheme="minorHAnsi"/>
        </w:rPr>
        <w:t>who investigated the experience of 77</w:t>
      </w:r>
      <w:r w:rsidR="001A6528" w:rsidRPr="0049360F">
        <w:rPr>
          <w:rFonts w:asciiTheme="minorHAnsi" w:hAnsiTheme="minorHAnsi"/>
        </w:rPr>
        <w:t xml:space="preserve"> </w:t>
      </w:r>
      <w:r w:rsidR="001A6528">
        <w:rPr>
          <w:rFonts w:asciiTheme="minorHAnsi" w:hAnsiTheme="minorHAnsi"/>
        </w:rPr>
        <w:t xml:space="preserve">developed and developing </w:t>
      </w:r>
      <w:r w:rsidR="001A6528" w:rsidRPr="0049360F">
        <w:rPr>
          <w:rFonts w:asciiTheme="minorHAnsi" w:hAnsiTheme="minorHAnsi"/>
        </w:rPr>
        <w:t xml:space="preserve">countries </w:t>
      </w:r>
      <w:r w:rsidR="001A6528">
        <w:rPr>
          <w:rFonts w:asciiTheme="minorHAnsi" w:hAnsiTheme="minorHAnsi"/>
        </w:rPr>
        <w:t>and found hig</w:t>
      </w:r>
      <w:r w:rsidR="001A6528" w:rsidRPr="0049360F">
        <w:rPr>
          <w:rFonts w:asciiTheme="minorHAnsi" w:hAnsiTheme="minorHAnsi"/>
        </w:rPr>
        <w:t>her levels of financial development are significantly and robustly correlated with faster current and future rates of economic growth, physical capital accumulation</w:t>
      </w:r>
      <w:r w:rsidR="00B31E23">
        <w:rPr>
          <w:rFonts w:asciiTheme="minorHAnsi" w:hAnsiTheme="minorHAnsi"/>
        </w:rPr>
        <w:t>,</w:t>
      </w:r>
      <w:r w:rsidR="001A6528" w:rsidRPr="0049360F">
        <w:rPr>
          <w:rFonts w:asciiTheme="minorHAnsi" w:hAnsiTheme="minorHAnsi"/>
        </w:rPr>
        <w:t xml:space="preserve"> and economic efficiency improvements.  </w:t>
      </w:r>
      <w:r w:rsidR="001A6528">
        <w:rPr>
          <w:rFonts w:asciiTheme="minorHAnsi" w:hAnsiTheme="minorHAnsi"/>
        </w:rPr>
        <w:t xml:space="preserve"> Along those lines, </w:t>
      </w:r>
      <w:proofErr w:type="spellStart"/>
      <w:r w:rsidR="001A6528" w:rsidRPr="0049360F">
        <w:rPr>
          <w:rFonts w:asciiTheme="minorHAnsi" w:hAnsiTheme="minorHAnsi"/>
        </w:rPr>
        <w:t>Demirguc-Kunt</w:t>
      </w:r>
      <w:proofErr w:type="spellEnd"/>
      <w:r w:rsidR="001A6528" w:rsidRPr="0049360F">
        <w:rPr>
          <w:rFonts w:asciiTheme="minorHAnsi" w:hAnsiTheme="minorHAnsi"/>
        </w:rPr>
        <w:t xml:space="preserve"> &amp; Levine (2008) found strong evidence that financial development is important for growth. T</w:t>
      </w:r>
      <w:r w:rsidR="001A6528">
        <w:rPr>
          <w:rFonts w:asciiTheme="minorHAnsi" w:hAnsiTheme="minorHAnsi"/>
        </w:rPr>
        <w:t>he authors pr</w:t>
      </w:r>
      <w:r w:rsidR="00B31E23">
        <w:rPr>
          <w:rFonts w:asciiTheme="minorHAnsi" w:hAnsiTheme="minorHAnsi"/>
        </w:rPr>
        <w:t>e</w:t>
      </w:r>
      <w:r w:rsidR="001A6528">
        <w:rPr>
          <w:rFonts w:asciiTheme="minorHAnsi" w:hAnsiTheme="minorHAnsi"/>
        </w:rPr>
        <w:t>scribe that p</w:t>
      </w:r>
      <w:r w:rsidR="001A6528" w:rsidRPr="0049360F">
        <w:rPr>
          <w:rFonts w:asciiTheme="minorHAnsi" w:hAnsiTheme="minorHAnsi"/>
        </w:rPr>
        <w:t xml:space="preserve">olicymakers </w:t>
      </w:r>
      <w:r w:rsidR="001A6528">
        <w:rPr>
          <w:rFonts w:asciiTheme="minorHAnsi" w:hAnsiTheme="minorHAnsi"/>
        </w:rPr>
        <w:t>p</w:t>
      </w:r>
      <w:r w:rsidR="001A6528" w:rsidRPr="0049360F">
        <w:rPr>
          <w:rFonts w:asciiTheme="minorHAnsi" w:hAnsiTheme="minorHAnsi"/>
        </w:rPr>
        <w:t>rioriti</w:t>
      </w:r>
      <w:r w:rsidR="001A6528">
        <w:rPr>
          <w:rFonts w:asciiTheme="minorHAnsi" w:hAnsiTheme="minorHAnsi"/>
        </w:rPr>
        <w:t>z</w:t>
      </w:r>
      <w:r w:rsidR="001A6528" w:rsidRPr="0049360F">
        <w:rPr>
          <w:rFonts w:asciiTheme="minorHAnsi" w:hAnsiTheme="minorHAnsi"/>
        </w:rPr>
        <w:t xml:space="preserve">e financial sector policies and devote attention to financial development </w:t>
      </w:r>
      <w:r w:rsidR="001A6528">
        <w:rPr>
          <w:rFonts w:asciiTheme="minorHAnsi" w:hAnsiTheme="minorHAnsi"/>
        </w:rPr>
        <w:t xml:space="preserve">in order to </w:t>
      </w:r>
      <w:r w:rsidR="001A6528" w:rsidRPr="0049360F">
        <w:rPr>
          <w:rFonts w:asciiTheme="minorHAnsi" w:hAnsiTheme="minorHAnsi"/>
        </w:rPr>
        <w:t>promot</w:t>
      </w:r>
      <w:r w:rsidR="001A6528">
        <w:rPr>
          <w:rFonts w:asciiTheme="minorHAnsi" w:hAnsiTheme="minorHAnsi"/>
        </w:rPr>
        <w:t>e</w:t>
      </w:r>
      <w:r w:rsidR="001A6528" w:rsidRPr="0049360F">
        <w:rPr>
          <w:rFonts w:asciiTheme="minorHAnsi" w:hAnsiTheme="minorHAnsi"/>
        </w:rPr>
        <w:t xml:space="preserve"> growth.</w:t>
      </w:r>
      <w:r w:rsidR="001A6528">
        <w:rPr>
          <w:rFonts w:asciiTheme="minorHAnsi" w:hAnsiTheme="minorHAnsi"/>
        </w:rPr>
        <w:t xml:space="preserve">  These findings are also confirmed in </w:t>
      </w:r>
      <w:proofErr w:type="spellStart"/>
      <w:r w:rsidR="0049360F" w:rsidRPr="0049360F">
        <w:rPr>
          <w:rFonts w:asciiTheme="minorHAnsi" w:hAnsiTheme="minorHAnsi"/>
        </w:rPr>
        <w:t>Bayoumi</w:t>
      </w:r>
      <w:proofErr w:type="spellEnd"/>
      <w:r w:rsidR="0049360F" w:rsidRPr="0049360F">
        <w:rPr>
          <w:rFonts w:asciiTheme="minorHAnsi" w:hAnsiTheme="minorHAnsi"/>
        </w:rPr>
        <w:t xml:space="preserve"> &amp; </w:t>
      </w:r>
      <w:proofErr w:type="spellStart"/>
      <w:r w:rsidR="0049360F" w:rsidRPr="0049360F">
        <w:rPr>
          <w:rFonts w:asciiTheme="minorHAnsi" w:hAnsiTheme="minorHAnsi"/>
        </w:rPr>
        <w:t>Melander</w:t>
      </w:r>
      <w:proofErr w:type="spellEnd"/>
      <w:r w:rsidR="0049360F" w:rsidRPr="0049360F">
        <w:rPr>
          <w:rFonts w:asciiTheme="minorHAnsi" w:hAnsiTheme="minorHAnsi"/>
        </w:rPr>
        <w:t xml:space="preserve"> (2008), </w:t>
      </w:r>
      <w:r w:rsidR="001A6528">
        <w:rPr>
          <w:rFonts w:asciiTheme="minorHAnsi" w:hAnsiTheme="minorHAnsi"/>
        </w:rPr>
        <w:t xml:space="preserve">who </w:t>
      </w:r>
      <w:r w:rsidR="000627F4">
        <w:rPr>
          <w:rFonts w:asciiTheme="minorHAnsi" w:hAnsiTheme="minorHAnsi"/>
        </w:rPr>
        <w:t xml:space="preserve">find that </w:t>
      </w:r>
      <w:r w:rsidR="0049360F" w:rsidRPr="0049360F">
        <w:rPr>
          <w:rFonts w:asciiTheme="minorHAnsi" w:hAnsiTheme="minorHAnsi"/>
        </w:rPr>
        <w:t>a 2½% reduction in overall credit causes a reduction in the level of GDP by around 1½%</w:t>
      </w:r>
      <w:r w:rsidR="004E38F3">
        <w:rPr>
          <w:rFonts w:asciiTheme="minorHAnsi" w:hAnsiTheme="minorHAnsi"/>
        </w:rPr>
        <w:t xml:space="preserve"> in advanced economies</w:t>
      </w:r>
      <w:r w:rsidR="0049360F" w:rsidRPr="0049360F">
        <w:rPr>
          <w:rFonts w:asciiTheme="minorHAnsi" w:hAnsiTheme="minorHAnsi"/>
        </w:rPr>
        <w:t xml:space="preserve">. </w:t>
      </w:r>
      <w:r w:rsidR="00493475">
        <w:rPr>
          <w:rFonts w:asciiTheme="minorHAnsi" w:hAnsiTheme="minorHAnsi"/>
        </w:rPr>
        <w:t>Other supporting studies include</w:t>
      </w:r>
      <w:r w:rsidR="00A13BD7">
        <w:rPr>
          <w:rFonts w:asciiTheme="minorHAnsi" w:hAnsiTheme="minorHAnsi"/>
        </w:rPr>
        <w:t xml:space="preserve"> </w:t>
      </w:r>
      <w:proofErr w:type="spellStart"/>
      <w:r w:rsidR="00A13BD7" w:rsidRPr="00493475">
        <w:rPr>
          <w:rFonts w:asciiTheme="minorHAnsi" w:hAnsiTheme="minorHAnsi"/>
        </w:rPr>
        <w:t>Christopoulos</w:t>
      </w:r>
      <w:proofErr w:type="spellEnd"/>
      <w:r w:rsidR="00A13BD7" w:rsidRPr="00493475">
        <w:rPr>
          <w:rFonts w:asciiTheme="minorHAnsi" w:hAnsiTheme="minorHAnsi"/>
        </w:rPr>
        <w:t xml:space="preserve"> &amp; </w:t>
      </w:r>
      <w:proofErr w:type="spellStart"/>
      <w:r w:rsidR="00A13BD7" w:rsidRPr="00493475">
        <w:rPr>
          <w:rFonts w:asciiTheme="minorHAnsi" w:hAnsiTheme="minorHAnsi"/>
        </w:rPr>
        <w:t>Tsionas</w:t>
      </w:r>
      <w:proofErr w:type="spellEnd"/>
      <w:r w:rsidR="00A13BD7" w:rsidRPr="00493475">
        <w:rPr>
          <w:rFonts w:asciiTheme="minorHAnsi" w:hAnsiTheme="minorHAnsi"/>
        </w:rPr>
        <w:t xml:space="preserve"> (2004)</w:t>
      </w:r>
      <w:r w:rsidR="00A13BD7">
        <w:rPr>
          <w:rFonts w:asciiTheme="minorHAnsi" w:hAnsiTheme="minorHAnsi"/>
        </w:rPr>
        <w:t xml:space="preserve">, and </w:t>
      </w:r>
      <w:proofErr w:type="spellStart"/>
      <w:r w:rsidR="00493475" w:rsidRPr="00493475">
        <w:rPr>
          <w:rFonts w:asciiTheme="minorHAnsi" w:hAnsiTheme="minorHAnsi"/>
        </w:rPr>
        <w:t>Habibullah</w:t>
      </w:r>
      <w:proofErr w:type="spellEnd"/>
      <w:r w:rsidR="00493475" w:rsidRPr="00493475">
        <w:rPr>
          <w:rFonts w:asciiTheme="minorHAnsi" w:hAnsiTheme="minorHAnsi"/>
        </w:rPr>
        <w:t xml:space="preserve"> and </w:t>
      </w:r>
      <w:proofErr w:type="spellStart"/>
      <w:r w:rsidR="00493475" w:rsidRPr="00493475">
        <w:rPr>
          <w:rFonts w:asciiTheme="minorHAnsi" w:hAnsiTheme="minorHAnsi"/>
        </w:rPr>
        <w:t>Eng</w:t>
      </w:r>
      <w:proofErr w:type="spellEnd"/>
      <w:r w:rsidR="00493475" w:rsidRPr="00493475">
        <w:rPr>
          <w:rFonts w:asciiTheme="minorHAnsi" w:hAnsiTheme="minorHAnsi"/>
        </w:rPr>
        <w:t xml:space="preserve"> (2006) </w:t>
      </w:r>
      <w:r w:rsidR="00493475">
        <w:rPr>
          <w:rFonts w:asciiTheme="minorHAnsi" w:hAnsiTheme="minorHAnsi"/>
        </w:rPr>
        <w:t xml:space="preserve">who studied </w:t>
      </w:r>
      <w:r w:rsidR="00493475" w:rsidRPr="00493475">
        <w:rPr>
          <w:rFonts w:asciiTheme="minorHAnsi" w:hAnsiTheme="minorHAnsi"/>
        </w:rPr>
        <w:t>13 Asian developing countries</w:t>
      </w:r>
      <w:r w:rsidR="00A13BD7">
        <w:rPr>
          <w:rFonts w:asciiTheme="minorHAnsi" w:hAnsiTheme="minorHAnsi"/>
        </w:rPr>
        <w:t xml:space="preserve"> and confirmed </w:t>
      </w:r>
      <w:r w:rsidR="00493475" w:rsidRPr="00493475">
        <w:rPr>
          <w:rFonts w:asciiTheme="minorHAnsi" w:hAnsiTheme="minorHAnsi"/>
        </w:rPr>
        <w:t>that financial development</w:t>
      </w:r>
      <w:r w:rsidR="004E38F3">
        <w:rPr>
          <w:rFonts w:asciiTheme="minorHAnsi" w:hAnsiTheme="minorHAnsi"/>
        </w:rPr>
        <w:t>, in general,</w:t>
      </w:r>
      <w:r w:rsidR="00493475" w:rsidRPr="00493475">
        <w:rPr>
          <w:rFonts w:asciiTheme="minorHAnsi" w:hAnsiTheme="minorHAnsi"/>
        </w:rPr>
        <w:t xml:space="preserve"> promotes growth</w:t>
      </w:r>
      <w:r w:rsidR="00A13BD7">
        <w:rPr>
          <w:rFonts w:asciiTheme="minorHAnsi" w:hAnsiTheme="minorHAnsi"/>
        </w:rPr>
        <w:t>.</w:t>
      </w:r>
    </w:p>
    <w:p w14:paraId="2AA30E60" w14:textId="77777777" w:rsidR="00493475" w:rsidRDefault="00493475" w:rsidP="00516A21">
      <w:pPr>
        <w:rPr>
          <w:rFonts w:asciiTheme="minorHAnsi" w:hAnsiTheme="minorHAnsi"/>
        </w:rPr>
      </w:pPr>
    </w:p>
    <w:p w14:paraId="47BE842F" w14:textId="0EA4D6F7" w:rsidR="0049360F" w:rsidRDefault="000627F4" w:rsidP="00516A21">
      <w:pPr>
        <w:rPr>
          <w:rFonts w:asciiTheme="minorHAnsi" w:hAnsiTheme="minorHAnsi"/>
        </w:rPr>
      </w:pPr>
      <w:r>
        <w:rPr>
          <w:rFonts w:asciiTheme="minorHAnsi" w:hAnsiTheme="minorHAnsi"/>
        </w:rPr>
        <w:t xml:space="preserve">On the other side of the debate, other studies have </w:t>
      </w:r>
      <w:r w:rsidR="0049360F" w:rsidRPr="0049360F">
        <w:rPr>
          <w:rFonts w:asciiTheme="minorHAnsi" w:hAnsiTheme="minorHAnsi"/>
        </w:rPr>
        <w:t xml:space="preserve">revealed that economic growth can also be a causal factor for </w:t>
      </w:r>
      <w:r>
        <w:rPr>
          <w:rFonts w:asciiTheme="minorHAnsi" w:hAnsiTheme="minorHAnsi"/>
        </w:rPr>
        <w:t xml:space="preserve">the </w:t>
      </w:r>
      <w:r w:rsidR="0049360F" w:rsidRPr="0049360F">
        <w:rPr>
          <w:rFonts w:asciiTheme="minorHAnsi" w:hAnsiTheme="minorHAnsi"/>
        </w:rPr>
        <w:t>development</w:t>
      </w:r>
      <w:r>
        <w:rPr>
          <w:rFonts w:asciiTheme="minorHAnsi" w:hAnsiTheme="minorHAnsi"/>
        </w:rPr>
        <w:t xml:space="preserve"> of the </w:t>
      </w:r>
      <w:r w:rsidR="0049360F" w:rsidRPr="0049360F">
        <w:rPr>
          <w:rFonts w:asciiTheme="minorHAnsi" w:hAnsiTheme="minorHAnsi"/>
        </w:rPr>
        <w:t xml:space="preserve">financial </w:t>
      </w:r>
      <w:r>
        <w:rPr>
          <w:rFonts w:asciiTheme="minorHAnsi" w:hAnsiTheme="minorHAnsi"/>
        </w:rPr>
        <w:t>sector</w:t>
      </w:r>
      <w:r w:rsidR="0049360F" w:rsidRPr="0049360F">
        <w:rPr>
          <w:rFonts w:asciiTheme="minorHAnsi" w:hAnsiTheme="minorHAnsi"/>
        </w:rPr>
        <w:t xml:space="preserve">. </w:t>
      </w:r>
      <w:r w:rsidR="00B31E23">
        <w:rPr>
          <w:rFonts w:asciiTheme="minorHAnsi" w:hAnsiTheme="minorHAnsi"/>
        </w:rPr>
        <w:t>C</w:t>
      </w:r>
      <w:r>
        <w:rPr>
          <w:rFonts w:asciiTheme="minorHAnsi" w:hAnsiTheme="minorHAnsi"/>
        </w:rPr>
        <w:t xml:space="preserve">ases of </w:t>
      </w:r>
      <w:r w:rsidR="0049360F" w:rsidRPr="0049360F">
        <w:rPr>
          <w:rFonts w:asciiTheme="minorHAnsi" w:hAnsiTheme="minorHAnsi"/>
        </w:rPr>
        <w:t>bi-directional causality</w:t>
      </w:r>
      <w:r w:rsidR="002E7941">
        <w:rPr>
          <w:rFonts w:asciiTheme="minorHAnsi" w:hAnsiTheme="minorHAnsi"/>
        </w:rPr>
        <w:t xml:space="preserve"> also exist</w:t>
      </w:r>
      <w:r>
        <w:rPr>
          <w:rFonts w:asciiTheme="minorHAnsi" w:hAnsiTheme="minorHAnsi"/>
        </w:rPr>
        <w:t xml:space="preserve">, for example </w:t>
      </w:r>
      <w:proofErr w:type="spellStart"/>
      <w:r w:rsidR="0049360F" w:rsidRPr="0049360F">
        <w:rPr>
          <w:rFonts w:asciiTheme="minorHAnsi" w:hAnsiTheme="minorHAnsi"/>
        </w:rPr>
        <w:t>Demetriades</w:t>
      </w:r>
      <w:proofErr w:type="spellEnd"/>
      <w:r w:rsidR="0049360F" w:rsidRPr="0049360F">
        <w:rPr>
          <w:rFonts w:asciiTheme="minorHAnsi" w:hAnsiTheme="minorHAnsi"/>
        </w:rPr>
        <w:t xml:space="preserve"> &amp; Hussein (1996) who studied 13 countries</w:t>
      </w:r>
      <w:r w:rsidR="00493475">
        <w:rPr>
          <w:rFonts w:asciiTheme="minorHAnsi" w:hAnsiTheme="minorHAnsi"/>
        </w:rPr>
        <w:t xml:space="preserve">, identified </w:t>
      </w:r>
      <w:r>
        <w:rPr>
          <w:rFonts w:asciiTheme="minorHAnsi" w:hAnsiTheme="minorHAnsi"/>
        </w:rPr>
        <w:t xml:space="preserve">single and bi-directional causalities and </w:t>
      </w:r>
      <w:r w:rsidR="0049360F" w:rsidRPr="0049360F">
        <w:rPr>
          <w:rFonts w:asciiTheme="minorHAnsi" w:hAnsiTheme="minorHAnsi"/>
        </w:rPr>
        <w:t xml:space="preserve">concluded that the </w:t>
      </w:r>
      <w:r w:rsidR="00493475">
        <w:rPr>
          <w:rFonts w:asciiTheme="minorHAnsi" w:hAnsiTheme="minorHAnsi"/>
        </w:rPr>
        <w:t xml:space="preserve">situation varies with </w:t>
      </w:r>
      <w:r w:rsidR="001A6528">
        <w:rPr>
          <w:rFonts w:asciiTheme="minorHAnsi" w:hAnsiTheme="minorHAnsi"/>
        </w:rPr>
        <w:t xml:space="preserve">each </w:t>
      </w:r>
      <w:r w:rsidR="00493475">
        <w:rPr>
          <w:rFonts w:asciiTheme="minorHAnsi" w:hAnsiTheme="minorHAnsi"/>
        </w:rPr>
        <w:t>country</w:t>
      </w:r>
      <w:r w:rsidR="0049360F" w:rsidRPr="0049360F">
        <w:rPr>
          <w:rFonts w:asciiTheme="minorHAnsi" w:hAnsiTheme="minorHAnsi"/>
        </w:rPr>
        <w:t xml:space="preserve">. </w:t>
      </w:r>
      <w:r w:rsidR="00493475">
        <w:rPr>
          <w:rFonts w:asciiTheme="minorHAnsi" w:hAnsiTheme="minorHAnsi"/>
        </w:rPr>
        <w:t xml:space="preserve">A similar conclusion was drawn by </w:t>
      </w:r>
      <w:proofErr w:type="spellStart"/>
      <w:r w:rsidR="0049360F" w:rsidRPr="0049360F">
        <w:rPr>
          <w:rFonts w:asciiTheme="minorHAnsi" w:hAnsiTheme="minorHAnsi"/>
        </w:rPr>
        <w:t>Ghirmay</w:t>
      </w:r>
      <w:proofErr w:type="spellEnd"/>
      <w:r w:rsidR="00493475">
        <w:rPr>
          <w:rFonts w:asciiTheme="minorHAnsi" w:hAnsiTheme="minorHAnsi"/>
        </w:rPr>
        <w:t xml:space="preserve"> (</w:t>
      </w:r>
      <w:r w:rsidR="0049360F" w:rsidRPr="0049360F">
        <w:rPr>
          <w:rFonts w:asciiTheme="minorHAnsi" w:hAnsiTheme="minorHAnsi"/>
        </w:rPr>
        <w:t>2004).</w:t>
      </w:r>
    </w:p>
    <w:p w14:paraId="1B953518" w14:textId="77777777" w:rsidR="00493475" w:rsidRDefault="00493475" w:rsidP="00516A21">
      <w:pPr>
        <w:rPr>
          <w:rFonts w:asciiTheme="minorHAnsi" w:hAnsiTheme="minorHAnsi"/>
        </w:rPr>
      </w:pPr>
    </w:p>
    <w:p w14:paraId="383ACB99" w14:textId="64D78769" w:rsidR="001A4293" w:rsidRDefault="00A13BD7" w:rsidP="00410DC7">
      <w:pPr>
        <w:jc w:val="both"/>
        <w:rPr>
          <w:rFonts w:asciiTheme="minorHAnsi" w:hAnsiTheme="minorHAnsi"/>
        </w:rPr>
      </w:pPr>
      <w:r>
        <w:rPr>
          <w:rFonts w:asciiTheme="minorHAnsi" w:hAnsiTheme="minorHAnsi"/>
        </w:rPr>
        <w:t>The literature also includes studies that</w:t>
      </w:r>
      <w:r w:rsidR="001A6528">
        <w:rPr>
          <w:rFonts w:asciiTheme="minorHAnsi" w:hAnsiTheme="minorHAnsi"/>
        </w:rPr>
        <w:t xml:space="preserve"> cast</w:t>
      </w:r>
      <w:r>
        <w:rPr>
          <w:rFonts w:asciiTheme="minorHAnsi" w:hAnsiTheme="minorHAnsi"/>
        </w:rPr>
        <w:t xml:space="preserve"> doubt </w:t>
      </w:r>
      <w:r w:rsidR="004E38F3">
        <w:rPr>
          <w:rFonts w:asciiTheme="minorHAnsi" w:hAnsiTheme="minorHAnsi"/>
        </w:rPr>
        <w:t xml:space="preserve">altogether </w:t>
      </w:r>
      <w:r w:rsidR="001A6528">
        <w:rPr>
          <w:rFonts w:asciiTheme="minorHAnsi" w:hAnsiTheme="minorHAnsi"/>
        </w:rPr>
        <w:t>on the</w:t>
      </w:r>
      <w:r>
        <w:rPr>
          <w:rFonts w:asciiTheme="minorHAnsi" w:hAnsiTheme="minorHAnsi"/>
        </w:rPr>
        <w:t xml:space="preserve"> </w:t>
      </w:r>
      <w:r w:rsidR="004E38F3">
        <w:rPr>
          <w:rFonts w:asciiTheme="minorHAnsi" w:hAnsiTheme="minorHAnsi"/>
        </w:rPr>
        <w:t xml:space="preserve">relationship between </w:t>
      </w:r>
      <w:r>
        <w:rPr>
          <w:rFonts w:asciiTheme="minorHAnsi" w:hAnsiTheme="minorHAnsi"/>
        </w:rPr>
        <w:t xml:space="preserve">financial intermediation </w:t>
      </w:r>
      <w:r w:rsidR="004E38F3">
        <w:rPr>
          <w:rFonts w:asciiTheme="minorHAnsi" w:hAnsiTheme="minorHAnsi"/>
        </w:rPr>
        <w:t xml:space="preserve">and </w:t>
      </w:r>
      <w:r>
        <w:rPr>
          <w:rFonts w:asciiTheme="minorHAnsi" w:hAnsiTheme="minorHAnsi"/>
        </w:rPr>
        <w:t xml:space="preserve">economic growth. </w:t>
      </w:r>
      <w:r w:rsidR="004E38F3">
        <w:rPr>
          <w:rFonts w:asciiTheme="minorHAnsi" w:hAnsiTheme="minorHAnsi"/>
        </w:rPr>
        <w:t xml:space="preserve">The initial doubt about this </w:t>
      </w:r>
      <w:r w:rsidR="004E38F3">
        <w:rPr>
          <w:rFonts w:asciiTheme="minorHAnsi" w:hAnsiTheme="minorHAnsi"/>
        </w:rPr>
        <w:lastRenderedPageBreak/>
        <w:t xml:space="preserve">relationship is traced to </w:t>
      </w:r>
      <w:r w:rsidRPr="0049360F">
        <w:rPr>
          <w:rFonts w:asciiTheme="minorHAnsi" w:hAnsiTheme="minorHAnsi"/>
        </w:rPr>
        <w:t xml:space="preserve">Lucas (1988) </w:t>
      </w:r>
      <w:r>
        <w:rPr>
          <w:rFonts w:asciiTheme="minorHAnsi" w:hAnsiTheme="minorHAnsi"/>
        </w:rPr>
        <w:t>who argue</w:t>
      </w:r>
      <w:r w:rsidR="002E7941">
        <w:rPr>
          <w:rFonts w:asciiTheme="minorHAnsi" w:hAnsiTheme="minorHAnsi"/>
        </w:rPr>
        <w:t>s</w:t>
      </w:r>
      <w:r>
        <w:rPr>
          <w:rFonts w:asciiTheme="minorHAnsi" w:hAnsiTheme="minorHAnsi"/>
        </w:rPr>
        <w:t xml:space="preserve"> </w:t>
      </w:r>
      <w:r w:rsidRPr="0049360F">
        <w:rPr>
          <w:rFonts w:asciiTheme="minorHAnsi" w:hAnsiTheme="minorHAnsi"/>
        </w:rPr>
        <w:t xml:space="preserve">that </w:t>
      </w:r>
      <w:r>
        <w:rPr>
          <w:rFonts w:asciiTheme="minorHAnsi" w:hAnsiTheme="minorHAnsi"/>
        </w:rPr>
        <w:t>policymakers</w:t>
      </w:r>
      <w:r w:rsidRPr="0049360F">
        <w:rPr>
          <w:rFonts w:asciiTheme="minorHAnsi" w:hAnsiTheme="minorHAnsi"/>
        </w:rPr>
        <w:t xml:space="preserve"> have </w:t>
      </w:r>
      <w:r>
        <w:rPr>
          <w:rFonts w:asciiTheme="minorHAnsi" w:hAnsiTheme="minorHAnsi"/>
        </w:rPr>
        <w:t xml:space="preserve">exaggerated </w:t>
      </w:r>
      <w:r w:rsidRPr="0049360F">
        <w:rPr>
          <w:rFonts w:asciiTheme="minorHAnsi" w:hAnsiTheme="minorHAnsi"/>
        </w:rPr>
        <w:t xml:space="preserve">the role of financial factors in economic growth. </w:t>
      </w:r>
      <w:r>
        <w:rPr>
          <w:rFonts w:asciiTheme="minorHAnsi" w:hAnsiTheme="minorHAnsi"/>
        </w:rPr>
        <w:t xml:space="preserve">More recently, </w:t>
      </w:r>
      <w:proofErr w:type="spellStart"/>
      <w:r w:rsidRPr="0049360F">
        <w:rPr>
          <w:rFonts w:asciiTheme="minorHAnsi" w:hAnsiTheme="minorHAnsi"/>
        </w:rPr>
        <w:t>Favara</w:t>
      </w:r>
      <w:proofErr w:type="spellEnd"/>
      <w:r w:rsidRPr="0049360F">
        <w:rPr>
          <w:rFonts w:asciiTheme="minorHAnsi" w:hAnsiTheme="minorHAnsi"/>
        </w:rPr>
        <w:t xml:space="preserve"> (2003) </w:t>
      </w:r>
      <w:r>
        <w:rPr>
          <w:rFonts w:asciiTheme="minorHAnsi" w:hAnsiTheme="minorHAnsi"/>
        </w:rPr>
        <w:t>found</w:t>
      </w:r>
      <w:r w:rsidRPr="0049360F">
        <w:rPr>
          <w:rFonts w:asciiTheme="minorHAnsi" w:hAnsiTheme="minorHAnsi"/>
        </w:rPr>
        <w:t xml:space="preserve"> that </w:t>
      </w:r>
      <w:r>
        <w:rPr>
          <w:rFonts w:asciiTheme="minorHAnsi" w:hAnsiTheme="minorHAnsi"/>
        </w:rPr>
        <w:t xml:space="preserve">the </w:t>
      </w:r>
      <w:r w:rsidRPr="0049360F">
        <w:rPr>
          <w:rFonts w:asciiTheme="minorHAnsi" w:hAnsiTheme="minorHAnsi"/>
        </w:rPr>
        <w:t>relationship between financial development and economic growth is at best weak</w:t>
      </w:r>
      <w:r>
        <w:rPr>
          <w:rFonts w:asciiTheme="minorHAnsi" w:hAnsiTheme="minorHAnsi"/>
        </w:rPr>
        <w:t xml:space="preserve">, and in some cases </w:t>
      </w:r>
      <w:r w:rsidRPr="0049360F">
        <w:rPr>
          <w:rFonts w:asciiTheme="minorHAnsi" w:hAnsiTheme="minorHAnsi"/>
        </w:rPr>
        <w:t>the rela</w:t>
      </w:r>
      <w:r w:rsidR="00C437EE">
        <w:rPr>
          <w:rFonts w:asciiTheme="minorHAnsi" w:hAnsiTheme="minorHAnsi"/>
        </w:rPr>
        <w:t xml:space="preserve">tionship is puzzlingly negative. </w:t>
      </w:r>
      <w:r w:rsidRPr="0049360F">
        <w:rPr>
          <w:rFonts w:asciiTheme="minorHAnsi" w:hAnsiTheme="minorHAnsi"/>
        </w:rPr>
        <w:t xml:space="preserve">Therefore, </w:t>
      </w:r>
      <w:r>
        <w:rPr>
          <w:rFonts w:asciiTheme="minorHAnsi" w:hAnsiTheme="minorHAnsi"/>
        </w:rPr>
        <w:t>the author concludes that</w:t>
      </w:r>
      <w:r w:rsidRPr="0049360F">
        <w:rPr>
          <w:rFonts w:asciiTheme="minorHAnsi" w:hAnsiTheme="minorHAnsi"/>
        </w:rPr>
        <w:t xml:space="preserve"> </w:t>
      </w:r>
      <w:r>
        <w:rPr>
          <w:rFonts w:asciiTheme="minorHAnsi" w:hAnsiTheme="minorHAnsi"/>
        </w:rPr>
        <w:t xml:space="preserve">the impact of </w:t>
      </w:r>
      <w:r w:rsidRPr="0049360F">
        <w:rPr>
          <w:rFonts w:asciiTheme="minorHAnsi" w:hAnsiTheme="minorHAnsi"/>
        </w:rPr>
        <w:t>financial development on economic growth is ambiguous</w:t>
      </w:r>
      <w:r w:rsidR="00055167">
        <w:rPr>
          <w:rFonts w:asciiTheme="minorHAnsi" w:hAnsiTheme="minorHAnsi"/>
        </w:rPr>
        <w:t>, and in some cases</w:t>
      </w:r>
      <w:r w:rsidRPr="0049360F">
        <w:rPr>
          <w:rFonts w:asciiTheme="minorHAnsi" w:hAnsiTheme="minorHAnsi"/>
        </w:rPr>
        <w:t xml:space="preserve">, the effect is </w:t>
      </w:r>
      <w:r w:rsidR="00EB2584">
        <w:rPr>
          <w:rFonts w:asciiTheme="minorHAnsi" w:hAnsiTheme="minorHAnsi"/>
        </w:rPr>
        <w:t xml:space="preserve">actually </w:t>
      </w:r>
      <w:r w:rsidRPr="0049360F">
        <w:rPr>
          <w:rFonts w:asciiTheme="minorHAnsi" w:hAnsiTheme="minorHAnsi"/>
        </w:rPr>
        <w:t xml:space="preserve">negative. </w:t>
      </w:r>
      <w:r w:rsidR="00EB2584">
        <w:rPr>
          <w:rFonts w:asciiTheme="minorHAnsi" w:hAnsiTheme="minorHAnsi"/>
        </w:rPr>
        <w:t xml:space="preserve"> </w:t>
      </w:r>
      <w:r w:rsidR="001A6528">
        <w:rPr>
          <w:rFonts w:asciiTheme="minorHAnsi" w:hAnsiTheme="minorHAnsi"/>
        </w:rPr>
        <w:t xml:space="preserve">A similar perverse result was also identified in </w:t>
      </w:r>
      <w:r w:rsidR="00CD06F7">
        <w:rPr>
          <w:rFonts w:asciiTheme="minorHAnsi" w:hAnsiTheme="minorHAnsi"/>
        </w:rPr>
        <w:t xml:space="preserve">the case of </w:t>
      </w:r>
      <w:r w:rsidR="001A6528">
        <w:rPr>
          <w:rFonts w:asciiTheme="minorHAnsi" w:hAnsiTheme="minorHAnsi"/>
        </w:rPr>
        <w:t xml:space="preserve">Chinese banks by </w:t>
      </w:r>
      <w:proofErr w:type="spellStart"/>
      <w:r w:rsidR="001A6528" w:rsidRPr="00CC7D01">
        <w:rPr>
          <w:rFonts w:asciiTheme="minorHAnsi" w:hAnsiTheme="minorHAnsi"/>
        </w:rPr>
        <w:t>Boyreau-Debray</w:t>
      </w:r>
      <w:proofErr w:type="spellEnd"/>
      <w:r w:rsidR="001A6528" w:rsidRPr="00CC7D01">
        <w:rPr>
          <w:rFonts w:asciiTheme="minorHAnsi" w:hAnsiTheme="minorHAnsi"/>
        </w:rPr>
        <w:t xml:space="preserve"> (2003)</w:t>
      </w:r>
      <w:r w:rsidR="00577682">
        <w:rPr>
          <w:rFonts w:asciiTheme="minorHAnsi" w:hAnsiTheme="minorHAnsi"/>
        </w:rPr>
        <w:t xml:space="preserve"> and </w:t>
      </w:r>
      <w:proofErr w:type="spellStart"/>
      <w:r w:rsidR="00577682" w:rsidRPr="00577682">
        <w:rPr>
          <w:rFonts w:asciiTheme="minorHAnsi" w:hAnsiTheme="minorHAnsi"/>
        </w:rPr>
        <w:t>Boyreau-Debray</w:t>
      </w:r>
      <w:proofErr w:type="spellEnd"/>
      <w:r w:rsidR="00577682">
        <w:rPr>
          <w:rFonts w:asciiTheme="minorHAnsi" w:hAnsiTheme="minorHAnsi"/>
        </w:rPr>
        <w:t xml:space="preserve"> and </w:t>
      </w:r>
      <w:r w:rsidR="00577682" w:rsidRPr="00577682">
        <w:rPr>
          <w:rFonts w:asciiTheme="minorHAnsi" w:hAnsiTheme="minorHAnsi"/>
        </w:rPr>
        <w:t>Shang-Jin</w:t>
      </w:r>
      <w:r w:rsidR="00577682">
        <w:rPr>
          <w:rFonts w:asciiTheme="minorHAnsi" w:hAnsiTheme="minorHAnsi"/>
        </w:rPr>
        <w:t xml:space="preserve"> (2005).</w:t>
      </w:r>
    </w:p>
    <w:p w14:paraId="4A32E8F5" w14:textId="77777777" w:rsidR="001A4293" w:rsidRDefault="001A4293" w:rsidP="00410DC7">
      <w:pPr>
        <w:jc w:val="both"/>
        <w:rPr>
          <w:rFonts w:asciiTheme="minorHAnsi" w:hAnsiTheme="minorHAnsi"/>
        </w:rPr>
      </w:pPr>
    </w:p>
    <w:p w14:paraId="301AE1B4" w14:textId="3B72C480" w:rsidR="00A13BD7" w:rsidRDefault="001A4293" w:rsidP="00410DC7">
      <w:pPr>
        <w:jc w:val="both"/>
        <w:rPr>
          <w:rFonts w:asciiTheme="minorHAnsi" w:hAnsiTheme="minorHAnsi"/>
        </w:rPr>
      </w:pPr>
      <w:r>
        <w:rPr>
          <w:rFonts w:asciiTheme="minorHAnsi" w:hAnsiTheme="minorHAnsi"/>
        </w:rPr>
        <w:t xml:space="preserve">In the context of MENA countries, several studies have investigated the relation between economic growth and credit.  For example, </w:t>
      </w:r>
      <w:proofErr w:type="spellStart"/>
      <w:r w:rsidRPr="001A4293">
        <w:rPr>
          <w:rFonts w:asciiTheme="minorHAnsi" w:hAnsiTheme="minorHAnsi"/>
        </w:rPr>
        <w:t>Makdisi</w:t>
      </w:r>
      <w:proofErr w:type="spellEnd"/>
      <w:r w:rsidRPr="001A4293">
        <w:rPr>
          <w:rFonts w:asciiTheme="minorHAnsi" w:hAnsiTheme="minorHAnsi"/>
        </w:rPr>
        <w:t xml:space="preserve">, Fattah, </w:t>
      </w:r>
      <w:r>
        <w:rPr>
          <w:rFonts w:asciiTheme="minorHAnsi" w:hAnsiTheme="minorHAnsi"/>
        </w:rPr>
        <w:t>a</w:t>
      </w:r>
      <w:r w:rsidRPr="001A4293">
        <w:rPr>
          <w:rFonts w:asciiTheme="minorHAnsi" w:hAnsiTheme="minorHAnsi"/>
        </w:rPr>
        <w:t xml:space="preserve">nd </w:t>
      </w:r>
      <w:proofErr w:type="spellStart"/>
      <w:r w:rsidRPr="001A4293">
        <w:rPr>
          <w:rFonts w:asciiTheme="minorHAnsi" w:hAnsiTheme="minorHAnsi"/>
        </w:rPr>
        <w:t>Limam</w:t>
      </w:r>
      <w:proofErr w:type="spellEnd"/>
      <w:r>
        <w:rPr>
          <w:rFonts w:asciiTheme="minorHAnsi" w:hAnsiTheme="minorHAnsi"/>
        </w:rPr>
        <w:t xml:space="preserve"> (2007) found that over the period </w:t>
      </w:r>
      <w:r w:rsidR="002E7941">
        <w:rPr>
          <w:rFonts w:asciiTheme="minorHAnsi" w:hAnsiTheme="minorHAnsi"/>
        </w:rPr>
        <w:t xml:space="preserve">of </w:t>
      </w:r>
      <w:r>
        <w:rPr>
          <w:rFonts w:asciiTheme="minorHAnsi" w:hAnsiTheme="minorHAnsi"/>
        </w:rPr>
        <w:t>1960</w:t>
      </w:r>
      <w:r w:rsidR="002E7941">
        <w:rPr>
          <w:rFonts w:asciiTheme="minorHAnsi" w:hAnsiTheme="minorHAnsi"/>
        </w:rPr>
        <w:t xml:space="preserve"> – </w:t>
      </w:r>
      <w:r>
        <w:rPr>
          <w:rFonts w:asciiTheme="minorHAnsi" w:hAnsiTheme="minorHAnsi"/>
        </w:rPr>
        <w:t>1998</w:t>
      </w:r>
      <w:r w:rsidR="00D96ED9">
        <w:rPr>
          <w:rFonts w:asciiTheme="minorHAnsi" w:hAnsiTheme="minorHAnsi"/>
        </w:rPr>
        <w:t xml:space="preserve">, </w:t>
      </w:r>
      <w:r>
        <w:rPr>
          <w:rFonts w:asciiTheme="minorHAnsi" w:hAnsiTheme="minorHAnsi"/>
        </w:rPr>
        <w:t>the t</w:t>
      </w:r>
      <w:r w:rsidRPr="001A4293">
        <w:rPr>
          <w:rFonts w:asciiTheme="minorHAnsi" w:hAnsiTheme="minorHAnsi"/>
        </w:rPr>
        <w:t xml:space="preserve">otal </w:t>
      </w:r>
      <w:r>
        <w:rPr>
          <w:rFonts w:asciiTheme="minorHAnsi" w:hAnsiTheme="minorHAnsi"/>
        </w:rPr>
        <w:t>f</w:t>
      </w:r>
      <w:r w:rsidRPr="001A4293">
        <w:rPr>
          <w:rFonts w:asciiTheme="minorHAnsi" w:hAnsiTheme="minorHAnsi"/>
        </w:rPr>
        <w:t>actor</w:t>
      </w:r>
      <w:r>
        <w:rPr>
          <w:rFonts w:asciiTheme="minorHAnsi" w:hAnsiTheme="minorHAnsi"/>
        </w:rPr>
        <w:t xml:space="preserve"> p</w:t>
      </w:r>
      <w:r w:rsidRPr="001A4293">
        <w:rPr>
          <w:rFonts w:asciiTheme="minorHAnsi" w:hAnsiTheme="minorHAnsi"/>
        </w:rPr>
        <w:t>roductivity in the MENA region</w:t>
      </w:r>
      <w:r>
        <w:rPr>
          <w:rFonts w:asciiTheme="minorHAnsi" w:hAnsiTheme="minorHAnsi"/>
        </w:rPr>
        <w:t xml:space="preserve"> </w:t>
      </w:r>
      <w:r w:rsidRPr="001A4293">
        <w:rPr>
          <w:rFonts w:asciiTheme="minorHAnsi" w:hAnsiTheme="minorHAnsi"/>
        </w:rPr>
        <w:t>was not an important source of growth in</w:t>
      </w:r>
      <w:r>
        <w:rPr>
          <w:rFonts w:asciiTheme="minorHAnsi" w:hAnsiTheme="minorHAnsi"/>
        </w:rPr>
        <w:t xml:space="preserve"> </w:t>
      </w:r>
      <w:r w:rsidRPr="001A4293">
        <w:rPr>
          <w:rFonts w:asciiTheme="minorHAnsi" w:hAnsiTheme="minorHAnsi"/>
        </w:rPr>
        <w:t>comparison with other regions.</w:t>
      </w:r>
      <w:r w:rsidR="00D96ED9">
        <w:rPr>
          <w:rFonts w:asciiTheme="minorHAnsi" w:hAnsiTheme="minorHAnsi"/>
        </w:rPr>
        <w:t xml:space="preserve"> Ben </w:t>
      </w:r>
      <w:proofErr w:type="spellStart"/>
      <w:r w:rsidR="00D96ED9">
        <w:rPr>
          <w:rFonts w:asciiTheme="minorHAnsi" w:hAnsiTheme="minorHAnsi"/>
        </w:rPr>
        <w:t>Naceur</w:t>
      </w:r>
      <w:proofErr w:type="spellEnd"/>
      <w:r w:rsidR="00D96ED9">
        <w:rPr>
          <w:rFonts w:asciiTheme="minorHAnsi" w:hAnsiTheme="minorHAnsi"/>
        </w:rPr>
        <w:t xml:space="preserve"> a</w:t>
      </w:r>
      <w:r w:rsidR="00D96ED9" w:rsidRPr="00D96ED9">
        <w:rPr>
          <w:rFonts w:asciiTheme="minorHAnsi" w:hAnsiTheme="minorHAnsi"/>
        </w:rPr>
        <w:t xml:space="preserve">nd </w:t>
      </w:r>
      <w:proofErr w:type="spellStart"/>
      <w:r w:rsidR="00D96ED9" w:rsidRPr="00D96ED9">
        <w:rPr>
          <w:rFonts w:asciiTheme="minorHAnsi" w:hAnsiTheme="minorHAnsi"/>
        </w:rPr>
        <w:t>Ghazouani</w:t>
      </w:r>
      <w:proofErr w:type="spellEnd"/>
      <w:r w:rsidR="00D96ED9">
        <w:rPr>
          <w:rFonts w:asciiTheme="minorHAnsi" w:hAnsiTheme="minorHAnsi"/>
        </w:rPr>
        <w:t xml:space="preserve"> (2007) relate </w:t>
      </w:r>
      <w:r w:rsidR="00D96ED9" w:rsidRPr="00D96ED9">
        <w:rPr>
          <w:rFonts w:asciiTheme="minorHAnsi" w:hAnsiTheme="minorHAnsi"/>
        </w:rPr>
        <w:t>banks</w:t>
      </w:r>
      <w:r w:rsidR="00D96ED9">
        <w:rPr>
          <w:rFonts w:asciiTheme="minorHAnsi" w:hAnsiTheme="minorHAnsi"/>
        </w:rPr>
        <w:t xml:space="preserve"> performance</w:t>
      </w:r>
      <w:r w:rsidR="00D96ED9" w:rsidRPr="00D96ED9">
        <w:rPr>
          <w:rFonts w:asciiTheme="minorHAnsi" w:hAnsiTheme="minorHAnsi"/>
        </w:rPr>
        <w:t xml:space="preserve"> and</w:t>
      </w:r>
      <w:r w:rsidR="00D96ED9">
        <w:rPr>
          <w:rFonts w:asciiTheme="minorHAnsi" w:hAnsiTheme="minorHAnsi"/>
        </w:rPr>
        <w:t xml:space="preserve"> </w:t>
      </w:r>
      <w:r w:rsidR="00D96ED9" w:rsidRPr="00D96ED9">
        <w:rPr>
          <w:rFonts w:asciiTheme="minorHAnsi" w:hAnsiTheme="minorHAnsi"/>
        </w:rPr>
        <w:t>economic growth</w:t>
      </w:r>
      <w:r w:rsidR="00D96ED9">
        <w:rPr>
          <w:rFonts w:asciiTheme="minorHAnsi" w:hAnsiTheme="minorHAnsi"/>
        </w:rPr>
        <w:t xml:space="preserve"> with the stock markets of the region.  </w:t>
      </w:r>
      <w:r w:rsidRPr="001A4293">
        <w:rPr>
          <w:rFonts w:asciiTheme="minorHAnsi" w:hAnsiTheme="minorHAnsi"/>
        </w:rPr>
        <w:t xml:space="preserve"> </w:t>
      </w:r>
      <w:r>
        <w:rPr>
          <w:rFonts w:asciiTheme="minorHAnsi" w:hAnsiTheme="minorHAnsi"/>
        </w:rPr>
        <w:t xml:space="preserve"> </w:t>
      </w:r>
      <w:r w:rsidR="007C3FFC">
        <w:rPr>
          <w:rFonts w:asciiTheme="minorHAnsi" w:hAnsiTheme="minorHAnsi"/>
        </w:rPr>
        <w:t xml:space="preserve">More recent evidence on the role of banks in the MENA region is investigated in Gray, </w:t>
      </w:r>
      <w:proofErr w:type="spellStart"/>
      <w:r w:rsidR="007C3FFC" w:rsidRPr="007C3FFC">
        <w:rPr>
          <w:rFonts w:asciiTheme="minorHAnsi" w:hAnsiTheme="minorHAnsi"/>
        </w:rPr>
        <w:t>Karam</w:t>
      </w:r>
      <w:proofErr w:type="spellEnd"/>
      <w:r w:rsidR="002E7941">
        <w:rPr>
          <w:rFonts w:asciiTheme="minorHAnsi" w:hAnsiTheme="minorHAnsi"/>
        </w:rPr>
        <w:t>,</w:t>
      </w:r>
      <w:r w:rsidR="007C3FFC" w:rsidRPr="007C3FFC">
        <w:rPr>
          <w:rFonts w:asciiTheme="minorHAnsi" w:hAnsiTheme="minorHAnsi"/>
        </w:rPr>
        <w:t xml:space="preserve"> </w:t>
      </w:r>
      <w:r w:rsidR="007C3FFC">
        <w:rPr>
          <w:rFonts w:asciiTheme="minorHAnsi" w:hAnsiTheme="minorHAnsi"/>
        </w:rPr>
        <w:t xml:space="preserve">and </w:t>
      </w:r>
      <w:r w:rsidR="007C3FFC" w:rsidRPr="007C3FFC">
        <w:rPr>
          <w:rFonts w:asciiTheme="minorHAnsi" w:hAnsiTheme="minorHAnsi"/>
        </w:rPr>
        <w:t>Turk</w:t>
      </w:r>
      <w:r w:rsidR="007C3FFC">
        <w:rPr>
          <w:rFonts w:asciiTheme="minorHAnsi" w:hAnsiTheme="minorHAnsi"/>
        </w:rPr>
        <w:t>-</w:t>
      </w:r>
      <w:proofErr w:type="spellStart"/>
      <w:r w:rsidR="007C3FFC" w:rsidRPr="007C3FFC">
        <w:rPr>
          <w:rFonts w:asciiTheme="minorHAnsi" w:hAnsiTheme="minorHAnsi"/>
        </w:rPr>
        <w:t>Ariss</w:t>
      </w:r>
      <w:proofErr w:type="spellEnd"/>
      <w:r w:rsidR="007C3FFC">
        <w:rPr>
          <w:rFonts w:asciiTheme="minorHAnsi" w:hAnsiTheme="minorHAnsi"/>
        </w:rPr>
        <w:t xml:space="preserve"> (2014) who </w:t>
      </w:r>
      <w:r w:rsidR="007C3FFC" w:rsidRPr="007C3FFC">
        <w:rPr>
          <w:rFonts w:asciiTheme="minorHAnsi" w:hAnsiTheme="minorHAnsi"/>
        </w:rPr>
        <w:t xml:space="preserve">investigate whether low loan-to-deposit ratios and high levels of reserve balances at the central bank are </w:t>
      </w:r>
      <w:r w:rsidR="007C3FFC">
        <w:rPr>
          <w:rFonts w:asciiTheme="minorHAnsi" w:hAnsiTheme="minorHAnsi"/>
        </w:rPr>
        <w:t xml:space="preserve">driven by </w:t>
      </w:r>
      <w:r w:rsidR="007C3FFC" w:rsidRPr="007C3FFC">
        <w:rPr>
          <w:rFonts w:asciiTheme="minorHAnsi" w:hAnsiTheme="minorHAnsi"/>
        </w:rPr>
        <w:t>policy</w:t>
      </w:r>
      <w:r w:rsidR="007C3FFC">
        <w:rPr>
          <w:rFonts w:asciiTheme="minorHAnsi" w:hAnsiTheme="minorHAnsi"/>
        </w:rPr>
        <w:t xml:space="preserve"> </w:t>
      </w:r>
      <w:r w:rsidR="00666464">
        <w:rPr>
          <w:rFonts w:asciiTheme="minorHAnsi" w:hAnsiTheme="minorHAnsi"/>
        </w:rPr>
        <w:t xml:space="preserve">decisions that banks are forced to follow </w:t>
      </w:r>
      <w:r w:rsidR="007C3FFC">
        <w:rPr>
          <w:rFonts w:asciiTheme="minorHAnsi" w:hAnsiTheme="minorHAnsi"/>
        </w:rPr>
        <w:t>or caused by a</w:t>
      </w:r>
      <w:r w:rsidR="007C3FFC" w:rsidRPr="007C3FFC">
        <w:rPr>
          <w:rFonts w:asciiTheme="minorHAnsi" w:hAnsiTheme="minorHAnsi"/>
        </w:rPr>
        <w:t xml:space="preserve"> weak </w:t>
      </w:r>
      <w:r w:rsidR="007C3FFC">
        <w:rPr>
          <w:rFonts w:asciiTheme="minorHAnsi" w:hAnsiTheme="minorHAnsi"/>
        </w:rPr>
        <w:t xml:space="preserve">demand for </w:t>
      </w:r>
      <w:r w:rsidR="007C3FFC" w:rsidRPr="007C3FFC">
        <w:rPr>
          <w:rFonts w:asciiTheme="minorHAnsi" w:hAnsiTheme="minorHAnsi"/>
        </w:rPr>
        <w:t>investment.</w:t>
      </w:r>
    </w:p>
    <w:p w14:paraId="12519541" w14:textId="77777777" w:rsidR="00A13BD7" w:rsidRDefault="00A13BD7" w:rsidP="00410DC7">
      <w:pPr>
        <w:jc w:val="both"/>
        <w:rPr>
          <w:rFonts w:asciiTheme="minorHAnsi" w:hAnsiTheme="minorHAnsi"/>
        </w:rPr>
      </w:pPr>
    </w:p>
    <w:p w14:paraId="56AEB500" w14:textId="282FC0A3" w:rsidR="0049360F" w:rsidRDefault="00CD06F7" w:rsidP="00410DC7">
      <w:pPr>
        <w:jc w:val="both"/>
        <w:rPr>
          <w:rFonts w:asciiTheme="minorHAnsi" w:hAnsiTheme="minorHAnsi"/>
        </w:rPr>
      </w:pPr>
      <w:r>
        <w:rPr>
          <w:rFonts w:asciiTheme="minorHAnsi" w:hAnsiTheme="minorHAnsi"/>
        </w:rPr>
        <w:t xml:space="preserve">Given the </w:t>
      </w:r>
      <w:r w:rsidR="002E7941">
        <w:rPr>
          <w:rFonts w:asciiTheme="minorHAnsi" w:hAnsiTheme="minorHAnsi"/>
        </w:rPr>
        <w:t xml:space="preserve">sizable </w:t>
      </w:r>
      <w:r>
        <w:rPr>
          <w:rFonts w:asciiTheme="minorHAnsi" w:hAnsiTheme="minorHAnsi"/>
        </w:rPr>
        <w:t xml:space="preserve">debates discussed in these studies, </w:t>
      </w:r>
      <w:r w:rsidR="002E7941">
        <w:rPr>
          <w:rFonts w:asciiTheme="minorHAnsi" w:hAnsiTheme="minorHAnsi"/>
        </w:rPr>
        <w:t xml:space="preserve">the </w:t>
      </w:r>
      <w:r>
        <w:rPr>
          <w:rFonts w:asciiTheme="minorHAnsi" w:hAnsiTheme="minorHAnsi"/>
        </w:rPr>
        <w:t>analysis</w:t>
      </w:r>
      <w:r w:rsidR="002E7941">
        <w:rPr>
          <w:rFonts w:asciiTheme="minorHAnsi" w:hAnsiTheme="minorHAnsi"/>
        </w:rPr>
        <w:t xml:space="preserve"> in this paper</w:t>
      </w:r>
      <w:r>
        <w:rPr>
          <w:rFonts w:asciiTheme="minorHAnsi" w:hAnsiTheme="minorHAnsi"/>
        </w:rPr>
        <w:t xml:space="preserve"> is focused more specifically on the role of banks after a crisis. We</w:t>
      </w:r>
      <w:r w:rsidR="002E7941">
        <w:rPr>
          <w:rFonts w:asciiTheme="minorHAnsi" w:hAnsiTheme="minorHAnsi"/>
        </w:rPr>
        <w:t>, as researchers,</w:t>
      </w:r>
      <w:r>
        <w:rPr>
          <w:rFonts w:asciiTheme="minorHAnsi" w:hAnsiTheme="minorHAnsi"/>
        </w:rPr>
        <w:t xml:space="preserve"> </w:t>
      </w:r>
      <w:r w:rsidR="00445F31">
        <w:rPr>
          <w:rFonts w:asciiTheme="minorHAnsi" w:hAnsiTheme="minorHAnsi"/>
        </w:rPr>
        <w:t>do</w:t>
      </w:r>
      <w:r w:rsidR="000178FB">
        <w:rPr>
          <w:rFonts w:asciiTheme="minorHAnsi" w:hAnsiTheme="minorHAnsi"/>
        </w:rPr>
        <w:t xml:space="preserve"> </w:t>
      </w:r>
      <w:r w:rsidR="00445F31">
        <w:rPr>
          <w:rFonts w:asciiTheme="minorHAnsi" w:hAnsiTheme="minorHAnsi"/>
        </w:rPr>
        <w:t>n</w:t>
      </w:r>
      <w:r w:rsidR="000178FB">
        <w:rPr>
          <w:rFonts w:asciiTheme="minorHAnsi" w:hAnsiTheme="minorHAnsi"/>
        </w:rPr>
        <w:t>o</w:t>
      </w:r>
      <w:r w:rsidR="00445F31">
        <w:rPr>
          <w:rFonts w:asciiTheme="minorHAnsi" w:hAnsiTheme="minorHAnsi"/>
        </w:rPr>
        <w:t>t take</w:t>
      </w:r>
      <w:r w:rsidR="00FA78D9">
        <w:rPr>
          <w:rFonts w:asciiTheme="minorHAnsi" w:hAnsiTheme="minorHAnsi"/>
        </w:rPr>
        <w:t xml:space="preserve"> side</w:t>
      </w:r>
      <w:r w:rsidR="002E7941">
        <w:rPr>
          <w:rFonts w:asciiTheme="minorHAnsi" w:hAnsiTheme="minorHAnsi"/>
        </w:rPr>
        <w:t>s</w:t>
      </w:r>
      <w:r w:rsidR="00445F31">
        <w:rPr>
          <w:rFonts w:asciiTheme="minorHAnsi" w:hAnsiTheme="minorHAnsi"/>
        </w:rPr>
        <w:t xml:space="preserve"> in the debate about the direction of causality between financial development and economic growth</w:t>
      </w:r>
      <w:r w:rsidR="004766C4">
        <w:rPr>
          <w:rStyle w:val="FootnoteReference"/>
          <w:rFonts w:asciiTheme="minorHAnsi" w:hAnsiTheme="minorHAnsi"/>
        </w:rPr>
        <w:footnoteReference w:id="3"/>
      </w:r>
      <w:r w:rsidR="00445F31">
        <w:rPr>
          <w:rFonts w:asciiTheme="minorHAnsi" w:hAnsiTheme="minorHAnsi"/>
        </w:rPr>
        <w:t xml:space="preserve">. </w:t>
      </w:r>
      <w:r w:rsidR="008955C7">
        <w:rPr>
          <w:rFonts w:asciiTheme="minorHAnsi" w:hAnsiTheme="minorHAnsi"/>
        </w:rPr>
        <w:t xml:space="preserve"> </w:t>
      </w:r>
      <w:r w:rsidR="00055167">
        <w:rPr>
          <w:rFonts w:asciiTheme="minorHAnsi" w:hAnsiTheme="minorHAnsi"/>
        </w:rPr>
        <w:t xml:space="preserve">We stay away from </w:t>
      </w:r>
      <w:r w:rsidR="00135AEA">
        <w:rPr>
          <w:rFonts w:asciiTheme="minorHAnsi" w:hAnsiTheme="minorHAnsi"/>
        </w:rPr>
        <w:t xml:space="preserve">investigating </w:t>
      </w:r>
      <w:r w:rsidR="00055167">
        <w:rPr>
          <w:rFonts w:asciiTheme="minorHAnsi" w:hAnsiTheme="minorHAnsi"/>
        </w:rPr>
        <w:t xml:space="preserve">the breadth, scope, reach, or level of competition </w:t>
      </w:r>
      <w:r w:rsidR="00135AEA">
        <w:rPr>
          <w:rFonts w:asciiTheme="minorHAnsi" w:hAnsiTheme="minorHAnsi"/>
        </w:rPr>
        <w:t xml:space="preserve">in financial markets and how these factors relate to economic growth.  </w:t>
      </w:r>
      <w:r w:rsidR="002E7941">
        <w:rPr>
          <w:rFonts w:asciiTheme="minorHAnsi" w:hAnsiTheme="minorHAnsi"/>
        </w:rPr>
        <w:t xml:space="preserve">The </w:t>
      </w:r>
      <w:r w:rsidR="00135AEA">
        <w:rPr>
          <w:rFonts w:asciiTheme="minorHAnsi" w:hAnsiTheme="minorHAnsi"/>
        </w:rPr>
        <w:t>objective</w:t>
      </w:r>
      <w:r w:rsidR="002E7941">
        <w:rPr>
          <w:rFonts w:asciiTheme="minorHAnsi" w:hAnsiTheme="minorHAnsi"/>
        </w:rPr>
        <w:t xml:space="preserve"> of this analysis</w:t>
      </w:r>
      <w:r w:rsidR="00135AEA">
        <w:rPr>
          <w:rFonts w:asciiTheme="minorHAnsi" w:hAnsiTheme="minorHAnsi"/>
        </w:rPr>
        <w:t xml:space="preserve"> is directed </w:t>
      </w:r>
      <w:r w:rsidR="000178FB">
        <w:rPr>
          <w:rFonts w:asciiTheme="minorHAnsi" w:hAnsiTheme="minorHAnsi"/>
        </w:rPr>
        <w:t>to</w:t>
      </w:r>
      <w:r w:rsidR="00135AEA">
        <w:rPr>
          <w:rFonts w:asciiTheme="minorHAnsi" w:hAnsiTheme="minorHAnsi"/>
        </w:rPr>
        <w:t xml:space="preserve"> the volume of bank credit, its effectiveness, and whether </w:t>
      </w:r>
      <w:r w:rsidR="000178FB">
        <w:rPr>
          <w:rFonts w:asciiTheme="minorHAnsi" w:hAnsiTheme="minorHAnsi"/>
        </w:rPr>
        <w:t>it</w:t>
      </w:r>
      <w:r w:rsidR="00135AEA">
        <w:rPr>
          <w:rFonts w:asciiTheme="minorHAnsi" w:hAnsiTheme="minorHAnsi"/>
        </w:rPr>
        <w:t xml:space="preserve"> can lead an economic recovery, and not on ways to fix and reform the banking sector. W</w:t>
      </w:r>
      <w:r w:rsidR="00445F31">
        <w:rPr>
          <w:rFonts w:asciiTheme="minorHAnsi" w:hAnsiTheme="minorHAnsi"/>
        </w:rPr>
        <w:t xml:space="preserve">e ask </w:t>
      </w:r>
      <w:r w:rsidR="0049360F" w:rsidRPr="0049360F">
        <w:rPr>
          <w:rFonts w:asciiTheme="minorHAnsi" w:hAnsiTheme="minorHAnsi"/>
        </w:rPr>
        <w:t xml:space="preserve">how </w:t>
      </w:r>
      <w:r w:rsidR="00445F31">
        <w:rPr>
          <w:rFonts w:asciiTheme="minorHAnsi" w:hAnsiTheme="minorHAnsi"/>
        </w:rPr>
        <w:t xml:space="preserve">significant </w:t>
      </w:r>
      <w:r w:rsidR="0049360F" w:rsidRPr="0049360F">
        <w:rPr>
          <w:rFonts w:asciiTheme="minorHAnsi" w:hAnsiTheme="minorHAnsi"/>
        </w:rPr>
        <w:t>is the</w:t>
      </w:r>
      <w:r w:rsidR="000178FB">
        <w:rPr>
          <w:rFonts w:asciiTheme="minorHAnsi" w:hAnsiTheme="minorHAnsi"/>
        </w:rPr>
        <w:t>ir</w:t>
      </w:r>
      <w:r w:rsidR="0049360F" w:rsidRPr="0049360F">
        <w:rPr>
          <w:rFonts w:asciiTheme="minorHAnsi" w:hAnsiTheme="minorHAnsi"/>
        </w:rPr>
        <w:t xml:space="preserve"> </w:t>
      </w:r>
      <w:r w:rsidR="00445F31">
        <w:rPr>
          <w:rFonts w:asciiTheme="minorHAnsi" w:hAnsiTheme="minorHAnsi"/>
        </w:rPr>
        <w:t xml:space="preserve">credit </w:t>
      </w:r>
      <w:r w:rsidR="0049360F" w:rsidRPr="0049360F">
        <w:rPr>
          <w:rFonts w:asciiTheme="minorHAnsi" w:hAnsiTheme="minorHAnsi"/>
        </w:rPr>
        <w:t xml:space="preserve">function to </w:t>
      </w:r>
      <w:r w:rsidR="00445F31">
        <w:rPr>
          <w:rFonts w:asciiTheme="minorHAnsi" w:hAnsiTheme="minorHAnsi"/>
        </w:rPr>
        <w:t xml:space="preserve">economic </w:t>
      </w:r>
      <w:r w:rsidR="0049360F" w:rsidRPr="0049360F">
        <w:rPr>
          <w:rFonts w:asciiTheme="minorHAnsi" w:hAnsiTheme="minorHAnsi"/>
        </w:rPr>
        <w:t xml:space="preserve">growth </w:t>
      </w:r>
      <w:r w:rsidR="000178FB">
        <w:rPr>
          <w:rFonts w:asciiTheme="minorHAnsi" w:hAnsiTheme="minorHAnsi"/>
        </w:rPr>
        <w:t xml:space="preserve">before and </w:t>
      </w:r>
      <w:r w:rsidR="00445F31">
        <w:rPr>
          <w:rFonts w:asciiTheme="minorHAnsi" w:hAnsiTheme="minorHAnsi"/>
        </w:rPr>
        <w:t xml:space="preserve">after </w:t>
      </w:r>
      <w:r w:rsidR="000178FB">
        <w:rPr>
          <w:rFonts w:asciiTheme="minorHAnsi" w:hAnsiTheme="minorHAnsi"/>
        </w:rPr>
        <w:t>the uprising</w:t>
      </w:r>
      <w:r w:rsidR="00445F31">
        <w:rPr>
          <w:rFonts w:asciiTheme="minorHAnsi" w:hAnsiTheme="minorHAnsi"/>
        </w:rPr>
        <w:t xml:space="preserve">? </w:t>
      </w:r>
      <w:r w:rsidR="0049360F" w:rsidRPr="0049360F">
        <w:rPr>
          <w:rFonts w:asciiTheme="minorHAnsi" w:hAnsiTheme="minorHAnsi"/>
        </w:rPr>
        <w:t xml:space="preserve"> </w:t>
      </w:r>
      <w:r w:rsidR="00135AEA">
        <w:rPr>
          <w:rFonts w:asciiTheme="minorHAnsi" w:hAnsiTheme="minorHAnsi"/>
        </w:rPr>
        <w:t>I</w:t>
      </w:r>
      <w:r w:rsidR="0049360F" w:rsidRPr="0049360F">
        <w:rPr>
          <w:rFonts w:asciiTheme="minorHAnsi" w:hAnsiTheme="minorHAnsi"/>
        </w:rPr>
        <w:t xml:space="preserve">n line with </w:t>
      </w:r>
      <w:r w:rsidR="008955C7">
        <w:rPr>
          <w:rFonts w:asciiTheme="minorHAnsi" w:hAnsiTheme="minorHAnsi"/>
        </w:rPr>
        <w:t xml:space="preserve">the existing research </w:t>
      </w:r>
      <w:r w:rsidR="0049360F" w:rsidRPr="0049360F">
        <w:rPr>
          <w:rFonts w:asciiTheme="minorHAnsi" w:hAnsiTheme="minorHAnsi"/>
        </w:rPr>
        <w:t>in the field</w:t>
      </w:r>
      <w:r w:rsidR="008955C7">
        <w:rPr>
          <w:rFonts w:asciiTheme="minorHAnsi" w:hAnsiTheme="minorHAnsi"/>
        </w:rPr>
        <w:t xml:space="preserve">, </w:t>
      </w:r>
      <w:r w:rsidR="006D5025">
        <w:rPr>
          <w:rFonts w:asciiTheme="minorHAnsi" w:hAnsiTheme="minorHAnsi"/>
        </w:rPr>
        <w:t>we</w:t>
      </w:r>
      <w:r w:rsidR="0049360F" w:rsidRPr="0049360F">
        <w:rPr>
          <w:rFonts w:asciiTheme="minorHAnsi" w:hAnsiTheme="minorHAnsi"/>
        </w:rPr>
        <w:t xml:space="preserve"> examine the contribution of banks credit to </w:t>
      </w:r>
      <w:r w:rsidR="008955C7">
        <w:rPr>
          <w:rFonts w:asciiTheme="minorHAnsi" w:hAnsiTheme="minorHAnsi"/>
        </w:rPr>
        <w:t xml:space="preserve">economic growth </w:t>
      </w:r>
      <w:r w:rsidR="0049360F" w:rsidRPr="0049360F">
        <w:rPr>
          <w:rFonts w:asciiTheme="minorHAnsi" w:hAnsiTheme="minorHAnsi"/>
        </w:rPr>
        <w:t xml:space="preserve">using various models. The aim is to </w:t>
      </w:r>
      <w:r w:rsidR="008955C7">
        <w:rPr>
          <w:rFonts w:asciiTheme="minorHAnsi" w:hAnsiTheme="minorHAnsi"/>
        </w:rPr>
        <w:t>use</w:t>
      </w:r>
      <w:r w:rsidR="0049360F" w:rsidRPr="0049360F">
        <w:rPr>
          <w:rFonts w:asciiTheme="minorHAnsi" w:hAnsiTheme="minorHAnsi"/>
        </w:rPr>
        <w:t xml:space="preserve"> past and current trends based on historical data </w:t>
      </w:r>
      <w:r w:rsidR="008955C7">
        <w:rPr>
          <w:rFonts w:asciiTheme="minorHAnsi" w:hAnsiTheme="minorHAnsi"/>
        </w:rPr>
        <w:t xml:space="preserve">and </w:t>
      </w:r>
      <w:r w:rsidR="0049360F" w:rsidRPr="0049360F">
        <w:rPr>
          <w:rFonts w:asciiTheme="minorHAnsi" w:hAnsiTheme="minorHAnsi"/>
        </w:rPr>
        <w:t xml:space="preserve">examine the effectiveness of this sector </w:t>
      </w:r>
      <w:r w:rsidR="008955C7">
        <w:rPr>
          <w:rFonts w:asciiTheme="minorHAnsi" w:hAnsiTheme="minorHAnsi"/>
        </w:rPr>
        <w:t>to an economic recovery</w:t>
      </w:r>
      <w:r w:rsidR="0049360F" w:rsidRPr="0049360F">
        <w:rPr>
          <w:rFonts w:asciiTheme="minorHAnsi" w:hAnsiTheme="minorHAnsi"/>
        </w:rPr>
        <w:t xml:space="preserve">. </w:t>
      </w:r>
      <w:r w:rsidR="008955C7">
        <w:rPr>
          <w:rFonts w:asciiTheme="minorHAnsi" w:hAnsiTheme="minorHAnsi"/>
        </w:rPr>
        <w:t xml:space="preserve">  </w:t>
      </w:r>
    </w:p>
    <w:p w14:paraId="30E2386D" w14:textId="77777777" w:rsidR="00750AE0" w:rsidRDefault="00750AE0" w:rsidP="00750AE0">
      <w:pPr>
        <w:rPr>
          <w:rFonts w:asciiTheme="minorHAnsi" w:hAnsiTheme="minorHAnsi"/>
        </w:rPr>
      </w:pPr>
    </w:p>
    <w:p w14:paraId="1F904BEA" w14:textId="77777777" w:rsidR="006D5025" w:rsidRDefault="006D5025" w:rsidP="00750AE0">
      <w:pPr>
        <w:rPr>
          <w:rFonts w:asciiTheme="minorHAnsi" w:hAnsiTheme="minorHAnsi"/>
        </w:rPr>
      </w:pPr>
    </w:p>
    <w:p w14:paraId="7AF7FE8B" w14:textId="77777777" w:rsidR="002E7941" w:rsidRDefault="002E7941" w:rsidP="00750AE0">
      <w:pPr>
        <w:rPr>
          <w:rFonts w:asciiTheme="minorHAnsi" w:hAnsiTheme="minorHAnsi"/>
        </w:rPr>
      </w:pPr>
    </w:p>
    <w:p w14:paraId="16ED0951" w14:textId="77777777" w:rsidR="002E7941" w:rsidRDefault="002E7941" w:rsidP="00750AE0">
      <w:pPr>
        <w:rPr>
          <w:rFonts w:asciiTheme="minorHAnsi" w:hAnsiTheme="minorHAnsi"/>
        </w:rPr>
      </w:pPr>
    </w:p>
    <w:p w14:paraId="1729F4BE" w14:textId="76C633F5" w:rsidR="00B6165E" w:rsidRPr="00D84F14" w:rsidRDefault="00B6165E" w:rsidP="00516A21">
      <w:pPr>
        <w:numPr>
          <w:ilvl w:val="0"/>
          <w:numId w:val="3"/>
        </w:numPr>
        <w:jc w:val="both"/>
        <w:rPr>
          <w:rFonts w:asciiTheme="minorHAnsi" w:hAnsiTheme="minorHAnsi"/>
          <w:b/>
        </w:rPr>
      </w:pPr>
      <w:r w:rsidRPr="00D84F14">
        <w:rPr>
          <w:rFonts w:asciiTheme="minorHAnsi" w:hAnsiTheme="minorHAnsi"/>
          <w:b/>
        </w:rPr>
        <w:t>Methodology</w:t>
      </w:r>
    </w:p>
    <w:p w14:paraId="6D3F0909" w14:textId="77777777" w:rsidR="00780DBE" w:rsidRDefault="00780DBE" w:rsidP="00516A21">
      <w:pPr>
        <w:ind w:left="720"/>
        <w:jc w:val="both"/>
        <w:rPr>
          <w:rFonts w:asciiTheme="minorHAnsi" w:hAnsiTheme="minorHAnsi"/>
          <w:b/>
        </w:rPr>
      </w:pPr>
    </w:p>
    <w:p w14:paraId="264A98B4" w14:textId="6F0B53A0" w:rsidR="00780DBE" w:rsidRDefault="00780DBE" w:rsidP="00780DBE">
      <w:pPr>
        <w:jc w:val="both"/>
        <w:rPr>
          <w:rFonts w:asciiTheme="minorHAnsi" w:hAnsiTheme="minorHAnsi"/>
        </w:rPr>
      </w:pPr>
      <w:r w:rsidRPr="000D149D">
        <w:rPr>
          <w:rFonts w:asciiTheme="minorHAnsi" w:hAnsiTheme="minorHAnsi"/>
        </w:rPr>
        <w:t xml:space="preserve">To evaluate the role of bank credit </w:t>
      </w:r>
      <w:r w:rsidR="001A01C2">
        <w:rPr>
          <w:rFonts w:asciiTheme="minorHAnsi" w:hAnsiTheme="minorHAnsi"/>
        </w:rPr>
        <w:t>in</w:t>
      </w:r>
      <w:r w:rsidRPr="000D149D">
        <w:rPr>
          <w:rFonts w:asciiTheme="minorHAnsi" w:hAnsiTheme="minorHAnsi"/>
        </w:rPr>
        <w:t xml:space="preserve"> economic growth, we</w:t>
      </w:r>
      <w:r w:rsidR="00D84F14">
        <w:rPr>
          <w:rFonts w:asciiTheme="minorHAnsi" w:hAnsiTheme="minorHAnsi"/>
        </w:rPr>
        <w:t xml:space="preserve"> researchers</w:t>
      </w:r>
      <w:r w:rsidRPr="000D149D">
        <w:rPr>
          <w:rFonts w:asciiTheme="minorHAnsi" w:hAnsiTheme="minorHAnsi"/>
        </w:rPr>
        <w:t xml:space="preserve"> propose</w:t>
      </w:r>
      <w:r w:rsidR="00D84F14">
        <w:rPr>
          <w:rFonts w:asciiTheme="minorHAnsi" w:hAnsiTheme="minorHAnsi"/>
        </w:rPr>
        <w:t>d</w:t>
      </w:r>
      <w:r w:rsidRPr="000D149D">
        <w:rPr>
          <w:rFonts w:asciiTheme="minorHAnsi" w:hAnsiTheme="minorHAnsi"/>
        </w:rPr>
        <w:t xml:space="preserve"> a panel analysis of the </w:t>
      </w:r>
      <w:r w:rsidR="00D84F14">
        <w:rPr>
          <w:rFonts w:asciiTheme="minorHAnsi" w:hAnsiTheme="minorHAnsi"/>
        </w:rPr>
        <w:t>five</w:t>
      </w:r>
      <w:r w:rsidRPr="000D149D">
        <w:rPr>
          <w:rFonts w:asciiTheme="minorHAnsi" w:hAnsiTheme="minorHAnsi"/>
        </w:rPr>
        <w:t xml:space="preserve"> countries </w:t>
      </w:r>
      <w:r w:rsidR="00D84F14">
        <w:rPr>
          <w:rFonts w:asciiTheme="minorHAnsi" w:hAnsiTheme="minorHAnsi"/>
        </w:rPr>
        <w:t>that</w:t>
      </w:r>
      <w:r w:rsidR="00D84F14" w:rsidRPr="000D149D">
        <w:rPr>
          <w:rFonts w:asciiTheme="minorHAnsi" w:hAnsiTheme="minorHAnsi"/>
        </w:rPr>
        <w:t xml:space="preserve"> </w:t>
      </w:r>
      <w:r w:rsidRPr="000D149D">
        <w:rPr>
          <w:rFonts w:asciiTheme="minorHAnsi" w:hAnsiTheme="minorHAnsi"/>
        </w:rPr>
        <w:t xml:space="preserve">experienced </w:t>
      </w:r>
      <w:r w:rsidR="001A01C2">
        <w:rPr>
          <w:rFonts w:asciiTheme="minorHAnsi" w:hAnsiTheme="minorHAnsi"/>
        </w:rPr>
        <w:t xml:space="preserve">an </w:t>
      </w:r>
      <w:r w:rsidRPr="000D149D">
        <w:rPr>
          <w:rFonts w:asciiTheme="minorHAnsi" w:hAnsiTheme="minorHAnsi"/>
        </w:rPr>
        <w:t>uprising</w:t>
      </w:r>
      <w:r>
        <w:rPr>
          <w:rFonts w:asciiTheme="minorHAnsi" w:hAnsiTheme="minorHAnsi"/>
        </w:rPr>
        <w:t xml:space="preserve">.  We </w:t>
      </w:r>
      <w:r w:rsidR="001A01C2">
        <w:rPr>
          <w:rFonts w:asciiTheme="minorHAnsi" w:hAnsiTheme="minorHAnsi"/>
        </w:rPr>
        <w:t>investigate</w:t>
      </w:r>
      <w:r w:rsidR="00D84F14">
        <w:rPr>
          <w:rFonts w:asciiTheme="minorHAnsi" w:hAnsiTheme="minorHAnsi"/>
        </w:rPr>
        <w:t>d</w:t>
      </w:r>
      <w:r w:rsidR="001A01C2">
        <w:rPr>
          <w:rFonts w:asciiTheme="minorHAnsi" w:hAnsiTheme="minorHAnsi"/>
        </w:rPr>
        <w:t xml:space="preserve"> </w:t>
      </w:r>
      <w:r>
        <w:rPr>
          <w:rFonts w:asciiTheme="minorHAnsi" w:hAnsiTheme="minorHAnsi"/>
        </w:rPr>
        <w:t xml:space="preserve">this relation </w:t>
      </w:r>
      <w:r w:rsidRPr="000D149D">
        <w:rPr>
          <w:rFonts w:asciiTheme="minorHAnsi" w:hAnsiTheme="minorHAnsi"/>
        </w:rPr>
        <w:t xml:space="preserve">over </w:t>
      </w:r>
      <w:r>
        <w:rPr>
          <w:rFonts w:asciiTheme="minorHAnsi" w:hAnsiTheme="minorHAnsi"/>
        </w:rPr>
        <w:t xml:space="preserve">a long period of time (24 years: </w:t>
      </w:r>
      <w:r w:rsidRPr="000D149D">
        <w:rPr>
          <w:rFonts w:asciiTheme="minorHAnsi" w:hAnsiTheme="minorHAnsi"/>
        </w:rPr>
        <w:t>1995</w:t>
      </w:r>
      <w:r w:rsidR="00D84F14">
        <w:rPr>
          <w:rFonts w:asciiTheme="minorHAnsi" w:hAnsiTheme="minorHAnsi"/>
        </w:rPr>
        <w:t xml:space="preserve"> – </w:t>
      </w:r>
      <w:r w:rsidRPr="000D149D">
        <w:rPr>
          <w:rFonts w:asciiTheme="minorHAnsi" w:hAnsiTheme="minorHAnsi"/>
        </w:rPr>
        <w:t>2013)</w:t>
      </w:r>
      <w:r>
        <w:rPr>
          <w:rFonts w:asciiTheme="minorHAnsi" w:hAnsiTheme="minorHAnsi"/>
        </w:rPr>
        <w:t xml:space="preserve"> to capture the central tendencies that exist between </w:t>
      </w:r>
      <w:r w:rsidR="00135AEA">
        <w:rPr>
          <w:rFonts w:asciiTheme="minorHAnsi" w:hAnsiTheme="minorHAnsi"/>
        </w:rPr>
        <w:t xml:space="preserve">the </w:t>
      </w:r>
      <w:r w:rsidR="001A01C2">
        <w:rPr>
          <w:rFonts w:asciiTheme="minorHAnsi" w:hAnsiTheme="minorHAnsi"/>
        </w:rPr>
        <w:t xml:space="preserve">key </w:t>
      </w:r>
      <w:r>
        <w:rPr>
          <w:rFonts w:asciiTheme="minorHAnsi" w:hAnsiTheme="minorHAnsi"/>
        </w:rPr>
        <w:t xml:space="preserve">variables. </w:t>
      </w:r>
    </w:p>
    <w:p w14:paraId="16D103BD" w14:textId="77777777" w:rsidR="00780DBE" w:rsidRDefault="00780DBE" w:rsidP="00780DBE">
      <w:pPr>
        <w:jc w:val="both"/>
        <w:rPr>
          <w:rFonts w:asciiTheme="minorHAnsi" w:hAnsiTheme="minorHAnsi"/>
        </w:rPr>
      </w:pPr>
    </w:p>
    <w:p w14:paraId="014F4BA2" w14:textId="648164BC" w:rsidR="00750AE0" w:rsidRDefault="001A01C2" w:rsidP="00410DC7">
      <w:pPr>
        <w:jc w:val="both"/>
        <w:rPr>
          <w:rFonts w:asciiTheme="minorHAnsi" w:hAnsiTheme="minorHAnsi"/>
        </w:rPr>
      </w:pPr>
      <w:r>
        <w:rPr>
          <w:rFonts w:asciiTheme="minorHAnsi" w:hAnsiTheme="minorHAnsi"/>
        </w:rPr>
        <w:t>W</w:t>
      </w:r>
      <w:r w:rsidR="008955C7">
        <w:rPr>
          <w:rFonts w:asciiTheme="minorHAnsi" w:hAnsiTheme="minorHAnsi"/>
        </w:rPr>
        <w:t xml:space="preserve">e begin with a </w:t>
      </w:r>
      <w:r w:rsidR="00FA78D9">
        <w:rPr>
          <w:rFonts w:asciiTheme="minorHAnsi" w:hAnsiTheme="minorHAnsi"/>
        </w:rPr>
        <w:t xml:space="preserve">variation </w:t>
      </w:r>
      <w:r w:rsidR="00CB52A1">
        <w:rPr>
          <w:rFonts w:asciiTheme="minorHAnsi" w:hAnsiTheme="minorHAnsi"/>
        </w:rPr>
        <w:t>of</w:t>
      </w:r>
      <w:r w:rsidR="00FA78D9">
        <w:rPr>
          <w:rFonts w:asciiTheme="minorHAnsi" w:hAnsiTheme="minorHAnsi"/>
        </w:rPr>
        <w:t xml:space="preserve"> the </w:t>
      </w:r>
      <w:r w:rsidR="008955C7">
        <w:rPr>
          <w:rFonts w:asciiTheme="minorHAnsi" w:hAnsiTheme="minorHAnsi"/>
        </w:rPr>
        <w:t xml:space="preserve">standard model </w:t>
      </w:r>
      <w:r w:rsidR="009E167C">
        <w:rPr>
          <w:rFonts w:asciiTheme="minorHAnsi" w:hAnsiTheme="minorHAnsi"/>
        </w:rPr>
        <w:t xml:space="preserve">originally introduced by Beck and Levine (2004), and later modified in </w:t>
      </w:r>
      <w:proofErr w:type="spellStart"/>
      <w:r w:rsidR="008955C7" w:rsidRPr="008955C7">
        <w:rPr>
          <w:rFonts w:asciiTheme="minorHAnsi" w:hAnsiTheme="minorHAnsi"/>
        </w:rPr>
        <w:t>Takáts</w:t>
      </w:r>
      <w:proofErr w:type="spellEnd"/>
      <w:r w:rsidR="008955C7" w:rsidRPr="008955C7">
        <w:rPr>
          <w:rFonts w:asciiTheme="minorHAnsi" w:hAnsiTheme="minorHAnsi"/>
        </w:rPr>
        <w:t xml:space="preserve"> and Upper</w:t>
      </w:r>
      <w:r w:rsidR="008955C7">
        <w:rPr>
          <w:rFonts w:asciiTheme="minorHAnsi" w:hAnsiTheme="minorHAnsi"/>
        </w:rPr>
        <w:t xml:space="preserve"> </w:t>
      </w:r>
      <w:r w:rsidR="00750AE0" w:rsidRPr="00750AE0">
        <w:rPr>
          <w:rFonts w:asciiTheme="minorHAnsi" w:hAnsiTheme="minorHAnsi"/>
        </w:rPr>
        <w:t>(20</w:t>
      </w:r>
      <w:r w:rsidR="008955C7">
        <w:rPr>
          <w:rFonts w:asciiTheme="minorHAnsi" w:hAnsiTheme="minorHAnsi"/>
        </w:rPr>
        <w:t>13</w:t>
      </w:r>
      <w:r w:rsidR="00750AE0" w:rsidRPr="00750AE0">
        <w:rPr>
          <w:rFonts w:asciiTheme="minorHAnsi" w:hAnsiTheme="minorHAnsi"/>
        </w:rPr>
        <w:t>) in the study of</w:t>
      </w:r>
      <w:r w:rsidR="008955C7">
        <w:rPr>
          <w:rFonts w:asciiTheme="minorHAnsi" w:hAnsiTheme="minorHAnsi"/>
        </w:rPr>
        <w:t xml:space="preserve"> 33 developed and developing countries</w:t>
      </w:r>
      <w:r w:rsidR="00750AE0" w:rsidRPr="00750AE0">
        <w:rPr>
          <w:rFonts w:asciiTheme="minorHAnsi" w:hAnsiTheme="minorHAnsi"/>
        </w:rPr>
        <w:t xml:space="preserve">. </w:t>
      </w:r>
      <w:r w:rsidR="00FA78D9">
        <w:rPr>
          <w:rFonts w:asciiTheme="minorHAnsi" w:hAnsiTheme="minorHAnsi"/>
        </w:rPr>
        <w:t>The</w:t>
      </w:r>
      <w:r w:rsidR="009E167C">
        <w:rPr>
          <w:rFonts w:asciiTheme="minorHAnsi" w:hAnsiTheme="minorHAnsi"/>
        </w:rPr>
        <w:t xml:space="preserve"> model in </w:t>
      </w:r>
      <w:proofErr w:type="spellStart"/>
      <w:r w:rsidR="009E167C">
        <w:rPr>
          <w:rFonts w:asciiTheme="minorHAnsi" w:hAnsiTheme="minorHAnsi"/>
        </w:rPr>
        <w:t>Takats</w:t>
      </w:r>
      <w:proofErr w:type="spellEnd"/>
      <w:r w:rsidR="009E167C">
        <w:rPr>
          <w:rFonts w:asciiTheme="minorHAnsi" w:hAnsiTheme="minorHAnsi"/>
        </w:rPr>
        <w:t xml:space="preserve"> and Upper (2013) </w:t>
      </w:r>
      <w:r w:rsidR="00FA78D9">
        <w:rPr>
          <w:rFonts w:asciiTheme="minorHAnsi" w:hAnsiTheme="minorHAnsi"/>
        </w:rPr>
        <w:t xml:space="preserve">is </w:t>
      </w:r>
      <w:r w:rsidR="009E167C">
        <w:rPr>
          <w:rFonts w:asciiTheme="minorHAnsi" w:hAnsiTheme="minorHAnsi"/>
        </w:rPr>
        <w:t>a</w:t>
      </w:r>
      <w:r w:rsidR="00FA78D9">
        <w:rPr>
          <w:rFonts w:asciiTheme="minorHAnsi" w:hAnsiTheme="minorHAnsi"/>
        </w:rPr>
        <w:t>cross countr</w:t>
      </w:r>
      <w:r w:rsidR="006D5025">
        <w:rPr>
          <w:rFonts w:asciiTheme="minorHAnsi" w:hAnsiTheme="minorHAnsi"/>
        </w:rPr>
        <w:t>ies</w:t>
      </w:r>
      <w:r w:rsidR="00FA78D9">
        <w:rPr>
          <w:rFonts w:asciiTheme="minorHAnsi" w:hAnsiTheme="minorHAnsi"/>
        </w:rPr>
        <w:t xml:space="preserve"> but</w:t>
      </w:r>
      <w:r w:rsidR="00D84F14">
        <w:rPr>
          <w:rFonts w:asciiTheme="minorHAnsi" w:hAnsiTheme="minorHAnsi"/>
        </w:rPr>
        <w:t xml:space="preserve"> with a</w:t>
      </w:r>
      <w:r w:rsidR="00FA78D9">
        <w:rPr>
          <w:rFonts w:asciiTheme="minorHAnsi" w:hAnsiTheme="minorHAnsi"/>
        </w:rPr>
        <w:t xml:space="preserve"> time invariant</w:t>
      </w:r>
      <w:r w:rsidR="00CB52A1">
        <w:rPr>
          <w:rFonts w:asciiTheme="minorHAnsi" w:hAnsiTheme="minorHAnsi"/>
        </w:rPr>
        <w:t>.</w:t>
      </w:r>
      <w:r w:rsidR="009E167C">
        <w:rPr>
          <w:rFonts w:asciiTheme="minorHAnsi" w:hAnsiTheme="minorHAnsi"/>
        </w:rPr>
        <w:t xml:space="preserve"> In contrast, our b</w:t>
      </w:r>
      <w:r w:rsidR="00AF0D43">
        <w:rPr>
          <w:rFonts w:asciiTheme="minorHAnsi" w:hAnsiTheme="minorHAnsi"/>
        </w:rPr>
        <w:t xml:space="preserve">asic </w:t>
      </w:r>
      <w:r w:rsidR="00750AE0" w:rsidRPr="00750AE0">
        <w:rPr>
          <w:rFonts w:asciiTheme="minorHAnsi" w:hAnsiTheme="minorHAnsi"/>
        </w:rPr>
        <w:t xml:space="preserve">model </w:t>
      </w:r>
      <w:r w:rsidR="006E770E">
        <w:rPr>
          <w:rFonts w:asciiTheme="minorHAnsi" w:hAnsiTheme="minorHAnsi"/>
        </w:rPr>
        <w:t>is closer to the original formulation of B</w:t>
      </w:r>
      <w:r w:rsidR="006D5025">
        <w:rPr>
          <w:rFonts w:asciiTheme="minorHAnsi" w:hAnsiTheme="minorHAnsi"/>
        </w:rPr>
        <w:t>e</w:t>
      </w:r>
      <w:r w:rsidR="006E770E">
        <w:rPr>
          <w:rFonts w:asciiTheme="minorHAnsi" w:hAnsiTheme="minorHAnsi"/>
        </w:rPr>
        <w:t xml:space="preserve">ck and Levine (2004) and </w:t>
      </w:r>
      <w:r w:rsidR="00AF0D43">
        <w:rPr>
          <w:rFonts w:asciiTheme="minorHAnsi" w:hAnsiTheme="minorHAnsi"/>
        </w:rPr>
        <w:t xml:space="preserve">has the structure of </w:t>
      </w:r>
      <w:r w:rsidR="00FA78D9">
        <w:rPr>
          <w:rFonts w:asciiTheme="minorHAnsi" w:hAnsiTheme="minorHAnsi"/>
        </w:rPr>
        <w:t>a panel data of the form</w:t>
      </w:r>
      <w:r w:rsidR="00750AE0" w:rsidRPr="00750AE0">
        <w:rPr>
          <w:rFonts w:asciiTheme="minorHAnsi" w:hAnsiTheme="minorHAnsi"/>
        </w:rPr>
        <w:t xml:space="preserve">: </w:t>
      </w:r>
    </w:p>
    <w:p w14:paraId="433CC387" w14:textId="77777777" w:rsidR="006E770E" w:rsidRDefault="006E770E" w:rsidP="00750AE0">
      <w:pPr>
        <w:rPr>
          <w:rFonts w:asciiTheme="minorHAnsi" w:hAnsiTheme="minorHAnsi"/>
        </w:rPr>
      </w:pPr>
    </w:p>
    <w:p w14:paraId="791F269B" w14:textId="4D21DE4E" w:rsidR="006E770E" w:rsidRDefault="00410DC7" w:rsidP="00516A21">
      <w:pPr>
        <w:ind w:left="720" w:firstLine="720"/>
        <w:rPr>
          <w:rFonts w:asciiTheme="minorHAnsi" w:hAnsiTheme="minorHAnsi"/>
        </w:rPr>
      </w:pPr>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+β</m:t>
        </m:r>
        <m:sSub>
          <m:sSubPr>
            <m:ctrlPr>
              <w:rPr>
                <w:rFonts w:ascii="Cambria Math" w:hAnsi="Cambria Math"/>
                <w:i/>
              </w:rPr>
            </m:ctrlPr>
          </m:sSubPr>
          <m:e>
            <m:r>
              <w:rPr>
                <w:rFonts w:ascii="Cambria Math" w:hAnsi="Cambria Math"/>
              </w:rPr>
              <m:t>CR</m:t>
            </m:r>
          </m:e>
          <m:sub>
            <m:r>
              <w:rPr>
                <w:rFonts w:ascii="Cambria Math" w:hAnsi="Cambria Math"/>
              </w:rPr>
              <m:t>it</m:t>
            </m:r>
          </m:sub>
        </m:sSub>
        <m:r>
          <w:rPr>
            <w:rFonts w:ascii="Cambria Math" w:hAnsi="Cambria Math"/>
          </w:rPr>
          <m:t>+θ'</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it</m:t>
            </m:r>
          </m:sub>
        </m:sSub>
      </m:oMath>
      <w:r w:rsidR="006E770E">
        <w:rPr>
          <w:rFonts w:asciiTheme="minorHAnsi" w:hAnsiTheme="minorHAnsi"/>
        </w:rPr>
        <w:tab/>
      </w:r>
      <w:r w:rsidR="006E770E">
        <w:rPr>
          <w:rFonts w:asciiTheme="minorHAnsi" w:hAnsiTheme="minorHAnsi"/>
        </w:rPr>
        <w:tab/>
      </w:r>
      <w:r w:rsidR="006E770E">
        <w:rPr>
          <w:rFonts w:asciiTheme="minorHAnsi" w:hAnsiTheme="minorHAnsi"/>
        </w:rPr>
        <w:tab/>
      </w:r>
      <w:r w:rsidR="006E770E">
        <w:rPr>
          <w:rFonts w:asciiTheme="minorHAnsi" w:hAnsiTheme="minorHAnsi"/>
        </w:rPr>
        <w:tab/>
      </w:r>
      <w:r w:rsidR="006E770E">
        <w:rPr>
          <w:rFonts w:asciiTheme="minorHAnsi" w:hAnsiTheme="minorHAnsi"/>
        </w:rPr>
        <w:tab/>
        <w:t>(1)</w:t>
      </w:r>
    </w:p>
    <w:p w14:paraId="784E3F54" w14:textId="77777777" w:rsidR="00750AE0" w:rsidRDefault="00750AE0" w:rsidP="00750AE0">
      <w:pPr>
        <w:rPr>
          <w:rFonts w:asciiTheme="minorHAnsi" w:hAnsiTheme="minorHAnsi"/>
        </w:rPr>
      </w:pPr>
    </w:p>
    <w:p w14:paraId="2F8885B8" w14:textId="50E6D1E3" w:rsidR="006E770E" w:rsidRDefault="00CB52A1" w:rsidP="006E770E">
      <w:pPr>
        <w:jc w:val="both"/>
        <w:rPr>
          <w:rFonts w:asciiTheme="minorHAnsi" w:hAnsiTheme="minorHAnsi"/>
        </w:rPr>
      </w:pPr>
      <w:r>
        <w:rPr>
          <w:rFonts w:asciiTheme="minorHAnsi" w:hAnsiTheme="minorHAnsi"/>
        </w:rPr>
        <w:t xml:space="preserve">Where </w:t>
      </w:r>
      <w:r w:rsidRPr="00516A21">
        <w:rPr>
          <w:rFonts w:asciiTheme="minorHAnsi" w:hAnsiTheme="minorHAnsi"/>
          <w:b/>
          <w:i/>
        </w:rPr>
        <w:t>Y</w:t>
      </w:r>
      <w:r>
        <w:rPr>
          <w:rFonts w:asciiTheme="minorHAnsi" w:hAnsiTheme="minorHAnsi"/>
        </w:rPr>
        <w:t xml:space="preserve"> </w:t>
      </w:r>
      <w:r w:rsidRPr="00FE67C1">
        <w:rPr>
          <w:rFonts w:asciiTheme="minorHAnsi" w:hAnsiTheme="minorHAnsi"/>
        </w:rPr>
        <w:t xml:space="preserve">is </w:t>
      </w:r>
      <w:r w:rsidR="006E770E">
        <w:rPr>
          <w:rFonts w:asciiTheme="minorHAnsi" w:hAnsiTheme="minorHAnsi"/>
        </w:rPr>
        <w:t xml:space="preserve">the </w:t>
      </w:r>
      <w:r w:rsidRPr="00FE67C1">
        <w:rPr>
          <w:rFonts w:asciiTheme="minorHAnsi" w:hAnsiTheme="minorHAnsi"/>
        </w:rPr>
        <w:t>real per capita GDP growth</w:t>
      </w:r>
      <w:r w:rsidR="003D01EB">
        <w:rPr>
          <w:rFonts w:asciiTheme="minorHAnsi" w:hAnsiTheme="minorHAnsi"/>
        </w:rPr>
        <w:t xml:space="preserve"> and </w:t>
      </w:r>
      <w:r w:rsidR="003D01EB" w:rsidRPr="00516A21">
        <w:rPr>
          <w:rFonts w:asciiTheme="minorHAnsi" w:hAnsiTheme="minorHAnsi"/>
          <w:b/>
          <w:i/>
        </w:rPr>
        <w:t>ε</w:t>
      </w:r>
      <w:r w:rsidR="003D01EB">
        <w:rPr>
          <w:rFonts w:asciiTheme="minorHAnsi" w:hAnsiTheme="minorHAnsi"/>
        </w:rPr>
        <w:t xml:space="preserve"> is an error term</w:t>
      </w:r>
      <w:r w:rsidR="006E770E">
        <w:rPr>
          <w:rFonts w:asciiTheme="minorHAnsi" w:hAnsiTheme="minorHAnsi"/>
        </w:rPr>
        <w:t xml:space="preserve">.  The main independent </w:t>
      </w:r>
      <w:r w:rsidR="00197DDA">
        <w:rPr>
          <w:rFonts w:asciiTheme="minorHAnsi" w:hAnsiTheme="minorHAnsi"/>
        </w:rPr>
        <w:t xml:space="preserve">variable </w:t>
      </w:r>
      <w:r>
        <w:rPr>
          <w:rFonts w:asciiTheme="minorHAnsi" w:hAnsiTheme="minorHAnsi"/>
        </w:rPr>
        <w:t>is the</w:t>
      </w:r>
      <w:r w:rsidRPr="00FE67C1">
        <w:rPr>
          <w:rFonts w:asciiTheme="minorHAnsi" w:hAnsiTheme="minorHAnsi"/>
        </w:rPr>
        <w:t xml:space="preserve"> ratio of bank</w:t>
      </w:r>
      <w:r>
        <w:rPr>
          <w:rFonts w:asciiTheme="minorHAnsi" w:hAnsiTheme="minorHAnsi"/>
        </w:rPr>
        <w:t xml:space="preserve"> </w:t>
      </w:r>
      <w:r w:rsidRPr="00FE67C1">
        <w:rPr>
          <w:rFonts w:asciiTheme="minorHAnsi" w:hAnsiTheme="minorHAnsi"/>
        </w:rPr>
        <w:t>credit to G</w:t>
      </w:r>
      <w:r>
        <w:rPr>
          <w:rFonts w:asciiTheme="minorHAnsi" w:hAnsiTheme="minorHAnsi"/>
        </w:rPr>
        <w:t>DP</w:t>
      </w:r>
      <w:r w:rsidR="00AF0D43">
        <w:rPr>
          <w:rFonts w:asciiTheme="minorHAnsi" w:hAnsiTheme="minorHAnsi"/>
        </w:rPr>
        <w:t>,</w:t>
      </w:r>
      <w:r w:rsidR="00AF0D43" w:rsidRPr="00516A21">
        <w:rPr>
          <w:rFonts w:asciiTheme="minorHAnsi" w:hAnsiTheme="minorHAnsi"/>
          <w:i/>
        </w:rPr>
        <w:t xml:space="preserve"> </w:t>
      </w:r>
      <w:proofErr w:type="spellStart"/>
      <w:r w:rsidR="00AF0D43" w:rsidRPr="00516A21">
        <w:rPr>
          <w:rFonts w:asciiTheme="minorHAnsi" w:hAnsiTheme="minorHAnsi"/>
          <w:i/>
        </w:rPr>
        <w:t>i</w:t>
      </w:r>
      <w:proofErr w:type="spellEnd"/>
      <w:r w:rsidR="003D01EB">
        <w:rPr>
          <w:rFonts w:asciiTheme="minorHAnsi" w:hAnsiTheme="minorHAnsi"/>
          <w:i/>
        </w:rPr>
        <w:t xml:space="preserve"> </w:t>
      </w:r>
      <w:r w:rsidR="00AF0D43" w:rsidRPr="00FE67C1">
        <w:rPr>
          <w:rFonts w:asciiTheme="minorHAnsi" w:hAnsiTheme="minorHAnsi"/>
        </w:rPr>
        <w:t xml:space="preserve">and </w:t>
      </w:r>
      <w:r w:rsidR="00AF0D43" w:rsidRPr="00516A21">
        <w:rPr>
          <w:rFonts w:asciiTheme="minorHAnsi" w:hAnsiTheme="minorHAnsi"/>
          <w:i/>
        </w:rPr>
        <w:t>t</w:t>
      </w:r>
      <w:r w:rsidR="00AF0D43" w:rsidRPr="00FE67C1">
        <w:rPr>
          <w:rFonts w:asciiTheme="minorHAnsi" w:hAnsiTheme="minorHAnsi"/>
        </w:rPr>
        <w:t xml:space="preserve"> represent country and time period, respectively. </w:t>
      </w:r>
      <w:r w:rsidR="00AF0D43">
        <w:rPr>
          <w:rFonts w:asciiTheme="minorHAnsi" w:hAnsiTheme="minorHAnsi"/>
        </w:rPr>
        <w:t xml:space="preserve">  </w:t>
      </w:r>
      <w:r w:rsidR="0046708D">
        <w:rPr>
          <w:rFonts w:asciiTheme="minorHAnsi" w:hAnsiTheme="minorHAnsi"/>
        </w:rPr>
        <w:t>To the extent that the effect of bank credit on growth may be non-linear, w</w:t>
      </w:r>
      <w:r w:rsidR="0031298F">
        <w:rPr>
          <w:rFonts w:asciiTheme="minorHAnsi" w:hAnsiTheme="minorHAnsi"/>
        </w:rPr>
        <w:t xml:space="preserve">e </w:t>
      </w:r>
      <w:r w:rsidR="006E770E">
        <w:rPr>
          <w:rFonts w:asciiTheme="minorHAnsi" w:hAnsiTheme="minorHAnsi"/>
        </w:rPr>
        <w:t xml:space="preserve">use the logarithm of the ratio of the bank credit to GDP </w:t>
      </w:r>
      <w:r w:rsidR="0031298F">
        <w:rPr>
          <w:rFonts w:asciiTheme="minorHAnsi" w:hAnsiTheme="minorHAnsi"/>
        </w:rPr>
        <w:t>(</w:t>
      </w:r>
      <w:r w:rsidR="0031298F" w:rsidRPr="00516A21">
        <w:rPr>
          <w:rFonts w:asciiTheme="minorHAnsi" w:hAnsiTheme="minorHAnsi"/>
          <w:b/>
          <w:i/>
        </w:rPr>
        <w:t>CR</w:t>
      </w:r>
      <w:r w:rsidR="0031298F">
        <w:rPr>
          <w:rFonts w:asciiTheme="minorHAnsi" w:hAnsiTheme="minorHAnsi"/>
        </w:rPr>
        <w:t xml:space="preserve">). </w:t>
      </w:r>
      <w:r w:rsidR="00AF0D43">
        <w:rPr>
          <w:rFonts w:asciiTheme="minorHAnsi" w:hAnsiTheme="minorHAnsi"/>
        </w:rPr>
        <w:t xml:space="preserve"> </w:t>
      </w:r>
      <w:r w:rsidR="003D01EB">
        <w:rPr>
          <w:rFonts w:asciiTheme="minorHAnsi" w:hAnsiTheme="minorHAnsi"/>
        </w:rPr>
        <w:t xml:space="preserve">The model includes </w:t>
      </w:r>
      <w:proofErr w:type="spellStart"/>
      <w:r w:rsidR="00D84F14">
        <w:rPr>
          <w:rFonts w:asciiTheme="minorHAnsi" w:hAnsiTheme="minorHAnsi"/>
        </w:rPr>
        <w:t>three</w:t>
      </w:r>
      <w:r w:rsidR="003D01EB" w:rsidRPr="00FE67C1">
        <w:rPr>
          <w:rFonts w:asciiTheme="minorHAnsi" w:hAnsiTheme="minorHAnsi"/>
        </w:rPr>
        <w:t>control</w:t>
      </w:r>
      <w:proofErr w:type="spellEnd"/>
      <w:r w:rsidR="003D01EB" w:rsidRPr="00FE67C1">
        <w:rPr>
          <w:rFonts w:asciiTheme="minorHAnsi" w:hAnsiTheme="minorHAnsi"/>
        </w:rPr>
        <w:t xml:space="preserve"> </w:t>
      </w:r>
      <w:r w:rsidR="003D01EB">
        <w:rPr>
          <w:rFonts w:asciiTheme="minorHAnsi" w:hAnsiTheme="minorHAnsi"/>
        </w:rPr>
        <w:t xml:space="preserve">variables that have been identified in the literature to affect the relation between bank credit and economic growth.   The choice for these variables has been widely motivated </w:t>
      </w:r>
      <w:r w:rsidR="000178FB">
        <w:rPr>
          <w:rFonts w:asciiTheme="minorHAnsi" w:hAnsiTheme="minorHAnsi"/>
        </w:rPr>
        <w:t xml:space="preserve">originally by Beck and Levine (2004 and </w:t>
      </w:r>
      <w:r w:rsidR="003D01EB">
        <w:rPr>
          <w:rFonts w:asciiTheme="minorHAnsi" w:hAnsiTheme="minorHAnsi"/>
        </w:rPr>
        <w:t xml:space="preserve">more recently in </w:t>
      </w:r>
      <w:proofErr w:type="spellStart"/>
      <w:r w:rsidR="003D01EB" w:rsidRPr="00055517">
        <w:rPr>
          <w:rFonts w:asciiTheme="minorHAnsi" w:hAnsiTheme="minorHAnsi"/>
        </w:rPr>
        <w:t>Bijsterbosch</w:t>
      </w:r>
      <w:proofErr w:type="spellEnd"/>
      <w:r w:rsidR="003D01EB" w:rsidRPr="00055517">
        <w:rPr>
          <w:rFonts w:asciiTheme="minorHAnsi" w:hAnsiTheme="minorHAnsi"/>
        </w:rPr>
        <w:t xml:space="preserve"> and </w:t>
      </w:r>
      <w:proofErr w:type="spellStart"/>
      <w:r w:rsidR="003D01EB" w:rsidRPr="00055517">
        <w:rPr>
          <w:rFonts w:asciiTheme="minorHAnsi" w:hAnsiTheme="minorHAnsi"/>
        </w:rPr>
        <w:t>Dahlhaus</w:t>
      </w:r>
      <w:proofErr w:type="spellEnd"/>
      <w:r w:rsidR="003D01EB" w:rsidRPr="00055517">
        <w:rPr>
          <w:rFonts w:asciiTheme="minorHAnsi" w:hAnsiTheme="minorHAnsi"/>
        </w:rPr>
        <w:t xml:space="preserve"> </w:t>
      </w:r>
      <w:r w:rsidR="003D01EB">
        <w:rPr>
          <w:rFonts w:asciiTheme="minorHAnsi" w:hAnsiTheme="minorHAnsi"/>
        </w:rPr>
        <w:t>(</w:t>
      </w:r>
      <w:r w:rsidR="003D01EB" w:rsidRPr="00055517">
        <w:rPr>
          <w:rFonts w:asciiTheme="minorHAnsi" w:hAnsiTheme="minorHAnsi"/>
        </w:rPr>
        <w:t>2011</w:t>
      </w:r>
      <w:r w:rsidR="003D01EB">
        <w:rPr>
          <w:rFonts w:asciiTheme="minorHAnsi" w:hAnsiTheme="minorHAnsi"/>
        </w:rPr>
        <w:t xml:space="preserve">), </w:t>
      </w:r>
      <w:proofErr w:type="spellStart"/>
      <w:r w:rsidR="003D01EB">
        <w:rPr>
          <w:rFonts w:asciiTheme="minorHAnsi" w:hAnsiTheme="minorHAnsi"/>
        </w:rPr>
        <w:t>B</w:t>
      </w:r>
      <w:r w:rsidR="003D01EB" w:rsidRPr="00055517">
        <w:rPr>
          <w:rFonts w:asciiTheme="minorHAnsi" w:hAnsiTheme="minorHAnsi"/>
        </w:rPr>
        <w:t>ec</w:t>
      </w:r>
      <w:r w:rsidR="006B2DA2">
        <w:rPr>
          <w:rFonts w:asciiTheme="minorHAnsi" w:hAnsiTheme="minorHAnsi"/>
        </w:rPr>
        <w:t>h</w:t>
      </w:r>
      <w:proofErr w:type="spellEnd"/>
      <w:r w:rsidR="003D01EB" w:rsidRPr="00055517">
        <w:rPr>
          <w:rFonts w:asciiTheme="minorHAnsi" w:hAnsiTheme="minorHAnsi"/>
        </w:rPr>
        <w:t xml:space="preserve"> </w:t>
      </w:r>
      <w:r w:rsidR="003D01EB">
        <w:rPr>
          <w:rFonts w:asciiTheme="minorHAnsi" w:hAnsiTheme="minorHAnsi"/>
        </w:rPr>
        <w:t>et al. (</w:t>
      </w:r>
      <w:r w:rsidR="003D01EB" w:rsidRPr="00055517">
        <w:rPr>
          <w:rFonts w:asciiTheme="minorHAnsi" w:hAnsiTheme="minorHAnsi"/>
        </w:rPr>
        <w:t>2012</w:t>
      </w:r>
      <w:r w:rsidR="003D01EB">
        <w:rPr>
          <w:rFonts w:asciiTheme="minorHAnsi" w:hAnsiTheme="minorHAnsi"/>
        </w:rPr>
        <w:t xml:space="preserve">), and </w:t>
      </w:r>
      <w:proofErr w:type="spellStart"/>
      <w:r w:rsidR="003D01EB">
        <w:rPr>
          <w:rFonts w:asciiTheme="minorHAnsi" w:hAnsiTheme="minorHAnsi"/>
        </w:rPr>
        <w:t>Takats</w:t>
      </w:r>
      <w:proofErr w:type="spellEnd"/>
      <w:r w:rsidR="003D01EB">
        <w:rPr>
          <w:rFonts w:asciiTheme="minorHAnsi" w:hAnsiTheme="minorHAnsi"/>
        </w:rPr>
        <w:t xml:space="preserve"> and Upper (2013).  </w:t>
      </w:r>
      <w:r w:rsidR="000657BE">
        <w:rPr>
          <w:rFonts w:asciiTheme="minorHAnsi" w:hAnsiTheme="minorHAnsi"/>
        </w:rPr>
        <w:t>The control</w:t>
      </w:r>
      <w:r w:rsidR="006E770E" w:rsidRPr="00FE67C1">
        <w:rPr>
          <w:rFonts w:asciiTheme="minorHAnsi" w:hAnsiTheme="minorHAnsi"/>
        </w:rPr>
        <w:t xml:space="preserve"> </w:t>
      </w:r>
      <w:r w:rsidR="006E770E">
        <w:rPr>
          <w:rFonts w:asciiTheme="minorHAnsi" w:hAnsiTheme="minorHAnsi"/>
        </w:rPr>
        <w:t xml:space="preserve">variables </w:t>
      </w:r>
      <w:r w:rsidR="003D01EB">
        <w:rPr>
          <w:rFonts w:asciiTheme="minorHAnsi" w:hAnsiTheme="minorHAnsi"/>
        </w:rPr>
        <w:t xml:space="preserve">are </w:t>
      </w:r>
      <w:r w:rsidR="006E770E">
        <w:rPr>
          <w:rFonts w:asciiTheme="minorHAnsi" w:hAnsiTheme="minorHAnsi"/>
        </w:rPr>
        <w:t xml:space="preserve">represented by the vector </w:t>
      </w:r>
      <w:r w:rsidR="006E770E" w:rsidRPr="00516A21">
        <w:rPr>
          <w:rFonts w:asciiTheme="minorHAnsi" w:hAnsiTheme="minorHAnsi"/>
          <w:b/>
          <w:i/>
        </w:rPr>
        <w:t>X</w:t>
      </w:r>
      <w:r w:rsidR="000178FB">
        <w:rPr>
          <w:rFonts w:asciiTheme="minorHAnsi" w:hAnsiTheme="minorHAnsi"/>
        </w:rPr>
        <w:t>, a</w:t>
      </w:r>
      <w:r w:rsidR="006E770E">
        <w:rPr>
          <w:rFonts w:asciiTheme="minorHAnsi" w:hAnsiTheme="minorHAnsi"/>
        </w:rPr>
        <w:t xml:space="preserve">nd </w:t>
      </w:r>
      <w:r w:rsidR="006E770E" w:rsidRPr="00516A21">
        <w:rPr>
          <w:rFonts w:asciiTheme="minorHAnsi" w:hAnsiTheme="minorHAnsi"/>
          <w:b/>
        </w:rPr>
        <w:t>θ</w:t>
      </w:r>
      <w:r w:rsidR="006E770E">
        <w:rPr>
          <w:rFonts w:asciiTheme="minorHAnsi" w:hAnsiTheme="minorHAnsi"/>
        </w:rPr>
        <w:t xml:space="preserve"> is </w:t>
      </w:r>
      <w:r w:rsidR="003D01EB">
        <w:rPr>
          <w:rFonts w:asciiTheme="minorHAnsi" w:hAnsiTheme="minorHAnsi"/>
        </w:rPr>
        <w:t>the corresponding</w:t>
      </w:r>
      <w:r w:rsidR="006E770E">
        <w:rPr>
          <w:rFonts w:asciiTheme="minorHAnsi" w:hAnsiTheme="minorHAnsi"/>
        </w:rPr>
        <w:t xml:space="preserve"> vector of parameters.  The role of the control variables is to address the classical problem of variable omission bias.  </w:t>
      </w:r>
      <w:r w:rsidR="006E770E">
        <w:rPr>
          <w:rFonts w:asciiTheme="minorHAnsi" w:hAnsiTheme="minorHAnsi"/>
          <w:i/>
        </w:rPr>
        <w:t xml:space="preserve"> </w:t>
      </w:r>
      <w:r w:rsidR="006E770E" w:rsidRPr="00516A21">
        <w:rPr>
          <w:rFonts w:asciiTheme="minorHAnsi" w:hAnsiTheme="minorHAnsi"/>
        </w:rPr>
        <w:t>The</w:t>
      </w:r>
      <w:r w:rsidR="006E770E">
        <w:rPr>
          <w:rFonts w:asciiTheme="minorHAnsi" w:hAnsiTheme="minorHAnsi"/>
        </w:rPr>
        <w:t xml:space="preserve"> </w:t>
      </w:r>
      <w:r w:rsidR="00D84F14">
        <w:rPr>
          <w:rFonts w:asciiTheme="minorHAnsi" w:hAnsiTheme="minorHAnsi"/>
        </w:rPr>
        <w:t>three</w:t>
      </w:r>
      <w:r w:rsidR="00197DDA">
        <w:rPr>
          <w:rFonts w:asciiTheme="minorHAnsi" w:hAnsiTheme="minorHAnsi"/>
        </w:rPr>
        <w:t xml:space="preserve"> </w:t>
      </w:r>
      <w:r w:rsidR="006E770E">
        <w:rPr>
          <w:rFonts w:asciiTheme="minorHAnsi" w:hAnsiTheme="minorHAnsi"/>
        </w:rPr>
        <w:t xml:space="preserve">control variables </w:t>
      </w:r>
      <w:r w:rsidR="006E770E" w:rsidRPr="00516A21">
        <w:rPr>
          <w:rFonts w:asciiTheme="minorHAnsi" w:hAnsiTheme="minorHAnsi"/>
        </w:rPr>
        <w:t>are</w:t>
      </w:r>
      <w:r w:rsidR="00D84F14">
        <w:rPr>
          <w:rFonts w:asciiTheme="minorHAnsi" w:hAnsiTheme="minorHAnsi"/>
        </w:rPr>
        <w:t xml:space="preserve"> as follows</w:t>
      </w:r>
      <w:r w:rsidR="006E770E" w:rsidRPr="006E770E">
        <w:rPr>
          <w:rFonts w:asciiTheme="minorHAnsi" w:hAnsiTheme="minorHAnsi"/>
        </w:rPr>
        <w:t>:</w:t>
      </w:r>
      <w:r w:rsidR="006E770E">
        <w:rPr>
          <w:rFonts w:asciiTheme="minorHAnsi" w:hAnsiTheme="minorHAnsi"/>
        </w:rPr>
        <w:t xml:space="preserve"> </w:t>
      </w:r>
    </w:p>
    <w:p w14:paraId="2E070682" w14:textId="77777777" w:rsidR="00A74BA3" w:rsidRDefault="00A74BA3" w:rsidP="006E770E">
      <w:pPr>
        <w:jc w:val="both"/>
        <w:rPr>
          <w:rFonts w:asciiTheme="minorHAnsi" w:hAnsiTheme="minorHAnsi"/>
        </w:rPr>
      </w:pPr>
    </w:p>
    <w:p w14:paraId="4C51A182" w14:textId="420ED98A" w:rsidR="006E770E" w:rsidRDefault="006E770E" w:rsidP="00516A21">
      <w:pPr>
        <w:numPr>
          <w:ilvl w:val="0"/>
          <w:numId w:val="7"/>
        </w:numPr>
        <w:jc w:val="both"/>
        <w:rPr>
          <w:rFonts w:asciiTheme="minorHAnsi" w:hAnsiTheme="minorHAnsi"/>
        </w:rPr>
      </w:pPr>
      <w:r>
        <w:rPr>
          <w:rFonts w:asciiTheme="minorHAnsi" w:hAnsiTheme="minorHAnsi"/>
        </w:rPr>
        <w:t xml:space="preserve">National Debt (as a </w:t>
      </w:r>
      <w:r w:rsidR="00D84F14">
        <w:rPr>
          <w:rFonts w:asciiTheme="minorHAnsi" w:hAnsiTheme="minorHAnsi"/>
        </w:rPr>
        <w:t xml:space="preserve">percentage </w:t>
      </w:r>
      <w:r>
        <w:rPr>
          <w:rFonts w:asciiTheme="minorHAnsi" w:hAnsiTheme="minorHAnsi"/>
        </w:rPr>
        <w:t>of GDP)</w:t>
      </w:r>
    </w:p>
    <w:p w14:paraId="678D7802" w14:textId="4EBC686F" w:rsidR="00A74BA3" w:rsidRDefault="006E770E" w:rsidP="00A74BA3">
      <w:pPr>
        <w:numPr>
          <w:ilvl w:val="0"/>
          <w:numId w:val="7"/>
        </w:numPr>
        <w:jc w:val="both"/>
        <w:rPr>
          <w:rFonts w:asciiTheme="minorHAnsi" w:hAnsiTheme="minorHAnsi"/>
        </w:rPr>
      </w:pPr>
      <w:r>
        <w:rPr>
          <w:rFonts w:asciiTheme="minorHAnsi" w:hAnsiTheme="minorHAnsi"/>
        </w:rPr>
        <w:t xml:space="preserve">Real Investment (Gross Capital Formation) as a </w:t>
      </w:r>
      <w:r w:rsidR="00D84F14">
        <w:rPr>
          <w:rFonts w:asciiTheme="minorHAnsi" w:hAnsiTheme="minorHAnsi"/>
        </w:rPr>
        <w:t xml:space="preserve">percentage </w:t>
      </w:r>
      <w:r>
        <w:rPr>
          <w:rFonts w:asciiTheme="minorHAnsi" w:hAnsiTheme="minorHAnsi"/>
        </w:rPr>
        <w:t>of GDP</w:t>
      </w:r>
      <w:r w:rsidR="00A74BA3" w:rsidRPr="00A74BA3">
        <w:rPr>
          <w:rFonts w:asciiTheme="minorHAnsi" w:hAnsiTheme="minorHAnsi"/>
        </w:rPr>
        <w:t xml:space="preserve"> </w:t>
      </w:r>
    </w:p>
    <w:p w14:paraId="38B9753B" w14:textId="543EE6A7" w:rsidR="00A74BA3" w:rsidRDefault="00A74BA3" w:rsidP="00A74BA3">
      <w:pPr>
        <w:numPr>
          <w:ilvl w:val="0"/>
          <w:numId w:val="7"/>
        </w:numPr>
        <w:jc w:val="both"/>
        <w:rPr>
          <w:rFonts w:asciiTheme="minorHAnsi" w:hAnsiTheme="minorHAnsi"/>
        </w:rPr>
      </w:pPr>
      <w:r>
        <w:rPr>
          <w:rFonts w:asciiTheme="minorHAnsi" w:hAnsiTheme="minorHAnsi"/>
        </w:rPr>
        <w:t xml:space="preserve">Country i’s Real Exchange Rate </w:t>
      </w:r>
    </w:p>
    <w:p w14:paraId="3598E4A7" w14:textId="77777777" w:rsidR="006E770E" w:rsidRDefault="006E770E" w:rsidP="00516A21">
      <w:pPr>
        <w:ind w:left="720"/>
        <w:jc w:val="both"/>
        <w:rPr>
          <w:rFonts w:asciiTheme="minorHAnsi" w:hAnsiTheme="minorHAnsi"/>
        </w:rPr>
      </w:pPr>
    </w:p>
    <w:p w14:paraId="428C0BEE" w14:textId="2CFF5A58" w:rsidR="0031298F" w:rsidRDefault="00AF0D43" w:rsidP="009002CC">
      <w:pPr>
        <w:jc w:val="both"/>
        <w:rPr>
          <w:rFonts w:asciiTheme="minorHAnsi" w:hAnsiTheme="minorHAnsi"/>
        </w:rPr>
      </w:pPr>
      <w:r>
        <w:rPr>
          <w:rFonts w:asciiTheme="minorHAnsi" w:hAnsiTheme="minorHAnsi"/>
        </w:rPr>
        <w:t>Model (1) is estimated using a fixed</w:t>
      </w:r>
      <w:r w:rsidR="000178FB">
        <w:rPr>
          <w:rFonts w:asciiTheme="minorHAnsi" w:hAnsiTheme="minorHAnsi"/>
        </w:rPr>
        <w:t>-</w:t>
      </w:r>
      <w:r>
        <w:rPr>
          <w:rFonts w:asciiTheme="minorHAnsi" w:hAnsiTheme="minorHAnsi"/>
        </w:rPr>
        <w:t xml:space="preserve">effect estimation approach </w:t>
      </w:r>
      <w:r w:rsidR="00D84F14">
        <w:rPr>
          <w:rFonts w:asciiTheme="minorHAnsi" w:hAnsiTheme="minorHAnsi"/>
        </w:rPr>
        <w:t>with</w:t>
      </w:r>
      <w:r w:rsidR="009002CC">
        <w:rPr>
          <w:rFonts w:asciiTheme="minorHAnsi" w:hAnsiTheme="minorHAnsi"/>
        </w:rPr>
        <w:t xml:space="preserve"> a robust estimator suggested by Arellano (2003)</w:t>
      </w:r>
      <w:r w:rsidR="0031298F">
        <w:rPr>
          <w:rFonts w:asciiTheme="minorHAnsi" w:hAnsiTheme="minorHAnsi"/>
        </w:rPr>
        <w:t>.</w:t>
      </w:r>
      <w:r w:rsidR="009002CC">
        <w:rPr>
          <w:rFonts w:asciiTheme="minorHAnsi" w:hAnsiTheme="minorHAnsi"/>
        </w:rPr>
        <w:t xml:space="preserve">  </w:t>
      </w:r>
    </w:p>
    <w:p w14:paraId="072AA0BF" w14:textId="77777777" w:rsidR="0031298F" w:rsidRDefault="0031298F" w:rsidP="009002CC">
      <w:pPr>
        <w:jc w:val="both"/>
        <w:rPr>
          <w:rFonts w:asciiTheme="minorHAnsi" w:hAnsiTheme="minorHAnsi"/>
        </w:rPr>
      </w:pPr>
    </w:p>
    <w:p w14:paraId="2A9A8502" w14:textId="5B39AAA6" w:rsidR="009002CC" w:rsidRDefault="009002CC" w:rsidP="009002CC">
      <w:pPr>
        <w:jc w:val="both"/>
        <w:rPr>
          <w:rFonts w:asciiTheme="minorHAnsi" w:hAnsiTheme="minorHAnsi"/>
        </w:rPr>
      </w:pPr>
      <w:r>
        <w:rPr>
          <w:rFonts w:asciiTheme="minorHAnsi" w:hAnsiTheme="minorHAnsi"/>
        </w:rPr>
        <w:t xml:space="preserve">Because the effect of the bank credit on growth may not be contemporaneous, we expand model (1) by allowing </w:t>
      </w:r>
      <w:r w:rsidR="00D84F14">
        <w:rPr>
          <w:rFonts w:asciiTheme="minorHAnsi" w:hAnsiTheme="minorHAnsi"/>
        </w:rPr>
        <w:t>three</w:t>
      </w:r>
      <w:r>
        <w:rPr>
          <w:rFonts w:asciiTheme="minorHAnsi" w:hAnsiTheme="minorHAnsi"/>
        </w:rPr>
        <w:t xml:space="preserve"> </w:t>
      </w:r>
      <w:r w:rsidR="000178FB">
        <w:rPr>
          <w:rFonts w:asciiTheme="minorHAnsi" w:hAnsiTheme="minorHAnsi"/>
        </w:rPr>
        <w:t xml:space="preserve">annual </w:t>
      </w:r>
      <w:r>
        <w:rPr>
          <w:rFonts w:asciiTheme="minorHAnsi" w:hAnsiTheme="minorHAnsi"/>
        </w:rPr>
        <w:t>lag</w:t>
      </w:r>
      <w:r w:rsidR="00197DDA">
        <w:rPr>
          <w:rFonts w:asciiTheme="minorHAnsi" w:hAnsiTheme="minorHAnsi"/>
        </w:rPr>
        <w:t>s</w:t>
      </w:r>
      <w:r w:rsidR="0031298F">
        <w:rPr>
          <w:rFonts w:asciiTheme="minorHAnsi" w:hAnsiTheme="minorHAnsi"/>
        </w:rPr>
        <w:t xml:space="preserve">.  </w:t>
      </w:r>
      <w:r w:rsidR="00D02AB8">
        <w:rPr>
          <w:rFonts w:asciiTheme="minorHAnsi" w:hAnsiTheme="minorHAnsi"/>
        </w:rPr>
        <w:t xml:space="preserve">The lag effect is consistent with the findings of </w:t>
      </w:r>
      <w:proofErr w:type="spellStart"/>
      <w:r w:rsidR="00D02AB8" w:rsidRPr="008955C7">
        <w:rPr>
          <w:rFonts w:asciiTheme="minorHAnsi" w:hAnsiTheme="minorHAnsi"/>
        </w:rPr>
        <w:t>Takáts</w:t>
      </w:r>
      <w:proofErr w:type="spellEnd"/>
      <w:r w:rsidR="00D02AB8" w:rsidRPr="008955C7">
        <w:rPr>
          <w:rFonts w:asciiTheme="minorHAnsi" w:hAnsiTheme="minorHAnsi"/>
        </w:rPr>
        <w:t xml:space="preserve"> and Upper</w:t>
      </w:r>
      <w:r w:rsidR="00D02AB8">
        <w:rPr>
          <w:rFonts w:asciiTheme="minorHAnsi" w:hAnsiTheme="minorHAnsi"/>
        </w:rPr>
        <w:t xml:space="preserve"> </w:t>
      </w:r>
      <w:r w:rsidR="00D02AB8" w:rsidRPr="00750AE0">
        <w:rPr>
          <w:rFonts w:asciiTheme="minorHAnsi" w:hAnsiTheme="minorHAnsi"/>
        </w:rPr>
        <w:t>(20</w:t>
      </w:r>
      <w:r w:rsidR="00D02AB8">
        <w:rPr>
          <w:rFonts w:asciiTheme="minorHAnsi" w:hAnsiTheme="minorHAnsi"/>
        </w:rPr>
        <w:t>13</w:t>
      </w:r>
      <w:r w:rsidR="00D02AB8" w:rsidRPr="00750AE0">
        <w:rPr>
          <w:rFonts w:asciiTheme="minorHAnsi" w:hAnsiTheme="minorHAnsi"/>
        </w:rPr>
        <w:t>)</w:t>
      </w:r>
      <w:r w:rsidR="00D02AB8">
        <w:rPr>
          <w:rFonts w:asciiTheme="minorHAnsi" w:hAnsiTheme="minorHAnsi"/>
        </w:rPr>
        <w:t xml:space="preserve"> who argue that the change in bank credit consistently fails to correlate with growth during the first two years of the recovery.  </w:t>
      </w:r>
      <w:r w:rsidR="0046708D">
        <w:rPr>
          <w:rFonts w:asciiTheme="minorHAnsi" w:hAnsiTheme="minorHAnsi"/>
        </w:rPr>
        <w:t xml:space="preserve"> </w:t>
      </w:r>
    </w:p>
    <w:p w14:paraId="14A55915" w14:textId="77777777" w:rsidR="009002CC" w:rsidRDefault="009002CC" w:rsidP="009002CC">
      <w:pPr>
        <w:jc w:val="both"/>
        <w:rPr>
          <w:rFonts w:asciiTheme="minorHAnsi" w:hAnsiTheme="minorHAnsi"/>
        </w:rPr>
      </w:pPr>
    </w:p>
    <w:p w14:paraId="4BC60630" w14:textId="2685F24D" w:rsidR="009002CC" w:rsidRPr="0046708D" w:rsidRDefault="00410DC7" w:rsidP="00516A21">
      <w:pPr>
        <w:ind w:left="720" w:firstLine="720"/>
        <w:jc w:val="both"/>
        <w:rPr>
          <w:rFonts w:asciiTheme="minorHAnsi" w:hAnsiTheme="minorHAnsi"/>
        </w:rPr>
      </w:pPr>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s=0</m:t>
            </m:r>
          </m:sub>
          <m:sup>
            <m:r>
              <w:rPr>
                <w:rFonts w:ascii="Cambria Math" w:hAnsi="Cambria Math"/>
              </w:rPr>
              <m:t>3</m:t>
            </m:r>
          </m:sup>
          <m:e>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s</m:t>
                    </m:r>
                  </m:sub>
                </m:sSub>
                <m:r>
                  <w:rPr>
                    <w:rFonts w:ascii="Cambria Math" w:hAnsi="Cambria Math"/>
                  </w:rPr>
                  <m:t>CR</m:t>
                </m:r>
              </m:e>
              <m:sub>
                <m:r>
                  <w:rPr>
                    <w:rFonts w:ascii="Cambria Math" w:hAnsi="Cambria Math"/>
                  </w:rPr>
                  <m:t>i,t-s</m:t>
                </m:r>
              </m:sub>
            </m:sSub>
          </m:e>
        </m:nary>
        <m:r>
          <w:rPr>
            <w:rFonts w:ascii="Cambria Math" w:hAnsi="Cambria Math"/>
          </w:rPr>
          <m:t>+θ'</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it</m:t>
            </m:r>
          </m:sub>
        </m:sSub>
      </m:oMath>
      <w:r w:rsidR="0046708D">
        <w:rPr>
          <w:rFonts w:asciiTheme="minorHAnsi" w:hAnsiTheme="minorHAnsi"/>
        </w:rPr>
        <w:t xml:space="preserve"> </w:t>
      </w:r>
      <w:r w:rsidR="0031298F">
        <w:rPr>
          <w:rFonts w:asciiTheme="minorHAnsi" w:hAnsiTheme="minorHAnsi"/>
        </w:rPr>
        <w:tab/>
      </w:r>
      <w:r w:rsidR="0031298F">
        <w:rPr>
          <w:rFonts w:asciiTheme="minorHAnsi" w:hAnsiTheme="minorHAnsi"/>
        </w:rPr>
        <w:tab/>
      </w:r>
      <w:r w:rsidR="0031298F">
        <w:rPr>
          <w:rFonts w:asciiTheme="minorHAnsi" w:hAnsiTheme="minorHAnsi"/>
        </w:rPr>
        <w:tab/>
      </w:r>
      <w:r w:rsidR="0031298F">
        <w:rPr>
          <w:rFonts w:asciiTheme="minorHAnsi" w:hAnsiTheme="minorHAnsi"/>
        </w:rPr>
        <w:tab/>
        <w:t>(</w:t>
      </w:r>
      <w:r w:rsidR="0046708D">
        <w:rPr>
          <w:rFonts w:asciiTheme="minorHAnsi" w:hAnsiTheme="minorHAnsi"/>
        </w:rPr>
        <w:t>2</w:t>
      </w:r>
      <w:r w:rsidR="0031298F">
        <w:rPr>
          <w:rFonts w:asciiTheme="minorHAnsi" w:hAnsiTheme="minorHAnsi"/>
        </w:rPr>
        <w:t>)</w:t>
      </w:r>
    </w:p>
    <w:p w14:paraId="23D1B5B4" w14:textId="77777777" w:rsidR="009002CC" w:rsidRDefault="009002CC" w:rsidP="00AF0D43">
      <w:pPr>
        <w:jc w:val="both"/>
        <w:rPr>
          <w:rFonts w:asciiTheme="minorHAnsi" w:hAnsiTheme="minorHAnsi"/>
        </w:rPr>
      </w:pPr>
    </w:p>
    <w:p w14:paraId="7C54E196" w14:textId="3B1F512D" w:rsidR="00AF0D43" w:rsidRDefault="00D02AB8" w:rsidP="00AF0D43">
      <w:pPr>
        <w:jc w:val="both"/>
        <w:rPr>
          <w:rFonts w:asciiTheme="minorHAnsi" w:hAnsiTheme="minorHAnsi"/>
        </w:rPr>
      </w:pPr>
      <w:r>
        <w:rPr>
          <w:rFonts w:asciiTheme="minorHAnsi" w:hAnsiTheme="minorHAnsi"/>
        </w:rPr>
        <w:t xml:space="preserve">Model (2) allows us to determine the lag effect of the correlation between bank credit and growth.  We are careful to describe this relation as ‘just a correlation’ because the direction of causality has not been determined and this subject </w:t>
      </w:r>
      <w:r w:rsidR="00866D5F">
        <w:rPr>
          <w:rFonts w:asciiTheme="minorHAnsi" w:hAnsiTheme="minorHAnsi"/>
        </w:rPr>
        <w:t xml:space="preserve">represents </w:t>
      </w:r>
      <w:r>
        <w:rPr>
          <w:rFonts w:asciiTheme="minorHAnsi" w:hAnsiTheme="minorHAnsi"/>
        </w:rPr>
        <w:t xml:space="preserve">a contentious question widely debated in the literature.  </w:t>
      </w:r>
      <w:r w:rsidR="0046708D">
        <w:rPr>
          <w:rFonts w:asciiTheme="minorHAnsi" w:hAnsiTheme="minorHAnsi"/>
        </w:rPr>
        <w:t xml:space="preserve"> </w:t>
      </w:r>
    </w:p>
    <w:p w14:paraId="140759C7" w14:textId="2075E151" w:rsidR="00976287" w:rsidRPr="00FE67C1" w:rsidRDefault="00976287" w:rsidP="00976287">
      <w:pPr>
        <w:ind w:firstLine="720"/>
        <w:jc w:val="both"/>
        <w:rPr>
          <w:rFonts w:asciiTheme="minorHAnsi" w:hAnsiTheme="minorHAnsi"/>
        </w:rPr>
      </w:pPr>
    </w:p>
    <w:p w14:paraId="7C5E1746" w14:textId="6951F10C" w:rsidR="00BC75D5" w:rsidRDefault="004252CA" w:rsidP="00410DC7">
      <w:pPr>
        <w:jc w:val="both"/>
        <w:rPr>
          <w:rFonts w:asciiTheme="minorHAnsi" w:hAnsiTheme="minorHAnsi"/>
        </w:rPr>
      </w:pPr>
      <w:r>
        <w:rPr>
          <w:rFonts w:asciiTheme="minorHAnsi" w:hAnsiTheme="minorHAnsi"/>
        </w:rPr>
        <w:t xml:space="preserve">A key limitation of Models (1) </w:t>
      </w:r>
      <w:r w:rsidR="007D0AF1">
        <w:rPr>
          <w:rFonts w:asciiTheme="minorHAnsi" w:hAnsiTheme="minorHAnsi"/>
        </w:rPr>
        <w:t>and</w:t>
      </w:r>
      <w:r>
        <w:rPr>
          <w:rFonts w:asciiTheme="minorHAnsi" w:hAnsiTheme="minorHAnsi"/>
        </w:rPr>
        <w:t xml:space="preserve"> (</w:t>
      </w:r>
      <w:r w:rsidR="007D0AF1">
        <w:rPr>
          <w:rFonts w:asciiTheme="minorHAnsi" w:hAnsiTheme="minorHAnsi"/>
        </w:rPr>
        <w:t>2</w:t>
      </w:r>
      <w:r>
        <w:rPr>
          <w:rFonts w:asciiTheme="minorHAnsi" w:hAnsiTheme="minorHAnsi"/>
        </w:rPr>
        <w:t xml:space="preserve">) is the fact that the panel analysis is static. </w:t>
      </w:r>
      <w:r w:rsidR="00197DDA">
        <w:rPr>
          <w:rFonts w:asciiTheme="minorHAnsi" w:hAnsiTheme="minorHAnsi"/>
        </w:rPr>
        <w:t xml:space="preserve">We relax this assumption by </w:t>
      </w:r>
      <w:r w:rsidR="00BC75D5">
        <w:rPr>
          <w:rFonts w:asciiTheme="minorHAnsi" w:hAnsiTheme="minorHAnsi"/>
        </w:rPr>
        <w:t>expand</w:t>
      </w:r>
      <w:r w:rsidR="00197DDA">
        <w:rPr>
          <w:rFonts w:asciiTheme="minorHAnsi" w:hAnsiTheme="minorHAnsi"/>
        </w:rPr>
        <w:t>ing</w:t>
      </w:r>
      <w:r w:rsidR="00BC75D5">
        <w:rPr>
          <w:rFonts w:asciiTheme="minorHAnsi" w:hAnsiTheme="minorHAnsi"/>
        </w:rPr>
        <w:t xml:space="preserve"> th</w:t>
      </w:r>
      <w:r w:rsidR="00197DDA">
        <w:rPr>
          <w:rFonts w:asciiTheme="minorHAnsi" w:hAnsiTheme="minorHAnsi"/>
        </w:rPr>
        <w:t xml:space="preserve">e </w:t>
      </w:r>
      <w:r w:rsidR="00866D5F">
        <w:rPr>
          <w:rFonts w:asciiTheme="minorHAnsi" w:hAnsiTheme="minorHAnsi"/>
        </w:rPr>
        <w:t xml:space="preserve">structure </w:t>
      </w:r>
      <w:r w:rsidR="00197DDA">
        <w:rPr>
          <w:rFonts w:asciiTheme="minorHAnsi" w:hAnsiTheme="minorHAnsi"/>
        </w:rPr>
        <w:t xml:space="preserve">of the model and </w:t>
      </w:r>
      <w:r w:rsidR="00BC75D5">
        <w:rPr>
          <w:rFonts w:asciiTheme="minorHAnsi" w:hAnsiTheme="minorHAnsi"/>
        </w:rPr>
        <w:t xml:space="preserve">allow lags in the dependent variable </w:t>
      </w:r>
      <w:r w:rsidR="00BC75D5" w:rsidRPr="00516A21">
        <w:rPr>
          <w:rFonts w:asciiTheme="minorHAnsi" w:hAnsiTheme="minorHAnsi"/>
          <w:i/>
        </w:rPr>
        <w:t>Y</w:t>
      </w:r>
      <w:r w:rsidR="00BC75D5">
        <w:rPr>
          <w:rFonts w:asciiTheme="minorHAnsi" w:hAnsiTheme="minorHAnsi"/>
        </w:rPr>
        <w:t xml:space="preserve"> in a dynamic panel data </w:t>
      </w:r>
      <w:r w:rsidR="003D01EB">
        <w:rPr>
          <w:rFonts w:asciiTheme="minorHAnsi" w:hAnsiTheme="minorHAnsi"/>
        </w:rPr>
        <w:t>framework</w:t>
      </w:r>
      <w:r w:rsidR="00197DDA">
        <w:rPr>
          <w:rFonts w:asciiTheme="minorHAnsi" w:hAnsiTheme="minorHAnsi"/>
        </w:rPr>
        <w:t xml:space="preserve">.  We </w:t>
      </w:r>
      <w:r w:rsidR="00BC75D5">
        <w:rPr>
          <w:rFonts w:asciiTheme="minorHAnsi" w:hAnsiTheme="minorHAnsi"/>
        </w:rPr>
        <w:t>us</w:t>
      </w:r>
      <w:r w:rsidR="00197DDA">
        <w:rPr>
          <w:rFonts w:asciiTheme="minorHAnsi" w:hAnsiTheme="minorHAnsi"/>
        </w:rPr>
        <w:t>e</w:t>
      </w:r>
      <w:r w:rsidR="00BC75D5">
        <w:rPr>
          <w:rFonts w:asciiTheme="minorHAnsi" w:hAnsiTheme="minorHAnsi"/>
        </w:rPr>
        <w:t xml:space="preserve"> </w:t>
      </w:r>
      <w:r w:rsidR="00866D5F">
        <w:rPr>
          <w:rFonts w:asciiTheme="minorHAnsi" w:hAnsiTheme="minorHAnsi"/>
        </w:rPr>
        <w:t>the</w:t>
      </w:r>
      <w:r w:rsidR="00BC75D5">
        <w:rPr>
          <w:rFonts w:asciiTheme="minorHAnsi" w:hAnsiTheme="minorHAnsi"/>
        </w:rPr>
        <w:t xml:space="preserve"> system estimator suggested by Blundell and Bond (1998)</w:t>
      </w:r>
      <w:r w:rsidR="00197DDA">
        <w:rPr>
          <w:rFonts w:asciiTheme="minorHAnsi" w:hAnsiTheme="minorHAnsi"/>
        </w:rPr>
        <w:t>.  The dynamic panel model takes the form</w:t>
      </w:r>
      <w:r w:rsidR="00BC75D5">
        <w:rPr>
          <w:rFonts w:asciiTheme="minorHAnsi" w:hAnsiTheme="minorHAnsi"/>
        </w:rPr>
        <w:t>:</w:t>
      </w:r>
    </w:p>
    <w:p w14:paraId="36C89CFF" w14:textId="77777777" w:rsidR="00BC75D5" w:rsidRDefault="00BC75D5" w:rsidP="00750AE0">
      <w:pPr>
        <w:rPr>
          <w:rFonts w:asciiTheme="minorHAnsi" w:hAnsiTheme="minorHAnsi"/>
        </w:rPr>
      </w:pPr>
    </w:p>
    <w:p w14:paraId="51A16E64" w14:textId="1C145447" w:rsidR="00750AE0" w:rsidRDefault="00BC75D5" w:rsidP="00750AE0">
      <w:pPr>
        <w:rPr>
          <w:rFonts w:asciiTheme="minorHAnsi" w:hAnsiTheme="minorHAnsi"/>
        </w:rPr>
      </w:pPr>
      <w:r>
        <w:rPr>
          <w:rFonts w:asciiTheme="minorHAnsi" w:hAnsiTheme="minorHAnsi"/>
        </w:rPr>
        <w:t xml:space="preserve"> </w:t>
      </w:r>
      <w:r w:rsidR="004252CA">
        <w:rPr>
          <w:rFonts w:asciiTheme="minorHAnsi" w:hAnsiTheme="minorHAnsi"/>
        </w:rPr>
        <w:t xml:space="preserve"> </w:t>
      </w:r>
      <w:r>
        <w:rPr>
          <w:rFonts w:asciiTheme="minorHAnsi" w:hAnsiTheme="minorHAnsi"/>
        </w:rPr>
        <w:tab/>
      </w:r>
      <w:r w:rsidR="004252CA">
        <w:rPr>
          <w:rFonts w:asciiTheme="minorHAnsi" w:hAnsiTheme="minorHAnsi"/>
        </w:rPr>
        <w:t xml:space="preserve">  </w:t>
      </w:r>
      <w:r w:rsidR="00A74BA3">
        <w:rPr>
          <w:rFonts w:asciiTheme="minorHAnsi" w:hAnsiTheme="minorHAnsi"/>
        </w:rPr>
        <w:tab/>
      </w:r>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Y</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βCR</m:t>
            </m:r>
          </m:e>
          <m:sub>
            <m:r>
              <w:rPr>
                <w:rFonts w:ascii="Cambria Math" w:hAnsi="Cambria Math"/>
              </w:rPr>
              <m:t>it</m:t>
            </m:r>
          </m:sub>
        </m:sSub>
        <m:r>
          <w:rPr>
            <w:rFonts w:ascii="Cambria Math" w:hAnsi="Cambria Math"/>
          </w:rPr>
          <m:t>+θ'</m:t>
        </m:r>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it</m:t>
            </m:r>
          </m:sub>
        </m:sSub>
      </m:oMath>
      <w:r w:rsidR="004252CA">
        <w:rPr>
          <w:rFonts w:asciiTheme="minorHAnsi" w:hAnsiTheme="minorHAnsi"/>
        </w:rPr>
        <w:t xml:space="preserve">  </w:t>
      </w:r>
      <w:r w:rsidR="00C058EF">
        <w:rPr>
          <w:rFonts w:asciiTheme="minorHAnsi" w:hAnsiTheme="minorHAnsi"/>
        </w:rPr>
        <w:tab/>
      </w:r>
      <w:r w:rsidR="00C058EF">
        <w:rPr>
          <w:rFonts w:asciiTheme="minorHAnsi" w:hAnsiTheme="minorHAnsi"/>
        </w:rPr>
        <w:tab/>
      </w:r>
      <w:r w:rsidR="00C058EF">
        <w:rPr>
          <w:rFonts w:asciiTheme="minorHAnsi" w:hAnsiTheme="minorHAnsi"/>
        </w:rPr>
        <w:tab/>
      </w:r>
      <w:r w:rsidR="00C058EF">
        <w:rPr>
          <w:rFonts w:asciiTheme="minorHAnsi" w:hAnsiTheme="minorHAnsi"/>
        </w:rPr>
        <w:tab/>
        <w:t>(</w:t>
      </w:r>
      <w:r w:rsidR="000A0460">
        <w:rPr>
          <w:rFonts w:asciiTheme="minorHAnsi" w:hAnsiTheme="minorHAnsi"/>
        </w:rPr>
        <w:t>3</w:t>
      </w:r>
      <w:r w:rsidR="00C058EF">
        <w:rPr>
          <w:rFonts w:asciiTheme="minorHAnsi" w:hAnsiTheme="minorHAnsi"/>
        </w:rPr>
        <w:t>)</w:t>
      </w:r>
    </w:p>
    <w:p w14:paraId="6F9BF9F8" w14:textId="77777777" w:rsidR="00866D5F" w:rsidRDefault="00866D5F" w:rsidP="00750AE0">
      <w:pPr>
        <w:rPr>
          <w:rFonts w:asciiTheme="minorHAnsi" w:hAnsiTheme="minorHAnsi"/>
        </w:rPr>
      </w:pPr>
    </w:p>
    <w:p w14:paraId="3F72398E" w14:textId="1D7A0BFB" w:rsidR="00BC75D5" w:rsidRDefault="00866D5F" w:rsidP="00410DC7">
      <w:pPr>
        <w:jc w:val="both"/>
        <w:rPr>
          <w:rFonts w:asciiTheme="minorHAnsi" w:hAnsiTheme="minorHAnsi"/>
        </w:rPr>
      </w:pPr>
      <w:r>
        <w:rPr>
          <w:rFonts w:asciiTheme="minorHAnsi" w:hAnsiTheme="minorHAnsi"/>
        </w:rPr>
        <w:t xml:space="preserve">In this structure, the lagged dependent variable </w:t>
      </w:r>
      <w:r w:rsidR="0090417B" w:rsidRPr="00516A21">
        <w:rPr>
          <w:rFonts w:asciiTheme="minorHAnsi" w:hAnsiTheme="minorHAnsi"/>
          <w:i/>
        </w:rPr>
        <w:t>Y</w:t>
      </w:r>
      <w:r w:rsidR="0090417B" w:rsidRPr="00516A21">
        <w:rPr>
          <w:rFonts w:asciiTheme="minorHAnsi" w:hAnsiTheme="minorHAnsi"/>
          <w:i/>
          <w:vertAlign w:val="subscript"/>
        </w:rPr>
        <w:t>t-1</w:t>
      </w:r>
      <w:r w:rsidR="0090417B">
        <w:rPr>
          <w:rFonts w:asciiTheme="minorHAnsi" w:hAnsiTheme="minorHAnsi"/>
        </w:rPr>
        <w:t xml:space="preserve"> contains the prior effects of bank credit on growth and therefore we eliminate the lagged values of </w:t>
      </w:r>
      <w:proofErr w:type="spellStart"/>
      <w:r w:rsidR="0090417B" w:rsidRPr="00516A21">
        <w:rPr>
          <w:rFonts w:asciiTheme="minorHAnsi" w:hAnsiTheme="minorHAnsi"/>
          <w:i/>
        </w:rPr>
        <w:t>CR</w:t>
      </w:r>
      <w:r w:rsidR="0090417B" w:rsidRPr="00516A21">
        <w:rPr>
          <w:rFonts w:asciiTheme="minorHAnsi" w:hAnsiTheme="minorHAnsi"/>
          <w:i/>
          <w:vertAlign w:val="subscript"/>
        </w:rPr>
        <w:t>t</w:t>
      </w:r>
      <w:proofErr w:type="spellEnd"/>
      <w:r w:rsidR="0090417B" w:rsidRPr="00516A21">
        <w:rPr>
          <w:rFonts w:asciiTheme="minorHAnsi" w:hAnsiTheme="minorHAnsi"/>
          <w:i/>
        </w:rPr>
        <w:t xml:space="preserve"> </w:t>
      </w:r>
      <w:r w:rsidR="0090417B">
        <w:rPr>
          <w:rFonts w:asciiTheme="minorHAnsi" w:hAnsiTheme="minorHAnsi"/>
        </w:rPr>
        <w:t>from the regression.</w:t>
      </w:r>
      <w:r>
        <w:rPr>
          <w:rFonts w:asciiTheme="minorHAnsi" w:hAnsiTheme="minorHAnsi"/>
        </w:rPr>
        <w:t xml:space="preserve"> </w:t>
      </w:r>
    </w:p>
    <w:p w14:paraId="1C16CC3D" w14:textId="77777777" w:rsidR="00BC75D5" w:rsidRDefault="00BC75D5" w:rsidP="00750AE0">
      <w:pPr>
        <w:rPr>
          <w:rFonts w:asciiTheme="minorHAnsi" w:hAnsiTheme="minorHAnsi"/>
        </w:rPr>
      </w:pPr>
    </w:p>
    <w:p w14:paraId="31D48CA2" w14:textId="77777777" w:rsidR="00A74BA3" w:rsidRDefault="00A74BA3" w:rsidP="00750AE0">
      <w:pPr>
        <w:rPr>
          <w:rFonts w:asciiTheme="minorHAnsi" w:hAnsiTheme="minorHAnsi"/>
        </w:rPr>
      </w:pPr>
    </w:p>
    <w:p w14:paraId="4C8A944D" w14:textId="7EAD5358" w:rsidR="00F40DCA" w:rsidRPr="00516A21" w:rsidRDefault="00F40DCA" w:rsidP="00516A21">
      <w:pPr>
        <w:numPr>
          <w:ilvl w:val="0"/>
          <w:numId w:val="3"/>
        </w:numPr>
        <w:rPr>
          <w:rFonts w:asciiTheme="minorHAnsi" w:hAnsiTheme="minorHAnsi"/>
          <w:b/>
        </w:rPr>
      </w:pPr>
      <w:r w:rsidRPr="00516A21">
        <w:rPr>
          <w:rFonts w:asciiTheme="minorHAnsi" w:hAnsiTheme="minorHAnsi"/>
          <w:b/>
        </w:rPr>
        <w:t>Results and Discussion</w:t>
      </w:r>
    </w:p>
    <w:p w14:paraId="7B68360B" w14:textId="77777777" w:rsidR="00F40DCA" w:rsidRDefault="00F40DCA" w:rsidP="00750AE0">
      <w:pPr>
        <w:rPr>
          <w:rFonts w:asciiTheme="minorHAnsi" w:hAnsiTheme="minorHAnsi"/>
        </w:rPr>
      </w:pPr>
    </w:p>
    <w:p w14:paraId="10D0AB4B" w14:textId="4E54837C" w:rsidR="007B539E" w:rsidRDefault="00F40DCA" w:rsidP="00410DC7">
      <w:pPr>
        <w:jc w:val="both"/>
        <w:rPr>
          <w:rFonts w:asciiTheme="minorHAnsi" w:hAnsiTheme="minorHAnsi"/>
        </w:rPr>
      </w:pPr>
      <w:r>
        <w:rPr>
          <w:rFonts w:asciiTheme="minorHAnsi" w:hAnsiTheme="minorHAnsi"/>
        </w:rPr>
        <w:t xml:space="preserve">The descriptive statistics of the sample are provided in Table 1.  </w:t>
      </w:r>
      <w:r w:rsidR="00C17F01">
        <w:rPr>
          <w:rFonts w:asciiTheme="minorHAnsi" w:hAnsiTheme="minorHAnsi"/>
        </w:rPr>
        <w:t xml:space="preserve">Within the </w:t>
      </w:r>
      <w:r w:rsidR="000657BE">
        <w:rPr>
          <w:rFonts w:asciiTheme="minorHAnsi" w:hAnsiTheme="minorHAnsi"/>
        </w:rPr>
        <w:t>five</w:t>
      </w:r>
      <w:r w:rsidR="00C17F01">
        <w:rPr>
          <w:rFonts w:asciiTheme="minorHAnsi" w:hAnsiTheme="minorHAnsi"/>
        </w:rPr>
        <w:t xml:space="preserve"> countries under investigation, </w:t>
      </w:r>
      <w:r w:rsidR="00197DDA">
        <w:rPr>
          <w:rFonts w:asciiTheme="minorHAnsi" w:hAnsiTheme="minorHAnsi"/>
        </w:rPr>
        <w:t xml:space="preserve">we observe </w:t>
      </w:r>
      <w:r w:rsidR="00C17F01">
        <w:rPr>
          <w:rFonts w:asciiTheme="minorHAnsi" w:hAnsiTheme="minorHAnsi"/>
        </w:rPr>
        <w:t>a wide range of differences</w:t>
      </w:r>
      <w:r w:rsidR="007B539E">
        <w:rPr>
          <w:rFonts w:asciiTheme="minorHAnsi" w:hAnsiTheme="minorHAnsi"/>
        </w:rPr>
        <w:t xml:space="preserve"> in their national statistics</w:t>
      </w:r>
      <w:r w:rsidR="00C17F01">
        <w:rPr>
          <w:rFonts w:asciiTheme="minorHAnsi" w:hAnsiTheme="minorHAnsi"/>
        </w:rPr>
        <w:t>.  For example, in terms of the national debt, Libya</w:t>
      </w:r>
      <w:r w:rsidR="00517FB3">
        <w:rPr>
          <w:rFonts w:asciiTheme="minorHAnsi" w:hAnsiTheme="minorHAnsi"/>
        </w:rPr>
        <w:t>’s</w:t>
      </w:r>
      <w:r w:rsidR="00C17F01">
        <w:rPr>
          <w:rFonts w:asciiTheme="minorHAnsi" w:hAnsiTheme="minorHAnsi"/>
        </w:rPr>
        <w:t xml:space="preserve"> </w:t>
      </w:r>
      <w:r w:rsidR="00517FB3">
        <w:rPr>
          <w:rFonts w:asciiTheme="minorHAnsi" w:hAnsiTheme="minorHAnsi"/>
        </w:rPr>
        <w:t xml:space="preserve">government </w:t>
      </w:r>
      <w:r w:rsidR="00C17F01">
        <w:rPr>
          <w:rFonts w:asciiTheme="minorHAnsi" w:hAnsiTheme="minorHAnsi"/>
        </w:rPr>
        <w:t xml:space="preserve">began to record a surplus (represented as a negative number) </w:t>
      </w:r>
      <w:r w:rsidR="00517FB3">
        <w:rPr>
          <w:rFonts w:asciiTheme="minorHAnsi" w:hAnsiTheme="minorHAnsi"/>
        </w:rPr>
        <w:t>since 2003, the year when</w:t>
      </w:r>
      <w:r w:rsidR="007B539E">
        <w:rPr>
          <w:rFonts w:asciiTheme="minorHAnsi" w:hAnsiTheme="minorHAnsi"/>
        </w:rPr>
        <w:t xml:space="preserve"> U</w:t>
      </w:r>
      <w:r w:rsidR="000657BE">
        <w:rPr>
          <w:rFonts w:asciiTheme="minorHAnsi" w:hAnsiTheme="minorHAnsi"/>
        </w:rPr>
        <w:t xml:space="preserve">. </w:t>
      </w:r>
      <w:r w:rsidR="007B539E">
        <w:rPr>
          <w:rFonts w:asciiTheme="minorHAnsi" w:hAnsiTheme="minorHAnsi"/>
        </w:rPr>
        <w:t>S</w:t>
      </w:r>
      <w:r w:rsidR="000657BE">
        <w:rPr>
          <w:rFonts w:asciiTheme="minorHAnsi" w:hAnsiTheme="minorHAnsi"/>
        </w:rPr>
        <w:t>.</w:t>
      </w:r>
      <w:r w:rsidR="007B539E">
        <w:rPr>
          <w:rFonts w:asciiTheme="minorHAnsi" w:hAnsiTheme="minorHAnsi"/>
        </w:rPr>
        <w:t xml:space="preserve"> and International</w:t>
      </w:r>
      <w:r w:rsidR="00517FB3">
        <w:rPr>
          <w:rFonts w:asciiTheme="minorHAnsi" w:hAnsiTheme="minorHAnsi"/>
        </w:rPr>
        <w:t xml:space="preserve"> sanctions began to ease on this country.   </w:t>
      </w:r>
      <w:r w:rsidR="007B539E">
        <w:rPr>
          <w:rFonts w:asciiTheme="minorHAnsi" w:hAnsiTheme="minorHAnsi"/>
        </w:rPr>
        <w:t xml:space="preserve">In that year, the growth rate in Libya’s real GDP registered an astounding 13%. </w:t>
      </w:r>
      <w:r w:rsidR="001A01C2">
        <w:rPr>
          <w:rFonts w:asciiTheme="minorHAnsi" w:hAnsiTheme="minorHAnsi"/>
        </w:rPr>
        <w:t xml:space="preserve"> </w:t>
      </w:r>
      <w:r w:rsidR="00517FB3">
        <w:rPr>
          <w:rFonts w:asciiTheme="minorHAnsi" w:hAnsiTheme="minorHAnsi"/>
        </w:rPr>
        <w:t xml:space="preserve">In 2011, the World Bank </w:t>
      </w:r>
      <w:r w:rsidR="000178FB">
        <w:rPr>
          <w:rFonts w:asciiTheme="minorHAnsi" w:hAnsiTheme="minorHAnsi"/>
        </w:rPr>
        <w:t>statistics report</w:t>
      </w:r>
      <w:r w:rsidR="00D84F14">
        <w:rPr>
          <w:rFonts w:asciiTheme="minorHAnsi" w:hAnsiTheme="minorHAnsi"/>
        </w:rPr>
        <w:t>ed</w:t>
      </w:r>
      <w:r w:rsidR="00517FB3">
        <w:rPr>
          <w:rFonts w:asciiTheme="minorHAnsi" w:hAnsiTheme="minorHAnsi"/>
        </w:rPr>
        <w:t xml:space="preserve"> that </w:t>
      </w:r>
      <w:r w:rsidR="007B539E">
        <w:rPr>
          <w:rFonts w:asciiTheme="minorHAnsi" w:hAnsiTheme="minorHAnsi"/>
        </w:rPr>
        <w:t xml:space="preserve">Libya’s debt </w:t>
      </w:r>
      <w:r w:rsidR="00517FB3">
        <w:rPr>
          <w:rFonts w:asciiTheme="minorHAnsi" w:hAnsiTheme="minorHAnsi"/>
        </w:rPr>
        <w:t>surplus reached 162% of its GDP.  In contrast</w:t>
      </w:r>
      <w:r w:rsidR="007B539E">
        <w:rPr>
          <w:rFonts w:asciiTheme="minorHAnsi" w:hAnsiTheme="minorHAnsi"/>
        </w:rPr>
        <w:t xml:space="preserve"> to Libya</w:t>
      </w:r>
      <w:r w:rsidR="00517FB3">
        <w:rPr>
          <w:rFonts w:asciiTheme="minorHAnsi" w:hAnsiTheme="minorHAnsi"/>
        </w:rPr>
        <w:t xml:space="preserve">, Bahrain has </w:t>
      </w:r>
      <w:r w:rsidR="001A01C2">
        <w:rPr>
          <w:rFonts w:asciiTheme="minorHAnsi" w:hAnsiTheme="minorHAnsi"/>
        </w:rPr>
        <w:t xml:space="preserve">continuously </w:t>
      </w:r>
      <w:r w:rsidR="00517FB3">
        <w:rPr>
          <w:rFonts w:asciiTheme="minorHAnsi" w:hAnsiTheme="minorHAnsi"/>
        </w:rPr>
        <w:t xml:space="preserve">run a </w:t>
      </w:r>
      <w:r w:rsidR="001A01C2">
        <w:rPr>
          <w:rFonts w:asciiTheme="minorHAnsi" w:hAnsiTheme="minorHAnsi"/>
        </w:rPr>
        <w:t xml:space="preserve">debt </w:t>
      </w:r>
      <w:r w:rsidR="00517FB3">
        <w:rPr>
          <w:rFonts w:asciiTheme="minorHAnsi" w:hAnsiTheme="minorHAnsi"/>
        </w:rPr>
        <w:t xml:space="preserve">surplus </w:t>
      </w:r>
      <w:r w:rsidR="007B539E">
        <w:rPr>
          <w:rFonts w:asciiTheme="minorHAnsi" w:hAnsiTheme="minorHAnsi"/>
        </w:rPr>
        <w:t xml:space="preserve">since 1995.  </w:t>
      </w:r>
      <w:r w:rsidR="00197DDA">
        <w:rPr>
          <w:rFonts w:asciiTheme="minorHAnsi" w:hAnsiTheme="minorHAnsi"/>
        </w:rPr>
        <w:t xml:space="preserve">Its </w:t>
      </w:r>
      <w:r w:rsidR="007B539E">
        <w:rPr>
          <w:rFonts w:asciiTheme="minorHAnsi" w:hAnsiTheme="minorHAnsi"/>
        </w:rPr>
        <w:t xml:space="preserve">surplus ended in </w:t>
      </w:r>
      <w:r w:rsidR="00517FB3">
        <w:rPr>
          <w:rFonts w:asciiTheme="minorHAnsi" w:hAnsiTheme="minorHAnsi"/>
        </w:rPr>
        <w:t>2011 when the uprising began</w:t>
      </w:r>
      <w:r w:rsidR="007B539E">
        <w:rPr>
          <w:rFonts w:asciiTheme="minorHAnsi" w:hAnsiTheme="minorHAnsi"/>
        </w:rPr>
        <w:t>, and Bahrain’s economy began to register a deficit.</w:t>
      </w:r>
      <w:r w:rsidR="00517FB3">
        <w:rPr>
          <w:rFonts w:asciiTheme="minorHAnsi" w:hAnsiTheme="minorHAnsi"/>
        </w:rPr>
        <w:t xml:space="preserve"> </w:t>
      </w:r>
      <w:r w:rsidR="007B539E">
        <w:rPr>
          <w:rFonts w:asciiTheme="minorHAnsi" w:hAnsiTheme="minorHAnsi"/>
        </w:rPr>
        <w:t xml:space="preserve"> </w:t>
      </w:r>
    </w:p>
    <w:p w14:paraId="57C3BB8D" w14:textId="77777777" w:rsidR="007B539E" w:rsidRDefault="007B539E" w:rsidP="00410DC7">
      <w:pPr>
        <w:jc w:val="both"/>
        <w:rPr>
          <w:rFonts w:asciiTheme="minorHAnsi" w:hAnsiTheme="minorHAnsi"/>
        </w:rPr>
      </w:pPr>
    </w:p>
    <w:p w14:paraId="1C93C7D4" w14:textId="56C03021" w:rsidR="007B539E" w:rsidRDefault="007B539E" w:rsidP="00410DC7">
      <w:pPr>
        <w:jc w:val="both"/>
        <w:rPr>
          <w:rFonts w:asciiTheme="minorHAnsi" w:hAnsiTheme="minorHAnsi"/>
        </w:rPr>
      </w:pPr>
      <w:r>
        <w:rPr>
          <w:rFonts w:asciiTheme="minorHAnsi" w:hAnsiTheme="minorHAnsi"/>
        </w:rPr>
        <w:t>Table</w:t>
      </w:r>
      <w:r w:rsidR="00D30DF5">
        <w:rPr>
          <w:rFonts w:asciiTheme="minorHAnsi" w:hAnsiTheme="minorHAnsi"/>
        </w:rPr>
        <w:t xml:space="preserve"> 2</w:t>
      </w:r>
      <w:r>
        <w:rPr>
          <w:rFonts w:asciiTheme="minorHAnsi" w:hAnsiTheme="minorHAnsi"/>
        </w:rPr>
        <w:t xml:space="preserve"> shows the impact of the uprising on the countries in question and the Arab World in general.  Some of the noteworthy observations</w:t>
      </w:r>
      <w:r w:rsidR="00197DDA">
        <w:rPr>
          <w:rFonts w:asciiTheme="minorHAnsi" w:hAnsiTheme="minorHAnsi"/>
        </w:rPr>
        <w:t xml:space="preserve"> are</w:t>
      </w:r>
      <w:r w:rsidR="00D84F14">
        <w:rPr>
          <w:rFonts w:asciiTheme="minorHAnsi" w:hAnsiTheme="minorHAnsi"/>
        </w:rPr>
        <w:t xml:space="preserve"> as follows</w:t>
      </w:r>
      <w:r>
        <w:rPr>
          <w:rFonts w:asciiTheme="minorHAnsi" w:hAnsiTheme="minorHAnsi"/>
        </w:rPr>
        <w:t>:</w:t>
      </w:r>
    </w:p>
    <w:p w14:paraId="17C55098" w14:textId="77777777" w:rsidR="007B539E" w:rsidRDefault="007B539E" w:rsidP="00410DC7">
      <w:pPr>
        <w:jc w:val="both"/>
        <w:rPr>
          <w:rFonts w:asciiTheme="minorHAnsi" w:hAnsiTheme="minorHAnsi"/>
        </w:rPr>
      </w:pPr>
    </w:p>
    <w:p w14:paraId="11092511" w14:textId="1B451C71" w:rsidR="007B539E" w:rsidRDefault="00517FB3" w:rsidP="00410DC7">
      <w:pPr>
        <w:numPr>
          <w:ilvl w:val="0"/>
          <w:numId w:val="8"/>
        </w:numPr>
        <w:jc w:val="both"/>
        <w:rPr>
          <w:rFonts w:asciiTheme="minorHAnsi" w:hAnsiTheme="minorHAnsi"/>
        </w:rPr>
      </w:pPr>
      <w:r>
        <w:rPr>
          <w:rFonts w:asciiTheme="minorHAnsi" w:hAnsiTheme="minorHAnsi"/>
        </w:rPr>
        <w:t>In terms of GDP, Yemen</w:t>
      </w:r>
      <w:r>
        <w:rPr>
          <w:rStyle w:val="FootnoteReference"/>
          <w:rFonts w:asciiTheme="minorHAnsi" w:hAnsiTheme="minorHAnsi"/>
        </w:rPr>
        <w:footnoteReference w:id="4"/>
      </w:r>
      <w:r>
        <w:rPr>
          <w:rFonts w:asciiTheme="minorHAnsi" w:hAnsiTheme="minorHAnsi"/>
        </w:rPr>
        <w:t xml:space="preserve"> experienced the</w:t>
      </w:r>
      <w:r w:rsidR="000B7DCE">
        <w:rPr>
          <w:rFonts w:asciiTheme="minorHAnsi" w:hAnsiTheme="minorHAnsi"/>
        </w:rPr>
        <w:t xml:space="preserve"> slowest growth </w:t>
      </w:r>
      <w:r>
        <w:rPr>
          <w:rFonts w:asciiTheme="minorHAnsi" w:hAnsiTheme="minorHAnsi"/>
        </w:rPr>
        <w:t>(</w:t>
      </w:r>
      <w:r w:rsidR="000B7DCE">
        <w:rPr>
          <w:rFonts w:asciiTheme="minorHAnsi" w:hAnsiTheme="minorHAnsi"/>
        </w:rPr>
        <w:t xml:space="preserve">-15% in 2011), </w:t>
      </w:r>
      <w:r w:rsidR="007B539E">
        <w:rPr>
          <w:rFonts w:asciiTheme="minorHAnsi" w:hAnsiTheme="minorHAnsi"/>
        </w:rPr>
        <w:t>and the year</w:t>
      </w:r>
      <w:r w:rsidR="00197DDA">
        <w:rPr>
          <w:rFonts w:asciiTheme="minorHAnsi" w:hAnsiTheme="minorHAnsi"/>
        </w:rPr>
        <w:t>-</w:t>
      </w:r>
      <w:r w:rsidR="007B539E">
        <w:rPr>
          <w:rFonts w:asciiTheme="minorHAnsi" w:hAnsiTheme="minorHAnsi"/>
        </w:rPr>
        <w:t>on</w:t>
      </w:r>
      <w:r w:rsidR="00197DDA">
        <w:rPr>
          <w:rFonts w:asciiTheme="minorHAnsi" w:hAnsiTheme="minorHAnsi"/>
        </w:rPr>
        <w:t>-</w:t>
      </w:r>
      <w:r w:rsidR="007B539E">
        <w:rPr>
          <w:rFonts w:asciiTheme="minorHAnsi" w:hAnsiTheme="minorHAnsi"/>
        </w:rPr>
        <w:t xml:space="preserve">year change in its annual growth was 18.4% </w:t>
      </w:r>
      <w:proofErr w:type="gramStart"/>
      <w:r w:rsidR="007B539E">
        <w:rPr>
          <w:rFonts w:asciiTheme="minorHAnsi" w:hAnsiTheme="minorHAnsi"/>
        </w:rPr>
        <w:t>between 2010</w:t>
      </w:r>
      <w:r w:rsidR="00D84F14">
        <w:rPr>
          <w:rFonts w:asciiTheme="minorHAnsi" w:hAnsiTheme="minorHAnsi"/>
        </w:rPr>
        <w:t xml:space="preserve"> – </w:t>
      </w:r>
      <w:r w:rsidR="007B539E">
        <w:rPr>
          <w:rFonts w:asciiTheme="minorHAnsi" w:hAnsiTheme="minorHAnsi"/>
        </w:rPr>
        <w:t>2011</w:t>
      </w:r>
      <w:proofErr w:type="gramEnd"/>
      <w:r w:rsidR="007B539E">
        <w:rPr>
          <w:rFonts w:asciiTheme="minorHAnsi" w:hAnsiTheme="minorHAnsi"/>
        </w:rPr>
        <w:t>.</w:t>
      </w:r>
    </w:p>
    <w:p w14:paraId="46DF9B9A" w14:textId="77777777" w:rsidR="00197DDA" w:rsidRDefault="00197DDA" w:rsidP="00410DC7">
      <w:pPr>
        <w:ind w:left="720"/>
        <w:jc w:val="both"/>
        <w:rPr>
          <w:rFonts w:asciiTheme="minorHAnsi" w:hAnsiTheme="minorHAnsi"/>
        </w:rPr>
      </w:pPr>
    </w:p>
    <w:p w14:paraId="75D5E672" w14:textId="4560E036" w:rsidR="001A01C2" w:rsidRDefault="007B539E" w:rsidP="00410DC7">
      <w:pPr>
        <w:numPr>
          <w:ilvl w:val="0"/>
          <w:numId w:val="8"/>
        </w:numPr>
        <w:jc w:val="both"/>
        <w:rPr>
          <w:rFonts w:asciiTheme="minorHAnsi" w:hAnsiTheme="minorHAnsi"/>
        </w:rPr>
      </w:pPr>
      <w:r>
        <w:rPr>
          <w:rFonts w:asciiTheme="minorHAnsi" w:hAnsiTheme="minorHAnsi"/>
        </w:rPr>
        <w:t xml:space="preserve">Among the </w:t>
      </w:r>
      <w:r w:rsidR="00D84F14">
        <w:rPr>
          <w:rFonts w:asciiTheme="minorHAnsi" w:hAnsiTheme="minorHAnsi"/>
        </w:rPr>
        <w:t>five</w:t>
      </w:r>
      <w:r>
        <w:rPr>
          <w:rFonts w:asciiTheme="minorHAnsi" w:hAnsiTheme="minorHAnsi"/>
        </w:rPr>
        <w:t xml:space="preserve"> countries that experienced uprisings, Bahrain’s economy suffered the least</w:t>
      </w:r>
      <w:r w:rsidR="006E5A5D">
        <w:rPr>
          <w:rFonts w:asciiTheme="minorHAnsi" w:hAnsiTheme="minorHAnsi"/>
        </w:rPr>
        <w:t xml:space="preserve">, -2.2% (from Table 2).  This figure is identical to the impact on the region as a whole. </w:t>
      </w:r>
    </w:p>
    <w:p w14:paraId="762EF34C" w14:textId="77777777" w:rsidR="001A01C2" w:rsidRDefault="001A01C2" w:rsidP="00410DC7">
      <w:pPr>
        <w:pStyle w:val="ListParagraph"/>
        <w:jc w:val="both"/>
        <w:rPr>
          <w:rFonts w:asciiTheme="minorHAnsi" w:hAnsiTheme="minorHAnsi"/>
        </w:rPr>
      </w:pPr>
    </w:p>
    <w:p w14:paraId="7EF07185" w14:textId="7290A146" w:rsidR="00D30DF5" w:rsidRDefault="006E5A5D" w:rsidP="00410DC7">
      <w:pPr>
        <w:numPr>
          <w:ilvl w:val="0"/>
          <w:numId w:val="8"/>
        </w:numPr>
        <w:jc w:val="both"/>
        <w:rPr>
          <w:rFonts w:asciiTheme="minorHAnsi" w:hAnsiTheme="minorHAnsi"/>
        </w:rPr>
      </w:pPr>
      <w:r>
        <w:rPr>
          <w:rFonts w:asciiTheme="minorHAnsi" w:hAnsiTheme="minorHAnsi"/>
        </w:rPr>
        <w:t xml:space="preserve">Ignoring </w:t>
      </w:r>
      <w:r w:rsidR="00D30DF5">
        <w:rPr>
          <w:rFonts w:asciiTheme="minorHAnsi" w:hAnsiTheme="minorHAnsi"/>
        </w:rPr>
        <w:t xml:space="preserve">any opportunity cost or any </w:t>
      </w:r>
      <w:r>
        <w:rPr>
          <w:rFonts w:asciiTheme="minorHAnsi" w:hAnsiTheme="minorHAnsi"/>
        </w:rPr>
        <w:t>growth the Arab World could have achieved in the absence of the uprisings, the 2.2% decline on the region</w:t>
      </w:r>
      <w:r w:rsidR="00D30DF5">
        <w:rPr>
          <w:rFonts w:asciiTheme="minorHAnsi" w:hAnsiTheme="minorHAnsi"/>
        </w:rPr>
        <w:t>’</w:t>
      </w:r>
      <w:r>
        <w:rPr>
          <w:rFonts w:asciiTheme="minorHAnsi" w:hAnsiTheme="minorHAnsi"/>
        </w:rPr>
        <w:t xml:space="preserve">s GDP translates </w:t>
      </w:r>
      <w:r w:rsidR="001A01C2">
        <w:rPr>
          <w:rFonts w:asciiTheme="minorHAnsi" w:hAnsiTheme="minorHAnsi"/>
        </w:rPr>
        <w:t>in</w:t>
      </w:r>
      <w:r>
        <w:rPr>
          <w:rFonts w:asciiTheme="minorHAnsi" w:hAnsiTheme="minorHAnsi"/>
        </w:rPr>
        <w:t>to</w:t>
      </w:r>
      <w:r w:rsidR="00D30DF5">
        <w:rPr>
          <w:rFonts w:asciiTheme="minorHAnsi" w:hAnsiTheme="minorHAnsi"/>
        </w:rPr>
        <w:t xml:space="preserve"> a loss of $55 billion </w:t>
      </w:r>
      <w:r w:rsidR="001A01C2">
        <w:rPr>
          <w:rFonts w:asciiTheme="minorHAnsi" w:hAnsiTheme="minorHAnsi"/>
        </w:rPr>
        <w:t>(</w:t>
      </w:r>
      <w:r w:rsidR="00D30DF5">
        <w:rPr>
          <w:rFonts w:asciiTheme="minorHAnsi" w:hAnsiTheme="minorHAnsi"/>
        </w:rPr>
        <w:t xml:space="preserve">or $155 </w:t>
      </w:r>
      <w:r w:rsidR="001A01C2">
        <w:rPr>
          <w:rFonts w:asciiTheme="minorHAnsi" w:hAnsiTheme="minorHAnsi"/>
        </w:rPr>
        <w:t xml:space="preserve">on a </w:t>
      </w:r>
      <w:r w:rsidR="00D30DF5">
        <w:rPr>
          <w:rFonts w:asciiTheme="minorHAnsi" w:hAnsiTheme="minorHAnsi"/>
        </w:rPr>
        <w:t>per capita</w:t>
      </w:r>
      <w:r w:rsidR="001A01C2">
        <w:rPr>
          <w:rFonts w:asciiTheme="minorHAnsi" w:hAnsiTheme="minorHAnsi"/>
        </w:rPr>
        <w:t xml:space="preserve"> basis)</w:t>
      </w:r>
      <w:r w:rsidR="00D30DF5">
        <w:rPr>
          <w:rFonts w:asciiTheme="minorHAnsi" w:hAnsiTheme="minorHAnsi"/>
        </w:rPr>
        <w:t xml:space="preserve"> in 2011.</w:t>
      </w:r>
    </w:p>
    <w:p w14:paraId="7F3D045B" w14:textId="693FFB24" w:rsidR="007B539E" w:rsidRDefault="00D30DF5" w:rsidP="00750AE0">
      <w:pPr>
        <w:rPr>
          <w:rFonts w:asciiTheme="minorHAnsi" w:hAnsiTheme="minorHAnsi"/>
        </w:rPr>
      </w:pPr>
      <w:r>
        <w:rPr>
          <w:rFonts w:asciiTheme="minorHAnsi" w:hAnsiTheme="minorHAnsi"/>
        </w:rPr>
        <w:t xml:space="preserve"> </w:t>
      </w:r>
      <w:r w:rsidR="007B539E">
        <w:rPr>
          <w:rFonts w:asciiTheme="minorHAnsi" w:hAnsiTheme="minorHAnsi"/>
        </w:rPr>
        <w:t xml:space="preserve">  </w:t>
      </w:r>
    </w:p>
    <w:p w14:paraId="3790323F" w14:textId="727FEA32" w:rsidR="00606511" w:rsidRDefault="00606511" w:rsidP="00410DC7">
      <w:pPr>
        <w:jc w:val="both"/>
        <w:rPr>
          <w:rFonts w:asciiTheme="minorHAnsi" w:hAnsiTheme="minorHAnsi"/>
        </w:rPr>
      </w:pPr>
      <w:r>
        <w:rPr>
          <w:rFonts w:asciiTheme="minorHAnsi" w:hAnsiTheme="minorHAnsi"/>
        </w:rPr>
        <w:t xml:space="preserve">Figures 1 and 2 highlight the change in bank credit to the private sector and the GDP growth rate before and after the uprisings.  </w:t>
      </w:r>
      <w:r w:rsidR="004B2A49">
        <w:rPr>
          <w:rFonts w:asciiTheme="minorHAnsi" w:hAnsiTheme="minorHAnsi"/>
        </w:rPr>
        <w:t xml:space="preserve"> </w:t>
      </w:r>
    </w:p>
    <w:p w14:paraId="5FE515BD" w14:textId="77777777" w:rsidR="004B2A49" w:rsidRDefault="004B2A49" w:rsidP="00410DC7">
      <w:pPr>
        <w:jc w:val="both"/>
        <w:rPr>
          <w:rFonts w:asciiTheme="minorHAnsi" w:hAnsiTheme="minorHAnsi"/>
        </w:rPr>
      </w:pPr>
    </w:p>
    <w:p w14:paraId="638EBAB9" w14:textId="79E31286" w:rsidR="00780335" w:rsidRDefault="00D30DF5" w:rsidP="00410DC7">
      <w:pPr>
        <w:jc w:val="both"/>
        <w:rPr>
          <w:rFonts w:asciiTheme="minorHAnsi" w:hAnsiTheme="minorHAnsi"/>
        </w:rPr>
      </w:pPr>
      <w:r>
        <w:rPr>
          <w:rFonts w:asciiTheme="minorHAnsi" w:hAnsiTheme="minorHAnsi"/>
        </w:rPr>
        <w:t xml:space="preserve">Table 3 reports the credit extended by banks as a proportion of each country’s GDP.  Prior to 2011, Bahrain and Libya were in the lead with </w:t>
      </w:r>
      <w:r w:rsidR="002A2747">
        <w:rPr>
          <w:rFonts w:asciiTheme="minorHAnsi" w:hAnsiTheme="minorHAnsi"/>
        </w:rPr>
        <w:t xml:space="preserve">bank credit </w:t>
      </w:r>
      <w:r>
        <w:rPr>
          <w:rFonts w:asciiTheme="minorHAnsi" w:hAnsiTheme="minorHAnsi"/>
        </w:rPr>
        <w:t>proportions exceeding 60% of GDP.  The average for the Arab World was 43%.  Following the uprisings, the proportion of bank credit fell throughout the region to 38%</w:t>
      </w:r>
      <w:r w:rsidR="002C67D0">
        <w:rPr>
          <w:rFonts w:asciiTheme="minorHAnsi" w:hAnsiTheme="minorHAnsi"/>
        </w:rPr>
        <w:t xml:space="preserve"> of GDP</w:t>
      </w:r>
      <w:r>
        <w:rPr>
          <w:rFonts w:asciiTheme="minorHAnsi" w:hAnsiTheme="minorHAnsi"/>
        </w:rPr>
        <w:t xml:space="preserve">, a difference of </w:t>
      </w:r>
      <w:r w:rsidR="002C67D0">
        <w:rPr>
          <w:rFonts w:asciiTheme="minorHAnsi" w:hAnsiTheme="minorHAnsi"/>
        </w:rPr>
        <w:t>5% or a decline of $1</w:t>
      </w:r>
      <w:r w:rsidR="008A7360">
        <w:rPr>
          <w:rFonts w:asciiTheme="minorHAnsi" w:hAnsiTheme="minorHAnsi"/>
        </w:rPr>
        <w:t>42</w:t>
      </w:r>
      <w:r w:rsidR="002C67D0">
        <w:rPr>
          <w:rFonts w:asciiTheme="minorHAnsi" w:hAnsiTheme="minorHAnsi"/>
        </w:rPr>
        <w:t xml:space="preserve"> billion.  By 2011, Tunisia</w:t>
      </w:r>
      <w:r w:rsidR="00197DDA">
        <w:rPr>
          <w:rFonts w:asciiTheme="minorHAnsi" w:hAnsiTheme="minorHAnsi"/>
        </w:rPr>
        <w:t>’s</w:t>
      </w:r>
      <w:r w:rsidR="002C67D0">
        <w:rPr>
          <w:rFonts w:asciiTheme="minorHAnsi" w:hAnsiTheme="minorHAnsi"/>
        </w:rPr>
        <w:t xml:space="preserve"> banks began</w:t>
      </w:r>
      <w:r w:rsidR="008A7360">
        <w:rPr>
          <w:rFonts w:asciiTheme="minorHAnsi" w:hAnsiTheme="minorHAnsi"/>
        </w:rPr>
        <w:t xml:space="preserve"> to recover, loaning </w:t>
      </w:r>
      <w:r w:rsidR="00D84F14">
        <w:rPr>
          <w:rFonts w:asciiTheme="minorHAnsi" w:hAnsiTheme="minorHAnsi"/>
        </w:rPr>
        <w:t>$</w:t>
      </w:r>
      <w:r w:rsidR="008A7360">
        <w:rPr>
          <w:rFonts w:asciiTheme="minorHAnsi" w:hAnsiTheme="minorHAnsi"/>
        </w:rPr>
        <w:t xml:space="preserve">5.4 billion more after </w:t>
      </w:r>
      <w:r w:rsidR="008A7360">
        <w:rPr>
          <w:rFonts w:asciiTheme="minorHAnsi" w:hAnsiTheme="minorHAnsi"/>
        </w:rPr>
        <w:lastRenderedPageBreak/>
        <w:t xml:space="preserve">the uprising than they did prior to the revolution. However, for many reasons, including the overthrow of the </w:t>
      </w:r>
      <w:proofErr w:type="spellStart"/>
      <w:r w:rsidR="008A7360">
        <w:rPr>
          <w:rFonts w:asciiTheme="minorHAnsi" w:hAnsiTheme="minorHAnsi"/>
        </w:rPr>
        <w:t>Mursi’s</w:t>
      </w:r>
      <w:proofErr w:type="spellEnd"/>
      <w:r w:rsidR="008A7360">
        <w:rPr>
          <w:rFonts w:asciiTheme="minorHAnsi" w:hAnsiTheme="minorHAnsi"/>
        </w:rPr>
        <w:t xml:space="preserve"> government, the Egyptian banking sector is still down </w:t>
      </w:r>
      <w:r w:rsidR="000178FB">
        <w:rPr>
          <w:rFonts w:asciiTheme="minorHAnsi" w:hAnsiTheme="minorHAnsi"/>
        </w:rPr>
        <w:t>8% (</w:t>
      </w:r>
      <w:r w:rsidR="008A7360">
        <w:rPr>
          <w:rFonts w:asciiTheme="minorHAnsi" w:hAnsiTheme="minorHAnsi"/>
        </w:rPr>
        <w:t>$21 billion</w:t>
      </w:r>
      <w:r w:rsidR="000178FB">
        <w:rPr>
          <w:rFonts w:asciiTheme="minorHAnsi" w:hAnsiTheme="minorHAnsi"/>
        </w:rPr>
        <w:t>)</w:t>
      </w:r>
      <w:r w:rsidR="008A7360">
        <w:rPr>
          <w:rFonts w:asciiTheme="minorHAnsi" w:hAnsiTheme="minorHAnsi"/>
        </w:rPr>
        <w:t xml:space="preserve"> from </w:t>
      </w:r>
      <w:r w:rsidR="002A2747">
        <w:rPr>
          <w:rFonts w:asciiTheme="minorHAnsi" w:hAnsiTheme="minorHAnsi"/>
        </w:rPr>
        <w:t xml:space="preserve">its level during the Mubarak era.  </w:t>
      </w:r>
      <w:r w:rsidR="009D2FA5">
        <w:rPr>
          <w:rFonts w:asciiTheme="minorHAnsi" w:hAnsiTheme="minorHAnsi"/>
        </w:rPr>
        <w:t>T</w:t>
      </w:r>
      <w:r w:rsidR="002A2747">
        <w:rPr>
          <w:rFonts w:asciiTheme="minorHAnsi" w:hAnsiTheme="minorHAnsi"/>
        </w:rPr>
        <w:t>hese figures</w:t>
      </w:r>
      <w:r w:rsidR="009D2FA5">
        <w:rPr>
          <w:rFonts w:asciiTheme="minorHAnsi" w:hAnsiTheme="minorHAnsi"/>
        </w:rPr>
        <w:t>, however,</w:t>
      </w:r>
      <w:r w:rsidR="002A2747">
        <w:rPr>
          <w:rFonts w:asciiTheme="minorHAnsi" w:hAnsiTheme="minorHAnsi"/>
        </w:rPr>
        <w:t xml:space="preserve"> are </w:t>
      </w:r>
      <w:r w:rsidR="002A2747" w:rsidRPr="00410DC7">
        <w:rPr>
          <w:rFonts w:asciiTheme="minorHAnsi" w:hAnsiTheme="minorHAnsi"/>
          <w:i/>
        </w:rPr>
        <w:t>only</w:t>
      </w:r>
      <w:r w:rsidR="002A2747">
        <w:rPr>
          <w:rFonts w:asciiTheme="minorHAnsi" w:hAnsiTheme="minorHAnsi"/>
        </w:rPr>
        <w:t xml:space="preserve"> </w:t>
      </w:r>
      <w:r w:rsidR="009D2FA5">
        <w:rPr>
          <w:rFonts w:asciiTheme="minorHAnsi" w:hAnsiTheme="minorHAnsi"/>
        </w:rPr>
        <w:t>pertaining to</w:t>
      </w:r>
      <w:r w:rsidR="002A2747">
        <w:rPr>
          <w:rFonts w:asciiTheme="minorHAnsi" w:hAnsiTheme="minorHAnsi"/>
        </w:rPr>
        <w:t xml:space="preserve"> t</w:t>
      </w:r>
      <w:r w:rsidR="00780335">
        <w:rPr>
          <w:rFonts w:asciiTheme="minorHAnsi" w:hAnsiTheme="minorHAnsi"/>
        </w:rPr>
        <w:t xml:space="preserve">otal </w:t>
      </w:r>
      <w:r w:rsidR="002A2747">
        <w:rPr>
          <w:rFonts w:asciiTheme="minorHAnsi" w:hAnsiTheme="minorHAnsi"/>
        </w:rPr>
        <w:t>bank credit</w:t>
      </w:r>
      <w:r w:rsidR="00780335">
        <w:rPr>
          <w:rFonts w:asciiTheme="minorHAnsi" w:hAnsiTheme="minorHAnsi"/>
        </w:rPr>
        <w:t>; they</w:t>
      </w:r>
      <w:r w:rsidR="002A2747">
        <w:rPr>
          <w:rFonts w:asciiTheme="minorHAnsi" w:hAnsiTheme="minorHAnsi"/>
        </w:rPr>
        <w:t xml:space="preserve"> </w:t>
      </w:r>
      <w:r w:rsidR="009D2FA5">
        <w:rPr>
          <w:rFonts w:asciiTheme="minorHAnsi" w:hAnsiTheme="minorHAnsi"/>
        </w:rPr>
        <w:t xml:space="preserve">relate </w:t>
      </w:r>
      <w:r w:rsidR="002A2747">
        <w:rPr>
          <w:rFonts w:asciiTheme="minorHAnsi" w:hAnsiTheme="minorHAnsi"/>
        </w:rPr>
        <w:t xml:space="preserve">nothing about </w:t>
      </w:r>
      <w:r w:rsidR="001A01C2">
        <w:rPr>
          <w:rFonts w:asciiTheme="minorHAnsi" w:hAnsiTheme="minorHAnsi"/>
        </w:rPr>
        <w:t>how credit is allocated</w:t>
      </w:r>
      <w:r w:rsidR="002A2747">
        <w:rPr>
          <w:rFonts w:asciiTheme="minorHAnsi" w:hAnsiTheme="minorHAnsi"/>
        </w:rPr>
        <w:t xml:space="preserve">, nor do they suggest that the banking transparency has improved or cronyism has declined since the uprising. </w:t>
      </w:r>
      <w:r w:rsidR="008A7360">
        <w:rPr>
          <w:rFonts w:asciiTheme="minorHAnsi" w:hAnsiTheme="minorHAnsi"/>
        </w:rPr>
        <w:t xml:space="preserve"> </w:t>
      </w:r>
      <w:r w:rsidR="002E7941">
        <w:rPr>
          <w:rFonts w:asciiTheme="minorHAnsi" w:hAnsiTheme="minorHAnsi"/>
        </w:rPr>
        <w:t>Any change</w:t>
      </w:r>
      <w:r w:rsidR="00780335">
        <w:rPr>
          <w:rFonts w:asciiTheme="minorHAnsi" w:hAnsiTheme="minorHAnsi"/>
        </w:rPr>
        <w:t xml:space="preserve"> in </w:t>
      </w:r>
      <w:r w:rsidR="002A2747">
        <w:rPr>
          <w:rFonts w:asciiTheme="minorHAnsi" w:hAnsiTheme="minorHAnsi"/>
        </w:rPr>
        <w:t xml:space="preserve">governance of the banking sector will </w:t>
      </w:r>
      <w:r w:rsidR="003E0660">
        <w:rPr>
          <w:rFonts w:asciiTheme="minorHAnsi" w:hAnsiTheme="minorHAnsi"/>
        </w:rPr>
        <w:t xml:space="preserve">require more </w:t>
      </w:r>
      <w:r w:rsidR="002A2747">
        <w:rPr>
          <w:rFonts w:asciiTheme="minorHAnsi" w:hAnsiTheme="minorHAnsi"/>
        </w:rPr>
        <w:t xml:space="preserve">time and data. </w:t>
      </w:r>
      <w:r w:rsidR="00780335">
        <w:rPr>
          <w:rFonts w:asciiTheme="minorHAnsi" w:hAnsiTheme="minorHAnsi"/>
        </w:rPr>
        <w:t xml:space="preserve"> The only current reference point </w:t>
      </w:r>
      <w:r w:rsidR="00197DDA">
        <w:rPr>
          <w:rFonts w:asciiTheme="minorHAnsi" w:hAnsiTheme="minorHAnsi"/>
        </w:rPr>
        <w:t xml:space="preserve">we found </w:t>
      </w:r>
      <w:r w:rsidR="003E0660">
        <w:rPr>
          <w:rFonts w:asciiTheme="minorHAnsi" w:hAnsiTheme="minorHAnsi"/>
        </w:rPr>
        <w:t>is</w:t>
      </w:r>
      <w:r w:rsidR="00197DDA">
        <w:rPr>
          <w:rFonts w:asciiTheme="minorHAnsi" w:hAnsiTheme="minorHAnsi"/>
        </w:rPr>
        <w:t xml:space="preserve"> </w:t>
      </w:r>
      <w:r w:rsidR="00780335">
        <w:rPr>
          <w:rFonts w:asciiTheme="minorHAnsi" w:hAnsiTheme="minorHAnsi"/>
        </w:rPr>
        <w:t xml:space="preserve">an IMF study by </w:t>
      </w:r>
      <w:proofErr w:type="spellStart"/>
      <w:r w:rsidR="00780335" w:rsidRPr="000E549D">
        <w:rPr>
          <w:rFonts w:asciiTheme="minorHAnsi" w:hAnsiTheme="minorHAnsi"/>
        </w:rPr>
        <w:t>Creane</w:t>
      </w:r>
      <w:proofErr w:type="spellEnd"/>
      <w:r w:rsidR="00780335" w:rsidRPr="000E549D">
        <w:rPr>
          <w:rFonts w:asciiTheme="minorHAnsi" w:hAnsiTheme="minorHAnsi"/>
        </w:rPr>
        <w:t xml:space="preserve"> et al.</w:t>
      </w:r>
      <w:r w:rsidR="00780335">
        <w:rPr>
          <w:rFonts w:asciiTheme="minorHAnsi" w:hAnsiTheme="minorHAnsi"/>
        </w:rPr>
        <w:t xml:space="preserve"> (2004) </w:t>
      </w:r>
      <w:r w:rsidR="009D2FA5">
        <w:rPr>
          <w:rFonts w:asciiTheme="minorHAnsi" w:hAnsiTheme="minorHAnsi"/>
        </w:rPr>
        <w:t xml:space="preserve">that </w:t>
      </w:r>
      <w:r w:rsidR="00780335">
        <w:rPr>
          <w:rFonts w:asciiTheme="minorHAnsi" w:hAnsiTheme="minorHAnsi"/>
        </w:rPr>
        <w:t xml:space="preserve">introduces a financial development index for the MENA region and which </w:t>
      </w:r>
      <w:r w:rsidR="009D2FA5">
        <w:rPr>
          <w:rFonts w:asciiTheme="minorHAnsi" w:hAnsiTheme="minorHAnsi"/>
        </w:rPr>
        <w:t xml:space="preserve">is </w:t>
      </w:r>
      <w:r w:rsidR="00780335">
        <w:rPr>
          <w:rFonts w:asciiTheme="minorHAnsi" w:hAnsiTheme="minorHAnsi"/>
        </w:rPr>
        <w:t>summarize</w:t>
      </w:r>
      <w:r w:rsidR="009D2FA5">
        <w:rPr>
          <w:rFonts w:asciiTheme="minorHAnsi" w:hAnsiTheme="minorHAnsi"/>
        </w:rPr>
        <w:t>d</w:t>
      </w:r>
      <w:r w:rsidR="00780335">
        <w:rPr>
          <w:rFonts w:asciiTheme="minorHAnsi" w:hAnsiTheme="minorHAnsi"/>
        </w:rPr>
        <w:t xml:space="preserve"> in Table 4.</w:t>
      </w:r>
    </w:p>
    <w:p w14:paraId="69C1C2C4" w14:textId="77777777" w:rsidR="00780335" w:rsidRDefault="00780335" w:rsidP="00410DC7">
      <w:pPr>
        <w:jc w:val="both"/>
        <w:rPr>
          <w:rFonts w:asciiTheme="minorHAnsi" w:hAnsiTheme="minorHAnsi"/>
        </w:rPr>
      </w:pPr>
    </w:p>
    <w:p w14:paraId="28D5AE3B" w14:textId="174AA2C8" w:rsidR="00EB410F" w:rsidRDefault="00780335" w:rsidP="00410DC7">
      <w:pPr>
        <w:jc w:val="both"/>
        <w:rPr>
          <w:rFonts w:asciiTheme="minorHAnsi" w:hAnsiTheme="minorHAnsi"/>
        </w:rPr>
      </w:pPr>
      <w:r>
        <w:rPr>
          <w:rFonts w:asciiTheme="minorHAnsi" w:hAnsiTheme="minorHAnsi"/>
        </w:rPr>
        <w:t>The results of Model</w:t>
      </w:r>
      <w:r w:rsidR="00EA27F5">
        <w:rPr>
          <w:rFonts w:asciiTheme="minorHAnsi" w:hAnsiTheme="minorHAnsi"/>
        </w:rPr>
        <w:t xml:space="preserve">s </w:t>
      </w:r>
      <w:r>
        <w:rPr>
          <w:rFonts w:asciiTheme="minorHAnsi" w:hAnsiTheme="minorHAnsi"/>
        </w:rPr>
        <w:t>(1)</w:t>
      </w:r>
      <w:r w:rsidR="00EA27F5">
        <w:rPr>
          <w:rFonts w:asciiTheme="minorHAnsi" w:hAnsiTheme="minorHAnsi"/>
        </w:rPr>
        <w:t xml:space="preserve"> through (</w:t>
      </w:r>
      <w:r w:rsidR="006B2DA2">
        <w:rPr>
          <w:rFonts w:asciiTheme="minorHAnsi" w:hAnsiTheme="minorHAnsi"/>
        </w:rPr>
        <w:t>3</w:t>
      </w:r>
      <w:r w:rsidR="00EA27F5">
        <w:rPr>
          <w:rFonts w:asciiTheme="minorHAnsi" w:hAnsiTheme="minorHAnsi"/>
        </w:rPr>
        <w:t>)</w:t>
      </w:r>
      <w:r>
        <w:rPr>
          <w:rFonts w:asciiTheme="minorHAnsi" w:hAnsiTheme="minorHAnsi"/>
        </w:rPr>
        <w:t xml:space="preserve"> are provided in Table 5</w:t>
      </w:r>
      <w:r w:rsidR="00EA27F5">
        <w:rPr>
          <w:rFonts w:asciiTheme="minorHAnsi" w:hAnsiTheme="minorHAnsi"/>
        </w:rPr>
        <w:t>.  Starting with the regression of Model (1), we notice that the control variables have the proper signs.  Specifically, an increase in national debt</w:t>
      </w:r>
      <w:r w:rsidR="003E0660">
        <w:rPr>
          <w:rFonts w:asciiTheme="minorHAnsi" w:hAnsiTheme="minorHAnsi"/>
        </w:rPr>
        <w:t>,</w:t>
      </w:r>
      <w:r w:rsidR="00EA27F5">
        <w:rPr>
          <w:rFonts w:asciiTheme="minorHAnsi" w:hAnsiTheme="minorHAnsi"/>
        </w:rPr>
        <w:t xml:space="preserve"> as a percent of GDP</w:t>
      </w:r>
      <w:r w:rsidR="003E0660">
        <w:rPr>
          <w:rFonts w:asciiTheme="minorHAnsi" w:hAnsiTheme="minorHAnsi"/>
        </w:rPr>
        <w:t>,</w:t>
      </w:r>
      <w:r w:rsidR="00EA27F5">
        <w:rPr>
          <w:rFonts w:asciiTheme="minorHAnsi" w:hAnsiTheme="minorHAnsi"/>
        </w:rPr>
        <w:t xml:space="preserve"> reduces growth due to the crowding-out effect on investment demand.  </w:t>
      </w:r>
      <w:r w:rsidR="00971077">
        <w:rPr>
          <w:rFonts w:asciiTheme="minorHAnsi" w:hAnsiTheme="minorHAnsi"/>
        </w:rPr>
        <w:t>Carrying m</w:t>
      </w:r>
      <w:r w:rsidR="00EB410F">
        <w:rPr>
          <w:rFonts w:asciiTheme="minorHAnsi" w:hAnsiTheme="minorHAnsi"/>
        </w:rPr>
        <w:t xml:space="preserve">ore public debt </w:t>
      </w:r>
      <w:r w:rsidR="0071650A">
        <w:rPr>
          <w:rFonts w:asciiTheme="minorHAnsi" w:hAnsiTheme="minorHAnsi"/>
        </w:rPr>
        <w:t>increases the cost of debt and</w:t>
      </w:r>
      <w:r w:rsidR="00EB410F">
        <w:rPr>
          <w:rFonts w:asciiTheme="minorHAnsi" w:hAnsiTheme="minorHAnsi"/>
        </w:rPr>
        <w:t xml:space="preserve"> discourages private investment.  In addition, the sign of the Real Investment coefficient is positive because higher investment leads to more economic growth, but this variable is not statistically significant</w:t>
      </w:r>
      <w:r w:rsidR="00197DDA">
        <w:rPr>
          <w:rFonts w:asciiTheme="minorHAnsi" w:hAnsiTheme="minorHAnsi"/>
        </w:rPr>
        <w:t xml:space="preserve"> in Model (1)</w:t>
      </w:r>
      <w:r w:rsidR="00EB410F">
        <w:rPr>
          <w:rFonts w:asciiTheme="minorHAnsi" w:hAnsiTheme="minorHAnsi"/>
        </w:rPr>
        <w:t xml:space="preserve">. Meanwhile, the </w:t>
      </w:r>
      <w:r w:rsidR="006B2DA2">
        <w:rPr>
          <w:rFonts w:asciiTheme="minorHAnsi" w:hAnsiTheme="minorHAnsi"/>
        </w:rPr>
        <w:t xml:space="preserve">negative </w:t>
      </w:r>
      <w:r w:rsidR="00EB410F">
        <w:rPr>
          <w:rFonts w:asciiTheme="minorHAnsi" w:hAnsiTheme="minorHAnsi"/>
        </w:rPr>
        <w:t>coefficient of the real exchange rate suggest</w:t>
      </w:r>
      <w:r w:rsidR="006B2DA2">
        <w:rPr>
          <w:rFonts w:asciiTheme="minorHAnsi" w:hAnsiTheme="minorHAnsi"/>
        </w:rPr>
        <w:t>s</w:t>
      </w:r>
      <w:r w:rsidR="00EB410F">
        <w:rPr>
          <w:rFonts w:asciiTheme="minorHAnsi" w:hAnsiTheme="minorHAnsi"/>
        </w:rPr>
        <w:t xml:space="preserve"> that a weaker currency hinders economic growth</w:t>
      </w:r>
      <w:r w:rsidR="0071650A">
        <w:rPr>
          <w:rFonts w:asciiTheme="minorHAnsi" w:hAnsiTheme="minorHAnsi"/>
        </w:rPr>
        <w:t>, a result consistent with the growth literature on emerging markets</w:t>
      </w:r>
      <w:r w:rsidR="00EB410F">
        <w:rPr>
          <w:rFonts w:asciiTheme="minorHAnsi" w:hAnsiTheme="minorHAnsi"/>
        </w:rPr>
        <w:t xml:space="preserve">.  The key independent variable, the domestic credit offered by banks to the private sector as a percent of GDP </w:t>
      </w:r>
      <w:r w:rsidR="00A21F25">
        <w:rPr>
          <w:rFonts w:asciiTheme="minorHAnsi" w:hAnsiTheme="minorHAnsi"/>
        </w:rPr>
        <w:t xml:space="preserve">(CR) </w:t>
      </w:r>
      <w:r w:rsidR="00EB410F">
        <w:rPr>
          <w:rFonts w:asciiTheme="minorHAnsi" w:hAnsiTheme="minorHAnsi"/>
        </w:rPr>
        <w:t>has a negative sign but is not</w:t>
      </w:r>
      <w:r w:rsidR="00A21F25">
        <w:rPr>
          <w:rFonts w:asciiTheme="minorHAnsi" w:hAnsiTheme="minorHAnsi"/>
        </w:rPr>
        <w:t xml:space="preserve"> statistically </w:t>
      </w:r>
      <w:r w:rsidR="00EB410F">
        <w:rPr>
          <w:rFonts w:asciiTheme="minorHAnsi" w:hAnsiTheme="minorHAnsi"/>
        </w:rPr>
        <w:t xml:space="preserve">significant. </w:t>
      </w:r>
      <w:r w:rsidR="00EA27F5">
        <w:rPr>
          <w:rFonts w:asciiTheme="minorHAnsi" w:hAnsiTheme="minorHAnsi"/>
        </w:rPr>
        <w:t xml:space="preserve"> </w:t>
      </w:r>
    </w:p>
    <w:p w14:paraId="49D6E401" w14:textId="77777777" w:rsidR="00EB410F" w:rsidRDefault="00EB410F" w:rsidP="00410DC7">
      <w:pPr>
        <w:jc w:val="both"/>
        <w:rPr>
          <w:rFonts w:asciiTheme="minorHAnsi" w:hAnsiTheme="minorHAnsi"/>
        </w:rPr>
      </w:pPr>
    </w:p>
    <w:p w14:paraId="3AB7ADE1" w14:textId="49C59DB9" w:rsidR="00A21F25" w:rsidRDefault="00EB410F" w:rsidP="00410DC7">
      <w:pPr>
        <w:jc w:val="both"/>
        <w:rPr>
          <w:rFonts w:asciiTheme="minorHAnsi" w:hAnsiTheme="minorHAnsi"/>
        </w:rPr>
      </w:pPr>
      <w:r>
        <w:rPr>
          <w:rFonts w:asciiTheme="minorHAnsi" w:hAnsiTheme="minorHAnsi"/>
        </w:rPr>
        <w:t xml:space="preserve">The results of Model (2) are stronger than those of Model (1).  Specifically, the coefficient of the Investment demand is strongly statistically significant </w:t>
      </w:r>
      <w:r w:rsidR="002E7941">
        <w:rPr>
          <w:rFonts w:asciiTheme="minorHAnsi" w:hAnsiTheme="minorHAnsi"/>
        </w:rPr>
        <w:t>and maintains</w:t>
      </w:r>
      <w:r>
        <w:rPr>
          <w:rFonts w:asciiTheme="minorHAnsi" w:hAnsiTheme="minorHAnsi"/>
        </w:rPr>
        <w:t xml:space="preserve"> its positive sign</w:t>
      </w:r>
      <w:r w:rsidR="003E0660">
        <w:rPr>
          <w:rFonts w:asciiTheme="minorHAnsi" w:hAnsiTheme="minorHAnsi"/>
        </w:rPr>
        <w:t xml:space="preserve"> correctly</w:t>
      </w:r>
      <w:r>
        <w:rPr>
          <w:rFonts w:asciiTheme="minorHAnsi" w:hAnsiTheme="minorHAnsi"/>
        </w:rPr>
        <w:t>. The other control variables also maintain their signs and are statistically significant.  More importantly</w:t>
      </w:r>
      <w:r w:rsidR="00971077">
        <w:rPr>
          <w:rFonts w:asciiTheme="minorHAnsi" w:hAnsiTheme="minorHAnsi"/>
        </w:rPr>
        <w:t>,</w:t>
      </w:r>
      <w:r>
        <w:rPr>
          <w:rFonts w:asciiTheme="minorHAnsi" w:hAnsiTheme="minorHAnsi"/>
        </w:rPr>
        <w:t xml:space="preserve"> however, the key variable</w:t>
      </w:r>
      <w:r w:rsidR="00A21F25">
        <w:rPr>
          <w:rFonts w:asciiTheme="minorHAnsi" w:hAnsiTheme="minorHAnsi"/>
        </w:rPr>
        <w:t xml:space="preserve"> (CR), and all its </w:t>
      </w:r>
      <w:r w:rsidR="00971077">
        <w:rPr>
          <w:rFonts w:asciiTheme="minorHAnsi" w:hAnsiTheme="minorHAnsi"/>
        </w:rPr>
        <w:t>three</w:t>
      </w:r>
      <w:r w:rsidR="00A21F25">
        <w:rPr>
          <w:rFonts w:asciiTheme="minorHAnsi" w:hAnsiTheme="minorHAnsi"/>
        </w:rPr>
        <w:t xml:space="preserve"> annual lags are statistically insignificant.  </w:t>
      </w:r>
      <w:r w:rsidR="00971077">
        <w:rPr>
          <w:rFonts w:asciiTheme="minorHAnsi" w:hAnsiTheme="minorHAnsi"/>
        </w:rPr>
        <w:t xml:space="preserve">Interestingly, </w:t>
      </w:r>
      <w:r w:rsidR="00A21F25">
        <w:rPr>
          <w:rFonts w:asciiTheme="minorHAnsi" w:hAnsiTheme="minorHAnsi"/>
        </w:rPr>
        <w:t>the sign of the contemporaneous CR and i</w:t>
      </w:r>
      <w:r w:rsidR="004662F2">
        <w:rPr>
          <w:rFonts w:asciiTheme="minorHAnsi" w:hAnsiTheme="minorHAnsi"/>
        </w:rPr>
        <w:t xml:space="preserve">ts lags are not all identical.  The coefficients of the current variable and its </w:t>
      </w:r>
      <w:r w:rsidR="00971077" w:rsidRPr="00410DC7">
        <w:rPr>
          <w:rFonts w:asciiTheme="minorHAnsi" w:hAnsiTheme="minorHAnsi"/>
        </w:rPr>
        <w:t>third</w:t>
      </w:r>
      <w:r w:rsidR="004662F2">
        <w:rPr>
          <w:rFonts w:asciiTheme="minorHAnsi" w:hAnsiTheme="minorHAnsi"/>
        </w:rPr>
        <w:t xml:space="preserve"> year lag are negative, while those of the </w:t>
      </w:r>
      <w:r w:rsidR="00971077">
        <w:rPr>
          <w:rFonts w:asciiTheme="minorHAnsi" w:hAnsiTheme="minorHAnsi"/>
        </w:rPr>
        <w:t xml:space="preserve">first </w:t>
      </w:r>
      <w:r w:rsidR="004662F2">
        <w:rPr>
          <w:rFonts w:asciiTheme="minorHAnsi" w:hAnsiTheme="minorHAnsi"/>
        </w:rPr>
        <w:t xml:space="preserve">and </w:t>
      </w:r>
      <w:r w:rsidR="00971077">
        <w:rPr>
          <w:rFonts w:asciiTheme="minorHAnsi" w:hAnsiTheme="minorHAnsi"/>
        </w:rPr>
        <w:t xml:space="preserve">second </w:t>
      </w:r>
      <w:r w:rsidR="004662F2">
        <w:rPr>
          <w:rFonts w:asciiTheme="minorHAnsi" w:hAnsiTheme="minorHAnsi"/>
        </w:rPr>
        <w:t xml:space="preserve">year lags are positive.  These results, while statistically insignificant, are consistent with the findings of </w:t>
      </w:r>
      <w:proofErr w:type="spellStart"/>
      <w:r w:rsidR="00197DDA">
        <w:rPr>
          <w:rFonts w:asciiTheme="minorHAnsi" w:hAnsiTheme="minorHAnsi"/>
        </w:rPr>
        <w:t>Favara</w:t>
      </w:r>
      <w:proofErr w:type="spellEnd"/>
      <w:r w:rsidR="00197DDA">
        <w:rPr>
          <w:rFonts w:asciiTheme="minorHAnsi" w:hAnsiTheme="minorHAnsi"/>
        </w:rPr>
        <w:t xml:space="preserve"> (2003)</w:t>
      </w:r>
      <w:r w:rsidR="004662F2">
        <w:rPr>
          <w:rFonts w:asciiTheme="minorHAnsi" w:hAnsiTheme="minorHAnsi"/>
        </w:rPr>
        <w:t xml:space="preserve"> who show</w:t>
      </w:r>
      <w:r w:rsidR="00971077">
        <w:rPr>
          <w:rFonts w:asciiTheme="minorHAnsi" w:hAnsiTheme="minorHAnsi"/>
        </w:rPr>
        <w:t>s</w:t>
      </w:r>
      <w:r w:rsidR="004662F2">
        <w:rPr>
          <w:rFonts w:asciiTheme="minorHAnsi" w:hAnsiTheme="minorHAnsi"/>
        </w:rPr>
        <w:t xml:space="preserve"> that the direct impact of bank credit on economic growth is ambiguous. </w:t>
      </w:r>
    </w:p>
    <w:p w14:paraId="2E410D65" w14:textId="77777777" w:rsidR="00A21F25" w:rsidRDefault="00A21F25" w:rsidP="00410DC7">
      <w:pPr>
        <w:jc w:val="both"/>
        <w:rPr>
          <w:rFonts w:asciiTheme="minorHAnsi" w:hAnsiTheme="minorHAnsi"/>
        </w:rPr>
      </w:pPr>
    </w:p>
    <w:p w14:paraId="790BD3A6" w14:textId="52924E5F" w:rsidR="00976287" w:rsidRDefault="00A21F25" w:rsidP="00410DC7">
      <w:pPr>
        <w:jc w:val="both"/>
        <w:rPr>
          <w:rFonts w:asciiTheme="minorHAnsi" w:hAnsiTheme="minorHAnsi"/>
        </w:rPr>
      </w:pPr>
      <w:r>
        <w:rPr>
          <w:rFonts w:asciiTheme="minorHAnsi" w:hAnsiTheme="minorHAnsi"/>
        </w:rPr>
        <w:t xml:space="preserve">The results of Model (3) </w:t>
      </w:r>
      <w:r w:rsidR="00971077">
        <w:rPr>
          <w:rFonts w:asciiTheme="minorHAnsi" w:hAnsiTheme="minorHAnsi"/>
        </w:rPr>
        <w:t xml:space="preserve">that </w:t>
      </w:r>
      <w:r w:rsidR="004662F2">
        <w:rPr>
          <w:rFonts w:asciiTheme="minorHAnsi" w:hAnsiTheme="minorHAnsi"/>
        </w:rPr>
        <w:t>are</w:t>
      </w:r>
      <w:r>
        <w:rPr>
          <w:rFonts w:asciiTheme="minorHAnsi" w:hAnsiTheme="minorHAnsi"/>
        </w:rPr>
        <w:t xml:space="preserve"> based on </w:t>
      </w:r>
      <w:r w:rsidR="004662F2">
        <w:rPr>
          <w:rFonts w:asciiTheme="minorHAnsi" w:hAnsiTheme="minorHAnsi"/>
        </w:rPr>
        <w:t xml:space="preserve">a </w:t>
      </w:r>
      <w:r>
        <w:rPr>
          <w:rFonts w:asciiTheme="minorHAnsi" w:hAnsiTheme="minorHAnsi"/>
        </w:rPr>
        <w:t xml:space="preserve">dynamic panel analysis lend further support to Models (1) and (2).  The lagged dependent variable is, as it should be, statistically significant.  The control variables are properly signed and statistically significant but the CR variable remains insignificant, suggesting that the credit extended by the banking sector is not </w:t>
      </w:r>
      <w:r w:rsidR="00197DDA">
        <w:rPr>
          <w:rFonts w:asciiTheme="minorHAnsi" w:hAnsiTheme="minorHAnsi"/>
        </w:rPr>
        <w:t>necessar</w:t>
      </w:r>
      <w:r w:rsidR="00971077">
        <w:rPr>
          <w:rFonts w:asciiTheme="minorHAnsi" w:hAnsiTheme="minorHAnsi"/>
        </w:rPr>
        <w:t>ily</w:t>
      </w:r>
      <w:r w:rsidR="0071650A">
        <w:rPr>
          <w:rFonts w:asciiTheme="minorHAnsi" w:hAnsiTheme="minorHAnsi"/>
        </w:rPr>
        <w:t xml:space="preserve"> the main driver</w:t>
      </w:r>
      <w:r w:rsidR="00197DDA">
        <w:rPr>
          <w:rFonts w:asciiTheme="minorHAnsi" w:hAnsiTheme="minorHAnsi"/>
        </w:rPr>
        <w:t xml:space="preserve"> </w:t>
      </w:r>
      <w:r w:rsidR="0071650A">
        <w:rPr>
          <w:rFonts w:asciiTheme="minorHAnsi" w:hAnsiTheme="minorHAnsi"/>
        </w:rPr>
        <w:t>o</w:t>
      </w:r>
      <w:r>
        <w:rPr>
          <w:rFonts w:asciiTheme="minorHAnsi" w:hAnsiTheme="minorHAnsi"/>
        </w:rPr>
        <w:t>f economic growth.  We also perform</w:t>
      </w:r>
      <w:r w:rsidR="002B5A1A">
        <w:rPr>
          <w:rFonts w:asciiTheme="minorHAnsi" w:hAnsiTheme="minorHAnsi"/>
        </w:rPr>
        <w:t xml:space="preserve">ed </w:t>
      </w:r>
      <w:r>
        <w:rPr>
          <w:rFonts w:asciiTheme="minorHAnsi" w:hAnsiTheme="minorHAnsi"/>
        </w:rPr>
        <w:t xml:space="preserve">a </w:t>
      </w:r>
      <w:r w:rsidR="002E7941">
        <w:rPr>
          <w:rFonts w:asciiTheme="minorHAnsi" w:hAnsiTheme="minorHAnsi"/>
        </w:rPr>
        <w:t>test of</w:t>
      </w:r>
      <w:r>
        <w:rPr>
          <w:rFonts w:asciiTheme="minorHAnsi" w:hAnsiTheme="minorHAnsi"/>
        </w:rPr>
        <w:t xml:space="preserve"> robustness of the results against any autocorrelation in the errors.  The tests for </w:t>
      </w:r>
      <w:proofErr w:type="gramStart"/>
      <w:r>
        <w:rPr>
          <w:rFonts w:asciiTheme="minorHAnsi" w:hAnsiTheme="minorHAnsi"/>
        </w:rPr>
        <w:t>AR(</w:t>
      </w:r>
      <w:proofErr w:type="gramEnd"/>
      <w:r>
        <w:rPr>
          <w:rFonts w:asciiTheme="minorHAnsi" w:hAnsiTheme="minorHAnsi"/>
        </w:rPr>
        <w:t xml:space="preserve">1) and AR(2) are both rejected at 1% and 5% respectively.  </w:t>
      </w:r>
      <w:r w:rsidR="00780335">
        <w:rPr>
          <w:rFonts w:asciiTheme="minorHAnsi" w:hAnsiTheme="minorHAnsi"/>
        </w:rPr>
        <w:t xml:space="preserve">  </w:t>
      </w:r>
      <w:r w:rsidR="002B5A1A">
        <w:rPr>
          <w:rFonts w:asciiTheme="minorHAnsi" w:hAnsiTheme="minorHAnsi"/>
        </w:rPr>
        <w:t xml:space="preserve">In addition, we re-ran all </w:t>
      </w:r>
      <w:r w:rsidR="00971077">
        <w:rPr>
          <w:rFonts w:asciiTheme="minorHAnsi" w:hAnsiTheme="minorHAnsi"/>
        </w:rPr>
        <w:t xml:space="preserve">three </w:t>
      </w:r>
      <w:r w:rsidR="002B5A1A">
        <w:rPr>
          <w:rFonts w:asciiTheme="minorHAnsi" w:hAnsiTheme="minorHAnsi"/>
        </w:rPr>
        <w:t xml:space="preserve">models using the </w:t>
      </w:r>
      <w:r w:rsidR="00FE6EFB">
        <w:rPr>
          <w:rFonts w:asciiTheme="minorHAnsi" w:hAnsiTheme="minorHAnsi"/>
        </w:rPr>
        <w:t xml:space="preserve">bank credit variable without </w:t>
      </w:r>
      <w:r w:rsidR="00197DDA">
        <w:rPr>
          <w:rFonts w:asciiTheme="minorHAnsi" w:hAnsiTheme="minorHAnsi"/>
        </w:rPr>
        <w:t>a</w:t>
      </w:r>
      <w:r w:rsidR="00FE6EFB">
        <w:rPr>
          <w:rFonts w:asciiTheme="minorHAnsi" w:hAnsiTheme="minorHAnsi"/>
        </w:rPr>
        <w:t xml:space="preserve"> logarithmic transformation and the results </w:t>
      </w:r>
      <w:r w:rsidR="00591B9A">
        <w:rPr>
          <w:rFonts w:asciiTheme="minorHAnsi" w:hAnsiTheme="minorHAnsi"/>
        </w:rPr>
        <w:t>(</w:t>
      </w:r>
      <w:r w:rsidR="00FE6EFB">
        <w:rPr>
          <w:rFonts w:asciiTheme="minorHAnsi" w:hAnsiTheme="minorHAnsi"/>
        </w:rPr>
        <w:t>available from the authors upon request</w:t>
      </w:r>
      <w:r w:rsidR="00591B9A">
        <w:rPr>
          <w:rFonts w:asciiTheme="minorHAnsi" w:hAnsiTheme="minorHAnsi"/>
        </w:rPr>
        <w:t>)</w:t>
      </w:r>
      <w:r w:rsidR="00FE6EFB">
        <w:rPr>
          <w:rFonts w:asciiTheme="minorHAnsi" w:hAnsiTheme="minorHAnsi"/>
        </w:rPr>
        <w:t xml:space="preserve"> were almost identical to </w:t>
      </w:r>
      <w:r w:rsidR="004A1A81">
        <w:rPr>
          <w:rFonts w:asciiTheme="minorHAnsi" w:hAnsiTheme="minorHAnsi"/>
        </w:rPr>
        <w:t>those</w:t>
      </w:r>
      <w:r w:rsidR="00FE6EFB">
        <w:rPr>
          <w:rFonts w:asciiTheme="minorHAnsi" w:hAnsiTheme="minorHAnsi"/>
        </w:rPr>
        <w:t xml:space="preserve"> present</w:t>
      </w:r>
      <w:r w:rsidR="004A1A81">
        <w:rPr>
          <w:rFonts w:asciiTheme="minorHAnsi" w:hAnsiTheme="minorHAnsi"/>
        </w:rPr>
        <w:t>ed</w:t>
      </w:r>
      <w:r w:rsidR="00FE6EFB">
        <w:rPr>
          <w:rFonts w:asciiTheme="minorHAnsi" w:hAnsiTheme="minorHAnsi"/>
        </w:rPr>
        <w:t xml:space="preserve"> </w:t>
      </w:r>
      <w:r w:rsidR="004A1A81">
        <w:rPr>
          <w:rFonts w:asciiTheme="minorHAnsi" w:hAnsiTheme="minorHAnsi"/>
        </w:rPr>
        <w:t>in this article</w:t>
      </w:r>
      <w:r w:rsidR="00FE6EFB">
        <w:rPr>
          <w:rFonts w:asciiTheme="minorHAnsi" w:hAnsiTheme="minorHAnsi"/>
        </w:rPr>
        <w:t>.</w:t>
      </w:r>
      <w:r w:rsidR="002B5A1A">
        <w:rPr>
          <w:rFonts w:asciiTheme="minorHAnsi" w:hAnsiTheme="minorHAnsi"/>
        </w:rPr>
        <w:t xml:space="preserve"> </w:t>
      </w:r>
      <w:r w:rsidR="00780335">
        <w:rPr>
          <w:rFonts w:asciiTheme="minorHAnsi" w:hAnsiTheme="minorHAnsi"/>
        </w:rPr>
        <w:t xml:space="preserve">  </w:t>
      </w:r>
      <w:r w:rsidR="00D30DF5">
        <w:rPr>
          <w:rFonts w:asciiTheme="minorHAnsi" w:hAnsiTheme="minorHAnsi"/>
        </w:rPr>
        <w:t xml:space="preserve"> </w:t>
      </w:r>
      <w:r w:rsidR="000A0460">
        <w:rPr>
          <w:rFonts w:asciiTheme="minorHAnsi" w:hAnsiTheme="minorHAnsi"/>
        </w:rPr>
        <w:t xml:space="preserve"> </w:t>
      </w:r>
    </w:p>
    <w:p w14:paraId="55C37586" w14:textId="77777777" w:rsidR="00976287" w:rsidRDefault="00976287" w:rsidP="00750AE0">
      <w:pPr>
        <w:rPr>
          <w:rFonts w:asciiTheme="minorHAnsi" w:hAnsiTheme="minorHAnsi"/>
        </w:rPr>
      </w:pPr>
    </w:p>
    <w:p w14:paraId="7062AB1A" w14:textId="7036654D" w:rsidR="0096151B" w:rsidRDefault="004A1A81" w:rsidP="00410DC7">
      <w:pPr>
        <w:jc w:val="both"/>
        <w:rPr>
          <w:rFonts w:asciiTheme="minorHAnsi" w:hAnsiTheme="minorHAnsi"/>
        </w:rPr>
      </w:pPr>
      <w:r>
        <w:rPr>
          <w:rFonts w:asciiTheme="minorHAnsi" w:hAnsiTheme="minorHAnsi"/>
        </w:rPr>
        <w:lastRenderedPageBreak/>
        <w:t xml:space="preserve">The </w:t>
      </w:r>
      <w:r w:rsidR="00C437EE">
        <w:rPr>
          <w:rFonts w:asciiTheme="minorHAnsi" w:hAnsiTheme="minorHAnsi"/>
        </w:rPr>
        <w:t xml:space="preserve">finding of </w:t>
      </w:r>
      <w:r w:rsidR="002B5A1A">
        <w:rPr>
          <w:rFonts w:asciiTheme="minorHAnsi" w:hAnsiTheme="minorHAnsi"/>
        </w:rPr>
        <w:t xml:space="preserve">no </w:t>
      </w:r>
      <w:r w:rsidR="00C437EE">
        <w:rPr>
          <w:rFonts w:asciiTheme="minorHAnsi" w:hAnsiTheme="minorHAnsi"/>
        </w:rPr>
        <w:t xml:space="preserve">correlation between bank credit and growth is not rare and is actually confirmed </w:t>
      </w:r>
      <w:r w:rsidR="003E0660">
        <w:rPr>
          <w:rFonts w:asciiTheme="minorHAnsi" w:hAnsiTheme="minorHAnsi"/>
        </w:rPr>
        <w:t>by</w:t>
      </w:r>
      <w:r w:rsidR="00C437EE">
        <w:rPr>
          <w:rFonts w:asciiTheme="minorHAnsi" w:hAnsiTheme="minorHAnsi"/>
        </w:rPr>
        <w:t xml:space="preserve"> </w:t>
      </w:r>
      <w:r w:rsidR="006B2DA2">
        <w:rPr>
          <w:rFonts w:asciiTheme="minorHAnsi" w:hAnsiTheme="minorHAnsi"/>
        </w:rPr>
        <w:t xml:space="preserve">the findings of </w:t>
      </w:r>
      <w:proofErr w:type="spellStart"/>
      <w:r w:rsidR="006B2DA2" w:rsidRPr="006B2DA2">
        <w:rPr>
          <w:rFonts w:asciiTheme="minorHAnsi" w:hAnsiTheme="minorHAnsi"/>
        </w:rPr>
        <w:t>Bijsterbosch</w:t>
      </w:r>
      <w:proofErr w:type="spellEnd"/>
      <w:r w:rsidR="006B2DA2" w:rsidRPr="006B2DA2">
        <w:rPr>
          <w:rFonts w:asciiTheme="minorHAnsi" w:hAnsiTheme="minorHAnsi"/>
        </w:rPr>
        <w:t xml:space="preserve"> and </w:t>
      </w:r>
      <w:proofErr w:type="spellStart"/>
      <w:r w:rsidR="006B2DA2" w:rsidRPr="006B2DA2">
        <w:rPr>
          <w:rFonts w:asciiTheme="minorHAnsi" w:hAnsiTheme="minorHAnsi"/>
        </w:rPr>
        <w:t>Dahlhaus</w:t>
      </w:r>
      <w:proofErr w:type="spellEnd"/>
      <w:r w:rsidR="006B2DA2" w:rsidRPr="006B2DA2">
        <w:rPr>
          <w:rFonts w:asciiTheme="minorHAnsi" w:hAnsiTheme="minorHAnsi"/>
        </w:rPr>
        <w:t xml:space="preserve"> </w:t>
      </w:r>
      <w:r w:rsidR="006B2DA2">
        <w:rPr>
          <w:rFonts w:asciiTheme="minorHAnsi" w:hAnsiTheme="minorHAnsi"/>
        </w:rPr>
        <w:t xml:space="preserve">(2011), </w:t>
      </w:r>
      <w:proofErr w:type="spellStart"/>
      <w:r w:rsidR="006B2DA2">
        <w:rPr>
          <w:rFonts w:asciiTheme="minorHAnsi" w:hAnsiTheme="minorHAnsi"/>
        </w:rPr>
        <w:t>Gambocarta</w:t>
      </w:r>
      <w:proofErr w:type="spellEnd"/>
      <w:r w:rsidR="006B2DA2">
        <w:rPr>
          <w:rFonts w:asciiTheme="minorHAnsi" w:hAnsiTheme="minorHAnsi"/>
        </w:rPr>
        <w:t xml:space="preserve"> et al. (2014), and earlier by </w:t>
      </w:r>
      <w:proofErr w:type="spellStart"/>
      <w:r w:rsidR="00C437EE">
        <w:rPr>
          <w:rFonts w:asciiTheme="minorHAnsi" w:hAnsiTheme="minorHAnsi"/>
        </w:rPr>
        <w:t>Favara</w:t>
      </w:r>
      <w:proofErr w:type="spellEnd"/>
      <w:r w:rsidR="00C437EE">
        <w:rPr>
          <w:rFonts w:asciiTheme="minorHAnsi" w:hAnsiTheme="minorHAnsi"/>
        </w:rPr>
        <w:t xml:space="preserve"> (2003), in a large panel study of several countries including </w:t>
      </w:r>
      <w:r w:rsidR="00591B9A">
        <w:rPr>
          <w:rFonts w:asciiTheme="minorHAnsi" w:hAnsiTheme="minorHAnsi"/>
        </w:rPr>
        <w:t>some</w:t>
      </w:r>
      <w:r w:rsidR="00C437EE">
        <w:rPr>
          <w:rFonts w:asciiTheme="minorHAnsi" w:hAnsiTheme="minorHAnsi"/>
        </w:rPr>
        <w:t xml:space="preserve"> Middle East</w:t>
      </w:r>
      <w:r w:rsidR="00591B9A">
        <w:rPr>
          <w:rFonts w:asciiTheme="minorHAnsi" w:hAnsiTheme="minorHAnsi"/>
        </w:rPr>
        <w:t>ern</w:t>
      </w:r>
      <w:r w:rsidR="00C437EE">
        <w:rPr>
          <w:rFonts w:asciiTheme="minorHAnsi" w:hAnsiTheme="minorHAnsi"/>
        </w:rPr>
        <w:t xml:space="preserve"> countries </w:t>
      </w:r>
      <w:r w:rsidR="00C437EE" w:rsidRPr="000E4570">
        <w:rPr>
          <w:rFonts w:asciiTheme="minorHAnsi" w:hAnsiTheme="minorHAnsi"/>
        </w:rPr>
        <w:t>between 1960 and 1998.</w:t>
      </w:r>
      <w:r w:rsidR="002B5A1A">
        <w:rPr>
          <w:rFonts w:asciiTheme="minorHAnsi" w:hAnsiTheme="minorHAnsi"/>
        </w:rPr>
        <w:t xml:space="preserve"> In fact, </w:t>
      </w:r>
      <w:proofErr w:type="spellStart"/>
      <w:r w:rsidR="006B2DA2">
        <w:rPr>
          <w:rFonts w:asciiTheme="minorHAnsi" w:hAnsiTheme="minorHAnsi"/>
        </w:rPr>
        <w:t>Favara</w:t>
      </w:r>
      <w:r w:rsidR="002B5A1A">
        <w:rPr>
          <w:rFonts w:asciiTheme="minorHAnsi" w:hAnsiTheme="minorHAnsi"/>
        </w:rPr>
        <w:t>’s</w:t>
      </w:r>
      <w:proofErr w:type="spellEnd"/>
      <w:r w:rsidR="002B5A1A">
        <w:rPr>
          <w:rFonts w:asciiTheme="minorHAnsi" w:hAnsiTheme="minorHAnsi"/>
        </w:rPr>
        <w:t xml:space="preserve"> results showed that for some countries, the relation is puzzlingly negative.  </w:t>
      </w:r>
      <w:r w:rsidR="00C437EE">
        <w:rPr>
          <w:rFonts w:asciiTheme="minorHAnsi" w:hAnsiTheme="minorHAnsi"/>
        </w:rPr>
        <w:t xml:space="preserve"> </w:t>
      </w:r>
      <w:r w:rsidR="00466706">
        <w:rPr>
          <w:rFonts w:asciiTheme="minorHAnsi" w:hAnsiTheme="minorHAnsi"/>
        </w:rPr>
        <w:t xml:space="preserve">Similarly, </w:t>
      </w:r>
      <w:proofErr w:type="spellStart"/>
      <w:r w:rsidR="00466706" w:rsidRPr="00CC7D01">
        <w:rPr>
          <w:rFonts w:asciiTheme="minorHAnsi" w:hAnsiTheme="minorHAnsi"/>
        </w:rPr>
        <w:t>Boyreau-Debray</w:t>
      </w:r>
      <w:proofErr w:type="spellEnd"/>
      <w:r w:rsidR="00466706" w:rsidRPr="00CC7D01">
        <w:rPr>
          <w:rFonts w:asciiTheme="minorHAnsi" w:hAnsiTheme="minorHAnsi"/>
        </w:rPr>
        <w:t xml:space="preserve"> (2003) </w:t>
      </w:r>
      <w:r w:rsidR="00466706">
        <w:rPr>
          <w:rFonts w:asciiTheme="minorHAnsi" w:hAnsiTheme="minorHAnsi"/>
        </w:rPr>
        <w:t xml:space="preserve">have also identified a </w:t>
      </w:r>
      <w:r w:rsidR="00466706" w:rsidRPr="00CC7D01">
        <w:rPr>
          <w:rFonts w:asciiTheme="minorHAnsi" w:hAnsiTheme="minorHAnsi"/>
        </w:rPr>
        <w:t>negative correlation between growth and bank</w:t>
      </w:r>
      <w:r w:rsidR="00466706">
        <w:rPr>
          <w:rFonts w:asciiTheme="minorHAnsi" w:hAnsiTheme="minorHAnsi"/>
        </w:rPr>
        <w:t xml:space="preserve"> credit in China as </w:t>
      </w:r>
      <w:r w:rsidR="00466706" w:rsidRPr="00CC7D01">
        <w:rPr>
          <w:rFonts w:asciiTheme="minorHAnsi" w:hAnsiTheme="minorHAnsi"/>
        </w:rPr>
        <w:t xml:space="preserve">banks were </w:t>
      </w:r>
      <w:r w:rsidR="00466706">
        <w:rPr>
          <w:rFonts w:asciiTheme="minorHAnsi" w:hAnsiTheme="minorHAnsi"/>
        </w:rPr>
        <w:t xml:space="preserve">lending </w:t>
      </w:r>
      <w:r w:rsidR="000E4570">
        <w:rPr>
          <w:rFonts w:asciiTheme="minorHAnsi" w:hAnsiTheme="minorHAnsi"/>
        </w:rPr>
        <w:t xml:space="preserve">funds </w:t>
      </w:r>
      <w:r w:rsidR="00466706" w:rsidRPr="00410DC7">
        <w:rPr>
          <w:rFonts w:asciiTheme="minorHAnsi" w:hAnsiTheme="minorHAnsi"/>
        </w:rPr>
        <w:t>to unprofitable organizations</w:t>
      </w:r>
      <w:r w:rsidR="00466706">
        <w:rPr>
          <w:rFonts w:asciiTheme="minorHAnsi" w:hAnsiTheme="minorHAnsi"/>
        </w:rPr>
        <w:t xml:space="preserve"> of </w:t>
      </w:r>
      <w:r w:rsidR="00466706" w:rsidRPr="00CC7D01">
        <w:rPr>
          <w:rFonts w:asciiTheme="minorHAnsi" w:hAnsiTheme="minorHAnsi"/>
        </w:rPr>
        <w:t>the Chinese State Enterprise.</w:t>
      </w:r>
      <w:r w:rsidR="00466706">
        <w:rPr>
          <w:rFonts w:asciiTheme="minorHAnsi" w:hAnsiTheme="minorHAnsi"/>
        </w:rPr>
        <w:t xml:space="preserve">  </w:t>
      </w:r>
      <w:r w:rsidR="002B5A1A">
        <w:rPr>
          <w:rFonts w:asciiTheme="minorHAnsi" w:hAnsiTheme="minorHAnsi"/>
        </w:rPr>
        <w:t>Our</w:t>
      </w:r>
      <w:r w:rsidR="00466706">
        <w:rPr>
          <w:rFonts w:asciiTheme="minorHAnsi" w:hAnsiTheme="minorHAnsi"/>
        </w:rPr>
        <w:t xml:space="preserve"> results here</w:t>
      </w:r>
      <w:r w:rsidR="002B5A1A">
        <w:rPr>
          <w:rFonts w:asciiTheme="minorHAnsi" w:hAnsiTheme="minorHAnsi"/>
        </w:rPr>
        <w:t xml:space="preserve"> lend further support to the notion that bank credit does not have a </w:t>
      </w:r>
      <w:r w:rsidR="002B5A1A" w:rsidRPr="0049360F">
        <w:rPr>
          <w:rFonts w:asciiTheme="minorHAnsi" w:hAnsiTheme="minorHAnsi"/>
        </w:rPr>
        <w:t>first order effect on</w:t>
      </w:r>
      <w:r w:rsidR="002B5A1A">
        <w:rPr>
          <w:rFonts w:asciiTheme="minorHAnsi" w:hAnsiTheme="minorHAnsi"/>
        </w:rPr>
        <w:t xml:space="preserve"> </w:t>
      </w:r>
      <w:r w:rsidR="002B5A1A" w:rsidRPr="0049360F">
        <w:rPr>
          <w:rFonts w:asciiTheme="minorHAnsi" w:hAnsiTheme="minorHAnsi"/>
        </w:rPr>
        <w:t>economic growth</w:t>
      </w:r>
      <w:r w:rsidR="002B5A1A">
        <w:rPr>
          <w:rFonts w:asciiTheme="minorHAnsi" w:hAnsiTheme="minorHAnsi"/>
        </w:rPr>
        <w:t>.  When</w:t>
      </w:r>
      <w:r w:rsidR="002B5A1A" w:rsidRPr="0049360F">
        <w:rPr>
          <w:rFonts w:asciiTheme="minorHAnsi" w:hAnsiTheme="minorHAnsi"/>
        </w:rPr>
        <w:t xml:space="preserve"> the dynamic specification and slope heterogeneity across countries are taken into account, the effect is </w:t>
      </w:r>
      <w:r w:rsidR="00FE6EFB">
        <w:rPr>
          <w:rFonts w:asciiTheme="minorHAnsi" w:hAnsiTheme="minorHAnsi"/>
        </w:rPr>
        <w:t>inconclusive and ambiguous</w:t>
      </w:r>
      <w:r w:rsidR="002B5A1A" w:rsidRPr="0049360F">
        <w:rPr>
          <w:rFonts w:asciiTheme="minorHAnsi" w:hAnsiTheme="minorHAnsi"/>
        </w:rPr>
        <w:t xml:space="preserve">. </w:t>
      </w:r>
      <w:r w:rsidR="00FE6EFB">
        <w:rPr>
          <w:rFonts w:asciiTheme="minorHAnsi" w:hAnsiTheme="minorHAnsi"/>
        </w:rPr>
        <w:t xml:space="preserve"> </w:t>
      </w:r>
      <w:r w:rsidR="003E0660">
        <w:rPr>
          <w:rFonts w:asciiTheme="minorHAnsi" w:hAnsiTheme="minorHAnsi"/>
        </w:rPr>
        <w:t xml:space="preserve">The consensus is that each region or country is a special case and broad generalizations may not be possible.  </w:t>
      </w:r>
      <w:r w:rsidR="00FE6EFB">
        <w:rPr>
          <w:rFonts w:asciiTheme="minorHAnsi" w:hAnsiTheme="minorHAnsi"/>
        </w:rPr>
        <w:t>What is clear is that the classic notion that bank lending spur</w:t>
      </w:r>
      <w:r w:rsidR="003E0660">
        <w:rPr>
          <w:rFonts w:asciiTheme="minorHAnsi" w:hAnsiTheme="minorHAnsi"/>
        </w:rPr>
        <w:t>s</w:t>
      </w:r>
      <w:r w:rsidR="00FE6EFB">
        <w:rPr>
          <w:rFonts w:asciiTheme="minorHAnsi" w:hAnsiTheme="minorHAnsi"/>
        </w:rPr>
        <w:t xml:space="preserve"> economic growth is not supported in the countries </w:t>
      </w:r>
      <w:r w:rsidR="005026F6">
        <w:rPr>
          <w:rFonts w:asciiTheme="minorHAnsi" w:hAnsiTheme="minorHAnsi"/>
        </w:rPr>
        <w:t xml:space="preserve">that </w:t>
      </w:r>
      <w:r w:rsidR="00FE6EFB">
        <w:rPr>
          <w:rFonts w:asciiTheme="minorHAnsi" w:hAnsiTheme="minorHAnsi"/>
        </w:rPr>
        <w:t xml:space="preserve">have experienced uprisings.  </w:t>
      </w:r>
      <w:r w:rsidR="003E0660">
        <w:rPr>
          <w:rFonts w:asciiTheme="minorHAnsi" w:hAnsiTheme="minorHAnsi"/>
        </w:rPr>
        <w:t xml:space="preserve"> </w:t>
      </w:r>
    </w:p>
    <w:p w14:paraId="46853E93" w14:textId="144B0879" w:rsidR="00FE6EFB" w:rsidRDefault="00FE6EFB" w:rsidP="002B5A1A">
      <w:pPr>
        <w:rPr>
          <w:rFonts w:asciiTheme="minorHAnsi" w:hAnsiTheme="minorHAnsi"/>
        </w:rPr>
      </w:pPr>
      <w:r>
        <w:rPr>
          <w:rFonts w:asciiTheme="minorHAnsi" w:hAnsiTheme="minorHAnsi"/>
        </w:rPr>
        <w:t xml:space="preserve">  </w:t>
      </w:r>
    </w:p>
    <w:p w14:paraId="742F53B8" w14:textId="76D999E3" w:rsidR="005026F6" w:rsidRDefault="0096151B" w:rsidP="00410DC7">
      <w:pPr>
        <w:jc w:val="both"/>
        <w:rPr>
          <w:rFonts w:asciiTheme="minorHAnsi" w:hAnsiTheme="minorHAnsi"/>
        </w:rPr>
      </w:pPr>
      <w:r>
        <w:rPr>
          <w:rFonts w:asciiTheme="minorHAnsi" w:hAnsiTheme="minorHAnsi"/>
        </w:rPr>
        <w:t>Why bank credit</w:t>
      </w:r>
      <w:r w:rsidR="005026F6">
        <w:rPr>
          <w:rFonts w:asciiTheme="minorHAnsi" w:hAnsiTheme="minorHAnsi"/>
        </w:rPr>
        <w:t xml:space="preserve"> is</w:t>
      </w:r>
      <w:r>
        <w:rPr>
          <w:rFonts w:asciiTheme="minorHAnsi" w:hAnsiTheme="minorHAnsi"/>
        </w:rPr>
        <w:t xml:space="preserve"> not necessary for economic growth in the countries of the Arab Spring is not a difficult a question</w:t>
      </w:r>
      <w:r w:rsidR="00591B9A">
        <w:rPr>
          <w:rFonts w:asciiTheme="minorHAnsi" w:hAnsiTheme="minorHAnsi"/>
        </w:rPr>
        <w:t xml:space="preserve"> to answer</w:t>
      </w:r>
      <w:r>
        <w:rPr>
          <w:rFonts w:asciiTheme="minorHAnsi" w:hAnsiTheme="minorHAnsi"/>
        </w:rPr>
        <w:t xml:space="preserve">.  </w:t>
      </w:r>
      <w:r w:rsidR="00466706">
        <w:rPr>
          <w:rFonts w:asciiTheme="minorHAnsi" w:hAnsiTheme="minorHAnsi"/>
        </w:rPr>
        <w:t xml:space="preserve">With the exception of Bahrain, many of the banking institutions in the </w:t>
      </w:r>
      <w:r w:rsidR="005026F6">
        <w:rPr>
          <w:rFonts w:asciiTheme="minorHAnsi" w:hAnsiTheme="minorHAnsi"/>
        </w:rPr>
        <w:t xml:space="preserve">five </w:t>
      </w:r>
      <w:r w:rsidR="00466706">
        <w:rPr>
          <w:rFonts w:asciiTheme="minorHAnsi" w:hAnsiTheme="minorHAnsi"/>
        </w:rPr>
        <w:t xml:space="preserve">countries </w:t>
      </w:r>
      <w:r w:rsidR="005026F6">
        <w:rPr>
          <w:rFonts w:asciiTheme="minorHAnsi" w:hAnsiTheme="minorHAnsi"/>
        </w:rPr>
        <w:t xml:space="preserve">that </w:t>
      </w:r>
      <w:r w:rsidR="00466706">
        <w:rPr>
          <w:rFonts w:asciiTheme="minorHAnsi" w:hAnsiTheme="minorHAnsi"/>
        </w:rPr>
        <w:t xml:space="preserve">experienced uprisings suffer from </w:t>
      </w:r>
      <w:r w:rsidR="00780335">
        <w:rPr>
          <w:rFonts w:asciiTheme="minorHAnsi" w:hAnsiTheme="minorHAnsi"/>
        </w:rPr>
        <w:t xml:space="preserve">opaqueness </w:t>
      </w:r>
      <w:r w:rsidR="00466706">
        <w:rPr>
          <w:rFonts w:asciiTheme="minorHAnsi" w:hAnsiTheme="minorHAnsi"/>
        </w:rPr>
        <w:t xml:space="preserve">and </w:t>
      </w:r>
      <w:bookmarkStart w:id="0" w:name="_GoBack"/>
      <w:bookmarkEnd w:id="0"/>
      <w:r w:rsidR="00466706">
        <w:rPr>
          <w:rFonts w:asciiTheme="minorHAnsi" w:hAnsiTheme="minorHAnsi"/>
        </w:rPr>
        <w:t xml:space="preserve">cronyism and </w:t>
      </w:r>
      <w:r w:rsidR="00780335">
        <w:rPr>
          <w:rFonts w:asciiTheme="minorHAnsi" w:hAnsiTheme="minorHAnsi"/>
        </w:rPr>
        <w:t>were</w:t>
      </w:r>
      <w:r w:rsidR="00466706">
        <w:rPr>
          <w:rFonts w:asciiTheme="minorHAnsi" w:hAnsiTheme="minorHAnsi"/>
        </w:rPr>
        <w:t xml:space="preserve"> rank</w:t>
      </w:r>
      <w:r w:rsidR="00780335">
        <w:rPr>
          <w:rFonts w:asciiTheme="minorHAnsi" w:hAnsiTheme="minorHAnsi"/>
        </w:rPr>
        <w:t>ed</w:t>
      </w:r>
      <w:r w:rsidR="00466706">
        <w:rPr>
          <w:rFonts w:asciiTheme="minorHAnsi" w:hAnsiTheme="minorHAnsi"/>
        </w:rPr>
        <w:t xml:space="preserve"> </w:t>
      </w:r>
      <w:r w:rsidR="00780335">
        <w:rPr>
          <w:rFonts w:asciiTheme="minorHAnsi" w:hAnsiTheme="minorHAnsi"/>
        </w:rPr>
        <w:t>“</w:t>
      </w:r>
      <w:r w:rsidR="00CD10CE">
        <w:rPr>
          <w:rFonts w:asciiTheme="minorHAnsi" w:hAnsiTheme="minorHAnsi"/>
        </w:rPr>
        <w:t>below-</w:t>
      </w:r>
      <w:r w:rsidR="00466706">
        <w:rPr>
          <w:rFonts w:asciiTheme="minorHAnsi" w:hAnsiTheme="minorHAnsi"/>
        </w:rPr>
        <w:t>average</w:t>
      </w:r>
      <w:r w:rsidR="00780335">
        <w:rPr>
          <w:rFonts w:asciiTheme="minorHAnsi" w:hAnsiTheme="minorHAnsi"/>
        </w:rPr>
        <w:t>”</w:t>
      </w:r>
      <w:r w:rsidR="00466706">
        <w:rPr>
          <w:rFonts w:asciiTheme="minorHAnsi" w:hAnsiTheme="minorHAnsi"/>
        </w:rPr>
        <w:t xml:space="preserve"> or </w:t>
      </w:r>
      <w:r w:rsidR="00780335">
        <w:rPr>
          <w:rFonts w:asciiTheme="minorHAnsi" w:hAnsiTheme="minorHAnsi"/>
        </w:rPr>
        <w:t>“</w:t>
      </w:r>
      <w:r w:rsidR="00466706">
        <w:rPr>
          <w:rFonts w:asciiTheme="minorHAnsi" w:hAnsiTheme="minorHAnsi"/>
        </w:rPr>
        <w:t>poor</w:t>
      </w:r>
      <w:r w:rsidR="00780335">
        <w:rPr>
          <w:rFonts w:asciiTheme="minorHAnsi" w:hAnsiTheme="minorHAnsi"/>
        </w:rPr>
        <w:t>”</w:t>
      </w:r>
      <w:r w:rsidR="00466706">
        <w:rPr>
          <w:rFonts w:asciiTheme="minorHAnsi" w:hAnsiTheme="minorHAnsi"/>
        </w:rPr>
        <w:t xml:space="preserve"> using a </w:t>
      </w:r>
      <w:r w:rsidR="00466706" w:rsidRPr="00466706">
        <w:rPr>
          <w:rFonts w:asciiTheme="minorHAnsi" w:hAnsiTheme="minorHAnsi"/>
        </w:rPr>
        <w:t xml:space="preserve">Financial Development Index </w:t>
      </w:r>
      <w:r w:rsidR="00591B9A">
        <w:rPr>
          <w:rFonts w:asciiTheme="minorHAnsi" w:hAnsiTheme="minorHAnsi"/>
        </w:rPr>
        <w:t>(</w:t>
      </w:r>
      <w:r w:rsidR="00466706">
        <w:rPr>
          <w:rFonts w:asciiTheme="minorHAnsi" w:hAnsiTheme="minorHAnsi"/>
        </w:rPr>
        <w:t>f</w:t>
      </w:r>
      <w:r w:rsidR="00466706" w:rsidRPr="00466706">
        <w:rPr>
          <w:rFonts w:asciiTheme="minorHAnsi" w:hAnsiTheme="minorHAnsi"/>
        </w:rPr>
        <w:t xml:space="preserve">or </w:t>
      </w:r>
      <w:r w:rsidR="00466706">
        <w:rPr>
          <w:rFonts w:asciiTheme="minorHAnsi" w:hAnsiTheme="minorHAnsi"/>
        </w:rPr>
        <w:t>s</w:t>
      </w:r>
      <w:r w:rsidR="00466706" w:rsidRPr="00466706">
        <w:rPr>
          <w:rFonts w:asciiTheme="minorHAnsi" w:hAnsiTheme="minorHAnsi"/>
        </w:rPr>
        <w:t xml:space="preserve">elected MENA </w:t>
      </w:r>
      <w:r w:rsidR="00466706">
        <w:rPr>
          <w:rFonts w:asciiTheme="minorHAnsi" w:hAnsiTheme="minorHAnsi"/>
        </w:rPr>
        <w:t>c</w:t>
      </w:r>
      <w:r w:rsidR="00466706" w:rsidRPr="00466706">
        <w:rPr>
          <w:rFonts w:asciiTheme="minorHAnsi" w:hAnsiTheme="minorHAnsi"/>
        </w:rPr>
        <w:t>ountries</w:t>
      </w:r>
      <w:r w:rsidR="00591B9A">
        <w:rPr>
          <w:rFonts w:asciiTheme="minorHAnsi" w:hAnsiTheme="minorHAnsi"/>
        </w:rPr>
        <w:t>)</w:t>
      </w:r>
      <w:r w:rsidR="000E04EA">
        <w:rPr>
          <w:rFonts w:asciiTheme="minorHAnsi" w:hAnsiTheme="minorHAnsi"/>
        </w:rPr>
        <w:t xml:space="preserve"> published by the IMF</w:t>
      </w:r>
      <w:r w:rsidR="000E04EA">
        <w:rPr>
          <w:rStyle w:val="FootnoteReference"/>
          <w:rFonts w:asciiTheme="minorHAnsi" w:hAnsiTheme="minorHAnsi"/>
        </w:rPr>
        <w:footnoteReference w:id="5"/>
      </w:r>
      <w:r w:rsidR="00466706">
        <w:rPr>
          <w:rFonts w:asciiTheme="minorHAnsi" w:hAnsiTheme="minorHAnsi"/>
        </w:rPr>
        <w:t xml:space="preserve">.  For example, on a scale of </w:t>
      </w:r>
    </w:p>
    <w:p w14:paraId="2C919C2B" w14:textId="4A0723AF" w:rsidR="00DD5FB8" w:rsidRDefault="00466706" w:rsidP="00410DC7">
      <w:pPr>
        <w:jc w:val="both"/>
        <w:rPr>
          <w:rFonts w:asciiTheme="minorHAnsi" w:hAnsiTheme="minorHAnsi"/>
        </w:rPr>
      </w:pPr>
      <w:r>
        <w:rPr>
          <w:rFonts w:asciiTheme="minorHAnsi" w:hAnsiTheme="minorHAnsi"/>
        </w:rPr>
        <w:t>1</w:t>
      </w:r>
      <w:r w:rsidR="005026F6">
        <w:rPr>
          <w:rFonts w:asciiTheme="minorHAnsi" w:hAnsiTheme="minorHAnsi"/>
        </w:rPr>
        <w:t xml:space="preserve"> –</w:t>
      </w:r>
      <w:r>
        <w:rPr>
          <w:rFonts w:asciiTheme="minorHAnsi" w:hAnsiTheme="minorHAnsi"/>
        </w:rPr>
        <w:t xml:space="preserve"> </w:t>
      </w:r>
      <w:r w:rsidR="00591B9A">
        <w:rPr>
          <w:rFonts w:asciiTheme="minorHAnsi" w:hAnsiTheme="minorHAnsi"/>
        </w:rPr>
        <w:t>10</w:t>
      </w:r>
      <w:r>
        <w:rPr>
          <w:rFonts w:asciiTheme="minorHAnsi" w:hAnsiTheme="minorHAnsi"/>
        </w:rPr>
        <w:t>, only Bahrain exceed</w:t>
      </w:r>
      <w:r w:rsidR="000E04EA">
        <w:rPr>
          <w:rFonts w:asciiTheme="minorHAnsi" w:hAnsiTheme="minorHAnsi"/>
        </w:rPr>
        <w:t>ed</w:t>
      </w:r>
      <w:r>
        <w:rPr>
          <w:rFonts w:asciiTheme="minorHAnsi" w:hAnsiTheme="minorHAnsi"/>
        </w:rPr>
        <w:t xml:space="preserve"> the average of </w:t>
      </w:r>
      <w:r w:rsidR="000E04EA">
        <w:rPr>
          <w:rFonts w:asciiTheme="minorHAnsi" w:hAnsiTheme="minorHAnsi"/>
        </w:rPr>
        <w:t>5.5. Tunisia, Egypt, Yemen</w:t>
      </w:r>
      <w:r w:rsidR="005026F6">
        <w:rPr>
          <w:rFonts w:asciiTheme="minorHAnsi" w:hAnsiTheme="minorHAnsi"/>
        </w:rPr>
        <w:t>,</w:t>
      </w:r>
      <w:r w:rsidR="000E04EA">
        <w:rPr>
          <w:rFonts w:asciiTheme="minorHAnsi" w:hAnsiTheme="minorHAnsi"/>
        </w:rPr>
        <w:t xml:space="preserve"> and Libya banking sectors’ regulation and supervision </w:t>
      </w:r>
      <w:r w:rsidR="00780335">
        <w:rPr>
          <w:rFonts w:asciiTheme="minorHAnsi" w:hAnsiTheme="minorHAnsi"/>
        </w:rPr>
        <w:t xml:space="preserve">were </w:t>
      </w:r>
      <w:r w:rsidR="000E04EA">
        <w:rPr>
          <w:rFonts w:asciiTheme="minorHAnsi" w:hAnsiTheme="minorHAnsi"/>
        </w:rPr>
        <w:t>ranked 5.3, 5.3, 3.3, and 2.0</w:t>
      </w:r>
      <w:r w:rsidR="00780335">
        <w:rPr>
          <w:rFonts w:asciiTheme="minorHAnsi" w:hAnsiTheme="minorHAnsi"/>
        </w:rPr>
        <w:t xml:space="preserve"> </w:t>
      </w:r>
      <w:r w:rsidR="0071650A">
        <w:rPr>
          <w:rFonts w:asciiTheme="minorHAnsi" w:hAnsiTheme="minorHAnsi"/>
        </w:rPr>
        <w:t xml:space="preserve">respectively </w:t>
      </w:r>
      <w:r w:rsidR="00780335">
        <w:rPr>
          <w:rFonts w:asciiTheme="minorHAnsi" w:hAnsiTheme="minorHAnsi"/>
        </w:rPr>
        <w:t>(see Table 4)</w:t>
      </w:r>
      <w:r w:rsidR="000E04EA">
        <w:rPr>
          <w:rFonts w:asciiTheme="minorHAnsi" w:hAnsiTheme="minorHAnsi"/>
        </w:rPr>
        <w:t>.</w:t>
      </w:r>
      <w:r w:rsidR="0096151B">
        <w:rPr>
          <w:rFonts w:asciiTheme="minorHAnsi" w:hAnsiTheme="minorHAnsi"/>
        </w:rPr>
        <w:t xml:space="preserve">  </w:t>
      </w:r>
      <w:r w:rsidR="00591B9A">
        <w:rPr>
          <w:rFonts w:asciiTheme="minorHAnsi" w:hAnsiTheme="minorHAnsi"/>
        </w:rPr>
        <w:t xml:space="preserve">In </w:t>
      </w:r>
      <w:r w:rsidR="0096151B">
        <w:rPr>
          <w:rFonts w:asciiTheme="minorHAnsi" w:hAnsiTheme="minorHAnsi"/>
        </w:rPr>
        <w:t xml:space="preserve">such </w:t>
      </w:r>
      <w:r w:rsidR="003E0660">
        <w:rPr>
          <w:rFonts w:asciiTheme="minorHAnsi" w:hAnsiTheme="minorHAnsi"/>
        </w:rPr>
        <w:t xml:space="preserve">institutional </w:t>
      </w:r>
      <w:r w:rsidR="0096151B">
        <w:rPr>
          <w:rFonts w:asciiTheme="minorHAnsi" w:hAnsiTheme="minorHAnsi"/>
        </w:rPr>
        <w:t>landscape, banks</w:t>
      </w:r>
      <w:r w:rsidR="005026F6">
        <w:rPr>
          <w:rFonts w:asciiTheme="minorHAnsi" w:hAnsiTheme="minorHAnsi"/>
        </w:rPr>
        <w:t xml:space="preserve"> likely</w:t>
      </w:r>
      <w:r w:rsidR="0096151B">
        <w:rPr>
          <w:rFonts w:asciiTheme="minorHAnsi" w:hAnsiTheme="minorHAnsi"/>
        </w:rPr>
        <w:t xml:space="preserve"> do not have the freedom to lend using traditional</w:t>
      </w:r>
      <w:r w:rsidR="0071650A">
        <w:rPr>
          <w:rFonts w:asciiTheme="minorHAnsi" w:hAnsiTheme="minorHAnsi"/>
        </w:rPr>
        <w:t xml:space="preserve"> underwriting t</w:t>
      </w:r>
      <w:r w:rsidR="00DE055F">
        <w:rPr>
          <w:rFonts w:asciiTheme="minorHAnsi" w:hAnsiTheme="minorHAnsi"/>
        </w:rPr>
        <w:t>ools</w:t>
      </w:r>
      <w:r w:rsidR="0071650A">
        <w:rPr>
          <w:rFonts w:asciiTheme="minorHAnsi" w:hAnsiTheme="minorHAnsi"/>
        </w:rPr>
        <w:t xml:space="preserve"> and credit analysis</w:t>
      </w:r>
      <w:r w:rsidR="0096151B">
        <w:rPr>
          <w:rFonts w:asciiTheme="minorHAnsi" w:hAnsiTheme="minorHAnsi"/>
        </w:rPr>
        <w:t xml:space="preserve"> but are directed, often by the power establishment</w:t>
      </w:r>
      <w:r w:rsidR="003E0660">
        <w:rPr>
          <w:rFonts w:asciiTheme="minorHAnsi" w:hAnsiTheme="minorHAnsi"/>
        </w:rPr>
        <w:t>,</w:t>
      </w:r>
      <w:r w:rsidR="0096151B">
        <w:rPr>
          <w:rFonts w:asciiTheme="minorHAnsi" w:hAnsiTheme="minorHAnsi"/>
        </w:rPr>
        <w:t xml:space="preserve"> to loan </w:t>
      </w:r>
      <w:r w:rsidR="00591B9A">
        <w:rPr>
          <w:rFonts w:asciiTheme="minorHAnsi" w:hAnsiTheme="minorHAnsi"/>
        </w:rPr>
        <w:t xml:space="preserve">to </w:t>
      </w:r>
      <w:r w:rsidR="0096151B">
        <w:rPr>
          <w:rFonts w:asciiTheme="minorHAnsi" w:hAnsiTheme="minorHAnsi"/>
        </w:rPr>
        <w:t xml:space="preserve">specific projects </w:t>
      </w:r>
      <w:r w:rsidR="005026F6">
        <w:rPr>
          <w:rFonts w:asciiTheme="minorHAnsi" w:hAnsiTheme="minorHAnsi"/>
        </w:rPr>
        <w:t xml:space="preserve">that </w:t>
      </w:r>
      <w:r w:rsidR="0096151B">
        <w:rPr>
          <w:rFonts w:asciiTheme="minorHAnsi" w:hAnsiTheme="minorHAnsi"/>
        </w:rPr>
        <w:t>may not be profitable</w:t>
      </w:r>
      <w:r w:rsidR="0071650A">
        <w:rPr>
          <w:rFonts w:asciiTheme="minorHAnsi" w:hAnsiTheme="minorHAnsi"/>
        </w:rPr>
        <w:t>, nor lead to economic growth</w:t>
      </w:r>
      <w:r w:rsidR="0096151B">
        <w:rPr>
          <w:rFonts w:asciiTheme="minorHAnsi" w:hAnsiTheme="minorHAnsi"/>
        </w:rPr>
        <w:t xml:space="preserve">.  Many of the banks in these countries are government sponsored institutions </w:t>
      </w:r>
      <w:r w:rsidR="0071650A">
        <w:rPr>
          <w:rFonts w:asciiTheme="minorHAnsi" w:hAnsiTheme="minorHAnsi"/>
        </w:rPr>
        <w:t xml:space="preserve">that implicitly </w:t>
      </w:r>
      <w:r w:rsidR="0096151B">
        <w:rPr>
          <w:rFonts w:asciiTheme="minorHAnsi" w:hAnsiTheme="minorHAnsi"/>
        </w:rPr>
        <w:t xml:space="preserve">cater to </w:t>
      </w:r>
      <w:r w:rsidR="00DD5FB8">
        <w:rPr>
          <w:rFonts w:asciiTheme="minorHAnsi" w:hAnsiTheme="minorHAnsi"/>
        </w:rPr>
        <w:t xml:space="preserve">specific interest groups and </w:t>
      </w:r>
      <w:r w:rsidR="0071650A">
        <w:rPr>
          <w:rFonts w:asciiTheme="minorHAnsi" w:hAnsiTheme="minorHAnsi"/>
        </w:rPr>
        <w:t xml:space="preserve">may </w:t>
      </w:r>
      <w:r w:rsidR="00DD5FB8">
        <w:rPr>
          <w:rFonts w:asciiTheme="minorHAnsi" w:hAnsiTheme="minorHAnsi"/>
        </w:rPr>
        <w:t>not necessarily maximize the public welfare.</w:t>
      </w:r>
      <w:r w:rsidR="0096151B">
        <w:rPr>
          <w:rFonts w:asciiTheme="minorHAnsi" w:hAnsiTheme="minorHAnsi"/>
        </w:rPr>
        <w:t xml:space="preserve"> </w:t>
      </w:r>
      <w:r w:rsidR="003E0660">
        <w:rPr>
          <w:rFonts w:asciiTheme="minorHAnsi" w:hAnsiTheme="minorHAnsi"/>
        </w:rPr>
        <w:t xml:space="preserve"> </w:t>
      </w:r>
      <w:r w:rsidR="0071650A">
        <w:rPr>
          <w:rFonts w:asciiTheme="minorHAnsi" w:hAnsiTheme="minorHAnsi"/>
        </w:rPr>
        <w:t>Their b</w:t>
      </w:r>
      <w:r w:rsidR="00DD5FB8">
        <w:rPr>
          <w:rFonts w:asciiTheme="minorHAnsi" w:hAnsiTheme="minorHAnsi"/>
        </w:rPr>
        <w:t xml:space="preserve">ad loans are </w:t>
      </w:r>
      <w:r w:rsidR="003E0660">
        <w:rPr>
          <w:rFonts w:asciiTheme="minorHAnsi" w:hAnsiTheme="minorHAnsi"/>
        </w:rPr>
        <w:t xml:space="preserve">also </w:t>
      </w:r>
      <w:r w:rsidR="00591B9A">
        <w:rPr>
          <w:rFonts w:asciiTheme="minorHAnsi" w:hAnsiTheme="minorHAnsi"/>
        </w:rPr>
        <w:t xml:space="preserve">commonly </w:t>
      </w:r>
      <w:r w:rsidR="00DD5FB8">
        <w:rPr>
          <w:rFonts w:asciiTheme="minorHAnsi" w:hAnsiTheme="minorHAnsi"/>
        </w:rPr>
        <w:t>written off</w:t>
      </w:r>
      <w:r w:rsidR="00C739E8">
        <w:rPr>
          <w:rFonts w:asciiTheme="minorHAnsi" w:hAnsiTheme="minorHAnsi"/>
        </w:rPr>
        <w:t xml:space="preserve"> and funds are misdirected</w:t>
      </w:r>
      <w:r w:rsidR="00DD5FB8">
        <w:rPr>
          <w:rFonts w:asciiTheme="minorHAnsi" w:hAnsiTheme="minorHAnsi"/>
        </w:rPr>
        <w:t xml:space="preserve">.  As </w:t>
      </w:r>
      <w:proofErr w:type="spellStart"/>
      <w:r w:rsidR="00DD5FB8">
        <w:rPr>
          <w:rFonts w:asciiTheme="minorHAnsi" w:hAnsiTheme="minorHAnsi"/>
        </w:rPr>
        <w:t>Creane</w:t>
      </w:r>
      <w:proofErr w:type="spellEnd"/>
      <w:r w:rsidR="00DD5FB8">
        <w:rPr>
          <w:rFonts w:asciiTheme="minorHAnsi" w:hAnsiTheme="minorHAnsi"/>
        </w:rPr>
        <w:t xml:space="preserve"> et al. (2004) note, </w:t>
      </w:r>
      <w:r w:rsidR="004B7AC5">
        <w:rPr>
          <w:rFonts w:asciiTheme="minorHAnsi" w:hAnsiTheme="minorHAnsi"/>
        </w:rPr>
        <w:t xml:space="preserve">government </w:t>
      </w:r>
      <w:r w:rsidR="00DD5FB8">
        <w:rPr>
          <w:rFonts w:asciiTheme="minorHAnsi" w:hAnsiTheme="minorHAnsi"/>
        </w:rPr>
        <w:t>c</w:t>
      </w:r>
      <w:r w:rsidR="0096151B" w:rsidRPr="0096151B">
        <w:rPr>
          <w:rFonts w:asciiTheme="minorHAnsi" w:hAnsiTheme="minorHAnsi"/>
        </w:rPr>
        <w:t xml:space="preserve">ontrols on lending rates and the allocation of </w:t>
      </w:r>
      <w:r w:rsidR="004B7AC5">
        <w:rPr>
          <w:rFonts w:asciiTheme="minorHAnsi" w:hAnsiTheme="minorHAnsi"/>
        </w:rPr>
        <w:t xml:space="preserve">bank </w:t>
      </w:r>
      <w:r w:rsidR="0096151B" w:rsidRPr="0096151B">
        <w:rPr>
          <w:rFonts w:asciiTheme="minorHAnsi" w:hAnsiTheme="minorHAnsi"/>
        </w:rPr>
        <w:t xml:space="preserve">credit repress financial systems. </w:t>
      </w:r>
      <w:r w:rsidR="0071650A">
        <w:rPr>
          <w:rFonts w:asciiTheme="minorHAnsi" w:hAnsiTheme="minorHAnsi"/>
        </w:rPr>
        <w:t xml:space="preserve"> </w:t>
      </w:r>
      <w:r w:rsidR="0096151B" w:rsidRPr="0096151B">
        <w:rPr>
          <w:rFonts w:asciiTheme="minorHAnsi" w:hAnsiTheme="minorHAnsi"/>
        </w:rPr>
        <w:t>Forcing banks to subsidize credit to certain</w:t>
      </w:r>
      <w:r w:rsidR="00DD5FB8">
        <w:rPr>
          <w:rFonts w:asciiTheme="minorHAnsi" w:hAnsiTheme="minorHAnsi"/>
        </w:rPr>
        <w:t xml:space="preserve"> </w:t>
      </w:r>
      <w:r w:rsidR="0096151B" w:rsidRPr="0096151B">
        <w:rPr>
          <w:rFonts w:asciiTheme="minorHAnsi" w:hAnsiTheme="minorHAnsi"/>
        </w:rPr>
        <w:t>sectors, or restricting the quantity of credit, distorts the credit market and lowers efficiency</w:t>
      </w:r>
      <w:r w:rsidR="00C739E8">
        <w:rPr>
          <w:rFonts w:asciiTheme="minorHAnsi" w:hAnsiTheme="minorHAnsi"/>
        </w:rPr>
        <w:t xml:space="preserve"> and the effectiveness of the transmission mechanism</w:t>
      </w:r>
      <w:r w:rsidR="0096151B" w:rsidRPr="0096151B">
        <w:rPr>
          <w:rFonts w:asciiTheme="minorHAnsi" w:hAnsiTheme="minorHAnsi"/>
        </w:rPr>
        <w:t>.</w:t>
      </w:r>
      <w:r w:rsidR="00DD5FB8">
        <w:rPr>
          <w:rFonts w:asciiTheme="minorHAnsi" w:hAnsiTheme="minorHAnsi"/>
        </w:rPr>
        <w:t xml:space="preserve">  </w:t>
      </w:r>
      <w:r w:rsidR="0096151B" w:rsidRPr="0096151B">
        <w:rPr>
          <w:rFonts w:asciiTheme="minorHAnsi" w:hAnsiTheme="minorHAnsi"/>
        </w:rPr>
        <w:t xml:space="preserve">Such controls </w:t>
      </w:r>
      <w:r w:rsidR="00C739E8">
        <w:rPr>
          <w:rFonts w:asciiTheme="minorHAnsi" w:hAnsiTheme="minorHAnsi"/>
        </w:rPr>
        <w:t xml:space="preserve">limit </w:t>
      </w:r>
      <w:r w:rsidR="0096151B" w:rsidRPr="0096151B">
        <w:rPr>
          <w:rFonts w:asciiTheme="minorHAnsi" w:hAnsiTheme="minorHAnsi"/>
        </w:rPr>
        <w:t>banks</w:t>
      </w:r>
      <w:r w:rsidR="005026F6">
        <w:rPr>
          <w:rFonts w:asciiTheme="minorHAnsi" w:hAnsiTheme="minorHAnsi"/>
        </w:rPr>
        <w:t>’</w:t>
      </w:r>
      <w:r w:rsidR="0096151B" w:rsidRPr="0096151B">
        <w:rPr>
          <w:rFonts w:asciiTheme="minorHAnsi" w:hAnsiTheme="minorHAnsi"/>
        </w:rPr>
        <w:t xml:space="preserve"> </w:t>
      </w:r>
      <w:r w:rsidR="00C739E8">
        <w:rPr>
          <w:rFonts w:asciiTheme="minorHAnsi" w:hAnsiTheme="minorHAnsi"/>
        </w:rPr>
        <w:t>abilities to</w:t>
      </w:r>
      <w:r w:rsidR="0096151B" w:rsidRPr="0096151B">
        <w:rPr>
          <w:rFonts w:asciiTheme="minorHAnsi" w:hAnsiTheme="minorHAnsi"/>
        </w:rPr>
        <w:t xml:space="preserve"> adequately</w:t>
      </w:r>
      <w:r w:rsidR="00DD5FB8">
        <w:rPr>
          <w:rFonts w:asciiTheme="minorHAnsi" w:hAnsiTheme="minorHAnsi"/>
        </w:rPr>
        <w:t xml:space="preserve"> </w:t>
      </w:r>
      <w:r w:rsidR="0096151B" w:rsidRPr="0096151B">
        <w:rPr>
          <w:rFonts w:asciiTheme="minorHAnsi" w:hAnsiTheme="minorHAnsi"/>
        </w:rPr>
        <w:t>fund promising and productive business</w:t>
      </w:r>
      <w:r w:rsidR="00DD5FB8">
        <w:rPr>
          <w:rFonts w:asciiTheme="minorHAnsi" w:hAnsiTheme="minorHAnsi"/>
        </w:rPr>
        <w:t xml:space="preserve"> </w:t>
      </w:r>
      <w:r w:rsidR="0096151B" w:rsidRPr="0096151B">
        <w:rPr>
          <w:rFonts w:asciiTheme="minorHAnsi" w:hAnsiTheme="minorHAnsi"/>
        </w:rPr>
        <w:t xml:space="preserve">opportunities. </w:t>
      </w:r>
    </w:p>
    <w:p w14:paraId="2D21DC51" w14:textId="77777777" w:rsidR="00DD5FB8" w:rsidRDefault="00DD5FB8" w:rsidP="0096151B">
      <w:pPr>
        <w:rPr>
          <w:rFonts w:asciiTheme="minorHAnsi" w:hAnsiTheme="minorHAnsi"/>
        </w:rPr>
      </w:pPr>
    </w:p>
    <w:p w14:paraId="4821C132" w14:textId="77777777" w:rsidR="004B7AC5" w:rsidRDefault="004B7AC5" w:rsidP="0096151B">
      <w:pPr>
        <w:rPr>
          <w:rFonts w:asciiTheme="minorHAnsi" w:hAnsiTheme="minorHAnsi"/>
        </w:rPr>
      </w:pPr>
    </w:p>
    <w:p w14:paraId="38C93BE7" w14:textId="5DBE072F" w:rsidR="00B6165E" w:rsidRPr="00516A21" w:rsidRDefault="00B6165E" w:rsidP="00516A21">
      <w:pPr>
        <w:numPr>
          <w:ilvl w:val="0"/>
          <w:numId w:val="3"/>
        </w:numPr>
        <w:rPr>
          <w:rFonts w:asciiTheme="minorHAnsi" w:hAnsiTheme="minorHAnsi"/>
          <w:b/>
        </w:rPr>
      </w:pPr>
      <w:r>
        <w:rPr>
          <w:rFonts w:asciiTheme="minorHAnsi" w:hAnsiTheme="minorHAnsi"/>
          <w:b/>
        </w:rPr>
        <w:t>Policy Implications and Conclusion</w:t>
      </w:r>
    </w:p>
    <w:p w14:paraId="1B0BDDD8" w14:textId="77777777" w:rsidR="00B6165E" w:rsidRDefault="00B6165E" w:rsidP="00DD5FB8">
      <w:pPr>
        <w:rPr>
          <w:rFonts w:asciiTheme="minorHAnsi" w:hAnsiTheme="minorHAnsi"/>
        </w:rPr>
      </w:pPr>
    </w:p>
    <w:p w14:paraId="6AFBB58B" w14:textId="1B73E835" w:rsidR="00A85D88" w:rsidRDefault="00A85D88" w:rsidP="00F47C1A">
      <w:pPr>
        <w:jc w:val="both"/>
        <w:rPr>
          <w:rFonts w:asciiTheme="minorHAnsi" w:hAnsiTheme="minorHAnsi"/>
        </w:rPr>
      </w:pPr>
      <w:r>
        <w:rPr>
          <w:rFonts w:asciiTheme="minorHAnsi" w:hAnsiTheme="minorHAnsi"/>
        </w:rPr>
        <w:t xml:space="preserve">The relation between bank credit and economic growth has </w:t>
      </w:r>
      <w:r w:rsidR="005C7624">
        <w:rPr>
          <w:rFonts w:asciiTheme="minorHAnsi" w:hAnsiTheme="minorHAnsi"/>
        </w:rPr>
        <w:t xml:space="preserve">recently </w:t>
      </w:r>
      <w:r>
        <w:rPr>
          <w:rFonts w:asciiTheme="minorHAnsi" w:hAnsiTheme="minorHAnsi"/>
        </w:rPr>
        <w:t xml:space="preserve">risen to the foreground after </w:t>
      </w:r>
      <w:r w:rsidR="005C7624">
        <w:rPr>
          <w:rFonts w:asciiTheme="minorHAnsi" w:hAnsiTheme="minorHAnsi"/>
        </w:rPr>
        <w:t xml:space="preserve">new </w:t>
      </w:r>
      <w:r>
        <w:rPr>
          <w:rFonts w:asciiTheme="minorHAnsi" w:hAnsiTheme="minorHAnsi"/>
        </w:rPr>
        <w:t>evidence cast doubt about earlier findings.  Specifically, studies on the economic recoveries of countries that experienced financial crisis have demonstrated that economic growth without bank credit</w:t>
      </w:r>
      <w:r w:rsidR="00CD10CE">
        <w:rPr>
          <w:rFonts w:asciiTheme="minorHAnsi" w:hAnsiTheme="minorHAnsi"/>
        </w:rPr>
        <w:t xml:space="preserve"> (</w:t>
      </w:r>
      <w:r>
        <w:rPr>
          <w:rFonts w:asciiTheme="minorHAnsi" w:hAnsiTheme="minorHAnsi"/>
        </w:rPr>
        <w:t>credit-less recoveries</w:t>
      </w:r>
      <w:r w:rsidR="00CD10CE">
        <w:rPr>
          <w:rFonts w:asciiTheme="minorHAnsi" w:hAnsiTheme="minorHAnsi"/>
        </w:rPr>
        <w:t>)</w:t>
      </w:r>
      <w:r w:rsidR="005026F6">
        <w:rPr>
          <w:rFonts w:asciiTheme="minorHAnsi" w:hAnsiTheme="minorHAnsi"/>
        </w:rPr>
        <w:t xml:space="preserve"> </w:t>
      </w:r>
      <w:r w:rsidR="002E7941">
        <w:rPr>
          <w:rFonts w:asciiTheme="minorHAnsi" w:hAnsiTheme="minorHAnsi"/>
        </w:rPr>
        <w:t>are pervasive</w:t>
      </w:r>
      <w:r>
        <w:rPr>
          <w:rFonts w:asciiTheme="minorHAnsi" w:hAnsiTheme="minorHAnsi"/>
        </w:rPr>
        <w:t xml:space="preserve">. Along those findings, another group of studies has </w:t>
      </w:r>
      <w:r w:rsidR="005C7624">
        <w:rPr>
          <w:rFonts w:asciiTheme="minorHAnsi" w:hAnsiTheme="minorHAnsi"/>
        </w:rPr>
        <w:t>shown</w:t>
      </w:r>
      <w:r>
        <w:rPr>
          <w:rFonts w:asciiTheme="minorHAnsi" w:hAnsiTheme="minorHAnsi"/>
        </w:rPr>
        <w:t xml:space="preserve"> that the </w:t>
      </w:r>
      <w:r w:rsidR="005C7624">
        <w:rPr>
          <w:rFonts w:asciiTheme="minorHAnsi" w:hAnsiTheme="minorHAnsi"/>
        </w:rPr>
        <w:t>effect o</w:t>
      </w:r>
      <w:r>
        <w:rPr>
          <w:rFonts w:asciiTheme="minorHAnsi" w:hAnsiTheme="minorHAnsi"/>
        </w:rPr>
        <w:t xml:space="preserve">f bank credit on </w:t>
      </w:r>
      <w:r>
        <w:rPr>
          <w:rFonts w:asciiTheme="minorHAnsi" w:hAnsiTheme="minorHAnsi"/>
        </w:rPr>
        <w:lastRenderedPageBreak/>
        <w:t xml:space="preserve">economic growth is </w:t>
      </w:r>
      <w:r w:rsidR="00916DDD">
        <w:rPr>
          <w:rFonts w:asciiTheme="minorHAnsi" w:hAnsiTheme="minorHAnsi"/>
        </w:rPr>
        <w:t xml:space="preserve">often </w:t>
      </w:r>
      <w:r>
        <w:rPr>
          <w:rFonts w:asciiTheme="minorHAnsi" w:hAnsiTheme="minorHAnsi"/>
        </w:rPr>
        <w:t xml:space="preserve">ambiguous and </w:t>
      </w:r>
      <w:r w:rsidR="003914E5">
        <w:rPr>
          <w:rFonts w:asciiTheme="minorHAnsi" w:hAnsiTheme="minorHAnsi"/>
        </w:rPr>
        <w:t xml:space="preserve">large, </w:t>
      </w:r>
      <w:r>
        <w:rPr>
          <w:rFonts w:asciiTheme="minorHAnsi" w:hAnsiTheme="minorHAnsi"/>
        </w:rPr>
        <w:t>international</w:t>
      </w:r>
      <w:r w:rsidR="00C739E8">
        <w:rPr>
          <w:rFonts w:asciiTheme="minorHAnsi" w:hAnsiTheme="minorHAnsi"/>
        </w:rPr>
        <w:t xml:space="preserve">, </w:t>
      </w:r>
      <w:r>
        <w:rPr>
          <w:rFonts w:asciiTheme="minorHAnsi" w:hAnsiTheme="minorHAnsi"/>
        </w:rPr>
        <w:t>cross</w:t>
      </w:r>
      <w:r w:rsidR="00C739E8">
        <w:rPr>
          <w:rFonts w:asciiTheme="minorHAnsi" w:hAnsiTheme="minorHAnsi"/>
        </w:rPr>
        <w:t>-</w:t>
      </w:r>
      <w:r>
        <w:rPr>
          <w:rFonts w:asciiTheme="minorHAnsi" w:hAnsiTheme="minorHAnsi"/>
        </w:rPr>
        <w:t xml:space="preserve">country generalizations are not </w:t>
      </w:r>
      <w:r w:rsidR="008753C9">
        <w:rPr>
          <w:rFonts w:asciiTheme="minorHAnsi" w:hAnsiTheme="minorHAnsi"/>
        </w:rPr>
        <w:t xml:space="preserve">always </w:t>
      </w:r>
      <w:r w:rsidR="008062B6">
        <w:rPr>
          <w:rFonts w:asciiTheme="minorHAnsi" w:hAnsiTheme="minorHAnsi"/>
        </w:rPr>
        <w:t>correct</w:t>
      </w:r>
      <w:r w:rsidR="008753C9">
        <w:rPr>
          <w:rFonts w:asciiTheme="minorHAnsi" w:hAnsiTheme="minorHAnsi"/>
        </w:rPr>
        <w:t xml:space="preserve"> because country</w:t>
      </w:r>
      <w:r w:rsidR="005026F6">
        <w:rPr>
          <w:rFonts w:asciiTheme="minorHAnsi" w:hAnsiTheme="minorHAnsi"/>
        </w:rPr>
        <w:t>-</w:t>
      </w:r>
      <w:r w:rsidR="008753C9">
        <w:rPr>
          <w:rFonts w:asciiTheme="minorHAnsi" w:hAnsiTheme="minorHAnsi"/>
        </w:rPr>
        <w:t>specific effects tend to be dominant factors</w:t>
      </w:r>
      <w:r w:rsidR="00C739E8">
        <w:rPr>
          <w:rFonts w:asciiTheme="minorHAnsi" w:hAnsiTheme="minorHAnsi"/>
        </w:rPr>
        <w:t xml:space="preserve"> in this complex relation</w:t>
      </w:r>
      <w:r w:rsidR="008753C9">
        <w:rPr>
          <w:rFonts w:asciiTheme="minorHAnsi" w:hAnsiTheme="minorHAnsi"/>
        </w:rPr>
        <w:t>.</w:t>
      </w:r>
      <w:r>
        <w:rPr>
          <w:rFonts w:asciiTheme="minorHAnsi" w:hAnsiTheme="minorHAnsi"/>
        </w:rPr>
        <w:t xml:space="preserve"> </w:t>
      </w:r>
    </w:p>
    <w:p w14:paraId="5B9900DC" w14:textId="77777777" w:rsidR="00A85D88" w:rsidRDefault="00A85D88" w:rsidP="00F47C1A">
      <w:pPr>
        <w:jc w:val="both"/>
        <w:rPr>
          <w:rFonts w:asciiTheme="minorHAnsi" w:hAnsiTheme="minorHAnsi"/>
        </w:rPr>
      </w:pPr>
    </w:p>
    <w:p w14:paraId="438F25ED" w14:textId="00D1BFF6" w:rsidR="00CD10CE" w:rsidRDefault="003914E5" w:rsidP="001C7B26">
      <w:pPr>
        <w:jc w:val="both"/>
        <w:rPr>
          <w:rFonts w:asciiTheme="minorHAnsi" w:hAnsiTheme="minorHAnsi"/>
        </w:rPr>
      </w:pPr>
      <w:r>
        <w:rPr>
          <w:rFonts w:asciiTheme="minorHAnsi" w:hAnsiTheme="minorHAnsi"/>
        </w:rPr>
        <w:t xml:space="preserve">This study has focused on a compelling question: </w:t>
      </w:r>
      <w:r w:rsidR="005026F6">
        <w:rPr>
          <w:rFonts w:asciiTheme="minorHAnsi" w:hAnsiTheme="minorHAnsi"/>
        </w:rPr>
        <w:t xml:space="preserve"> </w:t>
      </w:r>
      <w:r>
        <w:rPr>
          <w:rFonts w:asciiTheme="minorHAnsi" w:hAnsiTheme="minorHAnsi"/>
        </w:rPr>
        <w:t xml:space="preserve">Are banks able to lead an economic recovery in the </w:t>
      </w:r>
      <w:r w:rsidR="005026F6">
        <w:rPr>
          <w:rFonts w:asciiTheme="minorHAnsi" w:hAnsiTheme="minorHAnsi"/>
        </w:rPr>
        <w:t>five</w:t>
      </w:r>
      <w:r w:rsidR="002E1B2B">
        <w:rPr>
          <w:rFonts w:asciiTheme="minorHAnsi" w:hAnsiTheme="minorHAnsi"/>
        </w:rPr>
        <w:t xml:space="preserve"> </w:t>
      </w:r>
      <w:r>
        <w:rPr>
          <w:rFonts w:asciiTheme="minorHAnsi" w:hAnsiTheme="minorHAnsi"/>
        </w:rPr>
        <w:t xml:space="preserve">countries of the Arab Spring? </w:t>
      </w:r>
      <w:r w:rsidRPr="003914E5">
        <w:rPr>
          <w:rFonts w:asciiTheme="minorHAnsi" w:hAnsiTheme="minorHAnsi"/>
        </w:rPr>
        <w:t xml:space="preserve">Despite contrasting levels of stagnation in bank credit, the economic growth in </w:t>
      </w:r>
      <w:r w:rsidR="002E1B2B">
        <w:rPr>
          <w:rFonts w:asciiTheme="minorHAnsi" w:hAnsiTheme="minorHAnsi"/>
        </w:rPr>
        <w:t xml:space="preserve">these </w:t>
      </w:r>
      <w:r w:rsidRPr="003914E5">
        <w:rPr>
          <w:rFonts w:asciiTheme="minorHAnsi" w:hAnsiTheme="minorHAnsi"/>
        </w:rPr>
        <w:t xml:space="preserve">countries remains decidedly low.  </w:t>
      </w:r>
      <w:r w:rsidR="002E1B2B">
        <w:rPr>
          <w:rFonts w:asciiTheme="minorHAnsi" w:hAnsiTheme="minorHAnsi"/>
        </w:rPr>
        <w:t xml:space="preserve">To address this question, </w:t>
      </w:r>
      <w:r>
        <w:rPr>
          <w:rFonts w:asciiTheme="minorHAnsi" w:hAnsiTheme="minorHAnsi"/>
        </w:rPr>
        <w:t>we</w:t>
      </w:r>
      <w:r w:rsidR="005026F6">
        <w:rPr>
          <w:rFonts w:asciiTheme="minorHAnsi" w:hAnsiTheme="minorHAnsi"/>
        </w:rPr>
        <w:t xml:space="preserve">, the researchers, </w:t>
      </w:r>
      <w:r>
        <w:rPr>
          <w:rFonts w:asciiTheme="minorHAnsi" w:hAnsiTheme="minorHAnsi"/>
        </w:rPr>
        <w:t>investigated the correlation between the volume of credit their bank</w:t>
      </w:r>
      <w:r w:rsidR="005026F6">
        <w:rPr>
          <w:rFonts w:asciiTheme="minorHAnsi" w:hAnsiTheme="minorHAnsi"/>
        </w:rPr>
        <w:t>s</w:t>
      </w:r>
      <w:r>
        <w:rPr>
          <w:rFonts w:asciiTheme="minorHAnsi" w:hAnsiTheme="minorHAnsi"/>
        </w:rPr>
        <w:t xml:space="preserve"> offered to the private sector and the</w:t>
      </w:r>
      <w:r w:rsidR="001C7B26">
        <w:rPr>
          <w:rFonts w:asciiTheme="minorHAnsi" w:hAnsiTheme="minorHAnsi"/>
        </w:rPr>
        <w:t>se count</w:t>
      </w:r>
      <w:r>
        <w:rPr>
          <w:rFonts w:asciiTheme="minorHAnsi" w:hAnsiTheme="minorHAnsi"/>
        </w:rPr>
        <w:t>r</w:t>
      </w:r>
      <w:r w:rsidR="001C7B26">
        <w:rPr>
          <w:rFonts w:asciiTheme="minorHAnsi" w:hAnsiTheme="minorHAnsi"/>
        </w:rPr>
        <w:t>ies’</w:t>
      </w:r>
      <w:r>
        <w:rPr>
          <w:rFonts w:asciiTheme="minorHAnsi" w:hAnsiTheme="minorHAnsi"/>
        </w:rPr>
        <w:t xml:space="preserve"> economic growth </w:t>
      </w:r>
      <w:proofErr w:type="gramStart"/>
      <w:r>
        <w:rPr>
          <w:rFonts w:asciiTheme="minorHAnsi" w:hAnsiTheme="minorHAnsi"/>
        </w:rPr>
        <w:t xml:space="preserve">between 1995 </w:t>
      </w:r>
      <w:r w:rsidR="005026F6">
        <w:rPr>
          <w:rFonts w:asciiTheme="minorHAnsi" w:hAnsiTheme="minorHAnsi"/>
        </w:rPr>
        <w:t xml:space="preserve">– </w:t>
      </w:r>
      <w:r>
        <w:rPr>
          <w:rFonts w:asciiTheme="minorHAnsi" w:hAnsiTheme="minorHAnsi"/>
        </w:rPr>
        <w:t>2013</w:t>
      </w:r>
      <w:proofErr w:type="gramEnd"/>
      <w:r>
        <w:rPr>
          <w:rFonts w:asciiTheme="minorHAnsi" w:hAnsiTheme="minorHAnsi"/>
        </w:rPr>
        <w:t xml:space="preserve">.  </w:t>
      </w:r>
      <w:r w:rsidR="002E1B2B">
        <w:rPr>
          <w:rFonts w:asciiTheme="minorHAnsi" w:hAnsiTheme="minorHAnsi"/>
        </w:rPr>
        <w:t>Using a variety of models in panel data analysis, o</w:t>
      </w:r>
      <w:r>
        <w:rPr>
          <w:rFonts w:asciiTheme="minorHAnsi" w:hAnsiTheme="minorHAnsi"/>
        </w:rPr>
        <w:t xml:space="preserve">ur results show that </w:t>
      </w:r>
      <w:r w:rsidR="002E1B2B">
        <w:rPr>
          <w:rFonts w:asciiTheme="minorHAnsi" w:hAnsiTheme="minorHAnsi"/>
        </w:rPr>
        <w:t>this</w:t>
      </w:r>
      <w:r>
        <w:rPr>
          <w:rFonts w:asciiTheme="minorHAnsi" w:hAnsiTheme="minorHAnsi"/>
        </w:rPr>
        <w:t xml:space="preserve"> correlation is poor, even when lags are considered</w:t>
      </w:r>
      <w:r w:rsidR="002E1B2B">
        <w:rPr>
          <w:rFonts w:asciiTheme="minorHAnsi" w:hAnsiTheme="minorHAnsi"/>
        </w:rPr>
        <w:t xml:space="preserve"> and control variables such as investment, public debt, and exchange rates are accounted for</w:t>
      </w:r>
      <w:r>
        <w:rPr>
          <w:rFonts w:asciiTheme="minorHAnsi" w:hAnsiTheme="minorHAnsi"/>
        </w:rPr>
        <w:t xml:space="preserve">. </w:t>
      </w:r>
      <w:r w:rsidR="002E1B2B">
        <w:rPr>
          <w:rFonts w:asciiTheme="minorHAnsi" w:hAnsiTheme="minorHAnsi"/>
        </w:rPr>
        <w:t>Th</w:t>
      </w:r>
      <w:r w:rsidR="005026F6">
        <w:rPr>
          <w:rFonts w:asciiTheme="minorHAnsi" w:hAnsiTheme="minorHAnsi"/>
        </w:rPr>
        <w:t>ese results</w:t>
      </w:r>
      <w:r w:rsidR="002E1B2B">
        <w:rPr>
          <w:rFonts w:asciiTheme="minorHAnsi" w:hAnsiTheme="minorHAnsi"/>
        </w:rPr>
        <w:t xml:space="preserve"> suggest that </w:t>
      </w:r>
      <w:r w:rsidR="002E1B2B" w:rsidRPr="005E76BD">
        <w:rPr>
          <w:rFonts w:asciiTheme="minorHAnsi" w:hAnsiTheme="minorHAnsi"/>
        </w:rPr>
        <w:t>a recovery in output</w:t>
      </w:r>
      <w:r w:rsidR="002E1B2B">
        <w:rPr>
          <w:rFonts w:asciiTheme="minorHAnsi" w:hAnsiTheme="minorHAnsi"/>
        </w:rPr>
        <w:t xml:space="preserve"> </w:t>
      </w:r>
      <w:r w:rsidR="002E1B2B" w:rsidRPr="005E76BD">
        <w:rPr>
          <w:rFonts w:asciiTheme="minorHAnsi" w:hAnsiTheme="minorHAnsi"/>
        </w:rPr>
        <w:t xml:space="preserve">may not </w:t>
      </w:r>
      <w:r w:rsidR="002E1B2B">
        <w:rPr>
          <w:rFonts w:asciiTheme="minorHAnsi" w:hAnsiTheme="minorHAnsi"/>
        </w:rPr>
        <w:t xml:space="preserve">require </w:t>
      </w:r>
      <w:r w:rsidR="002E1B2B" w:rsidRPr="005E76BD">
        <w:rPr>
          <w:rFonts w:asciiTheme="minorHAnsi" w:hAnsiTheme="minorHAnsi"/>
        </w:rPr>
        <w:t>a pick-up in</w:t>
      </w:r>
      <w:r w:rsidR="002E1B2B">
        <w:rPr>
          <w:rFonts w:asciiTheme="minorHAnsi" w:hAnsiTheme="minorHAnsi"/>
        </w:rPr>
        <w:t xml:space="preserve"> bank lending, and n</w:t>
      </w:r>
      <w:r w:rsidR="002E1B2B" w:rsidRPr="005E76BD">
        <w:rPr>
          <w:rFonts w:asciiTheme="minorHAnsi" w:hAnsiTheme="minorHAnsi"/>
        </w:rPr>
        <w:t xml:space="preserve">ew </w:t>
      </w:r>
      <w:r w:rsidR="002E1B2B">
        <w:rPr>
          <w:rFonts w:asciiTheme="minorHAnsi" w:hAnsiTheme="minorHAnsi"/>
        </w:rPr>
        <w:t xml:space="preserve">bank </w:t>
      </w:r>
      <w:r w:rsidR="002E1B2B" w:rsidRPr="005E76BD">
        <w:rPr>
          <w:rFonts w:asciiTheme="minorHAnsi" w:hAnsiTheme="minorHAnsi"/>
        </w:rPr>
        <w:t xml:space="preserve">credit </w:t>
      </w:r>
      <w:r w:rsidR="002E1B2B">
        <w:rPr>
          <w:rFonts w:asciiTheme="minorHAnsi" w:hAnsiTheme="minorHAnsi"/>
        </w:rPr>
        <w:t>is</w:t>
      </w:r>
      <w:r w:rsidR="002E1B2B" w:rsidRPr="005E76BD">
        <w:rPr>
          <w:rFonts w:asciiTheme="minorHAnsi" w:hAnsiTheme="minorHAnsi"/>
        </w:rPr>
        <w:t xml:space="preserve"> not a necessary condition for </w:t>
      </w:r>
      <w:r w:rsidR="002E1B2B">
        <w:rPr>
          <w:rFonts w:asciiTheme="minorHAnsi" w:hAnsiTheme="minorHAnsi"/>
        </w:rPr>
        <w:t xml:space="preserve">the economy </w:t>
      </w:r>
      <w:r w:rsidR="002E1B2B" w:rsidRPr="005E76BD">
        <w:rPr>
          <w:rFonts w:asciiTheme="minorHAnsi" w:hAnsiTheme="minorHAnsi"/>
        </w:rPr>
        <w:t>to recover.</w:t>
      </w:r>
      <w:r w:rsidR="00CD10CE">
        <w:rPr>
          <w:rFonts w:asciiTheme="minorHAnsi" w:hAnsiTheme="minorHAnsi"/>
        </w:rPr>
        <w:t xml:space="preserve"> </w:t>
      </w:r>
      <w:r w:rsidR="001C7B26">
        <w:rPr>
          <w:rFonts w:asciiTheme="minorHAnsi" w:hAnsiTheme="minorHAnsi"/>
        </w:rPr>
        <w:t xml:space="preserve">Our </w:t>
      </w:r>
      <w:r w:rsidR="002E1B2B">
        <w:rPr>
          <w:rFonts w:asciiTheme="minorHAnsi" w:hAnsiTheme="minorHAnsi"/>
        </w:rPr>
        <w:t xml:space="preserve">results are confirmed by similar studies applied </w:t>
      </w:r>
      <w:r w:rsidR="001C7B26">
        <w:rPr>
          <w:rFonts w:asciiTheme="minorHAnsi" w:hAnsiTheme="minorHAnsi"/>
        </w:rPr>
        <w:t xml:space="preserve">to other </w:t>
      </w:r>
      <w:r w:rsidR="002E1B2B">
        <w:rPr>
          <w:rFonts w:asciiTheme="minorHAnsi" w:hAnsiTheme="minorHAnsi"/>
        </w:rPr>
        <w:t>regions</w:t>
      </w:r>
      <w:r w:rsidR="001C7B26">
        <w:rPr>
          <w:rFonts w:asciiTheme="minorHAnsi" w:hAnsiTheme="minorHAnsi"/>
        </w:rPr>
        <w:t xml:space="preserve"> </w:t>
      </w:r>
      <w:r w:rsidR="002E1B2B">
        <w:rPr>
          <w:rFonts w:asciiTheme="minorHAnsi" w:hAnsiTheme="minorHAnsi"/>
        </w:rPr>
        <w:t xml:space="preserve">where bank credit </w:t>
      </w:r>
      <w:r w:rsidR="001C7B26">
        <w:rPr>
          <w:rFonts w:asciiTheme="minorHAnsi" w:hAnsiTheme="minorHAnsi"/>
        </w:rPr>
        <w:t xml:space="preserve">was </w:t>
      </w:r>
      <w:r w:rsidR="00C43B5E">
        <w:rPr>
          <w:rFonts w:asciiTheme="minorHAnsi" w:hAnsiTheme="minorHAnsi"/>
        </w:rPr>
        <w:t>n</w:t>
      </w:r>
      <w:r w:rsidR="002E1B2B">
        <w:rPr>
          <w:rFonts w:asciiTheme="minorHAnsi" w:hAnsiTheme="minorHAnsi"/>
        </w:rPr>
        <w:t xml:space="preserve">eutral to growth and credit-less recoveries after a crisis </w:t>
      </w:r>
      <w:r w:rsidR="001C7B26">
        <w:rPr>
          <w:rFonts w:asciiTheme="minorHAnsi" w:hAnsiTheme="minorHAnsi"/>
        </w:rPr>
        <w:t>were</w:t>
      </w:r>
      <w:r w:rsidR="002E1B2B">
        <w:rPr>
          <w:rFonts w:asciiTheme="minorHAnsi" w:hAnsiTheme="minorHAnsi"/>
        </w:rPr>
        <w:t xml:space="preserve"> common.  </w:t>
      </w:r>
    </w:p>
    <w:p w14:paraId="7C379686" w14:textId="77777777" w:rsidR="00CD10CE" w:rsidRPr="00B1343E" w:rsidRDefault="00CD10CE" w:rsidP="001C7B26">
      <w:pPr>
        <w:jc w:val="both"/>
        <w:rPr>
          <w:rFonts w:asciiTheme="minorHAnsi" w:hAnsiTheme="minorHAnsi"/>
        </w:rPr>
      </w:pPr>
    </w:p>
    <w:p w14:paraId="438B4225" w14:textId="026F3ABA" w:rsidR="001C7B26" w:rsidRPr="000657BE" w:rsidRDefault="001C7B26" w:rsidP="001C7B26">
      <w:pPr>
        <w:jc w:val="both"/>
        <w:rPr>
          <w:rFonts w:asciiTheme="minorHAnsi" w:hAnsiTheme="minorHAnsi"/>
        </w:rPr>
      </w:pPr>
      <w:r w:rsidRPr="00410DC7">
        <w:rPr>
          <w:rFonts w:asciiTheme="minorHAnsi" w:hAnsiTheme="minorHAnsi" w:cs="Arial"/>
        </w:rPr>
        <w:t>Why bank credit may not be too important for economic growth is a fundamental question beyond the scope of this paper.  Some plausible answers may lie in the credit</w:t>
      </w:r>
      <w:r w:rsidRPr="000657BE">
        <w:rPr>
          <w:rFonts w:asciiTheme="minorHAnsi" w:hAnsiTheme="minorHAnsi"/>
        </w:rPr>
        <w:t xml:space="preserve"> restrictions that some governments impose on the banking system (high reserve requirements, interest rate ceilings, and directed lending).  These interventions</w:t>
      </w:r>
      <w:r w:rsidR="00CD10CE" w:rsidRPr="000657BE">
        <w:rPr>
          <w:rFonts w:asciiTheme="minorHAnsi" w:hAnsiTheme="minorHAnsi"/>
        </w:rPr>
        <w:t xml:space="preserve"> are believed to</w:t>
      </w:r>
      <w:r w:rsidRPr="000657BE">
        <w:rPr>
          <w:rFonts w:asciiTheme="minorHAnsi" w:hAnsiTheme="minorHAnsi"/>
        </w:rPr>
        <w:t xml:space="preserve"> impair the transmission mechanism, lead to credit market disruptions, economic inefficiencies</w:t>
      </w:r>
      <w:r w:rsidR="00C43B5E" w:rsidRPr="000657BE">
        <w:rPr>
          <w:rFonts w:asciiTheme="minorHAnsi" w:hAnsiTheme="minorHAnsi"/>
        </w:rPr>
        <w:t>,</w:t>
      </w:r>
      <w:r w:rsidRPr="000657BE">
        <w:rPr>
          <w:rFonts w:asciiTheme="minorHAnsi" w:hAnsiTheme="minorHAnsi"/>
        </w:rPr>
        <w:t xml:space="preserve"> and hinder growth.  These factors </w:t>
      </w:r>
      <w:r w:rsidR="00CD10CE" w:rsidRPr="000657BE">
        <w:rPr>
          <w:rFonts w:asciiTheme="minorHAnsi" w:hAnsiTheme="minorHAnsi"/>
        </w:rPr>
        <w:t>may exist in various fashion</w:t>
      </w:r>
      <w:r w:rsidR="00577682" w:rsidRPr="000657BE">
        <w:rPr>
          <w:rFonts w:asciiTheme="minorHAnsi" w:hAnsiTheme="minorHAnsi"/>
        </w:rPr>
        <w:t>s</w:t>
      </w:r>
      <w:r w:rsidRPr="000657BE">
        <w:rPr>
          <w:rFonts w:asciiTheme="minorHAnsi" w:hAnsiTheme="minorHAnsi"/>
        </w:rPr>
        <w:t xml:space="preserve"> in four of the five countries that have experienced the Arab Spring and where banking regulation and supervision was ranked “below-average” or “poor” by the IMF.</w:t>
      </w:r>
    </w:p>
    <w:p w14:paraId="41CC7F37" w14:textId="77777777" w:rsidR="001C7B26" w:rsidRDefault="001C7B26" w:rsidP="001C7B26">
      <w:pPr>
        <w:jc w:val="both"/>
        <w:rPr>
          <w:rFonts w:asciiTheme="minorHAnsi" w:hAnsiTheme="minorHAnsi"/>
        </w:rPr>
      </w:pPr>
    </w:p>
    <w:p w14:paraId="3CBE1F0B" w14:textId="15FCF126" w:rsidR="00C43B5E" w:rsidRDefault="005026F6" w:rsidP="001C7B26">
      <w:pPr>
        <w:jc w:val="both"/>
        <w:rPr>
          <w:rFonts w:asciiTheme="minorHAnsi" w:hAnsiTheme="minorHAnsi"/>
        </w:rPr>
      </w:pPr>
      <w:r>
        <w:rPr>
          <w:rFonts w:asciiTheme="minorHAnsi" w:hAnsiTheme="minorHAnsi"/>
        </w:rPr>
        <w:t xml:space="preserve">The </w:t>
      </w:r>
      <w:r w:rsidR="001C7B26">
        <w:rPr>
          <w:rFonts w:asciiTheme="minorHAnsi" w:hAnsiTheme="minorHAnsi"/>
        </w:rPr>
        <w:t>results</w:t>
      </w:r>
      <w:r>
        <w:rPr>
          <w:rFonts w:asciiTheme="minorHAnsi" w:hAnsiTheme="minorHAnsi"/>
        </w:rPr>
        <w:t xml:space="preserve"> in this paper</w:t>
      </w:r>
      <w:r w:rsidR="001C7B26">
        <w:rPr>
          <w:rFonts w:asciiTheme="minorHAnsi" w:hAnsiTheme="minorHAnsi"/>
        </w:rPr>
        <w:t xml:space="preserve"> should not be misconstrued to suggest that the banking sector is generally ineffective or that credit expansion is useless. This</w:t>
      </w:r>
      <w:r>
        <w:rPr>
          <w:rFonts w:asciiTheme="minorHAnsi" w:hAnsiTheme="minorHAnsi"/>
        </w:rPr>
        <w:t xml:space="preserve"> conclusion</w:t>
      </w:r>
      <w:r w:rsidR="001C7B26">
        <w:rPr>
          <w:rFonts w:asciiTheme="minorHAnsi" w:hAnsiTheme="minorHAnsi"/>
        </w:rPr>
        <w:t xml:space="preserve"> would be false.  </w:t>
      </w:r>
      <w:r w:rsidR="00C43B5E">
        <w:rPr>
          <w:rFonts w:asciiTheme="minorHAnsi" w:hAnsiTheme="minorHAnsi"/>
        </w:rPr>
        <w:t>B</w:t>
      </w:r>
      <w:r w:rsidR="00C43B5E" w:rsidRPr="00C43B5E">
        <w:rPr>
          <w:rFonts w:asciiTheme="minorHAnsi" w:hAnsiTheme="minorHAnsi"/>
        </w:rPr>
        <w:t xml:space="preserve">anks </w:t>
      </w:r>
      <w:r w:rsidR="00C43B5E">
        <w:rPr>
          <w:rFonts w:asciiTheme="minorHAnsi" w:hAnsiTheme="minorHAnsi"/>
        </w:rPr>
        <w:t xml:space="preserve">must </w:t>
      </w:r>
      <w:r w:rsidR="00C43B5E" w:rsidRPr="00C43B5E">
        <w:rPr>
          <w:rFonts w:asciiTheme="minorHAnsi" w:hAnsiTheme="minorHAnsi"/>
        </w:rPr>
        <w:t xml:space="preserve">remain </w:t>
      </w:r>
      <w:r w:rsidR="00C43B5E">
        <w:rPr>
          <w:rFonts w:asciiTheme="minorHAnsi" w:hAnsiTheme="minorHAnsi"/>
        </w:rPr>
        <w:t xml:space="preserve">healthy to </w:t>
      </w:r>
      <w:r w:rsidR="00C43B5E" w:rsidRPr="00C43B5E">
        <w:rPr>
          <w:rFonts w:asciiTheme="minorHAnsi" w:hAnsiTheme="minorHAnsi"/>
        </w:rPr>
        <w:t xml:space="preserve">perform </w:t>
      </w:r>
      <w:r w:rsidR="00C43B5E">
        <w:rPr>
          <w:rFonts w:asciiTheme="minorHAnsi" w:hAnsiTheme="minorHAnsi"/>
        </w:rPr>
        <w:t xml:space="preserve">their </w:t>
      </w:r>
      <w:r w:rsidR="00C43B5E" w:rsidRPr="00C43B5E">
        <w:rPr>
          <w:rFonts w:asciiTheme="minorHAnsi" w:hAnsiTheme="minorHAnsi"/>
        </w:rPr>
        <w:t xml:space="preserve">utility function </w:t>
      </w:r>
      <w:r w:rsidR="00C43B5E">
        <w:rPr>
          <w:rFonts w:asciiTheme="minorHAnsi" w:hAnsiTheme="minorHAnsi"/>
        </w:rPr>
        <w:t xml:space="preserve">by </w:t>
      </w:r>
      <w:r w:rsidR="00C43B5E" w:rsidRPr="00C43B5E">
        <w:rPr>
          <w:rFonts w:asciiTheme="minorHAnsi" w:hAnsiTheme="minorHAnsi"/>
        </w:rPr>
        <w:t>offer</w:t>
      </w:r>
      <w:r w:rsidR="00C43B5E">
        <w:rPr>
          <w:rFonts w:asciiTheme="minorHAnsi" w:hAnsiTheme="minorHAnsi"/>
        </w:rPr>
        <w:t>ing</w:t>
      </w:r>
      <w:r w:rsidR="00C43B5E" w:rsidRPr="00C43B5E">
        <w:rPr>
          <w:rFonts w:asciiTheme="minorHAnsi" w:hAnsiTheme="minorHAnsi"/>
        </w:rPr>
        <w:t xml:space="preserve"> deposits, </w:t>
      </w:r>
      <w:r w:rsidR="00C43B5E">
        <w:rPr>
          <w:rFonts w:asciiTheme="minorHAnsi" w:hAnsiTheme="minorHAnsi"/>
        </w:rPr>
        <w:t xml:space="preserve">transferring funds, </w:t>
      </w:r>
      <w:r w:rsidR="00C43B5E" w:rsidRPr="00C43B5E">
        <w:rPr>
          <w:rFonts w:asciiTheme="minorHAnsi" w:hAnsiTheme="minorHAnsi"/>
        </w:rPr>
        <w:t xml:space="preserve">and </w:t>
      </w:r>
      <w:r w:rsidR="00C43B5E">
        <w:rPr>
          <w:rFonts w:asciiTheme="minorHAnsi" w:hAnsiTheme="minorHAnsi"/>
        </w:rPr>
        <w:t xml:space="preserve">providing </w:t>
      </w:r>
      <w:r w:rsidR="00C43B5E" w:rsidRPr="00C43B5E">
        <w:rPr>
          <w:rFonts w:asciiTheme="minorHAnsi" w:hAnsiTheme="minorHAnsi"/>
        </w:rPr>
        <w:t>basic credit functions</w:t>
      </w:r>
      <w:r w:rsidR="00C43B5E">
        <w:rPr>
          <w:rFonts w:asciiTheme="minorHAnsi" w:hAnsiTheme="minorHAnsi"/>
        </w:rPr>
        <w:t>.  However, our results</w:t>
      </w:r>
      <w:r w:rsidR="00C43B5E" w:rsidRPr="00C43B5E">
        <w:rPr>
          <w:rFonts w:asciiTheme="minorHAnsi" w:hAnsiTheme="minorHAnsi"/>
        </w:rPr>
        <w:t xml:space="preserve"> cast doubt on their ability to </w:t>
      </w:r>
      <w:r w:rsidR="00C43B5E" w:rsidRPr="00B1343E">
        <w:rPr>
          <w:rFonts w:asciiTheme="minorHAnsi" w:hAnsiTheme="minorHAnsi"/>
          <w:u w:val="single"/>
        </w:rPr>
        <w:t>lead</w:t>
      </w:r>
      <w:r w:rsidR="00C43B5E" w:rsidRPr="00C43B5E">
        <w:rPr>
          <w:rFonts w:asciiTheme="minorHAnsi" w:hAnsiTheme="minorHAnsi"/>
        </w:rPr>
        <w:t xml:space="preserve"> an economic recovery in the countries of the Arab Spring.</w:t>
      </w:r>
    </w:p>
    <w:p w14:paraId="446BE950" w14:textId="77777777" w:rsidR="00C43B5E" w:rsidRDefault="00C43B5E" w:rsidP="001C7B26">
      <w:pPr>
        <w:jc w:val="both"/>
        <w:rPr>
          <w:rFonts w:asciiTheme="minorHAnsi" w:hAnsiTheme="minorHAnsi"/>
        </w:rPr>
      </w:pPr>
    </w:p>
    <w:p w14:paraId="3725F568" w14:textId="77777777" w:rsidR="00B37744" w:rsidRDefault="00B37744" w:rsidP="001C7B26">
      <w:pPr>
        <w:jc w:val="both"/>
        <w:rPr>
          <w:rFonts w:asciiTheme="minorHAnsi" w:hAnsiTheme="minorHAnsi"/>
        </w:rPr>
      </w:pPr>
      <w:r>
        <w:rPr>
          <w:rFonts w:asciiTheme="minorHAnsi" w:hAnsiTheme="minorHAnsi"/>
        </w:rPr>
        <w:t>S</w:t>
      </w:r>
      <w:r w:rsidR="00C43B5E">
        <w:rPr>
          <w:rFonts w:asciiTheme="minorHAnsi" w:hAnsiTheme="minorHAnsi"/>
        </w:rPr>
        <w:t xml:space="preserve">everal implications </w:t>
      </w:r>
      <w:r>
        <w:rPr>
          <w:rFonts w:asciiTheme="minorHAnsi" w:hAnsiTheme="minorHAnsi"/>
        </w:rPr>
        <w:t xml:space="preserve">emerge from the </w:t>
      </w:r>
      <w:r w:rsidR="00C43B5E">
        <w:rPr>
          <w:rFonts w:asciiTheme="minorHAnsi" w:hAnsiTheme="minorHAnsi"/>
        </w:rPr>
        <w:t>results</w:t>
      </w:r>
      <w:r>
        <w:rPr>
          <w:rFonts w:asciiTheme="minorHAnsi" w:hAnsiTheme="minorHAnsi"/>
        </w:rPr>
        <w:t xml:space="preserve"> of this study:</w:t>
      </w:r>
      <w:r w:rsidR="00C43B5E">
        <w:rPr>
          <w:rFonts w:asciiTheme="minorHAnsi" w:hAnsiTheme="minorHAnsi"/>
        </w:rPr>
        <w:t xml:space="preserve"> </w:t>
      </w:r>
    </w:p>
    <w:p w14:paraId="4FA80DEB" w14:textId="77777777" w:rsidR="00CD10CE" w:rsidRDefault="00CD10CE" w:rsidP="001C7B26">
      <w:pPr>
        <w:jc w:val="both"/>
        <w:rPr>
          <w:rFonts w:asciiTheme="minorHAnsi" w:hAnsiTheme="minorHAnsi"/>
        </w:rPr>
      </w:pPr>
    </w:p>
    <w:p w14:paraId="48AD2BF0" w14:textId="23BC0BFC" w:rsidR="00B37744" w:rsidRDefault="00B37744" w:rsidP="00410DC7">
      <w:pPr>
        <w:numPr>
          <w:ilvl w:val="0"/>
          <w:numId w:val="9"/>
        </w:numPr>
        <w:rPr>
          <w:rFonts w:asciiTheme="minorHAnsi" w:hAnsiTheme="minorHAnsi"/>
        </w:rPr>
      </w:pPr>
      <w:r>
        <w:rPr>
          <w:rFonts w:asciiTheme="minorHAnsi" w:hAnsiTheme="minorHAnsi"/>
        </w:rPr>
        <w:t>B</w:t>
      </w:r>
      <w:r w:rsidR="001C7B26">
        <w:rPr>
          <w:rFonts w:asciiTheme="minorHAnsi" w:hAnsiTheme="minorHAnsi"/>
        </w:rPr>
        <w:t xml:space="preserve">ased on </w:t>
      </w:r>
      <w:r>
        <w:rPr>
          <w:rFonts w:asciiTheme="minorHAnsi" w:hAnsiTheme="minorHAnsi"/>
        </w:rPr>
        <w:t>the track record of the five countries of the Arab Spring</w:t>
      </w:r>
      <w:r w:rsidR="001C7B26">
        <w:rPr>
          <w:rFonts w:asciiTheme="minorHAnsi" w:hAnsiTheme="minorHAnsi"/>
        </w:rPr>
        <w:t>, monetary policy aimed at spurring growth will not be successful</w:t>
      </w:r>
      <w:r>
        <w:rPr>
          <w:rFonts w:asciiTheme="minorHAnsi" w:hAnsiTheme="minorHAnsi"/>
        </w:rPr>
        <w:t xml:space="preserve"> alone</w:t>
      </w:r>
      <w:r w:rsidR="001C7B26">
        <w:rPr>
          <w:rFonts w:asciiTheme="minorHAnsi" w:hAnsiTheme="minorHAnsi"/>
        </w:rPr>
        <w:t xml:space="preserve"> within its first </w:t>
      </w:r>
      <w:r w:rsidR="005026F6">
        <w:rPr>
          <w:rFonts w:asciiTheme="minorHAnsi" w:hAnsiTheme="minorHAnsi"/>
        </w:rPr>
        <w:t>three</w:t>
      </w:r>
      <w:r w:rsidR="001C7B26">
        <w:rPr>
          <w:rFonts w:asciiTheme="minorHAnsi" w:hAnsiTheme="minorHAnsi"/>
        </w:rPr>
        <w:t xml:space="preserve"> years.  </w:t>
      </w:r>
    </w:p>
    <w:p w14:paraId="60DAEB0E" w14:textId="77777777" w:rsidR="00B37744" w:rsidRDefault="00B37744" w:rsidP="00B1343E">
      <w:pPr>
        <w:numPr>
          <w:ilvl w:val="0"/>
          <w:numId w:val="9"/>
        </w:numPr>
        <w:jc w:val="both"/>
        <w:rPr>
          <w:rFonts w:asciiTheme="minorHAnsi" w:hAnsiTheme="minorHAnsi"/>
        </w:rPr>
      </w:pPr>
      <w:r>
        <w:rPr>
          <w:rFonts w:asciiTheme="minorHAnsi" w:hAnsiTheme="minorHAnsi"/>
        </w:rPr>
        <w:t>E</w:t>
      </w:r>
      <w:r w:rsidR="001C7B26">
        <w:rPr>
          <w:rFonts w:asciiTheme="minorHAnsi" w:hAnsiTheme="minorHAnsi"/>
        </w:rPr>
        <w:t>conomic goals</w:t>
      </w:r>
      <w:r>
        <w:rPr>
          <w:rFonts w:asciiTheme="minorHAnsi" w:hAnsiTheme="minorHAnsi"/>
        </w:rPr>
        <w:t xml:space="preserve">, especially those requiring short term results, </w:t>
      </w:r>
      <w:r w:rsidR="001C7B26">
        <w:rPr>
          <w:rFonts w:asciiTheme="minorHAnsi" w:hAnsiTheme="minorHAnsi"/>
        </w:rPr>
        <w:t xml:space="preserve">should be revisited if they hinge on policies that rely on the banking sector. </w:t>
      </w:r>
    </w:p>
    <w:p w14:paraId="49C04791" w14:textId="5AB8AC8E" w:rsidR="001C7B26" w:rsidRPr="00B1343E" w:rsidRDefault="00B37744" w:rsidP="00B1343E">
      <w:pPr>
        <w:numPr>
          <w:ilvl w:val="0"/>
          <w:numId w:val="9"/>
        </w:numPr>
        <w:jc w:val="both"/>
        <w:rPr>
          <w:rFonts w:asciiTheme="minorHAnsi" w:hAnsiTheme="minorHAnsi"/>
        </w:rPr>
      </w:pPr>
      <w:r w:rsidRPr="00B1343E">
        <w:rPr>
          <w:rFonts w:asciiTheme="minorHAnsi" w:hAnsiTheme="minorHAnsi"/>
        </w:rPr>
        <w:t>If banks are unable to dislodge the economy from a neutral gear the government</w:t>
      </w:r>
      <w:r w:rsidR="005026F6">
        <w:rPr>
          <w:rFonts w:asciiTheme="minorHAnsi" w:hAnsiTheme="minorHAnsi"/>
        </w:rPr>
        <w:t xml:space="preserve"> </w:t>
      </w:r>
      <w:r w:rsidR="005026F6" w:rsidRPr="00410DC7">
        <w:rPr>
          <w:rFonts w:asciiTheme="minorHAnsi" w:hAnsiTheme="minorHAnsi"/>
          <w:i/>
        </w:rPr>
        <w:t>must</w:t>
      </w:r>
      <w:r w:rsidRPr="00B1343E">
        <w:rPr>
          <w:rFonts w:asciiTheme="minorHAnsi" w:hAnsiTheme="minorHAnsi"/>
        </w:rPr>
        <w:t xml:space="preserve"> takes the initiative with Keynesian economic stimulus</w:t>
      </w:r>
      <w:r>
        <w:rPr>
          <w:rStyle w:val="FootnoteReference"/>
          <w:rFonts w:asciiTheme="minorHAnsi" w:hAnsiTheme="minorHAnsi"/>
        </w:rPr>
        <w:footnoteReference w:id="6"/>
      </w:r>
      <w:r w:rsidRPr="00B1343E">
        <w:rPr>
          <w:rFonts w:asciiTheme="minorHAnsi" w:hAnsiTheme="minorHAnsi"/>
        </w:rPr>
        <w:t xml:space="preserve">.  Therefore, </w:t>
      </w:r>
      <w:r w:rsidRPr="00B1343E">
        <w:rPr>
          <w:rFonts w:asciiTheme="minorHAnsi" w:hAnsiTheme="minorHAnsi"/>
        </w:rPr>
        <w:lastRenderedPageBreak/>
        <w:t>p</w:t>
      </w:r>
      <w:r w:rsidR="001C7B26" w:rsidRPr="00B1343E">
        <w:rPr>
          <w:rFonts w:asciiTheme="minorHAnsi" w:hAnsiTheme="minorHAnsi"/>
        </w:rPr>
        <w:t xml:space="preserve">reference should be focused on policies that influence aggregate demand, prevent economic slumps, and require active economic intervention by the government.  </w:t>
      </w:r>
    </w:p>
    <w:p w14:paraId="580000C3" w14:textId="16DEC0E1" w:rsidR="00B66332" w:rsidRDefault="00B37744" w:rsidP="00B66332">
      <w:pPr>
        <w:rPr>
          <w:rFonts w:asciiTheme="minorHAnsi" w:hAnsiTheme="minorHAnsi"/>
        </w:rPr>
      </w:pPr>
      <w:r>
        <w:rPr>
          <w:rFonts w:asciiTheme="minorHAnsi" w:hAnsiTheme="minorHAnsi"/>
        </w:rPr>
        <w:t xml:space="preserve"> </w:t>
      </w:r>
    </w:p>
    <w:p w14:paraId="3DECBF04" w14:textId="77777777" w:rsidR="00B66332" w:rsidRDefault="00B66332" w:rsidP="002D6E81">
      <w:pPr>
        <w:jc w:val="both"/>
        <w:rPr>
          <w:rFonts w:asciiTheme="minorHAnsi" w:hAnsiTheme="minorHAnsi"/>
        </w:rPr>
      </w:pPr>
    </w:p>
    <w:p w14:paraId="41F36C13" w14:textId="73268BC0" w:rsidR="002D6E81" w:rsidRDefault="002D6E81" w:rsidP="002D6E81">
      <w:pPr>
        <w:jc w:val="both"/>
        <w:rPr>
          <w:rFonts w:asciiTheme="minorHAnsi" w:hAnsiTheme="minorHAnsi"/>
        </w:rPr>
      </w:pPr>
    </w:p>
    <w:p w14:paraId="4E4978FE" w14:textId="2182B054" w:rsidR="006770FB" w:rsidRPr="00516A21" w:rsidRDefault="0047205B" w:rsidP="00516A21">
      <w:pPr>
        <w:rPr>
          <w:rFonts w:asciiTheme="minorHAnsi" w:hAnsiTheme="minorHAnsi"/>
        </w:rPr>
      </w:pPr>
      <w:r>
        <w:rPr>
          <w:rFonts w:asciiTheme="minorHAnsi" w:hAnsiTheme="minorHAnsi"/>
        </w:rPr>
        <w:t xml:space="preserve"> </w:t>
      </w:r>
      <w:r w:rsidR="002D6E81">
        <w:rPr>
          <w:rFonts w:asciiTheme="minorHAnsi" w:hAnsiTheme="minorHAnsi"/>
        </w:rPr>
        <w:br w:type="page"/>
      </w:r>
    </w:p>
    <w:p w14:paraId="1BB83120" w14:textId="77777777" w:rsidR="003C2333" w:rsidRDefault="003C2333" w:rsidP="000C52CD">
      <w:pPr>
        <w:jc w:val="both"/>
        <w:rPr>
          <w:rFonts w:asciiTheme="minorHAnsi" w:hAnsiTheme="minorHAnsi"/>
        </w:rPr>
      </w:pPr>
    </w:p>
    <w:p w14:paraId="5622E545" w14:textId="77777777" w:rsidR="00C54B95" w:rsidRDefault="00C54B95" w:rsidP="000C52CD">
      <w:pPr>
        <w:jc w:val="both"/>
        <w:rPr>
          <w:rFonts w:asciiTheme="minorHAnsi" w:hAnsiTheme="minorHAnsi"/>
        </w:rPr>
      </w:pPr>
    </w:p>
    <w:tbl>
      <w:tblPr>
        <w:tblW w:w="9476" w:type="dxa"/>
        <w:tblInd w:w="93" w:type="dxa"/>
        <w:tblLook w:val="04A0" w:firstRow="1" w:lastRow="0" w:firstColumn="1" w:lastColumn="0" w:noHBand="0" w:noVBand="1"/>
      </w:tblPr>
      <w:tblGrid>
        <w:gridCol w:w="4632"/>
        <w:gridCol w:w="799"/>
        <w:gridCol w:w="799"/>
        <w:gridCol w:w="764"/>
        <w:gridCol w:w="754"/>
        <w:gridCol w:w="932"/>
        <w:gridCol w:w="796"/>
      </w:tblGrid>
      <w:tr w:rsidR="00C54B95" w14:paraId="4377DEF5" w14:textId="77777777" w:rsidTr="00516A21">
        <w:trPr>
          <w:trHeight w:val="359"/>
        </w:trPr>
        <w:tc>
          <w:tcPr>
            <w:tcW w:w="9476" w:type="dxa"/>
            <w:gridSpan w:val="7"/>
            <w:tcBorders>
              <w:top w:val="single" w:sz="4" w:space="0" w:color="auto"/>
              <w:left w:val="nil"/>
              <w:bottom w:val="nil"/>
              <w:right w:val="nil"/>
            </w:tcBorders>
            <w:shd w:val="clear" w:color="auto" w:fill="auto"/>
            <w:noWrap/>
            <w:vAlign w:val="bottom"/>
            <w:hideMark/>
          </w:tcPr>
          <w:p w14:paraId="1A182570" w14:textId="2B60F9D4" w:rsidR="00C54B95" w:rsidRDefault="00C54B95">
            <w:pPr>
              <w:jc w:val="center"/>
              <w:rPr>
                <w:rFonts w:ascii="Calibri" w:hAnsi="Calibri"/>
                <w:b/>
                <w:bCs/>
                <w:color w:val="000000"/>
                <w:sz w:val="20"/>
                <w:szCs w:val="20"/>
              </w:rPr>
            </w:pPr>
            <w:r>
              <w:rPr>
                <w:rFonts w:ascii="Calibri" w:hAnsi="Calibri"/>
                <w:b/>
                <w:bCs/>
                <w:color w:val="000000"/>
                <w:sz w:val="20"/>
                <w:szCs w:val="20"/>
              </w:rPr>
              <w:t>Table 1</w:t>
            </w:r>
          </w:p>
          <w:p w14:paraId="18812B74" w14:textId="77777777" w:rsidR="00C54B95" w:rsidRDefault="00C54B95">
            <w:pPr>
              <w:jc w:val="center"/>
              <w:rPr>
                <w:rFonts w:ascii="Calibri" w:hAnsi="Calibri"/>
                <w:b/>
                <w:bCs/>
                <w:color w:val="000000"/>
                <w:sz w:val="20"/>
                <w:szCs w:val="20"/>
              </w:rPr>
            </w:pPr>
            <w:r>
              <w:rPr>
                <w:rFonts w:ascii="Calibri" w:hAnsi="Calibri"/>
                <w:b/>
                <w:bCs/>
                <w:color w:val="000000"/>
                <w:sz w:val="20"/>
                <w:szCs w:val="20"/>
              </w:rPr>
              <w:t>Descriptive Statistics</w:t>
            </w:r>
          </w:p>
          <w:p w14:paraId="39D50332" w14:textId="77777777" w:rsidR="00C54B95" w:rsidRDefault="00C54B95" w:rsidP="005803D7">
            <w:pPr>
              <w:jc w:val="center"/>
              <w:rPr>
                <w:rFonts w:asciiTheme="minorHAnsi" w:hAnsiTheme="minorHAnsi"/>
                <w:sz w:val="20"/>
              </w:rPr>
            </w:pPr>
            <w:r>
              <w:rPr>
                <w:rFonts w:ascii="Calibri" w:hAnsi="Calibri"/>
                <w:b/>
                <w:bCs/>
                <w:color w:val="000000"/>
                <w:sz w:val="20"/>
                <w:szCs w:val="20"/>
              </w:rPr>
              <w:t xml:space="preserve">Countries Included: </w:t>
            </w:r>
            <w:r w:rsidRPr="00516A21">
              <w:rPr>
                <w:rFonts w:asciiTheme="minorHAnsi" w:hAnsiTheme="minorHAnsi"/>
                <w:sz w:val="20"/>
              </w:rPr>
              <w:t xml:space="preserve">Libya, Egypt, Bahrain, Tunisia, Yemen, </w:t>
            </w:r>
            <w:r>
              <w:rPr>
                <w:rFonts w:asciiTheme="minorHAnsi" w:hAnsiTheme="minorHAnsi"/>
                <w:sz w:val="20"/>
              </w:rPr>
              <w:t xml:space="preserve">and </w:t>
            </w:r>
            <w:r w:rsidRPr="00516A21">
              <w:rPr>
                <w:rFonts w:asciiTheme="minorHAnsi" w:hAnsiTheme="minorHAnsi"/>
                <w:sz w:val="20"/>
              </w:rPr>
              <w:t>the Arab World Average</w:t>
            </w:r>
          </w:p>
          <w:p w14:paraId="6E5EBCA4" w14:textId="3BE87646" w:rsidR="00C54B95" w:rsidRDefault="00C54B95">
            <w:pPr>
              <w:jc w:val="center"/>
              <w:rPr>
                <w:rFonts w:ascii="Calibri" w:hAnsi="Calibri"/>
                <w:b/>
                <w:bCs/>
                <w:color w:val="000000"/>
                <w:sz w:val="20"/>
                <w:szCs w:val="20"/>
              </w:rPr>
            </w:pPr>
            <w:r>
              <w:rPr>
                <w:rFonts w:asciiTheme="minorHAnsi" w:hAnsiTheme="minorHAnsi"/>
                <w:sz w:val="20"/>
              </w:rPr>
              <w:t>1995 - 2013</w:t>
            </w:r>
          </w:p>
        </w:tc>
      </w:tr>
      <w:tr w:rsidR="00C54B95" w14:paraId="03B68915" w14:textId="77777777" w:rsidTr="00516A21">
        <w:trPr>
          <w:trHeight w:val="359"/>
        </w:trPr>
        <w:tc>
          <w:tcPr>
            <w:tcW w:w="4632" w:type="dxa"/>
            <w:tcBorders>
              <w:top w:val="nil"/>
              <w:left w:val="nil"/>
              <w:bottom w:val="single" w:sz="4" w:space="0" w:color="auto"/>
              <w:right w:val="nil"/>
            </w:tcBorders>
            <w:shd w:val="clear" w:color="auto" w:fill="auto"/>
            <w:noWrap/>
            <w:vAlign w:val="bottom"/>
            <w:hideMark/>
          </w:tcPr>
          <w:p w14:paraId="68B12EC0" w14:textId="77777777" w:rsidR="00C54B95" w:rsidRDefault="00C54B95">
            <w:pPr>
              <w:jc w:val="center"/>
              <w:rPr>
                <w:rFonts w:ascii="Calibri" w:hAnsi="Calibri"/>
                <w:color w:val="000000"/>
                <w:sz w:val="20"/>
                <w:szCs w:val="20"/>
              </w:rPr>
            </w:pPr>
            <w:r>
              <w:rPr>
                <w:rFonts w:ascii="Calibri" w:hAnsi="Calibri"/>
                <w:color w:val="000000"/>
                <w:sz w:val="20"/>
                <w:szCs w:val="20"/>
              </w:rPr>
              <w:t>Variable</w:t>
            </w:r>
          </w:p>
        </w:tc>
        <w:tc>
          <w:tcPr>
            <w:tcW w:w="799" w:type="dxa"/>
            <w:tcBorders>
              <w:top w:val="nil"/>
              <w:left w:val="nil"/>
              <w:bottom w:val="single" w:sz="4" w:space="0" w:color="auto"/>
              <w:right w:val="nil"/>
            </w:tcBorders>
            <w:shd w:val="clear" w:color="auto" w:fill="auto"/>
            <w:noWrap/>
            <w:vAlign w:val="bottom"/>
            <w:hideMark/>
          </w:tcPr>
          <w:p w14:paraId="705B5C1B" w14:textId="77777777" w:rsidR="00C54B95" w:rsidRDefault="00C54B95">
            <w:pPr>
              <w:jc w:val="center"/>
              <w:rPr>
                <w:rFonts w:ascii="Calibri" w:hAnsi="Calibri"/>
                <w:color w:val="000000"/>
                <w:sz w:val="20"/>
                <w:szCs w:val="20"/>
              </w:rPr>
            </w:pPr>
            <w:r>
              <w:rPr>
                <w:rFonts w:ascii="Calibri" w:hAnsi="Calibri"/>
                <w:color w:val="000000"/>
                <w:sz w:val="20"/>
                <w:szCs w:val="20"/>
              </w:rPr>
              <w:t>MAX</w:t>
            </w:r>
          </w:p>
        </w:tc>
        <w:tc>
          <w:tcPr>
            <w:tcW w:w="799" w:type="dxa"/>
            <w:tcBorders>
              <w:top w:val="nil"/>
              <w:left w:val="nil"/>
              <w:bottom w:val="single" w:sz="4" w:space="0" w:color="auto"/>
              <w:right w:val="nil"/>
            </w:tcBorders>
            <w:shd w:val="clear" w:color="auto" w:fill="auto"/>
            <w:noWrap/>
            <w:vAlign w:val="bottom"/>
            <w:hideMark/>
          </w:tcPr>
          <w:p w14:paraId="7BE96846" w14:textId="77777777" w:rsidR="00C54B95" w:rsidRDefault="00C54B95">
            <w:pPr>
              <w:jc w:val="center"/>
              <w:rPr>
                <w:rFonts w:ascii="Calibri" w:hAnsi="Calibri"/>
                <w:color w:val="000000"/>
                <w:sz w:val="20"/>
                <w:szCs w:val="20"/>
              </w:rPr>
            </w:pPr>
            <w:r>
              <w:rPr>
                <w:rFonts w:ascii="Calibri" w:hAnsi="Calibri"/>
                <w:color w:val="000000"/>
                <w:sz w:val="20"/>
                <w:szCs w:val="20"/>
              </w:rPr>
              <w:t>MIN</w:t>
            </w:r>
          </w:p>
        </w:tc>
        <w:tc>
          <w:tcPr>
            <w:tcW w:w="764" w:type="dxa"/>
            <w:tcBorders>
              <w:top w:val="nil"/>
              <w:left w:val="nil"/>
              <w:bottom w:val="single" w:sz="4" w:space="0" w:color="auto"/>
              <w:right w:val="nil"/>
            </w:tcBorders>
            <w:shd w:val="clear" w:color="auto" w:fill="auto"/>
            <w:noWrap/>
            <w:vAlign w:val="bottom"/>
            <w:hideMark/>
          </w:tcPr>
          <w:p w14:paraId="445237FF" w14:textId="77777777" w:rsidR="00C54B95" w:rsidRDefault="00C54B95">
            <w:pPr>
              <w:jc w:val="center"/>
              <w:rPr>
                <w:rFonts w:ascii="Calibri" w:hAnsi="Calibri"/>
                <w:color w:val="000000"/>
                <w:sz w:val="20"/>
                <w:szCs w:val="20"/>
              </w:rPr>
            </w:pPr>
            <w:r>
              <w:rPr>
                <w:rFonts w:ascii="Calibri" w:hAnsi="Calibri"/>
                <w:color w:val="000000"/>
                <w:sz w:val="20"/>
                <w:szCs w:val="20"/>
              </w:rPr>
              <w:t>STDEV</w:t>
            </w:r>
          </w:p>
        </w:tc>
        <w:tc>
          <w:tcPr>
            <w:tcW w:w="754" w:type="dxa"/>
            <w:tcBorders>
              <w:top w:val="nil"/>
              <w:left w:val="nil"/>
              <w:bottom w:val="single" w:sz="4" w:space="0" w:color="auto"/>
              <w:right w:val="nil"/>
            </w:tcBorders>
            <w:shd w:val="clear" w:color="auto" w:fill="auto"/>
            <w:noWrap/>
            <w:vAlign w:val="bottom"/>
            <w:hideMark/>
          </w:tcPr>
          <w:p w14:paraId="213B0123" w14:textId="77777777" w:rsidR="00C54B95" w:rsidRDefault="00C54B95">
            <w:pPr>
              <w:jc w:val="center"/>
              <w:rPr>
                <w:rFonts w:ascii="Calibri" w:hAnsi="Calibri"/>
                <w:color w:val="000000"/>
                <w:sz w:val="20"/>
                <w:szCs w:val="20"/>
              </w:rPr>
            </w:pPr>
            <w:r>
              <w:rPr>
                <w:rFonts w:ascii="Calibri" w:hAnsi="Calibri"/>
                <w:color w:val="000000"/>
                <w:sz w:val="20"/>
                <w:szCs w:val="20"/>
              </w:rPr>
              <w:t xml:space="preserve">MEAN </w:t>
            </w:r>
          </w:p>
        </w:tc>
        <w:tc>
          <w:tcPr>
            <w:tcW w:w="932" w:type="dxa"/>
            <w:tcBorders>
              <w:top w:val="nil"/>
              <w:left w:val="nil"/>
              <w:bottom w:val="single" w:sz="4" w:space="0" w:color="auto"/>
              <w:right w:val="nil"/>
            </w:tcBorders>
            <w:shd w:val="clear" w:color="auto" w:fill="auto"/>
            <w:noWrap/>
            <w:vAlign w:val="bottom"/>
            <w:hideMark/>
          </w:tcPr>
          <w:p w14:paraId="6FA76AD6" w14:textId="77777777" w:rsidR="00C54B95" w:rsidRDefault="00C54B95">
            <w:pPr>
              <w:jc w:val="center"/>
              <w:rPr>
                <w:rFonts w:ascii="Calibri" w:hAnsi="Calibri"/>
                <w:color w:val="000000"/>
                <w:sz w:val="20"/>
                <w:szCs w:val="20"/>
              </w:rPr>
            </w:pPr>
            <w:r>
              <w:rPr>
                <w:rFonts w:ascii="Calibri" w:hAnsi="Calibri"/>
                <w:color w:val="000000"/>
                <w:sz w:val="20"/>
                <w:szCs w:val="20"/>
              </w:rPr>
              <w:t>MEDIAN</w:t>
            </w:r>
          </w:p>
        </w:tc>
        <w:tc>
          <w:tcPr>
            <w:tcW w:w="796" w:type="dxa"/>
            <w:tcBorders>
              <w:top w:val="nil"/>
              <w:left w:val="nil"/>
              <w:bottom w:val="single" w:sz="4" w:space="0" w:color="auto"/>
              <w:right w:val="nil"/>
            </w:tcBorders>
            <w:shd w:val="clear" w:color="auto" w:fill="auto"/>
            <w:noWrap/>
            <w:vAlign w:val="bottom"/>
            <w:hideMark/>
          </w:tcPr>
          <w:p w14:paraId="04BA8CC1" w14:textId="77777777" w:rsidR="00C54B95" w:rsidRDefault="00C54B95">
            <w:pPr>
              <w:jc w:val="center"/>
              <w:rPr>
                <w:rFonts w:ascii="Calibri" w:hAnsi="Calibri"/>
                <w:color w:val="000000"/>
                <w:sz w:val="20"/>
                <w:szCs w:val="20"/>
              </w:rPr>
            </w:pPr>
            <w:r>
              <w:rPr>
                <w:rFonts w:ascii="Calibri" w:hAnsi="Calibri"/>
                <w:color w:val="000000"/>
                <w:sz w:val="20"/>
                <w:szCs w:val="20"/>
              </w:rPr>
              <w:t># of Obs.</w:t>
            </w:r>
          </w:p>
        </w:tc>
      </w:tr>
      <w:tr w:rsidR="00C54B95" w14:paraId="1DE67A00" w14:textId="77777777" w:rsidTr="00516A21">
        <w:trPr>
          <w:trHeight w:val="359"/>
        </w:trPr>
        <w:tc>
          <w:tcPr>
            <w:tcW w:w="4632" w:type="dxa"/>
            <w:tcBorders>
              <w:top w:val="nil"/>
              <w:left w:val="nil"/>
              <w:bottom w:val="nil"/>
              <w:right w:val="nil"/>
            </w:tcBorders>
            <w:shd w:val="clear" w:color="auto" w:fill="auto"/>
            <w:noWrap/>
            <w:vAlign w:val="bottom"/>
            <w:hideMark/>
          </w:tcPr>
          <w:p w14:paraId="0CB58A41" w14:textId="77777777" w:rsidR="00C54B95" w:rsidRDefault="00C54B95">
            <w:pPr>
              <w:rPr>
                <w:rFonts w:ascii="Calibri" w:hAnsi="Calibri"/>
                <w:color w:val="000000"/>
                <w:sz w:val="20"/>
                <w:szCs w:val="20"/>
              </w:rPr>
            </w:pPr>
            <w:r>
              <w:rPr>
                <w:rFonts w:ascii="Calibri" w:hAnsi="Calibri"/>
                <w:color w:val="000000"/>
                <w:sz w:val="20"/>
                <w:szCs w:val="20"/>
              </w:rPr>
              <w:t>Claims on central government, etc. (% GDP)</w:t>
            </w:r>
          </w:p>
        </w:tc>
        <w:tc>
          <w:tcPr>
            <w:tcW w:w="799" w:type="dxa"/>
            <w:tcBorders>
              <w:top w:val="nil"/>
              <w:left w:val="nil"/>
              <w:bottom w:val="nil"/>
              <w:right w:val="nil"/>
            </w:tcBorders>
            <w:shd w:val="clear" w:color="auto" w:fill="auto"/>
            <w:noWrap/>
            <w:vAlign w:val="bottom"/>
            <w:hideMark/>
          </w:tcPr>
          <w:p w14:paraId="2B8585C1" w14:textId="77777777" w:rsidR="00C54B95" w:rsidRDefault="00C54B95">
            <w:pPr>
              <w:jc w:val="center"/>
              <w:rPr>
                <w:rFonts w:ascii="Calibri" w:hAnsi="Calibri"/>
                <w:color w:val="000000"/>
                <w:sz w:val="20"/>
                <w:szCs w:val="20"/>
              </w:rPr>
            </w:pPr>
            <w:r>
              <w:rPr>
                <w:rFonts w:ascii="Calibri" w:hAnsi="Calibri"/>
                <w:color w:val="000000"/>
                <w:sz w:val="20"/>
                <w:szCs w:val="20"/>
              </w:rPr>
              <w:t>58.19</w:t>
            </w:r>
          </w:p>
        </w:tc>
        <w:tc>
          <w:tcPr>
            <w:tcW w:w="799" w:type="dxa"/>
            <w:tcBorders>
              <w:top w:val="nil"/>
              <w:left w:val="nil"/>
              <w:bottom w:val="nil"/>
              <w:right w:val="nil"/>
            </w:tcBorders>
            <w:shd w:val="clear" w:color="auto" w:fill="auto"/>
            <w:noWrap/>
            <w:vAlign w:val="bottom"/>
            <w:hideMark/>
          </w:tcPr>
          <w:p w14:paraId="3C69020C" w14:textId="77777777" w:rsidR="00C54B95" w:rsidRDefault="00C54B95">
            <w:pPr>
              <w:jc w:val="center"/>
              <w:rPr>
                <w:rFonts w:ascii="Calibri" w:hAnsi="Calibri"/>
                <w:color w:val="000000"/>
                <w:sz w:val="20"/>
                <w:szCs w:val="20"/>
              </w:rPr>
            </w:pPr>
            <w:r>
              <w:rPr>
                <w:rFonts w:ascii="Calibri" w:hAnsi="Calibri"/>
                <w:color w:val="000000"/>
                <w:sz w:val="20"/>
                <w:szCs w:val="20"/>
              </w:rPr>
              <w:t>-162.59</w:t>
            </w:r>
          </w:p>
        </w:tc>
        <w:tc>
          <w:tcPr>
            <w:tcW w:w="764" w:type="dxa"/>
            <w:tcBorders>
              <w:top w:val="nil"/>
              <w:left w:val="nil"/>
              <w:bottom w:val="nil"/>
              <w:right w:val="nil"/>
            </w:tcBorders>
            <w:shd w:val="clear" w:color="auto" w:fill="auto"/>
            <w:noWrap/>
            <w:vAlign w:val="bottom"/>
            <w:hideMark/>
          </w:tcPr>
          <w:p w14:paraId="23806465" w14:textId="77777777" w:rsidR="00C54B95" w:rsidRDefault="00C54B95">
            <w:pPr>
              <w:jc w:val="center"/>
              <w:rPr>
                <w:rFonts w:ascii="Calibri" w:hAnsi="Calibri"/>
                <w:color w:val="000000"/>
                <w:sz w:val="20"/>
                <w:szCs w:val="20"/>
              </w:rPr>
            </w:pPr>
            <w:r>
              <w:rPr>
                <w:rFonts w:ascii="Calibri" w:hAnsi="Calibri"/>
                <w:color w:val="000000"/>
                <w:sz w:val="20"/>
                <w:szCs w:val="20"/>
              </w:rPr>
              <w:t>31.18</w:t>
            </w:r>
          </w:p>
        </w:tc>
        <w:tc>
          <w:tcPr>
            <w:tcW w:w="754" w:type="dxa"/>
            <w:tcBorders>
              <w:top w:val="nil"/>
              <w:left w:val="nil"/>
              <w:bottom w:val="nil"/>
              <w:right w:val="nil"/>
            </w:tcBorders>
            <w:shd w:val="clear" w:color="auto" w:fill="auto"/>
            <w:noWrap/>
            <w:vAlign w:val="bottom"/>
            <w:hideMark/>
          </w:tcPr>
          <w:p w14:paraId="0F984EF6" w14:textId="77777777" w:rsidR="00C54B95" w:rsidRDefault="00C54B95">
            <w:pPr>
              <w:jc w:val="center"/>
              <w:rPr>
                <w:rFonts w:ascii="Calibri" w:hAnsi="Calibri"/>
                <w:color w:val="000000"/>
                <w:sz w:val="20"/>
                <w:szCs w:val="20"/>
              </w:rPr>
            </w:pPr>
            <w:r>
              <w:rPr>
                <w:rFonts w:ascii="Calibri" w:hAnsi="Calibri"/>
                <w:color w:val="000000"/>
                <w:sz w:val="20"/>
                <w:szCs w:val="20"/>
              </w:rPr>
              <w:t>6.12</w:t>
            </w:r>
          </w:p>
        </w:tc>
        <w:tc>
          <w:tcPr>
            <w:tcW w:w="932" w:type="dxa"/>
            <w:tcBorders>
              <w:top w:val="nil"/>
              <w:left w:val="nil"/>
              <w:bottom w:val="nil"/>
              <w:right w:val="nil"/>
            </w:tcBorders>
            <w:shd w:val="clear" w:color="auto" w:fill="auto"/>
            <w:noWrap/>
            <w:vAlign w:val="bottom"/>
            <w:hideMark/>
          </w:tcPr>
          <w:p w14:paraId="6119E5CB" w14:textId="77777777" w:rsidR="00C54B95" w:rsidRDefault="00C54B95">
            <w:pPr>
              <w:jc w:val="center"/>
              <w:rPr>
                <w:rFonts w:ascii="Calibri" w:hAnsi="Calibri"/>
                <w:color w:val="000000"/>
                <w:sz w:val="20"/>
                <w:szCs w:val="20"/>
              </w:rPr>
            </w:pPr>
            <w:r>
              <w:rPr>
                <w:rFonts w:ascii="Calibri" w:hAnsi="Calibri"/>
                <w:color w:val="000000"/>
                <w:sz w:val="20"/>
                <w:szCs w:val="20"/>
              </w:rPr>
              <w:t>6.37</w:t>
            </w:r>
          </w:p>
        </w:tc>
        <w:tc>
          <w:tcPr>
            <w:tcW w:w="796" w:type="dxa"/>
            <w:tcBorders>
              <w:top w:val="nil"/>
              <w:left w:val="nil"/>
              <w:bottom w:val="nil"/>
              <w:right w:val="nil"/>
            </w:tcBorders>
            <w:shd w:val="clear" w:color="auto" w:fill="auto"/>
            <w:noWrap/>
            <w:vAlign w:val="bottom"/>
            <w:hideMark/>
          </w:tcPr>
          <w:p w14:paraId="39917FF4" w14:textId="77777777" w:rsidR="00C54B95" w:rsidRDefault="00C54B95">
            <w:pPr>
              <w:jc w:val="center"/>
              <w:rPr>
                <w:rFonts w:ascii="Calibri" w:hAnsi="Calibri"/>
                <w:color w:val="000000"/>
                <w:sz w:val="20"/>
                <w:szCs w:val="20"/>
              </w:rPr>
            </w:pPr>
            <w:r>
              <w:rPr>
                <w:rFonts w:ascii="Calibri" w:hAnsi="Calibri"/>
                <w:color w:val="000000"/>
                <w:sz w:val="20"/>
                <w:szCs w:val="20"/>
              </w:rPr>
              <w:t>144</w:t>
            </w:r>
          </w:p>
        </w:tc>
      </w:tr>
      <w:tr w:rsidR="00C54B95" w14:paraId="19D32359" w14:textId="77777777" w:rsidTr="00516A21">
        <w:trPr>
          <w:trHeight w:val="359"/>
        </w:trPr>
        <w:tc>
          <w:tcPr>
            <w:tcW w:w="4632" w:type="dxa"/>
            <w:tcBorders>
              <w:top w:val="nil"/>
              <w:left w:val="nil"/>
              <w:bottom w:val="nil"/>
              <w:right w:val="nil"/>
            </w:tcBorders>
            <w:shd w:val="clear" w:color="auto" w:fill="auto"/>
            <w:noWrap/>
            <w:vAlign w:val="bottom"/>
            <w:hideMark/>
          </w:tcPr>
          <w:p w14:paraId="2DE31AFB" w14:textId="77777777" w:rsidR="00C54B95" w:rsidRDefault="00C54B95">
            <w:pPr>
              <w:rPr>
                <w:rFonts w:ascii="Calibri" w:hAnsi="Calibri"/>
                <w:color w:val="000000"/>
                <w:sz w:val="20"/>
                <w:szCs w:val="20"/>
              </w:rPr>
            </w:pPr>
            <w:r>
              <w:rPr>
                <w:rFonts w:ascii="Calibri" w:hAnsi="Calibri"/>
                <w:color w:val="000000"/>
                <w:sz w:val="20"/>
                <w:szCs w:val="20"/>
              </w:rPr>
              <w:t>Domestic credit to private sector by banks (% of GDP)</w:t>
            </w:r>
          </w:p>
        </w:tc>
        <w:tc>
          <w:tcPr>
            <w:tcW w:w="799" w:type="dxa"/>
            <w:tcBorders>
              <w:top w:val="nil"/>
              <w:left w:val="nil"/>
              <w:bottom w:val="nil"/>
              <w:right w:val="nil"/>
            </w:tcBorders>
            <w:shd w:val="clear" w:color="auto" w:fill="auto"/>
            <w:noWrap/>
            <w:vAlign w:val="bottom"/>
            <w:hideMark/>
          </w:tcPr>
          <w:p w14:paraId="7C8EE5DF" w14:textId="77777777" w:rsidR="00C54B95" w:rsidRDefault="00C54B95">
            <w:pPr>
              <w:jc w:val="center"/>
              <w:rPr>
                <w:rFonts w:ascii="Calibri" w:hAnsi="Calibri"/>
                <w:color w:val="000000"/>
                <w:sz w:val="20"/>
                <w:szCs w:val="20"/>
              </w:rPr>
            </w:pPr>
            <w:r>
              <w:rPr>
                <w:rFonts w:ascii="Calibri" w:hAnsi="Calibri"/>
                <w:color w:val="000000"/>
                <w:sz w:val="20"/>
                <w:szCs w:val="20"/>
              </w:rPr>
              <w:t>72.54</w:t>
            </w:r>
          </w:p>
        </w:tc>
        <w:tc>
          <w:tcPr>
            <w:tcW w:w="799" w:type="dxa"/>
            <w:tcBorders>
              <w:top w:val="nil"/>
              <w:left w:val="nil"/>
              <w:bottom w:val="nil"/>
              <w:right w:val="nil"/>
            </w:tcBorders>
            <w:shd w:val="clear" w:color="auto" w:fill="auto"/>
            <w:noWrap/>
            <w:vAlign w:val="bottom"/>
            <w:hideMark/>
          </w:tcPr>
          <w:p w14:paraId="1115A249" w14:textId="77777777" w:rsidR="00C54B95" w:rsidRDefault="00C54B95">
            <w:pPr>
              <w:jc w:val="center"/>
              <w:rPr>
                <w:rFonts w:ascii="Calibri" w:hAnsi="Calibri"/>
                <w:color w:val="000000"/>
                <w:sz w:val="20"/>
                <w:szCs w:val="20"/>
              </w:rPr>
            </w:pPr>
            <w:r>
              <w:rPr>
                <w:rFonts w:ascii="Calibri" w:hAnsi="Calibri"/>
                <w:color w:val="000000"/>
                <w:sz w:val="20"/>
                <w:szCs w:val="20"/>
              </w:rPr>
              <w:t>3.01</w:t>
            </w:r>
          </w:p>
        </w:tc>
        <w:tc>
          <w:tcPr>
            <w:tcW w:w="764" w:type="dxa"/>
            <w:tcBorders>
              <w:top w:val="nil"/>
              <w:left w:val="nil"/>
              <w:bottom w:val="nil"/>
              <w:right w:val="nil"/>
            </w:tcBorders>
            <w:shd w:val="clear" w:color="auto" w:fill="auto"/>
            <w:noWrap/>
            <w:vAlign w:val="bottom"/>
            <w:hideMark/>
          </w:tcPr>
          <w:p w14:paraId="05FF912E" w14:textId="77777777" w:rsidR="00C54B95" w:rsidRDefault="00C54B95">
            <w:pPr>
              <w:jc w:val="center"/>
              <w:rPr>
                <w:rFonts w:ascii="Calibri" w:hAnsi="Calibri"/>
                <w:color w:val="000000"/>
                <w:sz w:val="20"/>
                <w:szCs w:val="20"/>
              </w:rPr>
            </w:pPr>
            <w:r>
              <w:rPr>
                <w:rFonts w:ascii="Calibri" w:hAnsi="Calibri"/>
                <w:color w:val="000000"/>
                <w:sz w:val="20"/>
                <w:szCs w:val="20"/>
              </w:rPr>
              <w:t>19.40</w:t>
            </w:r>
          </w:p>
        </w:tc>
        <w:tc>
          <w:tcPr>
            <w:tcW w:w="754" w:type="dxa"/>
            <w:tcBorders>
              <w:top w:val="nil"/>
              <w:left w:val="nil"/>
              <w:bottom w:val="nil"/>
              <w:right w:val="nil"/>
            </w:tcBorders>
            <w:shd w:val="clear" w:color="auto" w:fill="auto"/>
            <w:noWrap/>
            <w:vAlign w:val="bottom"/>
            <w:hideMark/>
          </w:tcPr>
          <w:p w14:paraId="38715034" w14:textId="77777777" w:rsidR="00C54B95" w:rsidRDefault="00C54B95">
            <w:pPr>
              <w:jc w:val="center"/>
              <w:rPr>
                <w:rFonts w:ascii="Calibri" w:hAnsi="Calibri"/>
                <w:color w:val="000000"/>
                <w:sz w:val="20"/>
                <w:szCs w:val="20"/>
              </w:rPr>
            </w:pPr>
            <w:r>
              <w:rPr>
                <w:rFonts w:ascii="Calibri" w:hAnsi="Calibri"/>
                <w:color w:val="000000"/>
                <w:sz w:val="20"/>
                <w:szCs w:val="20"/>
              </w:rPr>
              <w:t>33.88</w:t>
            </w:r>
          </w:p>
        </w:tc>
        <w:tc>
          <w:tcPr>
            <w:tcW w:w="932" w:type="dxa"/>
            <w:tcBorders>
              <w:top w:val="nil"/>
              <w:left w:val="nil"/>
              <w:bottom w:val="nil"/>
              <w:right w:val="nil"/>
            </w:tcBorders>
            <w:shd w:val="clear" w:color="auto" w:fill="auto"/>
            <w:noWrap/>
            <w:vAlign w:val="bottom"/>
            <w:hideMark/>
          </w:tcPr>
          <w:p w14:paraId="6E1EA119" w14:textId="77777777" w:rsidR="00C54B95" w:rsidRDefault="00C54B95">
            <w:pPr>
              <w:jc w:val="center"/>
              <w:rPr>
                <w:rFonts w:ascii="Calibri" w:hAnsi="Calibri"/>
                <w:color w:val="000000"/>
                <w:sz w:val="20"/>
                <w:szCs w:val="20"/>
              </w:rPr>
            </w:pPr>
            <w:r>
              <w:rPr>
                <w:rFonts w:ascii="Calibri" w:hAnsi="Calibri"/>
                <w:color w:val="000000"/>
                <w:sz w:val="20"/>
                <w:szCs w:val="20"/>
              </w:rPr>
              <w:t>34.99</w:t>
            </w:r>
          </w:p>
        </w:tc>
        <w:tc>
          <w:tcPr>
            <w:tcW w:w="796" w:type="dxa"/>
            <w:tcBorders>
              <w:top w:val="nil"/>
              <w:left w:val="nil"/>
              <w:bottom w:val="nil"/>
              <w:right w:val="nil"/>
            </w:tcBorders>
            <w:shd w:val="clear" w:color="auto" w:fill="auto"/>
            <w:noWrap/>
            <w:vAlign w:val="bottom"/>
            <w:hideMark/>
          </w:tcPr>
          <w:p w14:paraId="28171D7E" w14:textId="77777777" w:rsidR="00C54B95" w:rsidRDefault="00C54B95">
            <w:pPr>
              <w:jc w:val="center"/>
              <w:rPr>
                <w:rFonts w:ascii="Calibri" w:hAnsi="Calibri"/>
                <w:color w:val="000000"/>
                <w:sz w:val="20"/>
                <w:szCs w:val="20"/>
              </w:rPr>
            </w:pPr>
            <w:r>
              <w:rPr>
                <w:rFonts w:ascii="Calibri" w:hAnsi="Calibri"/>
                <w:color w:val="000000"/>
                <w:sz w:val="20"/>
                <w:szCs w:val="20"/>
              </w:rPr>
              <w:t>144</w:t>
            </w:r>
          </w:p>
        </w:tc>
      </w:tr>
      <w:tr w:rsidR="00C54B95" w14:paraId="0A43D4EE" w14:textId="77777777" w:rsidTr="00516A21">
        <w:trPr>
          <w:trHeight w:val="359"/>
        </w:trPr>
        <w:tc>
          <w:tcPr>
            <w:tcW w:w="4632" w:type="dxa"/>
            <w:tcBorders>
              <w:top w:val="nil"/>
              <w:left w:val="nil"/>
              <w:bottom w:val="nil"/>
              <w:right w:val="nil"/>
            </w:tcBorders>
            <w:shd w:val="clear" w:color="auto" w:fill="auto"/>
            <w:noWrap/>
            <w:vAlign w:val="bottom"/>
            <w:hideMark/>
          </w:tcPr>
          <w:p w14:paraId="53FFC620" w14:textId="77777777" w:rsidR="00C54B95" w:rsidRDefault="00C54B95">
            <w:pPr>
              <w:rPr>
                <w:rFonts w:ascii="Calibri" w:hAnsi="Calibri"/>
                <w:color w:val="000000"/>
                <w:sz w:val="20"/>
                <w:szCs w:val="20"/>
              </w:rPr>
            </w:pPr>
            <w:r>
              <w:rPr>
                <w:rFonts w:ascii="Calibri" w:hAnsi="Calibri"/>
                <w:color w:val="000000"/>
                <w:sz w:val="20"/>
                <w:szCs w:val="20"/>
              </w:rPr>
              <w:t>GDP growth (annual %)</w:t>
            </w:r>
          </w:p>
        </w:tc>
        <w:tc>
          <w:tcPr>
            <w:tcW w:w="799" w:type="dxa"/>
            <w:tcBorders>
              <w:top w:val="nil"/>
              <w:left w:val="nil"/>
              <w:bottom w:val="nil"/>
              <w:right w:val="nil"/>
            </w:tcBorders>
            <w:shd w:val="clear" w:color="auto" w:fill="auto"/>
            <w:noWrap/>
            <w:vAlign w:val="bottom"/>
            <w:hideMark/>
          </w:tcPr>
          <w:p w14:paraId="1660ADB1" w14:textId="77777777" w:rsidR="00C54B95" w:rsidRDefault="00C54B95">
            <w:pPr>
              <w:jc w:val="center"/>
              <w:rPr>
                <w:rFonts w:ascii="Calibri" w:hAnsi="Calibri"/>
                <w:color w:val="000000"/>
                <w:sz w:val="20"/>
                <w:szCs w:val="20"/>
              </w:rPr>
            </w:pPr>
            <w:r>
              <w:rPr>
                <w:rFonts w:ascii="Calibri" w:hAnsi="Calibri"/>
                <w:color w:val="000000"/>
                <w:sz w:val="20"/>
                <w:szCs w:val="20"/>
              </w:rPr>
              <w:t>13.00</w:t>
            </w:r>
          </w:p>
        </w:tc>
        <w:tc>
          <w:tcPr>
            <w:tcW w:w="799" w:type="dxa"/>
            <w:tcBorders>
              <w:top w:val="nil"/>
              <w:left w:val="nil"/>
              <w:bottom w:val="nil"/>
              <w:right w:val="nil"/>
            </w:tcBorders>
            <w:shd w:val="clear" w:color="auto" w:fill="auto"/>
            <w:noWrap/>
            <w:vAlign w:val="bottom"/>
            <w:hideMark/>
          </w:tcPr>
          <w:p w14:paraId="15F420A4" w14:textId="77777777" w:rsidR="00C54B95" w:rsidRDefault="00C54B95">
            <w:pPr>
              <w:jc w:val="center"/>
              <w:rPr>
                <w:rFonts w:ascii="Calibri" w:hAnsi="Calibri"/>
                <w:color w:val="000000"/>
                <w:sz w:val="20"/>
                <w:szCs w:val="20"/>
              </w:rPr>
            </w:pPr>
            <w:r>
              <w:rPr>
                <w:rFonts w:ascii="Calibri" w:hAnsi="Calibri"/>
                <w:color w:val="000000"/>
                <w:sz w:val="20"/>
                <w:szCs w:val="20"/>
              </w:rPr>
              <w:t>-15.09</w:t>
            </w:r>
          </w:p>
        </w:tc>
        <w:tc>
          <w:tcPr>
            <w:tcW w:w="764" w:type="dxa"/>
            <w:tcBorders>
              <w:top w:val="nil"/>
              <w:left w:val="nil"/>
              <w:bottom w:val="nil"/>
              <w:right w:val="nil"/>
            </w:tcBorders>
            <w:shd w:val="clear" w:color="auto" w:fill="auto"/>
            <w:noWrap/>
            <w:vAlign w:val="bottom"/>
            <w:hideMark/>
          </w:tcPr>
          <w:p w14:paraId="5194F60A" w14:textId="77777777" w:rsidR="00C54B95" w:rsidRDefault="00C54B95">
            <w:pPr>
              <w:jc w:val="center"/>
              <w:rPr>
                <w:rFonts w:ascii="Calibri" w:hAnsi="Calibri"/>
                <w:color w:val="000000"/>
                <w:sz w:val="20"/>
                <w:szCs w:val="20"/>
              </w:rPr>
            </w:pPr>
            <w:r>
              <w:rPr>
                <w:rFonts w:ascii="Calibri" w:hAnsi="Calibri"/>
                <w:color w:val="000000"/>
                <w:sz w:val="20"/>
                <w:szCs w:val="20"/>
              </w:rPr>
              <w:t>3.14</w:t>
            </w:r>
          </w:p>
        </w:tc>
        <w:tc>
          <w:tcPr>
            <w:tcW w:w="754" w:type="dxa"/>
            <w:tcBorders>
              <w:top w:val="nil"/>
              <w:left w:val="nil"/>
              <w:bottom w:val="nil"/>
              <w:right w:val="nil"/>
            </w:tcBorders>
            <w:shd w:val="clear" w:color="auto" w:fill="auto"/>
            <w:noWrap/>
            <w:vAlign w:val="bottom"/>
            <w:hideMark/>
          </w:tcPr>
          <w:p w14:paraId="5AAFBBE4" w14:textId="77777777" w:rsidR="00C54B95" w:rsidRDefault="00C54B95">
            <w:pPr>
              <w:jc w:val="center"/>
              <w:rPr>
                <w:rFonts w:ascii="Calibri" w:hAnsi="Calibri"/>
                <w:color w:val="000000"/>
                <w:sz w:val="20"/>
                <w:szCs w:val="20"/>
              </w:rPr>
            </w:pPr>
            <w:r>
              <w:rPr>
                <w:rFonts w:ascii="Calibri" w:hAnsi="Calibri"/>
                <w:color w:val="000000"/>
                <w:sz w:val="20"/>
                <w:szCs w:val="20"/>
              </w:rPr>
              <w:t>4.35</w:t>
            </w:r>
          </w:p>
        </w:tc>
        <w:tc>
          <w:tcPr>
            <w:tcW w:w="932" w:type="dxa"/>
            <w:tcBorders>
              <w:top w:val="nil"/>
              <w:left w:val="nil"/>
              <w:bottom w:val="nil"/>
              <w:right w:val="nil"/>
            </w:tcBorders>
            <w:shd w:val="clear" w:color="auto" w:fill="auto"/>
            <w:noWrap/>
            <w:vAlign w:val="bottom"/>
            <w:hideMark/>
          </w:tcPr>
          <w:p w14:paraId="22C80700" w14:textId="77777777" w:rsidR="00C54B95" w:rsidRDefault="00C54B95">
            <w:pPr>
              <w:jc w:val="center"/>
              <w:rPr>
                <w:rFonts w:ascii="Calibri" w:hAnsi="Calibri"/>
                <w:color w:val="000000"/>
                <w:sz w:val="20"/>
                <w:szCs w:val="20"/>
              </w:rPr>
            </w:pPr>
            <w:r>
              <w:rPr>
                <w:rFonts w:ascii="Calibri" w:hAnsi="Calibri"/>
                <w:color w:val="000000"/>
                <w:sz w:val="20"/>
                <w:szCs w:val="20"/>
              </w:rPr>
              <w:t>4.34</w:t>
            </w:r>
          </w:p>
        </w:tc>
        <w:tc>
          <w:tcPr>
            <w:tcW w:w="796" w:type="dxa"/>
            <w:tcBorders>
              <w:top w:val="nil"/>
              <w:left w:val="nil"/>
              <w:bottom w:val="nil"/>
              <w:right w:val="nil"/>
            </w:tcBorders>
            <w:shd w:val="clear" w:color="auto" w:fill="auto"/>
            <w:noWrap/>
            <w:vAlign w:val="bottom"/>
            <w:hideMark/>
          </w:tcPr>
          <w:p w14:paraId="6EC1576D" w14:textId="77777777" w:rsidR="00C54B95" w:rsidRDefault="00C54B95">
            <w:pPr>
              <w:jc w:val="center"/>
              <w:rPr>
                <w:rFonts w:ascii="Calibri" w:hAnsi="Calibri"/>
                <w:color w:val="000000"/>
                <w:sz w:val="20"/>
                <w:szCs w:val="20"/>
              </w:rPr>
            </w:pPr>
            <w:r>
              <w:rPr>
                <w:rFonts w:ascii="Calibri" w:hAnsi="Calibri"/>
                <w:color w:val="000000"/>
                <w:sz w:val="20"/>
                <w:szCs w:val="20"/>
              </w:rPr>
              <w:t>131</w:t>
            </w:r>
          </w:p>
        </w:tc>
      </w:tr>
      <w:tr w:rsidR="00C54B95" w14:paraId="2AE9C4DA" w14:textId="77777777" w:rsidTr="00516A21">
        <w:trPr>
          <w:trHeight w:val="359"/>
        </w:trPr>
        <w:tc>
          <w:tcPr>
            <w:tcW w:w="4632" w:type="dxa"/>
            <w:tcBorders>
              <w:top w:val="nil"/>
              <w:left w:val="nil"/>
              <w:bottom w:val="nil"/>
              <w:right w:val="nil"/>
            </w:tcBorders>
            <w:shd w:val="clear" w:color="auto" w:fill="auto"/>
            <w:noWrap/>
            <w:vAlign w:val="bottom"/>
            <w:hideMark/>
          </w:tcPr>
          <w:p w14:paraId="674C6A54" w14:textId="77777777" w:rsidR="00C54B95" w:rsidRDefault="00C54B95">
            <w:pPr>
              <w:rPr>
                <w:rFonts w:ascii="Calibri" w:hAnsi="Calibri"/>
                <w:color w:val="000000"/>
                <w:sz w:val="20"/>
                <w:szCs w:val="20"/>
              </w:rPr>
            </w:pPr>
            <w:r>
              <w:rPr>
                <w:rFonts w:ascii="Calibri" w:hAnsi="Calibri"/>
                <w:color w:val="000000"/>
                <w:sz w:val="20"/>
                <w:szCs w:val="20"/>
              </w:rPr>
              <w:t>Gross fixed capital formation (% of GDP)</w:t>
            </w:r>
          </w:p>
        </w:tc>
        <w:tc>
          <w:tcPr>
            <w:tcW w:w="799" w:type="dxa"/>
            <w:tcBorders>
              <w:top w:val="nil"/>
              <w:left w:val="nil"/>
              <w:bottom w:val="nil"/>
              <w:right w:val="nil"/>
            </w:tcBorders>
            <w:shd w:val="clear" w:color="auto" w:fill="auto"/>
            <w:noWrap/>
            <w:vAlign w:val="bottom"/>
            <w:hideMark/>
          </w:tcPr>
          <w:p w14:paraId="7997F75F" w14:textId="77777777" w:rsidR="00C54B95" w:rsidRDefault="00C54B95">
            <w:pPr>
              <w:jc w:val="center"/>
              <w:rPr>
                <w:rFonts w:ascii="Calibri" w:hAnsi="Calibri"/>
                <w:color w:val="000000"/>
                <w:sz w:val="20"/>
                <w:szCs w:val="20"/>
              </w:rPr>
            </w:pPr>
            <w:r>
              <w:rPr>
                <w:rFonts w:ascii="Calibri" w:hAnsi="Calibri"/>
                <w:color w:val="000000"/>
                <w:sz w:val="20"/>
                <w:szCs w:val="20"/>
              </w:rPr>
              <w:t>34.52</w:t>
            </w:r>
          </w:p>
        </w:tc>
        <w:tc>
          <w:tcPr>
            <w:tcW w:w="799" w:type="dxa"/>
            <w:tcBorders>
              <w:top w:val="nil"/>
              <w:left w:val="nil"/>
              <w:bottom w:val="nil"/>
              <w:right w:val="nil"/>
            </w:tcBorders>
            <w:shd w:val="clear" w:color="auto" w:fill="auto"/>
            <w:noWrap/>
            <w:vAlign w:val="bottom"/>
            <w:hideMark/>
          </w:tcPr>
          <w:p w14:paraId="55F9F611" w14:textId="77777777" w:rsidR="00C54B95" w:rsidRDefault="00C54B95">
            <w:pPr>
              <w:jc w:val="center"/>
              <w:rPr>
                <w:rFonts w:ascii="Calibri" w:hAnsi="Calibri"/>
                <w:color w:val="000000"/>
                <w:sz w:val="20"/>
                <w:szCs w:val="20"/>
              </w:rPr>
            </w:pPr>
            <w:r>
              <w:rPr>
                <w:rFonts w:ascii="Calibri" w:hAnsi="Calibri"/>
                <w:color w:val="000000"/>
                <w:sz w:val="20"/>
                <w:szCs w:val="20"/>
              </w:rPr>
              <w:t>9.77</w:t>
            </w:r>
          </w:p>
        </w:tc>
        <w:tc>
          <w:tcPr>
            <w:tcW w:w="764" w:type="dxa"/>
            <w:tcBorders>
              <w:top w:val="nil"/>
              <w:left w:val="nil"/>
              <w:bottom w:val="nil"/>
              <w:right w:val="nil"/>
            </w:tcBorders>
            <w:shd w:val="clear" w:color="auto" w:fill="auto"/>
            <w:noWrap/>
            <w:vAlign w:val="bottom"/>
            <w:hideMark/>
          </w:tcPr>
          <w:p w14:paraId="7161BC12" w14:textId="77777777" w:rsidR="00C54B95" w:rsidRDefault="00C54B95">
            <w:pPr>
              <w:jc w:val="center"/>
              <w:rPr>
                <w:rFonts w:ascii="Calibri" w:hAnsi="Calibri"/>
                <w:color w:val="000000"/>
                <w:sz w:val="20"/>
                <w:szCs w:val="20"/>
              </w:rPr>
            </w:pPr>
            <w:r>
              <w:rPr>
                <w:rFonts w:ascii="Calibri" w:hAnsi="Calibri"/>
                <w:color w:val="000000"/>
                <w:sz w:val="20"/>
                <w:szCs w:val="20"/>
              </w:rPr>
              <w:t>4.72</w:t>
            </w:r>
          </w:p>
        </w:tc>
        <w:tc>
          <w:tcPr>
            <w:tcW w:w="754" w:type="dxa"/>
            <w:tcBorders>
              <w:top w:val="nil"/>
              <w:left w:val="nil"/>
              <w:bottom w:val="nil"/>
              <w:right w:val="nil"/>
            </w:tcBorders>
            <w:shd w:val="clear" w:color="auto" w:fill="auto"/>
            <w:noWrap/>
            <w:vAlign w:val="bottom"/>
            <w:hideMark/>
          </w:tcPr>
          <w:p w14:paraId="4D78ECD5" w14:textId="77777777" w:rsidR="00C54B95" w:rsidRDefault="00C54B95">
            <w:pPr>
              <w:jc w:val="center"/>
              <w:rPr>
                <w:rFonts w:ascii="Calibri" w:hAnsi="Calibri"/>
                <w:color w:val="000000"/>
                <w:sz w:val="20"/>
                <w:szCs w:val="20"/>
              </w:rPr>
            </w:pPr>
            <w:r>
              <w:rPr>
                <w:rFonts w:ascii="Calibri" w:hAnsi="Calibri"/>
                <w:color w:val="000000"/>
                <w:sz w:val="20"/>
                <w:szCs w:val="20"/>
              </w:rPr>
              <w:t>20.00</w:t>
            </w:r>
          </w:p>
        </w:tc>
        <w:tc>
          <w:tcPr>
            <w:tcW w:w="932" w:type="dxa"/>
            <w:tcBorders>
              <w:top w:val="nil"/>
              <w:left w:val="nil"/>
              <w:bottom w:val="nil"/>
              <w:right w:val="nil"/>
            </w:tcBorders>
            <w:shd w:val="clear" w:color="auto" w:fill="auto"/>
            <w:noWrap/>
            <w:vAlign w:val="bottom"/>
            <w:hideMark/>
          </w:tcPr>
          <w:p w14:paraId="33228F9B" w14:textId="77777777" w:rsidR="00C54B95" w:rsidRDefault="00C54B95">
            <w:pPr>
              <w:jc w:val="center"/>
              <w:rPr>
                <w:rFonts w:ascii="Calibri" w:hAnsi="Calibri"/>
                <w:color w:val="000000"/>
                <w:sz w:val="20"/>
                <w:szCs w:val="20"/>
              </w:rPr>
            </w:pPr>
            <w:r>
              <w:rPr>
                <w:rFonts w:ascii="Calibri" w:hAnsi="Calibri"/>
                <w:color w:val="000000"/>
                <w:sz w:val="20"/>
                <w:szCs w:val="20"/>
              </w:rPr>
              <w:t>19.94</w:t>
            </w:r>
          </w:p>
        </w:tc>
        <w:tc>
          <w:tcPr>
            <w:tcW w:w="796" w:type="dxa"/>
            <w:tcBorders>
              <w:top w:val="nil"/>
              <w:left w:val="nil"/>
              <w:bottom w:val="nil"/>
              <w:right w:val="nil"/>
            </w:tcBorders>
            <w:shd w:val="clear" w:color="auto" w:fill="auto"/>
            <w:noWrap/>
            <w:vAlign w:val="bottom"/>
            <w:hideMark/>
          </w:tcPr>
          <w:p w14:paraId="4FEBFA2F" w14:textId="77777777" w:rsidR="00C54B95" w:rsidRDefault="00C54B95">
            <w:pPr>
              <w:jc w:val="center"/>
              <w:rPr>
                <w:rFonts w:ascii="Calibri" w:hAnsi="Calibri"/>
                <w:color w:val="000000"/>
                <w:sz w:val="20"/>
                <w:szCs w:val="20"/>
              </w:rPr>
            </w:pPr>
            <w:r>
              <w:rPr>
                <w:rFonts w:ascii="Calibri" w:hAnsi="Calibri"/>
                <w:color w:val="000000"/>
                <w:sz w:val="20"/>
                <w:szCs w:val="20"/>
              </w:rPr>
              <w:t>129</w:t>
            </w:r>
          </w:p>
        </w:tc>
      </w:tr>
      <w:tr w:rsidR="00C54B95" w14:paraId="3E3533FC" w14:textId="77777777" w:rsidTr="00516A21">
        <w:trPr>
          <w:trHeight w:val="359"/>
        </w:trPr>
        <w:tc>
          <w:tcPr>
            <w:tcW w:w="4632" w:type="dxa"/>
            <w:tcBorders>
              <w:top w:val="nil"/>
              <w:left w:val="nil"/>
              <w:bottom w:val="single" w:sz="4" w:space="0" w:color="auto"/>
              <w:right w:val="nil"/>
            </w:tcBorders>
            <w:shd w:val="clear" w:color="auto" w:fill="auto"/>
            <w:noWrap/>
            <w:vAlign w:val="bottom"/>
            <w:hideMark/>
          </w:tcPr>
          <w:p w14:paraId="6531A8A0" w14:textId="77777777" w:rsidR="00C54B95" w:rsidRDefault="00C54B95">
            <w:pPr>
              <w:rPr>
                <w:rFonts w:ascii="Calibri" w:hAnsi="Calibri"/>
                <w:color w:val="000000"/>
                <w:sz w:val="20"/>
                <w:szCs w:val="20"/>
              </w:rPr>
            </w:pPr>
            <w:r>
              <w:rPr>
                <w:rFonts w:ascii="Calibri" w:hAnsi="Calibri"/>
                <w:color w:val="000000"/>
                <w:sz w:val="20"/>
                <w:szCs w:val="20"/>
              </w:rPr>
              <w:t>Official exchange rate (LCU per US$, period average)</w:t>
            </w:r>
          </w:p>
        </w:tc>
        <w:tc>
          <w:tcPr>
            <w:tcW w:w="799" w:type="dxa"/>
            <w:tcBorders>
              <w:top w:val="nil"/>
              <w:left w:val="nil"/>
              <w:bottom w:val="single" w:sz="4" w:space="0" w:color="auto"/>
              <w:right w:val="nil"/>
            </w:tcBorders>
            <w:shd w:val="clear" w:color="auto" w:fill="auto"/>
            <w:noWrap/>
            <w:vAlign w:val="bottom"/>
            <w:hideMark/>
          </w:tcPr>
          <w:p w14:paraId="3D1EDC44" w14:textId="77777777" w:rsidR="00C54B95" w:rsidRDefault="00C54B95">
            <w:pPr>
              <w:jc w:val="center"/>
              <w:rPr>
                <w:rFonts w:ascii="Calibri" w:hAnsi="Calibri"/>
                <w:color w:val="000000"/>
                <w:sz w:val="20"/>
                <w:szCs w:val="20"/>
              </w:rPr>
            </w:pPr>
            <w:r>
              <w:rPr>
                <w:rFonts w:ascii="Calibri" w:hAnsi="Calibri"/>
                <w:color w:val="000000"/>
                <w:sz w:val="20"/>
                <w:szCs w:val="20"/>
              </w:rPr>
              <w:t>219.59</w:t>
            </w:r>
          </w:p>
        </w:tc>
        <w:tc>
          <w:tcPr>
            <w:tcW w:w="799" w:type="dxa"/>
            <w:tcBorders>
              <w:top w:val="nil"/>
              <w:left w:val="nil"/>
              <w:bottom w:val="single" w:sz="4" w:space="0" w:color="auto"/>
              <w:right w:val="nil"/>
            </w:tcBorders>
            <w:shd w:val="clear" w:color="auto" w:fill="auto"/>
            <w:noWrap/>
            <w:vAlign w:val="bottom"/>
            <w:hideMark/>
          </w:tcPr>
          <w:p w14:paraId="63F4E3E2" w14:textId="77777777" w:rsidR="00C54B95" w:rsidRDefault="00C54B95">
            <w:pPr>
              <w:jc w:val="center"/>
              <w:rPr>
                <w:rFonts w:ascii="Calibri" w:hAnsi="Calibri"/>
                <w:color w:val="000000"/>
                <w:sz w:val="20"/>
                <w:szCs w:val="20"/>
              </w:rPr>
            </w:pPr>
            <w:r>
              <w:rPr>
                <w:rFonts w:ascii="Calibri" w:hAnsi="Calibri"/>
                <w:color w:val="000000"/>
                <w:sz w:val="20"/>
                <w:szCs w:val="20"/>
              </w:rPr>
              <w:t>0.28</w:t>
            </w:r>
          </w:p>
        </w:tc>
        <w:tc>
          <w:tcPr>
            <w:tcW w:w="764" w:type="dxa"/>
            <w:tcBorders>
              <w:top w:val="nil"/>
              <w:left w:val="nil"/>
              <w:bottom w:val="single" w:sz="4" w:space="0" w:color="auto"/>
              <w:right w:val="nil"/>
            </w:tcBorders>
            <w:shd w:val="clear" w:color="auto" w:fill="auto"/>
            <w:noWrap/>
            <w:vAlign w:val="bottom"/>
            <w:hideMark/>
          </w:tcPr>
          <w:p w14:paraId="44D7445F" w14:textId="77777777" w:rsidR="00C54B95" w:rsidRDefault="00C54B95">
            <w:pPr>
              <w:jc w:val="center"/>
              <w:rPr>
                <w:rFonts w:ascii="Calibri" w:hAnsi="Calibri"/>
                <w:color w:val="000000"/>
                <w:sz w:val="20"/>
                <w:szCs w:val="20"/>
              </w:rPr>
            </w:pPr>
            <w:r>
              <w:rPr>
                <w:rFonts w:ascii="Calibri" w:hAnsi="Calibri"/>
                <w:color w:val="000000"/>
                <w:sz w:val="20"/>
                <w:szCs w:val="20"/>
              </w:rPr>
              <w:t>65.08</w:t>
            </w:r>
          </w:p>
        </w:tc>
        <w:tc>
          <w:tcPr>
            <w:tcW w:w="754" w:type="dxa"/>
            <w:tcBorders>
              <w:top w:val="nil"/>
              <w:left w:val="nil"/>
              <w:bottom w:val="single" w:sz="4" w:space="0" w:color="auto"/>
              <w:right w:val="nil"/>
            </w:tcBorders>
            <w:shd w:val="clear" w:color="auto" w:fill="auto"/>
            <w:noWrap/>
            <w:vAlign w:val="bottom"/>
            <w:hideMark/>
          </w:tcPr>
          <w:p w14:paraId="1166C03D" w14:textId="77777777" w:rsidR="00C54B95" w:rsidRDefault="00C54B95">
            <w:pPr>
              <w:jc w:val="center"/>
              <w:rPr>
                <w:rFonts w:ascii="Calibri" w:hAnsi="Calibri"/>
                <w:color w:val="000000"/>
                <w:sz w:val="20"/>
                <w:szCs w:val="20"/>
              </w:rPr>
            </w:pPr>
            <w:r>
              <w:rPr>
                <w:rFonts w:ascii="Calibri" w:hAnsi="Calibri"/>
                <w:color w:val="000000"/>
                <w:sz w:val="20"/>
                <w:szCs w:val="20"/>
              </w:rPr>
              <w:t>29.25</w:t>
            </w:r>
          </w:p>
        </w:tc>
        <w:tc>
          <w:tcPr>
            <w:tcW w:w="932" w:type="dxa"/>
            <w:tcBorders>
              <w:top w:val="nil"/>
              <w:left w:val="nil"/>
              <w:bottom w:val="single" w:sz="4" w:space="0" w:color="auto"/>
              <w:right w:val="nil"/>
            </w:tcBorders>
            <w:shd w:val="clear" w:color="auto" w:fill="auto"/>
            <w:noWrap/>
            <w:vAlign w:val="bottom"/>
            <w:hideMark/>
          </w:tcPr>
          <w:p w14:paraId="2DE9A1D4" w14:textId="77777777" w:rsidR="00C54B95" w:rsidRDefault="00C54B95">
            <w:pPr>
              <w:jc w:val="center"/>
              <w:rPr>
                <w:rFonts w:ascii="Calibri" w:hAnsi="Calibri"/>
                <w:color w:val="000000"/>
                <w:sz w:val="20"/>
                <w:szCs w:val="20"/>
              </w:rPr>
            </w:pPr>
            <w:r>
              <w:rPr>
                <w:rFonts w:ascii="Calibri" w:hAnsi="Calibri"/>
                <w:color w:val="000000"/>
                <w:sz w:val="20"/>
                <w:szCs w:val="20"/>
              </w:rPr>
              <w:t>1.30</w:t>
            </w:r>
          </w:p>
        </w:tc>
        <w:tc>
          <w:tcPr>
            <w:tcW w:w="796" w:type="dxa"/>
            <w:tcBorders>
              <w:top w:val="nil"/>
              <w:left w:val="nil"/>
              <w:bottom w:val="single" w:sz="4" w:space="0" w:color="auto"/>
              <w:right w:val="nil"/>
            </w:tcBorders>
            <w:shd w:val="clear" w:color="auto" w:fill="auto"/>
            <w:noWrap/>
            <w:vAlign w:val="bottom"/>
            <w:hideMark/>
          </w:tcPr>
          <w:p w14:paraId="76F2084C" w14:textId="77777777" w:rsidR="00C54B95" w:rsidRDefault="00C54B95">
            <w:pPr>
              <w:jc w:val="center"/>
              <w:rPr>
                <w:rFonts w:ascii="Calibri" w:hAnsi="Calibri"/>
                <w:color w:val="000000"/>
                <w:sz w:val="20"/>
                <w:szCs w:val="20"/>
              </w:rPr>
            </w:pPr>
            <w:r>
              <w:rPr>
                <w:rFonts w:ascii="Calibri" w:hAnsi="Calibri"/>
                <w:color w:val="000000"/>
                <w:sz w:val="20"/>
                <w:szCs w:val="20"/>
              </w:rPr>
              <w:t>120</w:t>
            </w:r>
          </w:p>
        </w:tc>
      </w:tr>
    </w:tbl>
    <w:p w14:paraId="291BE4F1" w14:textId="77777777" w:rsidR="006944B2" w:rsidRDefault="006944B2" w:rsidP="006944B2">
      <w:pPr>
        <w:rPr>
          <w:rFonts w:asciiTheme="minorHAnsi" w:hAnsiTheme="minorHAnsi"/>
          <w:i/>
          <w:sz w:val="20"/>
        </w:rPr>
      </w:pPr>
      <w:r w:rsidRPr="005741F7">
        <w:rPr>
          <w:rFonts w:asciiTheme="minorHAnsi" w:hAnsiTheme="minorHAnsi"/>
          <w:i/>
          <w:sz w:val="20"/>
        </w:rPr>
        <w:t>Source: The World Bank</w:t>
      </w:r>
    </w:p>
    <w:p w14:paraId="3B0DC97E" w14:textId="77777777" w:rsidR="006944B2" w:rsidRDefault="006944B2" w:rsidP="00516A21">
      <w:pPr>
        <w:pStyle w:val="Caption"/>
        <w:keepNext/>
        <w:rPr>
          <w:rFonts w:asciiTheme="minorHAnsi" w:hAnsiTheme="minorHAnsi"/>
          <w:sz w:val="20"/>
        </w:rPr>
      </w:pPr>
    </w:p>
    <w:p w14:paraId="2700C8C2" w14:textId="2DB3490E" w:rsidR="003C2333" w:rsidRDefault="006944B2" w:rsidP="00516A21">
      <w:pPr>
        <w:pStyle w:val="Caption"/>
        <w:keepNext/>
        <w:jc w:val="center"/>
        <w:rPr>
          <w:rFonts w:asciiTheme="minorHAnsi" w:hAnsiTheme="minorHAnsi"/>
          <w:b w:val="0"/>
          <w:i/>
          <w:sz w:val="20"/>
        </w:rPr>
      </w:pPr>
      <w:r w:rsidRPr="00215113">
        <w:rPr>
          <w:rFonts w:asciiTheme="minorHAnsi" w:hAnsiTheme="minorHAnsi"/>
          <w:sz w:val="20"/>
        </w:rPr>
        <w:t>TABLE 2</w:t>
      </w:r>
    </w:p>
    <w:tbl>
      <w:tblPr>
        <w:tblW w:w="9157" w:type="dxa"/>
        <w:jc w:val="center"/>
        <w:tblLook w:val="04A0" w:firstRow="1" w:lastRow="0" w:firstColumn="1" w:lastColumn="0" w:noHBand="0" w:noVBand="1"/>
      </w:tblPr>
      <w:tblGrid>
        <w:gridCol w:w="2373"/>
        <w:gridCol w:w="1063"/>
        <w:gridCol w:w="2037"/>
        <w:gridCol w:w="2035"/>
        <w:gridCol w:w="1649"/>
      </w:tblGrid>
      <w:tr w:rsidR="001851D1" w14:paraId="771928CE" w14:textId="77777777" w:rsidTr="00516A21">
        <w:trPr>
          <w:trHeight w:val="327"/>
          <w:jc w:val="center"/>
        </w:trPr>
        <w:tc>
          <w:tcPr>
            <w:tcW w:w="34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65CB47" w14:textId="77777777" w:rsidR="001851D1" w:rsidRDefault="001851D1">
            <w:pPr>
              <w:jc w:val="center"/>
              <w:rPr>
                <w:rFonts w:ascii="Calibri" w:hAnsi="Calibri"/>
                <w:b/>
                <w:bCs/>
                <w:color w:val="000000"/>
                <w:sz w:val="22"/>
                <w:szCs w:val="22"/>
              </w:rPr>
            </w:pPr>
            <w:r>
              <w:rPr>
                <w:rFonts w:ascii="Calibri" w:hAnsi="Calibri"/>
                <w:b/>
                <w:bCs/>
                <w:color w:val="000000"/>
                <w:sz w:val="22"/>
                <w:szCs w:val="22"/>
              </w:rPr>
              <w:t>Drop in the GDP Growth Rate in 2011</w:t>
            </w:r>
          </w:p>
        </w:tc>
        <w:tc>
          <w:tcPr>
            <w:tcW w:w="5721" w:type="dxa"/>
            <w:gridSpan w:val="3"/>
            <w:tcBorders>
              <w:top w:val="single" w:sz="4" w:space="0" w:color="auto"/>
              <w:left w:val="nil"/>
              <w:bottom w:val="single" w:sz="4" w:space="0" w:color="auto"/>
              <w:right w:val="single" w:sz="4" w:space="0" w:color="auto"/>
            </w:tcBorders>
            <w:shd w:val="clear" w:color="000000" w:fill="D9D9D9"/>
            <w:vAlign w:val="bottom"/>
            <w:hideMark/>
          </w:tcPr>
          <w:p w14:paraId="538699E0" w14:textId="77777777" w:rsidR="001851D1" w:rsidRDefault="001851D1" w:rsidP="001851D1">
            <w:pPr>
              <w:jc w:val="center"/>
              <w:rPr>
                <w:rFonts w:ascii="Calibri" w:hAnsi="Calibri"/>
                <w:b/>
                <w:bCs/>
                <w:color w:val="000000"/>
                <w:sz w:val="22"/>
                <w:szCs w:val="22"/>
              </w:rPr>
            </w:pPr>
            <w:r>
              <w:rPr>
                <w:rFonts w:ascii="Calibri" w:hAnsi="Calibri"/>
                <w:b/>
                <w:bCs/>
                <w:color w:val="000000"/>
                <w:sz w:val="22"/>
                <w:szCs w:val="22"/>
              </w:rPr>
              <w:t xml:space="preserve">Real GDP Growth Rate </w:t>
            </w:r>
          </w:p>
          <w:p w14:paraId="66341511" w14:textId="6DCA0289" w:rsidR="001851D1" w:rsidRDefault="001851D1" w:rsidP="001851D1">
            <w:pPr>
              <w:jc w:val="center"/>
              <w:rPr>
                <w:rFonts w:ascii="Calibri" w:hAnsi="Calibri"/>
                <w:b/>
                <w:bCs/>
                <w:color w:val="000000"/>
                <w:sz w:val="22"/>
                <w:szCs w:val="22"/>
              </w:rPr>
            </w:pPr>
            <w:r>
              <w:rPr>
                <w:rFonts w:ascii="Calibri" w:hAnsi="Calibri"/>
                <w:b/>
                <w:bCs/>
                <w:color w:val="000000"/>
                <w:sz w:val="22"/>
                <w:szCs w:val="22"/>
              </w:rPr>
              <w:t>Before &amp; After Uprisings (3 year average)</w:t>
            </w:r>
          </w:p>
        </w:tc>
      </w:tr>
      <w:tr w:rsidR="001851D1" w14:paraId="543E3489" w14:textId="77777777" w:rsidTr="00516A21">
        <w:trPr>
          <w:trHeight w:val="327"/>
          <w:jc w:val="center"/>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1B3F5BCD" w14:textId="77777777" w:rsidR="001851D1" w:rsidRDefault="001851D1">
            <w:pPr>
              <w:rPr>
                <w:rFonts w:ascii="Calibri" w:hAnsi="Calibri"/>
                <w:b/>
                <w:bCs/>
                <w:color w:val="000000"/>
                <w:sz w:val="22"/>
                <w:szCs w:val="22"/>
              </w:rPr>
            </w:pPr>
            <w:r>
              <w:rPr>
                <w:rFonts w:ascii="Calibri" w:hAnsi="Calibri"/>
                <w:b/>
                <w:bCs/>
                <w:color w:val="000000"/>
                <w:sz w:val="22"/>
                <w:szCs w:val="22"/>
              </w:rPr>
              <w:t>Country</w:t>
            </w:r>
          </w:p>
        </w:tc>
        <w:tc>
          <w:tcPr>
            <w:tcW w:w="1063" w:type="dxa"/>
            <w:tcBorders>
              <w:top w:val="nil"/>
              <w:left w:val="nil"/>
              <w:bottom w:val="single" w:sz="4" w:space="0" w:color="auto"/>
              <w:right w:val="single" w:sz="4" w:space="0" w:color="auto"/>
            </w:tcBorders>
            <w:shd w:val="clear" w:color="auto" w:fill="auto"/>
            <w:noWrap/>
            <w:vAlign w:val="bottom"/>
            <w:hideMark/>
          </w:tcPr>
          <w:p w14:paraId="68B18FC7" w14:textId="77777777" w:rsidR="001851D1" w:rsidRDefault="001851D1">
            <w:pPr>
              <w:jc w:val="center"/>
              <w:rPr>
                <w:rFonts w:ascii="Calibri" w:hAnsi="Calibri"/>
                <w:color w:val="000000"/>
                <w:sz w:val="22"/>
                <w:szCs w:val="22"/>
              </w:rPr>
            </w:pPr>
            <w:r>
              <w:rPr>
                <w:rFonts w:ascii="Calibri" w:hAnsi="Calibri"/>
                <w:color w:val="000000"/>
                <w:sz w:val="22"/>
                <w:szCs w:val="22"/>
              </w:rPr>
              <w:t>%</w:t>
            </w:r>
          </w:p>
        </w:tc>
        <w:tc>
          <w:tcPr>
            <w:tcW w:w="2037" w:type="dxa"/>
            <w:tcBorders>
              <w:top w:val="nil"/>
              <w:left w:val="nil"/>
              <w:bottom w:val="single" w:sz="4" w:space="0" w:color="auto"/>
              <w:right w:val="single" w:sz="4" w:space="0" w:color="auto"/>
            </w:tcBorders>
            <w:shd w:val="clear" w:color="000000" w:fill="D9D9D9"/>
            <w:noWrap/>
            <w:vAlign w:val="bottom"/>
            <w:hideMark/>
          </w:tcPr>
          <w:p w14:paraId="7EE5A9FE" w14:textId="77777777" w:rsidR="001851D1" w:rsidRDefault="001851D1">
            <w:pPr>
              <w:jc w:val="center"/>
              <w:rPr>
                <w:rFonts w:ascii="Calibri" w:hAnsi="Calibri"/>
                <w:color w:val="000000"/>
                <w:sz w:val="22"/>
                <w:szCs w:val="22"/>
              </w:rPr>
            </w:pPr>
            <w:r>
              <w:rPr>
                <w:rFonts w:ascii="Calibri" w:hAnsi="Calibri"/>
                <w:color w:val="000000"/>
                <w:sz w:val="22"/>
                <w:szCs w:val="22"/>
              </w:rPr>
              <w:t>2008-2010</w:t>
            </w:r>
          </w:p>
        </w:tc>
        <w:tc>
          <w:tcPr>
            <w:tcW w:w="2035" w:type="dxa"/>
            <w:tcBorders>
              <w:top w:val="nil"/>
              <w:left w:val="nil"/>
              <w:bottom w:val="single" w:sz="4" w:space="0" w:color="auto"/>
              <w:right w:val="single" w:sz="4" w:space="0" w:color="auto"/>
            </w:tcBorders>
            <w:shd w:val="clear" w:color="000000" w:fill="D9D9D9"/>
            <w:noWrap/>
            <w:vAlign w:val="bottom"/>
            <w:hideMark/>
          </w:tcPr>
          <w:p w14:paraId="4BB77A45" w14:textId="77777777" w:rsidR="001851D1" w:rsidRDefault="001851D1">
            <w:pPr>
              <w:jc w:val="center"/>
              <w:rPr>
                <w:rFonts w:ascii="Calibri" w:hAnsi="Calibri"/>
                <w:color w:val="000000"/>
                <w:sz w:val="22"/>
                <w:szCs w:val="22"/>
              </w:rPr>
            </w:pPr>
            <w:r>
              <w:rPr>
                <w:rFonts w:ascii="Calibri" w:hAnsi="Calibri"/>
                <w:color w:val="000000"/>
                <w:sz w:val="22"/>
                <w:szCs w:val="22"/>
              </w:rPr>
              <w:t>2011-2013</w:t>
            </w:r>
          </w:p>
        </w:tc>
        <w:tc>
          <w:tcPr>
            <w:tcW w:w="1648" w:type="dxa"/>
            <w:tcBorders>
              <w:top w:val="nil"/>
              <w:left w:val="nil"/>
              <w:bottom w:val="single" w:sz="4" w:space="0" w:color="auto"/>
              <w:right w:val="single" w:sz="4" w:space="0" w:color="auto"/>
            </w:tcBorders>
            <w:shd w:val="clear" w:color="auto" w:fill="auto"/>
            <w:noWrap/>
            <w:vAlign w:val="bottom"/>
            <w:hideMark/>
          </w:tcPr>
          <w:p w14:paraId="58DA92CA" w14:textId="77777777" w:rsidR="001851D1" w:rsidRDefault="001851D1">
            <w:pPr>
              <w:jc w:val="center"/>
              <w:rPr>
                <w:rFonts w:ascii="Calibri" w:hAnsi="Calibri"/>
                <w:color w:val="000000"/>
                <w:sz w:val="22"/>
                <w:szCs w:val="22"/>
              </w:rPr>
            </w:pPr>
            <w:r>
              <w:rPr>
                <w:rFonts w:ascii="Calibri" w:hAnsi="Calibri"/>
                <w:color w:val="000000"/>
                <w:sz w:val="22"/>
                <w:szCs w:val="22"/>
              </w:rPr>
              <w:t>Difference</w:t>
            </w:r>
          </w:p>
        </w:tc>
      </w:tr>
      <w:tr w:rsidR="001851D1" w14:paraId="573DB635" w14:textId="77777777" w:rsidTr="00516A21">
        <w:trPr>
          <w:trHeight w:val="327"/>
          <w:jc w:val="center"/>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71724DD9" w14:textId="77777777" w:rsidR="001851D1" w:rsidRDefault="001851D1">
            <w:pPr>
              <w:rPr>
                <w:rFonts w:ascii="Calibri" w:hAnsi="Calibri"/>
                <w:color w:val="000000"/>
                <w:sz w:val="22"/>
                <w:szCs w:val="22"/>
              </w:rPr>
            </w:pPr>
            <w:r>
              <w:rPr>
                <w:rFonts w:ascii="Calibri" w:hAnsi="Calibri"/>
                <w:color w:val="000000"/>
                <w:sz w:val="22"/>
                <w:szCs w:val="22"/>
              </w:rPr>
              <w:t>Bahrain</w:t>
            </w:r>
          </w:p>
        </w:tc>
        <w:tc>
          <w:tcPr>
            <w:tcW w:w="1063" w:type="dxa"/>
            <w:tcBorders>
              <w:top w:val="nil"/>
              <w:left w:val="nil"/>
              <w:bottom w:val="single" w:sz="4" w:space="0" w:color="auto"/>
              <w:right w:val="single" w:sz="4" w:space="0" w:color="auto"/>
            </w:tcBorders>
            <w:shd w:val="clear" w:color="auto" w:fill="auto"/>
            <w:noWrap/>
            <w:vAlign w:val="bottom"/>
            <w:hideMark/>
          </w:tcPr>
          <w:p w14:paraId="4921751E" w14:textId="77777777" w:rsidR="001851D1" w:rsidRDefault="001851D1">
            <w:pPr>
              <w:jc w:val="center"/>
              <w:rPr>
                <w:rFonts w:ascii="Calibri" w:hAnsi="Calibri"/>
                <w:color w:val="000000"/>
                <w:sz w:val="22"/>
                <w:szCs w:val="22"/>
              </w:rPr>
            </w:pPr>
            <w:r>
              <w:rPr>
                <w:rFonts w:ascii="Calibri" w:hAnsi="Calibri"/>
                <w:color w:val="000000"/>
                <w:sz w:val="22"/>
                <w:szCs w:val="22"/>
              </w:rPr>
              <w:t>-2.2</w:t>
            </w:r>
          </w:p>
        </w:tc>
        <w:tc>
          <w:tcPr>
            <w:tcW w:w="2037" w:type="dxa"/>
            <w:tcBorders>
              <w:top w:val="nil"/>
              <w:left w:val="nil"/>
              <w:bottom w:val="single" w:sz="4" w:space="0" w:color="auto"/>
              <w:right w:val="single" w:sz="4" w:space="0" w:color="auto"/>
            </w:tcBorders>
            <w:shd w:val="clear" w:color="000000" w:fill="D9D9D9"/>
            <w:noWrap/>
            <w:vAlign w:val="bottom"/>
            <w:hideMark/>
          </w:tcPr>
          <w:p w14:paraId="2396E055" w14:textId="77777777" w:rsidR="001851D1" w:rsidRDefault="001851D1">
            <w:pPr>
              <w:jc w:val="center"/>
              <w:rPr>
                <w:rFonts w:ascii="Calibri" w:hAnsi="Calibri"/>
                <w:color w:val="000000"/>
                <w:sz w:val="22"/>
                <w:szCs w:val="22"/>
              </w:rPr>
            </w:pPr>
            <w:r>
              <w:rPr>
                <w:rFonts w:ascii="Calibri" w:hAnsi="Calibri"/>
                <w:color w:val="000000"/>
                <w:sz w:val="22"/>
                <w:szCs w:val="22"/>
              </w:rPr>
              <w:t>4.4</w:t>
            </w:r>
          </w:p>
        </w:tc>
        <w:tc>
          <w:tcPr>
            <w:tcW w:w="2035" w:type="dxa"/>
            <w:tcBorders>
              <w:top w:val="nil"/>
              <w:left w:val="nil"/>
              <w:bottom w:val="single" w:sz="4" w:space="0" w:color="auto"/>
              <w:right w:val="single" w:sz="4" w:space="0" w:color="auto"/>
            </w:tcBorders>
            <w:shd w:val="clear" w:color="000000" w:fill="D9D9D9"/>
            <w:noWrap/>
            <w:vAlign w:val="bottom"/>
            <w:hideMark/>
          </w:tcPr>
          <w:p w14:paraId="6E28EDF3" w14:textId="77777777" w:rsidR="001851D1" w:rsidRDefault="001851D1">
            <w:pPr>
              <w:jc w:val="center"/>
              <w:rPr>
                <w:rFonts w:ascii="Calibri" w:hAnsi="Calibri"/>
                <w:color w:val="000000"/>
                <w:sz w:val="22"/>
                <w:szCs w:val="22"/>
              </w:rPr>
            </w:pPr>
            <w:r>
              <w:rPr>
                <w:rFonts w:ascii="Calibri" w:hAnsi="Calibri"/>
                <w:color w:val="000000"/>
                <w:sz w:val="22"/>
                <w:szCs w:val="22"/>
              </w:rPr>
              <w:t>3.7</w:t>
            </w:r>
          </w:p>
        </w:tc>
        <w:tc>
          <w:tcPr>
            <w:tcW w:w="1648" w:type="dxa"/>
            <w:tcBorders>
              <w:top w:val="nil"/>
              <w:left w:val="nil"/>
              <w:bottom w:val="single" w:sz="4" w:space="0" w:color="auto"/>
              <w:right w:val="single" w:sz="4" w:space="0" w:color="auto"/>
            </w:tcBorders>
            <w:shd w:val="clear" w:color="auto" w:fill="auto"/>
            <w:noWrap/>
            <w:vAlign w:val="bottom"/>
            <w:hideMark/>
          </w:tcPr>
          <w:p w14:paraId="333D71A6" w14:textId="77777777" w:rsidR="001851D1" w:rsidRDefault="001851D1">
            <w:pPr>
              <w:jc w:val="center"/>
              <w:rPr>
                <w:rFonts w:ascii="Calibri" w:hAnsi="Calibri"/>
                <w:color w:val="000000"/>
                <w:sz w:val="22"/>
                <w:szCs w:val="22"/>
              </w:rPr>
            </w:pPr>
            <w:r>
              <w:rPr>
                <w:rFonts w:ascii="Calibri" w:hAnsi="Calibri"/>
                <w:color w:val="000000"/>
                <w:sz w:val="22"/>
                <w:szCs w:val="22"/>
              </w:rPr>
              <w:t>-0.7</w:t>
            </w:r>
          </w:p>
        </w:tc>
      </w:tr>
      <w:tr w:rsidR="001851D1" w14:paraId="2FDD3828" w14:textId="77777777" w:rsidTr="00516A21">
        <w:trPr>
          <w:trHeight w:val="327"/>
          <w:jc w:val="center"/>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75840557" w14:textId="77777777" w:rsidR="001851D1" w:rsidRDefault="001851D1">
            <w:pPr>
              <w:rPr>
                <w:rFonts w:ascii="Calibri" w:hAnsi="Calibri"/>
                <w:color w:val="000000"/>
                <w:sz w:val="22"/>
                <w:szCs w:val="22"/>
              </w:rPr>
            </w:pPr>
            <w:r>
              <w:rPr>
                <w:rFonts w:ascii="Calibri" w:hAnsi="Calibri"/>
                <w:color w:val="000000"/>
                <w:sz w:val="22"/>
                <w:szCs w:val="22"/>
              </w:rPr>
              <w:t>Egypt</w:t>
            </w:r>
          </w:p>
        </w:tc>
        <w:tc>
          <w:tcPr>
            <w:tcW w:w="1063" w:type="dxa"/>
            <w:tcBorders>
              <w:top w:val="nil"/>
              <w:left w:val="nil"/>
              <w:bottom w:val="single" w:sz="4" w:space="0" w:color="auto"/>
              <w:right w:val="single" w:sz="4" w:space="0" w:color="auto"/>
            </w:tcBorders>
            <w:shd w:val="clear" w:color="auto" w:fill="auto"/>
            <w:noWrap/>
            <w:vAlign w:val="bottom"/>
            <w:hideMark/>
          </w:tcPr>
          <w:p w14:paraId="64CDBEA2" w14:textId="77777777" w:rsidR="001851D1" w:rsidRDefault="001851D1">
            <w:pPr>
              <w:jc w:val="center"/>
              <w:rPr>
                <w:rFonts w:ascii="Calibri" w:hAnsi="Calibri"/>
                <w:color w:val="000000"/>
                <w:sz w:val="22"/>
                <w:szCs w:val="22"/>
              </w:rPr>
            </w:pPr>
            <w:r>
              <w:rPr>
                <w:rFonts w:ascii="Calibri" w:hAnsi="Calibri"/>
                <w:color w:val="000000"/>
                <w:sz w:val="22"/>
                <w:szCs w:val="22"/>
              </w:rPr>
              <w:t>-3.4</w:t>
            </w:r>
          </w:p>
        </w:tc>
        <w:tc>
          <w:tcPr>
            <w:tcW w:w="2037" w:type="dxa"/>
            <w:tcBorders>
              <w:top w:val="nil"/>
              <w:left w:val="nil"/>
              <w:bottom w:val="single" w:sz="4" w:space="0" w:color="auto"/>
              <w:right w:val="single" w:sz="4" w:space="0" w:color="auto"/>
            </w:tcBorders>
            <w:shd w:val="clear" w:color="000000" w:fill="D9D9D9"/>
            <w:noWrap/>
            <w:vAlign w:val="bottom"/>
            <w:hideMark/>
          </w:tcPr>
          <w:p w14:paraId="44173993" w14:textId="77777777" w:rsidR="001851D1" w:rsidRDefault="001851D1">
            <w:pPr>
              <w:jc w:val="center"/>
              <w:rPr>
                <w:rFonts w:ascii="Calibri" w:hAnsi="Calibri"/>
                <w:color w:val="000000"/>
                <w:sz w:val="22"/>
                <w:szCs w:val="22"/>
              </w:rPr>
            </w:pPr>
            <w:r>
              <w:rPr>
                <w:rFonts w:ascii="Calibri" w:hAnsi="Calibri"/>
                <w:color w:val="000000"/>
                <w:sz w:val="22"/>
                <w:szCs w:val="22"/>
              </w:rPr>
              <w:t>5.7</w:t>
            </w:r>
          </w:p>
        </w:tc>
        <w:tc>
          <w:tcPr>
            <w:tcW w:w="2035" w:type="dxa"/>
            <w:tcBorders>
              <w:top w:val="nil"/>
              <w:left w:val="nil"/>
              <w:bottom w:val="single" w:sz="4" w:space="0" w:color="auto"/>
              <w:right w:val="single" w:sz="4" w:space="0" w:color="auto"/>
            </w:tcBorders>
            <w:shd w:val="clear" w:color="000000" w:fill="D9D9D9"/>
            <w:noWrap/>
            <w:vAlign w:val="bottom"/>
            <w:hideMark/>
          </w:tcPr>
          <w:p w14:paraId="4A088562" w14:textId="77777777" w:rsidR="001851D1" w:rsidRDefault="001851D1">
            <w:pPr>
              <w:jc w:val="center"/>
              <w:rPr>
                <w:rFonts w:ascii="Calibri" w:hAnsi="Calibri"/>
                <w:color w:val="000000"/>
                <w:sz w:val="22"/>
                <w:szCs w:val="22"/>
              </w:rPr>
            </w:pPr>
            <w:r>
              <w:rPr>
                <w:rFonts w:ascii="Calibri" w:hAnsi="Calibri"/>
                <w:color w:val="000000"/>
                <w:sz w:val="22"/>
                <w:szCs w:val="22"/>
              </w:rPr>
              <w:t>2.0</w:t>
            </w:r>
          </w:p>
        </w:tc>
        <w:tc>
          <w:tcPr>
            <w:tcW w:w="1648" w:type="dxa"/>
            <w:tcBorders>
              <w:top w:val="nil"/>
              <w:left w:val="nil"/>
              <w:bottom w:val="single" w:sz="4" w:space="0" w:color="auto"/>
              <w:right w:val="single" w:sz="4" w:space="0" w:color="auto"/>
            </w:tcBorders>
            <w:shd w:val="clear" w:color="auto" w:fill="auto"/>
            <w:noWrap/>
            <w:vAlign w:val="bottom"/>
            <w:hideMark/>
          </w:tcPr>
          <w:p w14:paraId="43F1D74B" w14:textId="77777777" w:rsidR="001851D1" w:rsidRDefault="001851D1">
            <w:pPr>
              <w:jc w:val="center"/>
              <w:rPr>
                <w:rFonts w:ascii="Calibri" w:hAnsi="Calibri"/>
                <w:color w:val="000000"/>
                <w:sz w:val="22"/>
                <w:szCs w:val="22"/>
              </w:rPr>
            </w:pPr>
            <w:r>
              <w:rPr>
                <w:rFonts w:ascii="Calibri" w:hAnsi="Calibri"/>
                <w:color w:val="000000"/>
                <w:sz w:val="22"/>
                <w:szCs w:val="22"/>
              </w:rPr>
              <w:t>-3.6</w:t>
            </w:r>
          </w:p>
        </w:tc>
      </w:tr>
      <w:tr w:rsidR="001851D1" w14:paraId="101D98E9" w14:textId="77777777" w:rsidTr="00516A21">
        <w:trPr>
          <w:trHeight w:val="327"/>
          <w:jc w:val="center"/>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54C01D30" w14:textId="77777777" w:rsidR="001851D1" w:rsidRDefault="001851D1">
            <w:pPr>
              <w:rPr>
                <w:rFonts w:ascii="Calibri" w:hAnsi="Calibri"/>
                <w:color w:val="000000"/>
                <w:sz w:val="22"/>
                <w:szCs w:val="22"/>
              </w:rPr>
            </w:pPr>
            <w:r>
              <w:rPr>
                <w:rFonts w:ascii="Calibri" w:hAnsi="Calibri"/>
                <w:color w:val="000000"/>
                <w:sz w:val="22"/>
                <w:szCs w:val="22"/>
              </w:rPr>
              <w:t>Libya</w:t>
            </w:r>
          </w:p>
        </w:tc>
        <w:tc>
          <w:tcPr>
            <w:tcW w:w="1063" w:type="dxa"/>
            <w:tcBorders>
              <w:top w:val="nil"/>
              <w:left w:val="nil"/>
              <w:bottom w:val="single" w:sz="4" w:space="0" w:color="auto"/>
              <w:right w:val="single" w:sz="4" w:space="0" w:color="auto"/>
            </w:tcBorders>
            <w:shd w:val="clear" w:color="auto" w:fill="auto"/>
            <w:noWrap/>
            <w:vAlign w:val="bottom"/>
            <w:hideMark/>
          </w:tcPr>
          <w:p w14:paraId="692C9F4A" w14:textId="77777777" w:rsidR="001851D1" w:rsidRDefault="001851D1">
            <w:pPr>
              <w:jc w:val="center"/>
              <w:rPr>
                <w:rFonts w:ascii="Calibri" w:hAnsi="Calibri"/>
                <w:color w:val="000000"/>
                <w:sz w:val="22"/>
                <w:szCs w:val="22"/>
              </w:rPr>
            </w:pPr>
            <w:r>
              <w:rPr>
                <w:rFonts w:ascii="Calibri" w:hAnsi="Calibri"/>
                <w:color w:val="000000"/>
                <w:sz w:val="22"/>
                <w:szCs w:val="22"/>
              </w:rPr>
              <w:t>-67.1</w:t>
            </w:r>
          </w:p>
        </w:tc>
        <w:tc>
          <w:tcPr>
            <w:tcW w:w="2037" w:type="dxa"/>
            <w:tcBorders>
              <w:top w:val="nil"/>
              <w:left w:val="nil"/>
              <w:bottom w:val="single" w:sz="4" w:space="0" w:color="auto"/>
              <w:right w:val="single" w:sz="4" w:space="0" w:color="auto"/>
            </w:tcBorders>
            <w:shd w:val="clear" w:color="000000" w:fill="D9D9D9"/>
            <w:noWrap/>
            <w:vAlign w:val="bottom"/>
            <w:hideMark/>
          </w:tcPr>
          <w:p w14:paraId="6FE7C674" w14:textId="77777777" w:rsidR="001851D1" w:rsidRDefault="001851D1">
            <w:pPr>
              <w:jc w:val="center"/>
              <w:rPr>
                <w:rFonts w:ascii="Calibri" w:hAnsi="Calibri"/>
                <w:color w:val="000000"/>
                <w:sz w:val="22"/>
                <w:szCs w:val="22"/>
              </w:rPr>
            </w:pPr>
            <w:r>
              <w:rPr>
                <w:rFonts w:ascii="Calibri" w:hAnsi="Calibri"/>
                <w:color w:val="000000"/>
                <w:sz w:val="22"/>
                <w:szCs w:val="22"/>
              </w:rPr>
              <w:t>3.6</w:t>
            </w:r>
          </w:p>
        </w:tc>
        <w:tc>
          <w:tcPr>
            <w:tcW w:w="2035" w:type="dxa"/>
            <w:tcBorders>
              <w:top w:val="nil"/>
              <w:left w:val="nil"/>
              <w:bottom w:val="single" w:sz="4" w:space="0" w:color="auto"/>
              <w:right w:val="single" w:sz="4" w:space="0" w:color="auto"/>
            </w:tcBorders>
            <w:shd w:val="clear" w:color="000000" w:fill="D9D9D9"/>
            <w:noWrap/>
            <w:vAlign w:val="bottom"/>
            <w:hideMark/>
          </w:tcPr>
          <w:p w14:paraId="29B5318D" w14:textId="77777777" w:rsidR="001851D1" w:rsidRDefault="001851D1">
            <w:pPr>
              <w:jc w:val="center"/>
              <w:rPr>
                <w:rFonts w:ascii="Calibri" w:hAnsi="Calibri"/>
                <w:color w:val="000000"/>
                <w:sz w:val="22"/>
                <w:szCs w:val="22"/>
              </w:rPr>
            </w:pPr>
            <w:r>
              <w:rPr>
                <w:rFonts w:ascii="Calibri" w:hAnsi="Calibri"/>
                <w:color w:val="000000"/>
                <w:sz w:val="22"/>
                <w:szCs w:val="22"/>
              </w:rPr>
              <w:t>11.0</w:t>
            </w:r>
          </w:p>
        </w:tc>
        <w:tc>
          <w:tcPr>
            <w:tcW w:w="1648" w:type="dxa"/>
            <w:tcBorders>
              <w:top w:val="nil"/>
              <w:left w:val="nil"/>
              <w:bottom w:val="single" w:sz="4" w:space="0" w:color="auto"/>
              <w:right w:val="single" w:sz="4" w:space="0" w:color="auto"/>
            </w:tcBorders>
            <w:shd w:val="clear" w:color="auto" w:fill="auto"/>
            <w:noWrap/>
            <w:vAlign w:val="bottom"/>
            <w:hideMark/>
          </w:tcPr>
          <w:p w14:paraId="273AA6CC" w14:textId="77777777" w:rsidR="001851D1" w:rsidRDefault="001851D1">
            <w:pPr>
              <w:jc w:val="center"/>
              <w:rPr>
                <w:rFonts w:ascii="Calibri" w:hAnsi="Calibri"/>
                <w:color w:val="000000"/>
                <w:sz w:val="22"/>
                <w:szCs w:val="22"/>
              </w:rPr>
            </w:pPr>
            <w:r>
              <w:rPr>
                <w:rFonts w:ascii="Calibri" w:hAnsi="Calibri"/>
                <w:color w:val="000000"/>
                <w:sz w:val="22"/>
                <w:szCs w:val="22"/>
              </w:rPr>
              <w:t>7.4</w:t>
            </w:r>
          </w:p>
        </w:tc>
      </w:tr>
      <w:tr w:rsidR="001851D1" w14:paraId="0C9606C1" w14:textId="77777777" w:rsidTr="00516A21">
        <w:trPr>
          <w:trHeight w:val="327"/>
          <w:jc w:val="center"/>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5A7FC9FB" w14:textId="77777777" w:rsidR="001851D1" w:rsidRDefault="001851D1">
            <w:pPr>
              <w:rPr>
                <w:rFonts w:ascii="Calibri" w:hAnsi="Calibri"/>
                <w:color w:val="000000"/>
                <w:sz w:val="22"/>
                <w:szCs w:val="22"/>
              </w:rPr>
            </w:pPr>
            <w:r>
              <w:rPr>
                <w:rFonts w:ascii="Calibri" w:hAnsi="Calibri"/>
                <w:color w:val="000000"/>
                <w:sz w:val="22"/>
                <w:szCs w:val="22"/>
              </w:rPr>
              <w:t>Tunisia</w:t>
            </w:r>
          </w:p>
        </w:tc>
        <w:tc>
          <w:tcPr>
            <w:tcW w:w="1063" w:type="dxa"/>
            <w:tcBorders>
              <w:top w:val="nil"/>
              <w:left w:val="nil"/>
              <w:bottom w:val="single" w:sz="4" w:space="0" w:color="auto"/>
              <w:right w:val="single" w:sz="4" w:space="0" w:color="auto"/>
            </w:tcBorders>
            <w:shd w:val="clear" w:color="auto" w:fill="auto"/>
            <w:noWrap/>
            <w:vAlign w:val="bottom"/>
            <w:hideMark/>
          </w:tcPr>
          <w:p w14:paraId="737489E2" w14:textId="77777777" w:rsidR="001851D1" w:rsidRDefault="001851D1">
            <w:pPr>
              <w:jc w:val="center"/>
              <w:rPr>
                <w:rFonts w:ascii="Calibri" w:hAnsi="Calibri"/>
                <w:color w:val="000000"/>
                <w:sz w:val="22"/>
                <w:szCs w:val="22"/>
              </w:rPr>
            </w:pPr>
            <w:r>
              <w:rPr>
                <w:rFonts w:ascii="Calibri" w:hAnsi="Calibri"/>
                <w:color w:val="000000"/>
                <w:sz w:val="22"/>
                <w:szCs w:val="22"/>
              </w:rPr>
              <w:t>-3.8</w:t>
            </w:r>
          </w:p>
        </w:tc>
        <w:tc>
          <w:tcPr>
            <w:tcW w:w="2037" w:type="dxa"/>
            <w:tcBorders>
              <w:top w:val="nil"/>
              <w:left w:val="nil"/>
              <w:bottom w:val="single" w:sz="4" w:space="0" w:color="auto"/>
              <w:right w:val="single" w:sz="4" w:space="0" w:color="auto"/>
            </w:tcBorders>
            <w:shd w:val="clear" w:color="000000" w:fill="D9D9D9"/>
            <w:noWrap/>
            <w:vAlign w:val="bottom"/>
            <w:hideMark/>
          </w:tcPr>
          <w:p w14:paraId="58DA8BED" w14:textId="77777777" w:rsidR="001851D1" w:rsidRDefault="001851D1">
            <w:pPr>
              <w:jc w:val="center"/>
              <w:rPr>
                <w:rFonts w:ascii="Calibri" w:hAnsi="Calibri"/>
                <w:color w:val="000000"/>
                <w:sz w:val="22"/>
                <w:szCs w:val="22"/>
              </w:rPr>
            </w:pPr>
            <w:r>
              <w:rPr>
                <w:rFonts w:ascii="Calibri" w:hAnsi="Calibri"/>
                <w:color w:val="000000"/>
                <w:sz w:val="22"/>
                <w:szCs w:val="22"/>
              </w:rPr>
              <w:t>4.0</w:t>
            </w:r>
          </w:p>
        </w:tc>
        <w:tc>
          <w:tcPr>
            <w:tcW w:w="2035" w:type="dxa"/>
            <w:tcBorders>
              <w:top w:val="nil"/>
              <w:left w:val="nil"/>
              <w:bottom w:val="single" w:sz="4" w:space="0" w:color="auto"/>
              <w:right w:val="single" w:sz="4" w:space="0" w:color="auto"/>
            </w:tcBorders>
            <w:shd w:val="clear" w:color="000000" w:fill="D9D9D9"/>
            <w:noWrap/>
            <w:vAlign w:val="bottom"/>
            <w:hideMark/>
          </w:tcPr>
          <w:p w14:paraId="5336E16E" w14:textId="77777777" w:rsidR="001851D1" w:rsidRDefault="001851D1">
            <w:pPr>
              <w:jc w:val="center"/>
              <w:rPr>
                <w:rFonts w:ascii="Calibri" w:hAnsi="Calibri"/>
                <w:color w:val="000000"/>
                <w:sz w:val="22"/>
                <w:szCs w:val="22"/>
              </w:rPr>
            </w:pPr>
            <w:r>
              <w:rPr>
                <w:rFonts w:ascii="Calibri" w:hAnsi="Calibri"/>
                <w:color w:val="000000"/>
                <w:sz w:val="22"/>
                <w:szCs w:val="22"/>
              </w:rPr>
              <w:t>2.2</w:t>
            </w:r>
          </w:p>
        </w:tc>
        <w:tc>
          <w:tcPr>
            <w:tcW w:w="1648" w:type="dxa"/>
            <w:tcBorders>
              <w:top w:val="nil"/>
              <w:left w:val="nil"/>
              <w:bottom w:val="single" w:sz="4" w:space="0" w:color="auto"/>
              <w:right w:val="single" w:sz="4" w:space="0" w:color="auto"/>
            </w:tcBorders>
            <w:shd w:val="clear" w:color="auto" w:fill="auto"/>
            <w:noWrap/>
            <w:vAlign w:val="bottom"/>
            <w:hideMark/>
          </w:tcPr>
          <w:p w14:paraId="7B732D19" w14:textId="77777777" w:rsidR="001851D1" w:rsidRDefault="001851D1">
            <w:pPr>
              <w:jc w:val="center"/>
              <w:rPr>
                <w:rFonts w:ascii="Calibri" w:hAnsi="Calibri"/>
                <w:color w:val="000000"/>
                <w:sz w:val="22"/>
                <w:szCs w:val="22"/>
              </w:rPr>
            </w:pPr>
            <w:r>
              <w:rPr>
                <w:rFonts w:ascii="Calibri" w:hAnsi="Calibri"/>
                <w:color w:val="000000"/>
                <w:sz w:val="22"/>
                <w:szCs w:val="22"/>
              </w:rPr>
              <w:t>-1.8</w:t>
            </w:r>
          </w:p>
        </w:tc>
      </w:tr>
      <w:tr w:rsidR="001851D1" w14:paraId="6B925623" w14:textId="77777777" w:rsidTr="00516A21">
        <w:trPr>
          <w:trHeight w:val="327"/>
          <w:jc w:val="center"/>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728DD887" w14:textId="77777777" w:rsidR="001851D1" w:rsidRDefault="001851D1">
            <w:pPr>
              <w:rPr>
                <w:rFonts w:ascii="Calibri" w:hAnsi="Calibri"/>
                <w:color w:val="000000"/>
                <w:sz w:val="22"/>
                <w:szCs w:val="22"/>
              </w:rPr>
            </w:pPr>
            <w:r>
              <w:rPr>
                <w:rFonts w:ascii="Calibri" w:hAnsi="Calibri"/>
                <w:color w:val="000000"/>
                <w:sz w:val="22"/>
                <w:szCs w:val="22"/>
              </w:rPr>
              <w:t>Yemen</w:t>
            </w:r>
          </w:p>
        </w:tc>
        <w:tc>
          <w:tcPr>
            <w:tcW w:w="1063" w:type="dxa"/>
            <w:tcBorders>
              <w:top w:val="nil"/>
              <w:left w:val="nil"/>
              <w:bottom w:val="single" w:sz="4" w:space="0" w:color="auto"/>
              <w:right w:val="single" w:sz="4" w:space="0" w:color="auto"/>
            </w:tcBorders>
            <w:shd w:val="clear" w:color="auto" w:fill="auto"/>
            <w:noWrap/>
            <w:vAlign w:val="bottom"/>
            <w:hideMark/>
          </w:tcPr>
          <w:p w14:paraId="46B898A5" w14:textId="77777777" w:rsidR="001851D1" w:rsidRDefault="001851D1">
            <w:pPr>
              <w:jc w:val="center"/>
              <w:rPr>
                <w:rFonts w:ascii="Calibri" w:hAnsi="Calibri"/>
                <w:color w:val="000000"/>
                <w:sz w:val="22"/>
                <w:szCs w:val="22"/>
              </w:rPr>
            </w:pPr>
            <w:r>
              <w:rPr>
                <w:rFonts w:ascii="Calibri" w:hAnsi="Calibri"/>
                <w:color w:val="000000"/>
                <w:sz w:val="22"/>
                <w:szCs w:val="22"/>
              </w:rPr>
              <w:t>-18.4</w:t>
            </w:r>
          </w:p>
        </w:tc>
        <w:tc>
          <w:tcPr>
            <w:tcW w:w="2037" w:type="dxa"/>
            <w:tcBorders>
              <w:top w:val="nil"/>
              <w:left w:val="nil"/>
              <w:bottom w:val="single" w:sz="4" w:space="0" w:color="auto"/>
              <w:right w:val="single" w:sz="4" w:space="0" w:color="auto"/>
            </w:tcBorders>
            <w:shd w:val="clear" w:color="000000" w:fill="D9D9D9"/>
            <w:noWrap/>
            <w:vAlign w:val="bottom"/>
            <w:hideMark/>
          </w:tcPr>
          <w:p w14:paraId="32C4D778" w14:textId="77777777" w:rsidR="001851D1" w:rsidRDefault="001851D1">
            <w:pPr>
              <w:jc w:val="center"/>
              <w:rPr>
                <w:rFonts w:ascii="Calibri" w:hAnsi="Calibri"/>
                <w:color w:val="000000"/>
                <w:sz w:val="22"/>
                <w:szCs w:val="22"/>
              </w:rPr>
            </w:pPr>
            <w:r>
              <w:rPr>
                <w:rFonts w:ascii="Calibri" w:hAnsi="Calibri"/>
                <w:color w:val="000000"/>
                <w:sz w:val="22"/>
                <w:szCs w:val="22"/>
              </w:rPr>
              <w:t>3.8</w:t>
            </w:r>
          </w:p>
        </w:tc>
        <w:tc>
          <w:tcPr>
            <w:tcW w:w="2035" w:type="dxa"/>
            <w:tcBorders>
              <w:top w:val="nil"/>
              <w:left w:val="nil"/>
              <w:bottom w:val="single" w:sz="4" w:space="0" w:color="auto"/>
              <w:right w:val="single" w:sz="4" w:space="0" w:color="auto"/>
            </w:tcBorders>
            <w:shd w:val="clear" w:color="000000" w:fill="D9D9D9"/>
            <w:noWrap/>
            <w:vAlign w:val="bottom"/>
            <w:hideMark/>
          </w:tcPr>
          <w:p w14:paraId="448AF527" w14:textId="77777777" w:rsidR="001851D1" w:rsidRDefault="001851D1">
            <w:pPr>
              <w:jc w:val="center"/>
              <w:rPr>
                <w:rFonts w:ascii="Calibri" w:hAnsi="Calibri"/>
                <w:color w:val="000000"/>
                <w:sz w:val="22"/>
                <w:szCs w:val="22"/>
              </w:rPr>
            </w:pPr>
            <w:r>
              <w:rPr>
                <w:rFonts w:ascii="Calibri" w:hAnsi="Calibri"/>
                <w:color w:val="000000"/>
                <w:sz w:val="22"/>
                <w:szCs w:val="22"/>
              </w:rPr>
              <w:t>-2.8</w:t>
            </w:r>
          </w:p>
        </w:tc>
        <w:tc>
          <w:tcPr>
            <w:tcW w:w="1648" w:type="dxa"/>
            <w:tcBorders>
              <w:top w:val="nil"/>
              <w:left w:val="nil"/>
              <w:bottom w:val="single" w:sz="4" w:space="0" w:color="auto"/>
              <w:right w:val="single" w:sz="4" w:space="0" w:color="auto"/>
            </w:tcBorders>
            <w:shd w:val="clear" w:color="auto" w:fill="auto"/>
            <w:noWrap/>
            <w:vAlign w:val="bottom"/>
            <w:hideMark/>
          </w:tcPr>
          <w:p w14:paraId="21EBBBDA" w14:textId="77777777" w:rsidR="001851D1" w:rsidRDefault="001851D1">
            <w:pPr>
              <w:jc w:val="center"/>
              <w:rPr>
                <w:rFonts w:ascii="Calibri" w:hAnsi="Calibri"/>
                <w:color w:val="000000"/>
                <w:sz w:val="22"/>
                <w:szCs w:val="22"/>
              </w:rPr>
            </w:pPr>
            <w:r>
              <w:rPr>
                <w:rFonts w:ascii="Calibri" w:hAnsi="Calibri"/>
                <w:color w:val="000000"/>
                <w:sz w:val="22"/>
                <w:szCs w:val="22"/>
              </w:rPr>
              <w:t>-6.6</w:t>
            </w:r>
          </w:p>
        </w:tc>
      </w:tr>
      <w:tr w:rsidR="001851D1" w14:paraId="515E06DD" w14:textId="77777777" w:rsidTr="00516A21">
        <w:trPr>
          <w:trHeight w:val="327"/>
          <w:jc w:val="center"/>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67FF628A" w14:textId="77777777" w:rsidR="001851D1" w:rsidRDefault="001851D1">
            <w:pPr>
              <w:rPr>
                <w:rFonts w:ascii="Calibri" w:hAnsi="Calibri"/>
                <w:color w:val="000000"/>
                <w:sz w:val="22"/>
                <w:szCs w:val="22"/>
              </w:rPr>
            </w:pPr>
            <w:r>
              <w:rPr>
                <w:rFonts w:ascii="Calibri" w:hAnsi="Calibri"/>
                <w:color w:val="000000"/>
                <w:sz w:val="22"/>
                <w:szCs w:val="22"/>
              </w:rPr>
              <w:t>All Arab Countries</w:t>
            </w:r>
          </w:p>
        </w:tc>
        <w:tc>
          <w:tcPr>
            <w:tcW w:w="1063" w:type="dxa"/>
            <w:tcBorders>
              <w:top w:val="nil"/>
              <w:left w:val="nil"/>
              <w:bottom w:val="single" w:sz="4" w:space="0" w:color="auto"/>
              <w:right w:val="single" w:sz="4" w:space="0" w:color="auto"/>
            </w:tcBorders>
            <w:shd w:val="clear" w:color="auto" w:fill="auto"/>
            <w:noWrap/>
            <w:vAlign w:val="bottom"/>
            <w:hideMark/>
          </w:tcPr>
          <w:p w14:paraId="4B7442A4" w14:textId="77777777" w:rsidR="001851D1" w:rsidRDefault="001851D1">
            <w:pPr>
              <w:jc w:val="center"/>
              <w:rPr>
                <w:rFonts w:ascii="Calibri" w:hAnsi="Calibri"/>
                <w:color w:val="000000"/>
                <w:sz w:val="22"/>
                <w:szCs w:val="22"/>
              </w:rPr>
            </w:pPr>
            <w:r>
              <w:rPr>
                <w:rFonts w:ascii="Calibri" w:hAnsi="Calibri"/>
                <w:color w:val="000000"/>
                <w:sz w:val="22"/>
                <w:szCs w:val="22"/>
              </w:rPr>
              <w:t>-2.2</w:t>
            </w:r>
          </w:p>
        </w:tc>
        <w:tc>
          <w:tcPr>
            <w:tcW w:w="2037" w:type="dxa"/>
            <w:tcBorders>
              <w:top w:val="nil"/>
              <w:left w:val="nil"/>
              <w:bottom w:val="single" w:sz="4" w:space="0" w:color="auto"/>
              <w:right w:val="single" w:sz="4" w:space="0" w:color="auto"/>
            </w:tcBorders>
            <w:shd w:val="clear" w:color="000000" w:fill="D9D9D9"/>
            <w:noWrap/>
            <w:vAlign w:val="bottom"/>
            <w:hideMark/>
          </w:tcPr>
          <w:p w14:paraId="462D66BE" w14:textId="77777777" w:rsidR="001851D1" w:rsidRDefault="001851D1">
            <w:pPr>
              <w:jc w:val="center"/>
              <w:rPr>
                <w:rFonts w:ascii="Calibri" w:hAnsi="Calibri"/>
                <w:color w:val="000000"/>
                <w:sz w:val="22"/>
                <w:szCs w:val="22"/>
              </w:rPr>
            </w:pPr>
            <w:r>
              <w:rPr>
                <w:rFonts w:ascii="Calibri" w:hAnsi="Calibri"/>
                <w:color w:val="000000"/>
                <w:sz w:val="22"/>
                <w:szCs w:val="22"/>
              </w:rPr>
              <w:t>4.4</w:t>
            </w:r>
          </w:p>
        </w:tc>
        <w:tc>
          <w:tcPr>
            <w:tcW w:w="2035" w:type="dxa"/>
            <w:tcBorders>
              <w:top w:val="nil"/>
              <w:left w:val="nil"/>
              <w:bottom w:val="single" w:sz="4" w:space="0" w:color="auto"/>
              <w:right w:val="single" w:sz="4" w:space="0" w:color="auto"/>
            </w:tcBorders>
            <w:shd w:val="clear" w:color="000000" w:fill="D9D9D9"/>
            <w:noWrap/>
            <w:vAlign w:val="bottom"/>
            <w:hideMark/>
          </w:tcPr>
          <w:p w14:paraId="56CB66B5" w14:textId="77777777" w:rsidR="001851D1" w:rsidRDefault="001851D1">
            <w:pPr>
              <w:jc w:val="center"/>
              <w:rPr>
                <w:rFonts w:ascii="Calibri" w:hAnsi="Calibri"/>
                <w:color w:val="000000"/>
                <w:sz w:val="22"/>
                <w:szCs w:val="22"/>
              </w:rPr>
            </w:pPr>
            <w:r>
              <w:rPr>
                <w:rFonts w:ascii="Calibri" w:hAnsi="Calibri"/>
                <w:color w:val="000000"/>
                <w:sz w:val="22"/>
                <w:szCs w:val="22"/>
              </w:rPr>
              <w:t>4.0</w:t>
            </w:r>
          </w:p>
        </w:tc>
        <w:tc>
          <w:tcPr>
            <w:tcW w:w="1648" w:type="dxa"/>
            <w:tcBorders>
              <w:top w:val="nil"/>
              <w:left w:val="nil"/>
              <w:bottom w:val="single" w:sz="4" w:space="0" w:color="auto"/>
              <w:right w:val="single" w:sz="4" w:space="0" w:color="auto"/>
            </w:tcBorders>
            <w:shd w:val="clear" w:color="auto" w:fill="auto"/>
            <w:noWrap/>
            <w:vAlign w:val="bottom"/>
            <w:hideMark/>
          </w:tcPr>
          <w:p w14:paraId="543005DE" w14:textId="77777777" w:rsidR="001851D1" w:rsidRDefault="001851D1">
            <w:pPr>
              <w:jc w:val="center"/>
              <w:rPr>
                <w:rFonts w:ascii="Calibri" w:hAnsi="Calibri"/>
                <w:color w:val="000000"/>
                <w:sz w:val="22"/>
                <w:szCs w:val="22"/>
              </w:rPr>
            </w:pPr>
            <w:r>
              <w:rPr>
                <w:rFonts w:ascii="Calibri" w:hAnsi="Calibri"/>
                <w:color w:val="000000"/>
                <w:sz w:val="22"/>
                <w:szCs w:val="22"/>
              </w:rPr>
              <w:t>-0.5</w:t>
            </w:r>
          </w:p>
        </w:tc>
      </w:tr>
    </w:tbl>
    <w:p w14:paraId="5AEBE04A" w14:textId="4F438601" w:rsidR="00A91DF6" w:rsidRPr="00516A21" w:rsidRDefault="000932F5" w:rsidP="00516A21">
      <w:pPr>
        <w:rPr>
          <w:rFonts w:asciiTheme="minorHAnsi" w:hAnsiTheme="minorHAnsi"/>
          <w:i/>
          <w:sz w:val="16"/>
        </w:rPr>
      </w:pPr>
      <w:r w:rsidRPr="00516A21">
        <w:rPr>
          <w:rFonts w:asciiTheme="minorHAnsi" w:hAnsiTheme="minorHAnsi"/>
          <w:i/>
          <w:sz w:val="16"/>
        </w:rPr>
        <w:t>Source: The World Bank</w:t>
      </w:r>
    </w:p>
    <w:p w14:paraId="3A6777C4" w14:textId="77777777" w:rsidR="001851D1" w:rsidRDefault="001851D1" w:rsidP="00516A21">
      <w:pPr>
        <w:pStyle w:val="Caption"/>
        <w:keepNext/>
        <w:jc w:val="center"/>
        <w:rPr>
          <w:rFonts w:asciiTheme="minorHAnsi" w:hAnsiTheme="minorHAnsi"/>
          <w:sz w:val="20"/>
        </w:rPr>
      </w:pPr>
    </w:p>
    <w:p w14:paraId="2B149F11" w14:textId="0EDBE68E" w:rsidR="00A91DF6" w:rsidRPr="00516A21" w:rsidRDefault="00A91DF6" w:rsidP="00516A21">
      <w:pPr>
        <w:pStyle w:val="Caption"/>
        <w:keepNext/>
        <w:jc w:val="center"/>
        <w:rPr>
          <w:rFonts w:asciiTheme="minorHAnsi" w:hAnsiTheme="minorHAnsi"/>
          <w:sz w:val="20"/>
        </w:rPr>
      </w:pPr>
      <w:r w:rsidRPr="00516A21">
        <w:rPr>
          <w:rFonts w:asciiTheme="minorHAnsi" w:hAnsiTheme="minorHAnsi"/>
          <w:sz w:val="20"/>
        </w:rPr>
        <w:t>TABLE 3</w:t>
      </w:r>
    </w:p>
    <w:tbl>
      <w:tblPr>
        <w:tblW w:w="6140" w:type="dxa"/>
        <w:jc w:val="center"/>
        <w:tblCellMar>
          <w:left w:w="0" w:type="dxa"/>
          <w:right w:w="0" w:type="dxa"/>
        </w:tblCellMar>
        <w:tblLook w:val="04A0" w:firstRow="1" w:lastRow="0" w:firstColumn="1" w:lastColumn="0" w:noHBand="0" w:noVBand="1"/>
      </w:tblPr>
      <w:tblGrid>
        <w:gridCol w:w="2200"/>
        <w:gridCol w:w="1325"/>
        <w:gridCol w:w="1325"/>
        <w:gridCol w:w="1290"/>
      </w:tblGrid>
      <w:tr w:rsidR="003C2333" w14:paraId="1C648753" w14:textId="77777777" w:rsidTr="00516A21">
        <w:trPr>
          <w:trHeight w:val="300"/>
          <w:jc w:val="center"/>
        </w:trPr>
        <w:tc>
          <w:tcPr>
            <w:tcW w:w="6140" w:type="dxa"/>
            <w:gridSpan w:val="4"/>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bottom"/>
            <w:hideMark/>
          </w:tcPr>
          <w:p w14:paraId="64228C12" w14:textId="77777777" w:rsidR="003C2333" w:rsidRPr="00516A21" w:rsidRDefault="003C2333">
            <w:pPr>
              <w:jc w:val="center"/>
              <w:rPr>
                <w:rFonts w:ascii="Calibri" w:hAnsi="Calibri"/>
                <w:b/>
                <w:color w:val="000000"/>
                <w:sz w:val="22"/>
                <w:szCs w:val="22"/>
              </w:rPr>
            </w:pPr>
            <w:r w:rsidRPr="00B1343E">
              <w:rPr>
                <w:rFonts w:ascii="Calibri" w:hAnsi="Calibri"/>
                <w:b/>
                <w:color w:val="000000"/>
                <w:sz w:val="22"/>
                <w:szCs w:val="22"/>
              </w:rPr>
              <w:t>Domestic credit to private sector by banks (% of GDP)</w:t>
            </w:r>
          </w:p>
        </w:tc>
      </w:tr>
      <w:tr w:rsidR="003C2333" w14:paraId="42E2A309" w14:textId="77777777" w:rsidTr="00516A2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A84D7F" w14:textId="77777777" w:rsidR="003C2333" w:rsidRDefault="003C2333">
            <w:pPr>
              <w:rPr>
                <w:rFonts w:ascii="Calibri" w:hAnsi="Calibri"/>
                <w:b/>
                <w:bCs/>
                <w:color w:val="000000"/>
                <w:sz w:val="22"/>
                <w:szCs w:val="22"/>
              </w:rPr>
            </w:pPr>
            <w:r>
              <w:rPr>
                <w:rFonts w:ascii="Calibri" w:hAnsi="Calibri"/>
                <w:b/>
                <w:bCs/>
                <w:color w:val="000000"/>
                <w:sz w:val="22"/>
                <w:szCs w:val="22"/>
              </w:rPr>
              <w:t>Country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B1F2E0" w14:textId="77777777" w:rsidR="003C2333" w:rsidRDefault="003C2333">
            <w:pPr>
              <w:jc w:val="center"/>
              <w:rPr>
                <w:rFonts w:ascii="Calibri" w:hAnsi="Calibri"/>
                <w:color w:val="000000"/>
                <w:sz w:val="22"/>
                <w:szCs w:val="22"/>
              </w:rPr>
            </w:pPr>
            <w:r>
              <w:rPr>
                <w:rFonts w:ascii="Calibri" w:hAnsi="Calibri"/>
                <w:color w:val="000000"/>
                <w:sz w:val="22"/>
                <w:szCs w:val="22"/>
              </w:rPr>
              <w:t>2008-2010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BF713D" w14:textId="77777777" w:rsidR="003C2333" w:rsidRDefault="003C2333">
            <w:pPr>
              <w:jc w:val="center"/>
              <w:rPr>
                <w:rFonts w:ascii="Calibri" w:hAnsi="Calibri"/>
                <w:color w:val="000000"/>
                <w:sz w:val="22"/>
                <w:szCs w:val="22"/>
              </w:rPr>
            </w:pPr>
            <w:r>
              <w:rPr>
                <w:rFonts w:ascii="Calibri" w:hAnsi="Calibri"/>
                <w:color w:val="000000"/>
                <w:sz w:val="22"/>
                <w:szCs w:val="22"/>
              </w:rPr>
              <w:t>2011-2013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68005C" w14:textId="77777777" w:rsidR="003C2333" w:rsidRDefault="003C2333">
            <w:pPr>
              <w:jc w:val="center"/>
              <w:rPr>
                <w:rFonts w:ascii="Calibri" w:hAnsi="Calibri"/>
                <w:color w:val="000000"/>
                <w:sz w:val="22"/>
                <w:szCs w:val="22"/>
              </w:rPr>
            </w:pPr>
            <w:r>
              <w:rPr>
                <w:rFonts w:ascii="Calibri" w:hAnsi="Calibri"/>
                <w:color w:val="000000"/>
                <w:sz w:val="22"/>
                <w:szCs w:val="22"/>
              </w:rPr>
              <w:t>Difference</w:t>
            </w:r>
          </w:p>
        </w:tc>
      </w:tr>
      <w:tr w:rsidR="003C2333" w14:paraId="5A6C652F" w14:textId="77777777" w:rsidTr="00516A2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957367" w14:textId="77777777" w:rsidR="003C2333" w:rsidRDefault="003C2333">
            <w:pPr>
              <w:rPr>
                <w:rFonts w:ascii="Calibri" w:hAnsi="Calibri"/>
                <w:color w:val="000000"/>
                <w:sz w:val="22"/>
                <w:szCs w:val="22"/>
              </w:rPr>
            </w:pPr>
            <w:r>
              <w:rPr>
                <w:rFonts w:ascii="Calibri" w:hAnsi="Calibri"/>
                <w:color w:val="000000"/>
                <w:sz w:val="22"/>
                <w:szCs w:val="22"/>
              </w:rPr>
              <w:t>Bahrain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78F5CE" w14:textId="77777777" w:rsidR="003C2333" w:rsidRDefault="003C2333">
            <w:pPr>
              <w:jc w:val="center"/>
              <w:rPr>
                <w:rFonts w:ascii="Calibri" w:hAnsi="Calibri"/>
                <w:color w:val="000000"/>
                <w:sz w:val="22"/>
                <w:szCs w:val="22"/>
              </w:rPr>
            </w:pPr>
            <w:r>
              <w:rPr>
                <w:rFonts w:ascii="Calibri" w:hAnsi="Calibri"/>
                <w:color w:val="000000"/>
                <w:sz w:val="22"/>
                <w:szCs w:val="22"/>
              </w:rPr>
              <w:t>67.8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7AD34D" w14:textId="77777777" w:rsidR="003C2333" w:rsidRDefault="003C2333">
            <w:pPr>
              <w:jc w:val="center"/>
              <w:rPr>
                <w:rFonts w:ascii="Calibri" w:hAnsi="Calibri"/>
                <w:color w:val="000000"/>
                <w:sz w:val="22"/>
                <w:szCs w:val="22"/>
              </w:rPr>
            </w:pPr>
            <w:r>
              <w:rPr>
                <w:rFonts w:ascii="Calibri" w:hAnsi="Calibri"/>
                <w:color w:val="000000"/>
                <w:sz w:val="22"/>
                <w:szCs w:val="22"/>
              </w:rPr>
              <w:t>69.3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09075E" w14:textId="77777777" w:rsidR="003C2333" w:rsidRDefault="003C2333">
            <w:pPr>
              <w:jc w:val="center"/>
              <w:rPr>
                <w:rFonts w:ascii="Calibri" w:hAnsi="Calibri"/>
                <w:color w:val="000000"/>
                <w:sz w:val="22"/>
                <w:szCs w:val="22"/>
              </w:rPr>
            </w:pPr>
            <w:r>
              <w:rPr>
                <w:rFonts w:ascii="Calibri" w:hAnsi="Calibri"/>
                <w:color w:val="000000"/>
                <w:sz w:val="22"/>
                <w:szCs w:val="22"/>
              </w:rPr>
              <w:t>+1.6</w:t>
            </w:r>
          </w:p>
        </w:tc>
      </w:tr>
      <w:tr w:rsidR="003C2333" w14:paraId="46D38F74" w14:textId="77777777" w:rsidTr="00516A2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729338" w14:textId="77777777" w:rsidR="003C2333" w:rsidRDefault="003C2333">
            <w:pPr>
              <w:rPr>
                <w:rFonts w:ascii="Calibri" w:hAnsi="Calibri"/>
                <w:color w:val="000000"/>
                <w:sz w:val="22"/>
                <w:szCs w:val="22"/>
              </w:rPr>
            </w:pPr>
            <w:r>
              <w:rPr>
                <w:rFonts w:ascii="Calibri" w:hAnsi="Calibri"/>
                <w:color w:val="000000"/>
                <w:sz w:val="22"/>
                <w:szCs w:val="22"/>
              </w:rPr>
              <w:t>Egypt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868856" w14:textId="77777777" w:rsidR="003C2333" w:rsidRDefault="003C2333">
            <w:pPr>
              <w:jc w:val="center"/>
              <w:rPr>
                <w:rFonts w:ascii="Calibri" w:hAnsi="Calibri"/>
                <w:color w:val="000000"/>
                <w:sz w:val="22"/>
                <w:szCs w:val="22"/>
              </w:rPr>
            </w:pPr>
            <w:r>
              <w:rPr>
                <w:rFonts w:ascii="Calibri" w:hAnsi="Calibri"/>
                <w:color w:val="000000"/>
                <w:sz w:val="22"/>
                <w:szCs w:val="22"/>
              </w:rPr>
              <w:t>37.3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291F89" w14:textId="77777777" w:rsidR="003C2333" w:rsidRDefault="003C2333">
            <w:pPr>
              <w:jc w:val="center"/>
              <w:rPr>
                <w:rFonts w:ascii="Calibri" w:hAnsi="Calibri"/>
                <w:color w:val="000000"/>
                <w:sz w:val="22"/>
                <w:szCs w:val="22"/>
              </w:rPr>
            </w:pPr>
            <w:r>
              <w:rPr>
                <w:rFonts w:ascii="Calibri" w:hAnsi="Calibri"/>
                <w:color w:val="000000"/>
                <w:sz w:val="22"/>
                <w:szCs w:val="22"/>
              </w:rPr>
              <w:t>29.4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ABB1DF" w14:textId="77777777" w:rsidR="003C2333" w:rsidRDefault="003C2333">
            <w:pPr>
              <w:jc w:val="center"/>
              <w:rPr>
                <w:rFonts w:ascii="Calibri" w:hAnsi="Calibri"/>
                <w:color w:val="000000"/>
                <w:sz w:val="22"/>
                <w:szCs w:val="22"/>
              </w:rPr>
            </w:pPr>
            <w:r>
              <w:rPr>
                <w:rFonts w:ascii="Calibri" w:hAnsi="Calibri"/>
                <w:color w:val="000000"/>
                <w:sz w:val="22"/>
                <w:szCs w:val="22"/>
              </w:rPr>
              <w:t>-8.0</w:t>
            </w:r>
          </w:p>
        </w:tc>
      </w:tr>
      <w:tr w:rsidR="003C2333" w14:paraId="3DB9B6D2" w14:textId="77777777" w:rsidTr="00516A2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332E02" w14:textId="77777777" w:rsidR="003C2333" w:rsidRDefault="003C2333">
            <w:pPr>
              <w:rPr>
                <w:rFonts w:ascii="Calibri" w:hAnsi="Calibri"/>
                <w:color w:val="000000"/>
                <w:sz w:val="22"/>
                <w:szCs w:val="22"/>
              </w:rPr>
            </w:pPr>
            <w:r>
              <w:rPr>
                <w:rFonts w:ascii="Calibri" w:hAnsi="Calibri"/>
                <w:color w:val="000000"/>
                <w:sz w:val="22"/>
                <w:szCs w:val="22"/>
              </w:rPr>
              <w:t>Libya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8C689" w14:textId="77777777" w:rsidR="003C2333" w:rsidRDefault="003C2333">
            <w:pPr>
              <w:jc w:val="center"/>
              <w:rPr>
                <w:rFonts w:ascii="Calibri" w:hAnsi="Calibri"/>
                <w:color w:val="000000"/>
                <w:sz w:val="22"/>
                <w:szCs w:val="22"/>
              </w:rPr>
            </w:pPr>
            <w:r>
              <w:rPr>
                <w:rFonts w:ascii="Calibri" w:hAnsi="Calibri"/>
                <w:color w:val="000000"/>
                <w:sz w:val="22"/>
                <w:szCs w:val="22"/>
              </w:rPr>
              <w:t>9.0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7655E60" w14:textId="77777777" w:rsidR="003C2333" w:rsidRDefault="003C2333">
            <w:pPr>
              <w:jc w:val="center"/>
              <w:rPr>
                <w:rFonts w:ascii="Calibri" w:hAnsi="Calibri"/>
                <w:color w:val="000000"/>
                <w:sz w:val="22"/>
                <w:szCs w:val="22"/>
              </w:rPr>
            </w:pPr>
            <w:r>
              <w:rPr>
                <w:rFonts w:ascii="Calibri" w:hAnsi="Calibri"/>
                <w:color w:val="000000"/>
                <w:sz w:val="22"/>
                <w:szCs w:val="22"/>
              </w:rPr>
              <w:t>14.6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E22BDE" w14:textId="77777777" w:rsidR="003C2333" w:rsidRDefault="003C2333">
            <w:pPr>
              <w:jc w:val="center"/>
              <w:rPr>
                <w:rFonts w:ascii="Calibri" w:hAnsi="Calibri"/>
                <w:color w:val="000000"/>
                <w:sz w:val="22"/>
                <w:szCs w:val="22"/>
              </w:rPr>
            </w:pPr>
            <w:r>
              <w:rPr>
                <w:rFonts w:ascii="Calibri" w:hAnsi="Calibri"/>
                <w:color w:val="000000"/>
                <w:sz w:val="22"/>
                <w:szCs w:val="22"/>
              </w:rPr>
              <w:t>+5.6</w:t>
            </w:r>
          </w:p>
        </w:tc>
      </w:tr>
      <w:tr w:rsidR="003C2333" w14:paraId="45E0EB0E" w14:textId="77777777" w:rsidTr="00516A2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A76198" w14:textId="77777777" w:rsidR="003C2333" w:rsidRDefault="003C2333">
            <w:pPr>
              <w:rPr>
                <w:rFonts w:ascii="Calibri" w:hAnsi="Calibri"/>
                <w:color w:val="000000"/>
                <w:sz w:val="22"/>
                <w:szCs w:val="22"/>
              </w:rPr>
            </w:pPr>
            <w:r>
              <w:rPr>
                <w:rFonts w:ascii="Calibri" w:hAnsi="Calibri"/>
                <w:color w:val="000000"/>
                <w:sz w:val="22"/>
                <w:szCs w:val="22"/>
              </w:rPr>
              <w:t>Tunisia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57CCBF" w14:textId="77777777" w:rsidR="003C2333" w:rsidRDefault="003C2333">
            <w:pPr>
              <w:jc w:val="center"/>
              <w:rPr>
                <w:rFonts w:ascii="Calibri" w:hAnsi="Calibri"/>
                <w:color w:val="000000"/>
                <w:sz w:val="22"/>
                <w:szCs w:val="22"/>
              </w:rPr>
            </w:pPr>
            <w:r>
              <w:rPr>
                <w:rFonts w:ascii="Calibri" w:hAnsi="Calibri"/>
                <w:color w:val="000000"/>
                <w:sz w:val="22"/>
                <w:szCs w:val="22"/>
              </w:rPr>
              <w:t>60.7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56B500" w14:textId="77777777" w:rsidR="003C2333" w:rsidRDefault="003C2333">
            <w:pPr>
              <w:jc w:val="center"/>
              <w:rPr>
                <w:rFonts w:ascii="Calibri" w:hAnsi="Calibri"/>
                <w:color w:val="000000"/>
                <w:sz w:val="22"/>
                <w:szCs w:val="22"/>
              </w:rPr>
            </w:pPr>
            <w:r>
              <w:rPr>
                <w:rFonts w:ascii="Calibri" w:hAnsi="Calibri"/>
                <w:color w:val="000000"/>
                <w:sz w:val="22"/>
                <w:szCs w:val="22"/>
              </w:rPr>
              <w:t>72.1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86A6CE9" w14:textId="77777777" w:rsidR="003C2333" w:rsidRDefault="003C2333">
            <w:pPr>
              <w:jc w:val="center"/>
              <w:rPr>
                <w:rFonts w:ascii="Calibri" w:hAnsi="Calibri"/>
                <w:color w:val="000000"/>
                <w:sz w:val="22"/>
                <w:szCs w:val="22"/>
              </w:rPr>
            </w:pPr>
            <w:r>
              <w:rPr>
                <w:rFonts w:ascii="Calibri" w:hAnsi="Calibri"/>
                <w:color w:val="000000"/>
                <w:sz w:val="22"/>
                <w:szCs w:val="22"/>
              </w:rPr>
              <w:t>+11.4</w:t>
            </w:r>
          </w:p>
        </w:tc>
      </w:tr>
      <w:tr w:rsidR="003C2333" w14:paraId="390DB890" w14:textId="77777777" w:rsidTr="00516A2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A64BB4" w14:textId="77777777" w:rsidR="003C2333" w:rsidRDefault="003C2333">
            <w:pPr>
              <w:rPr>
                <w:rFonts w:ascii="Calibri" w:hAnsi="Calibri"/>
                <w:color w:val="000000"/>
                <w:sz w:val="22"/>
                <w:szCs w:val="22"/>
              </w:rPr>
            </w:pPr>
            <w:r>
              <w:rPr>
                <w:rFonts w:ascii="Calibri" w:hAnsi="Calibri"/>
                <w:color w:val="000000"/>
                <w:sz w:val="22"/>
                <w:szCs w:val="22"/>
              </w:rPr>
              <w:t>Yemen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B32D80" w14:textId="77777777" w:rsidR="003C2333" w:rsidRDefault="003C2333">
            <w:pPr>
              <w:jc w:val="center"/>
              <w:rPr>
                <w:rFonts w:ascii="Calibri" w:hAnsi="Calibri"/>
                <w:color w:val="000000"/>
                <w:sz w:val="22"/>
                <w:szCs w:val="22"/>
              </w:rPr>
            </w:pPr>
            <w:r>
              <w:rPr>
                <w:rFonts w:ascii="Calibri" w:hAnsi="Calibri"/>
                <w:color w:val="000000"/>
                <w:sz w:val="22"/>
                <w:szCs w:val="22"/>
              </w:rPr>
              <w:t>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E58409" w14:textId="77777777" w:rsidR="003C2333" w:rsidRDefault="003C2333">
            <w:pPr>
              <w:jc w:val="center"/>
              <w:rPr>
                <w:rFonts w:ascii="Calibri" w:hAnsi="Calibri"/>
                <w:color w:val="000000"/>
                <w:sz w:val="22"/>
                <w:szCs w:val="22"/>
              </w:rPr>
            </w:pPr>
            <w:r>
              <w:rPr>
                <w:rFonts w:ascii="Calibri" w:hAnsi="Calibri"/>
                <w:color w:val="000000"/>
                <w:sz w:val="22"/>
                <w:szCs w:val="22"/>
              </w:rPr>
              <w:t>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06FC66" w14:textId="77777777" w:rsidR="003C2333" w:rsidRDefault="003C2333">
            <w:pPr>
              <w:jc w:val="center"/>
              <w:rPr>
                <w:rFonts w:ascii="Calibri" w:hAnsi="Calibri"/>
                <w:color w:val="000000"/>
                <w:sz w:val="22"/>
                <w:szCs w:val="22"/>
              </w:rPr>
            </w:pPr>
            <w:r>
              <w:rPr>
                <w:rFonts w:ascii="Calibri" w:hAnsi="Calibri"/>
                <w:color w:val="000000"/>
                <w:sz w:val="22"/>
                <w:szCs w:val="22"/>
              </w:rPr>
              <w:t>-1.0</w:t>
            </w:r>
          </w:p>
        </w:tc>
      </w:tr>
      <w:tr w:rsidR="003C2333" w14:paraId="2E87084C" w14:textId="77777777" w:rsidTr="00516A2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E6E3F2F" w14:textId="77777777" w:rsidR="003C2333" w:rsidRDefault="003C2333">
            <w:pPr>
              <w:rPr>
                <w:rFonts w:ascii="Calibri" w:hAnsi="Calibri"/>
                <w:color w:val="000000"/>
                <w:sz w:val="22"/>
                <w:szCs w:val="22"/>
              </w:rPr>
            </w:pPr>
            <w:r>
              <w:rPr>
                <w:rFonts w:ascii="Calibri" w:hAnsi="Calibri"/>
                <w:color w:val="000000"/>
                <w:sz w:val="22"/>
                <w:szCs w:val="22"/>
              </w:rPr>
              <w:t>All Arab Countries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7AC3DE" w14:textId="77777777" w:rsidR="003C2333" w:rsidRDefault="003C2333">
            <w:pPr>
              <w:jc w:val="center"/>
              <w:rPr>
                <w:rFonts w:ascii="Calibri" w:hAnsi="Calibri"/>
                <w:color w:val="000000"/>
                <w:sz w:val="22"/>
                <w:szCs w:val="22"/>
              </w:rPr>
            </w:pPr>
            <w:r>
              <w:rPr>
                <w:rFonts w:ascii="Calibri" w:hAnsi="Calibri"/>
                <w:color w:val="000000"/>
                <w:sz w:val="22"/>
                <w:szCs w:val="22"/>
              </w:rPr>
              <w:t>43.2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B8F4A9" w14:textId="77777777" w:rsidR="003C2333" w:rsidRDefault="003C2333">
            <w:pPr>
              <w:jc w:val="center"/>
              <w:rPr>
                <w:rFonts w:ascii="Calibri" w:hAnsi="Calibri"/>
                <w:color w:val="000000"/>
                <w:sz w:val="22"/>
                <w:szCs w:val="22"/>
              </w:rPr>
            </w:pPr>
            <w:r>
              <w:rPr>
                <w:rFonts w:ascii="Calibri" w:hAnsi="Calibri"/>
                <w:color w:val="000000"/>
                <w:sz w:val="22"/>
                <w:szCs w:val="22"/>
              </w:rPr>
              <w:t>38.2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8EEF81" w14:textId="77777777" w:rsidR="003C2333" w:rsidRDefault="003C2333">
            <w:pPr>
              <w:jc w:val="center"/>
              <w:rPr>
                <w:rFonts w:ascii="Calibri" w:hAnsi="Calibri"/>
                <w:color w:val="000000"/>
                <w:sz w:val="22"/>
                <w:szCs w:val="22"/>
              </w:rPr>
            </w:pPr>
            <w:r>
              <w:rPr>
                <w:rFonts w:ascii="Calibri" w:hAnsi="Calibri"/>
                <w:color w:val="000000"/>
                <w:sz w:val="22"/>
                <w:szCs w:val="22"/>
              </w:rPr>
              <w:t>-5.0</w:t>
            </w:r>
          </w:p>
        </w:tc>
      </w:tr>
    </w:tbl>
    <w:p w14:paraId="0951F04F" w14:textId="5E4E7FC6" w:rsidR="00C54B95" w:rsidRPr="00516A21" w:rsidRDefault="003C2333" w:rsidP="000C52CD">
      <w:pPr>
        <w:jc w:val="both"/>
        <w:rPr>
          <w:rFonts w:asciiTheme="minorHAnsi" w:hAnsiTheme="minorHAnsi"/>
          <w:i/>
          <w:sz w:val="16"/>
        </w:rPr>
      </w:pPr>
      <w:r w:rsidRPr="003C2333">
        <w:rPr>
          <w:rFonts w:asciiTheme="minorHAnsi" w:hAnsiTheme="minorHAnsi"/>
        </w:rPr>
        <w:t xml:space="preserve"> </w:t>
      </w:r>
      <w:r w:rsidR="000932F5">
        <w:rPr>
          <w:rFonts w:asciiTheme="minorHAnsi" w:hAnsiTheme="minorHAnsi"/>
        </w:rPr>
        <w:tab/>
      </w:r>
      <w:r w:rsidR="000932F5">
        <w:rPr>
          <w:rFonts w:asciiTheme="minorHAnsi" w:hAnsiTheme="minorHAnsi"/>
        </w:rPr>
        <w:tab/>
      </w:r>
      <w:r w:rsidR="000932F5" w:rsidRPr="00516A21">
        <w:rPr>
          <w:rFonts w:asciiTheme="minorHAnsi" w:hAnsiTheme="minorHAnsi"/>
          <w:i/>
          <w:sz w:val="16"/>
        </w:rPr>
        <w:t>Source: The World Bank</w:t>
      </w:r>
    </w:p>
    <w:p w14:paraId="7A187E53" w14:textId="4E2EDD39" w:rsidR="00C54B95" w:rsidRDefault="00C54B95" w:rsidP="000C52CD">
      <w:pPr>
        <w:jc w:val="both"/>
        <w:rPr>
          <w:rFonts w:asciiTheme="minorHAnsi" w:hAnsiTheme="minorHAnsi"/>
        </w:rPr>
      </w:pPr>
      <w:r>
        <w:rPr>
          <w:rFonts w:asciiTheme="minorHAnsi" w:hAnsiTheme="minorHAnsi"/>
        </w:rPr>
        <w:br w:type="page"/>
      </w:r>
    </w:p>
    <w:p w14:paraId="356D49CC" w14:textId="77777777" w:rsidR="00C54B95" w:rsidRDefault="00C54B95" w:rsidP="000C52CD">
      <w:pPr>
        <w:jc w:val="both"/>
        <w:rPr>
          <w:rFonts w:asciiTheme="minorHAnsi" w:hAnsiTheme="minorHAnsi"/>
        </w:rPr>
      </w:pPr>
    </w:p>
    <w:p w14:paraId="3CB4F3F2" w14:textId="73DE30E1" w:rsidR="00C54B95" w:rsidRDefault="007729F5" w:rsidP="000C52CD">
      <w:pPr>
        <w:jc w:val="both"/>
        <w:rPr>
          <w:rFonts w:asciiTheme="minorHAnsi" w:hAnsiTheme="minorHAnsi"/>
        </w:rPr>
      </w:pPr>
      <w:r>
        <w:rPr>
          <w:rFonts w:asciiTheme="minorHAnsi" w:hAnsiTheme="minorHAnsi"/>
          <w:noProof/>
        </w:rPr>
        <w:drawing>
          <wp:inline distT="0" distB="0" distL="0" distR="0" wp14:anchorId="277A8B92" wp14:editId="089A48AD">
            <wp:extent cx="5724939" cy="28837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833" cy="2884216"/>
                    </a:xfrm>
                    <a:prstGeom prst="rect">
                      <a:avLst/>
                    </a:prstGeom>
                    <a:noFill/>
                  </pic:spPr>
                </pic:pic>
              </a:graphicData>
            </a:graphic>
          </wp:inline>
        </w:drawing>
      </w:r>
    </w:p>
    <w:p w14:paraId="21E2CD6C" w14:textId="77777777" w:rsidR="007729F5" w:rsidRDefault="007729F5" w:rsidP="00516A21">
      <w:pPr>
        <w:jc w:val="center"/>
        <w:rPr>
          <w:rFonts w:asciiTheme="minorHAnsi" w:hAnsiTheme="minorHAnsi"/>
        </w:rPr>
      </w:pPr>
    </w:p>
    <w:p w14:paraId="5516AE4B" w14:textId="76E9B45D" w:rsidR="00C54B95" w:rsidRDefault="00C54B95" w:rsidP="00516A21">
      <w:pPr>
        <w:jc w:val="center"/>
        <w:rPr>
          <w:rFonts w:asciiTheme="minorHAnsi" w:hAnsiTheme="minorHAnsi"/>
        </w:rPr>
      </w:pPr>
      <w:r>
        <w:rPr>
          <w:rFonts w:asciiTheme="minorHAnsi" w:hAnsiTheme="minorHAnsi"/>
        </w:rPr>
        <w:t>Fig 1</w:t>
      </w:r>
    </w:p>
    <w:p w14:paraId="1C5C5B8F" w14:textId="77777777" w:rsidR="00C54B95" w:rsidRDefault="00C54B95" w:rsidP="000C52CD">
      <w:pPr>
        <w:jc w:val="both"/>
        <w:rPr>
          <w:rFonts w:asciiTheme="minorHAnsi" w:hAnsiTheme="minorHAnsi"/>
        </w:rPr>
      </w:pPr>
    </w:p>
    <w:p w14:paraId="337AF6D7" w14:textId="77777777" w:rsidR="0066544F" w:rsidRDefault="0066544F" w:rsidP="000C52CD">
      <w:pPr>
        <w:jc w:val="both"/>
        <w:rPr>
          <w:rFonts w:asciiTheme="minorHAnsi" w:hAnsiTheme="minorHAnsi"/>
        </w:rPr>
      </w:pPr>
    </w:p>
    <w:p w14:paraId="0CCA4B03" w14:textId="77777777" w:rsidR="007729F5" w:rsidRDefault="007729F5" w:rsidP="000C52CD">
      <w:pPr>
        <w:jc w:val="both"/>
        <w:rPr>
          <w:rFonts w:asciiTheme="minorHAnsi" w:hAnsiTheme="minorHAnsi"/>
        </w:rPr>
      </w:pPr>
    </w:p>
    <w:p w14:paraId="47AC748D" w14:textId="77777777" w:rsidR="007729F5" w:rsidRDefault="007729F5" w:rsidP="000C52CD">
      <w:pPr>
        <w:jc w:val="both"/>
        <w:rPr>
          <w:rFonts w:asciiTheme="minorHAnsi" w:hAnsiTheme="minorHAnsi"/>
        </w:rPr>
      </w:pPr>
    </w:p>
    <w:p w14:paraId="0D347AD3" w14:textId="3158A64D" w:rsidR="007729F5" w:rsidRDefault="007729F5" w:rsidP="000C52CD">
      <w:pPr>
        <w:jc w:val="both"/>
        <w:rPr>
          <w:rFonts w:asciiTheme="minorHAnsi" w:hAnsiTheme="minorHAnsi"/>
        </w:rPr>
      </w:pPr>
      <w:r w:rsidRPr="007729F5">
        <w:rPr>
          <w:noProof/>
        </w:rPr>
        <w:drawing>
          <wp:inline distT="0" distB="0" distL="0" distR="0" wp14:anchorId="30F0B3E9" wp14:editId="1B227559">
            <wp:extent cx="5724939" cy="28968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l="7067" t="8027" r="2338" b="7358"/>
                    <a:stretch/>
                  </pic:blipFill>
                  <pic:spPr bwMode="auto">
                    <a:xfrm>
                      <a:off x="0" y="0"/>
                      <a:ext cx="5726110" cy="289741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E6A3D9B" w14:textId="77777777" w:rsidR="007729F5" w:rsidRDefault="007729F5" w:rsidP="00516A21">
      <w:pPr>
        <w:jc w:val="center"/>
        <w:rPr>
          <w:rFonts w:asciiTheme="minorHAnsi" w:hAnsiTheme="minorHAnsi"/>
        </w:rPr>
      </w:pPr>
    </w:p>
    <w:p w14:paraId="3E38F232" w14:textId="787DB2EE" w:rsidR="00C54B95" w:rsidRDefault="00C54B95" w:rsidP="00516A21">
      <w:pPr>
        <w:jc w:val="center"/>
        <w:rPr>
          <w:rFonts w:asciiTheme="minorHAnsi" w:hAnsiTheme="minorHAnsi"/>
        </w:rPr>
      </w:pPr>
      <w:r>
        <w:rPr>
          <w:rFonts w:asciiTheme="minorHAnsi" w:hAnsiTheme="minorHAnsi"/>
        </w:rPr>
        <w:t>Fig 2</w:t>
      </w:r>
    </w:p>
    <w:p w14:paraId="22936E45" w14:textId="7B167B9D" w:rsidR="00FE36B9" w:rsidRDefault="007729F5" w:rsidP="004B2A49">
      <w:pPr>
        <w:jc w:val="both"/>
        <w:rPr>
          <w:rFonts w:asciiTheme="minorHAnsi" w:hAnsiTheme="minorHAnsi"/>
        </w:rPr>
      </w:pPr>
      <w:r>
        <w:rPr>
          <w:rFonts w:asciiTheme="minorHAnsi" w:hAnsiTheme="minorHAnsi"/>
        </w:rPr>
        <w:br w:type="page"/>
      </w:r>
    </w:p>
    <w:p w14:paraId="22A2C0A9" w14:textId="77777777" w:rsidR="000A7454" w:rsidRDefault="000A7454" w:rsidP="005803D7">
      <w:pPr>
        <w:jc w:val="both"/>
        <w:rPr>
          <w:rFonts w:asciiTheme="minorHAnsi" w:hAnsiTheme="minorHAnsi"/>
        </w:rPr>
      </w:pPr>
    </w:p>
    <w:p w14:paraId="5CA9A66B" w14:textId="796F8FFF" w:rsidR="000A7454" w:rsidRDefault="000A7454" w:rsidP="00516A21">
      <w:pPr>
        <w:ind w:left="720" w:hanging="720"/>
        <w:jc w:val="center"/>
        <w:rPr>
          <w:rFonts w:asciiTheme="minorHAnsi" w:hAnsiTheme="minorHAnsi"/>
        </w:rPr>
      </w:pPr>
      <w:r>
        <w:rPr>
          <w:rFonts w:asciiTheme="minorHAnsi" w:hAnsiTheme="minorHAnsi"/>
        </w:rPr>
        <w:t>Table</w:t>
      </w:r>
      <w:r w:rsidR="00C437EE">
        <w:rPr>
          <w:rFonts w:asciiTheme="minorHAnsi" w:hAnsiTheme="minorHAnsi"/>
        </w:rPr>
        <w:t xml:space="preserve"> 4</w:t>
      </w:r>
    </w:p>
    <w:p w14:paraId="58C5C7EB" w14:textId="79BD1E31" w:rsidR="000A7454" w:rsidRDefault="000A7454" w:rsidP="00516A21">
      <w:pPr>
        <w:ind w:left="720" w:hanging="720"/>
        <w:jc w:val="center"/>
        <w:rPr>
          <w:rFonts w:asciiTheme="minorHAnsi" w:hAnsiTheme="minorHAnsi"/>
        </w:rPr>
      </w:pPr>
    </w:p>
    <w:p w14:paraId="2D6F4067" w14:textId="77777777" w:rsidR="00C437EE" w:rsidRDefault="00C437EE" w:rsidP="00516A21">
      <w:pPr>
        <w:ind w:left="720" w:hanging="720"/>
        <w:jc w:val="center"/>
        <w:rPr>
          <w:rFonts w:asciiTheme="minorHAnsi" w:hAnsiTheme="minorHAnsi"/>
        </w:rPr>
      </w:pPr>
    </w:p>
    <w:p w14:paraId="64A42830" w14:textId="77777777" w:rsidR="00A523D9" w:rsidRDefault="000A7454" w:rsidP="00C437EE">
      <w:pPr>
        <w:jc w:val="center"/>
        <w:rPr>
          <w:rFonts w:asciiTheme="minorHAnsi" w:hAnsiTheme="minorHAnsi"/>
        </w:rPr>
      </w:pPr>
      <w:r>
        <w:rPr>
          <w:noProof/>
        </w:rPr>
        <w:drawing>
          <wp:inline distT="0" distB="0" distL="0" distR="0" wp14:anchorId="397296CC" wp14:editId="6DDE04EB">
            <wp:extent cx="5864087" cy="3636576"/>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391" t="36529" r="18116" b="10145"/>
                    <a:stretch/>
                  </pic:blipFill>
                  <pic:spPr bwMode="auto">
                    <a:xfrm>
                      <a:off x="0" y="0"/>
                      <a:ext cx="5864089" cy="363657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D860D42" w14:textId="21C95B67" w:rsidR="00A523D9" w:rsidRPr="00516A21" w:rsidRDefault="00A85D88" w:rsidP="00516A21">
      <w:pPr>
        <w:jc w:val="right"/>
        <w:rPr>
          <w:i/>
        </w:rPr>
      </w:pPr>
      <w:r>
        <w:rPr>
          <w:rFonts w:asciiTheme="minorHAnsi" w:hAnsiTheme="minorHAnsi"/>
          <w:i/>
          <w:sz w:val="16"/>
        </w:rPr>
        <w:t xml:space="preserve">Source:  </w:t>
      </w:r>
      <w:proofErr w:type="spellStart"/>
      <w:r w:rsidRPr="00A85D88">
        <w:rPr>
          <w:rFonts w:asciiTheme="minorHAnsi" w:hAnsiTheme="minorHAnsi"/>
          <w:i/>
          <w:sz w:val="16"/>
        </w:rPr>
        <w:t>Creane</w:t>
      </w:r>
      <w:proofErr w:type="spellEnd"/>
      <w:r w:rsidRPr="00A85D88">
        <w:rPr>
          <w:rFonts w:asciiTheme="minorHAnsi" w:hAnsiTheme="minorHAnsi"/>
          <w:i/>
          <w:sz w:val="16"/>
        </w:rPr>
        <w:t xml:space="preserve"> et al. (2004)</w:t>
      </w:r>
      <w:r>
        <w:rPr>
          <w:rFonts w:asciiTheme="minorHAnsi" w:hAnsiTheme="minorHAnsi"/>
          <w:i/>
          <w:sz w:val="16"/>
        </w:rPr>
        <w:t>.</w:t>
      </w:r>
      <w:r w:rsidRPr="00A85D88">
        <w:rPr>
          <w:rFonts w:asciiTheme="minorHAnsi" w:hAnsiTheme="minorHAnsi"/>
          <w:i/>
          <w:sz w:val="16"/>
        </w:rPr>
        <w:t xml:space="preserve"> </w:t>
      </w:r>
      <w:r w:rsidR="006B2DA2" w:rsidRPr="00516A21">
        <w:rPr>
          <w:rFonts w:asciiTheme="minorHAnsi" w:hAnsiTheme="minorHAnsi"/>
          <w:i/>
          <w:sz w:val="16"/>
        </w:rPr>
        <w:t xml:space="preserve">Republished by </w:t>
      </w:r>
      <w:r w:rsidR="006B2DA2">
        <w:rPr>
          <w:rFonts w:asciiTheme="minorHAnsi" w:hAnsiTheme="minorHAnsi"/>
          <w:i/>
          <w:sz w:val="16"/>
        </w:rPr>
        <w:t>p</w:t>
      </w:r>
      <w:r w:rsidR="006B2DA2" w:rsidRPr="00516A21">
        <w:rPr>
          <w:rFonts w:asciiTheme="minorHAnsi" w:hAnsiTheme="minorHAnsi"/>
          <w:i/>
          <w:sz w:val="16"/>
        </w:rPr>
        <w:t>ermission from the authors</w:t>
      </w:r>
      <w:r>
        <w:rPr>
          <w:rFonts w:asciiTheme="minorHAnsi" w:hAnsiTheme="minorHAnsi"/>
          <w:i/>
          <w:sz w:val="16"/>
        </w:rPr>
        <w:t>.</w:t>
      </w:r>
      <w:r w:rsidR="00A523D9" w:rsidRPr="00516A21">
        <w:rPr>
          <w:i/>
        </w:rPr>
        <w:br w:type="page"/>
      </w:r>
    </w:p>
    <w:p w14:paraId="0FD0EE00" w14:textId="77777777" w:rsidR="00A523D9" w:rsidRDefault="00A523D9" w:rsidP="00516A21"/>
    <w:tbl>
      <w:tblPr>
        <w:tblW w:w="8650" w:type="dxa"/>
        <w:tblInd w:w="93" w:type="dxa"/>
        <w:tblLook w:val="04A0" w:firstRow="1" w:lastRow="0" w:firstColumn="1" w:lastColumn="0" w:noHBand="0" w:noVBand="1"/>
      </w:tblPr>
      <w:tblGrid>
        <w:gridCol w:w="5002"/>
        <w:gridCol w:w="1032"/>
        <w:gridCol w:w="1367"/>
        <w:gridCol w:w="1249"/>
      </w:tblGrid>
      <w:tr w:rsidR="00B6165E" w:rsidRPr="00A97000" w14:paraId="625BCB9A" w14:textId="77777777" w:rsidTr="00B1343E">
        <w:trPr>
          <w:trHeight w:val="287"/>
        </w:trPr>
        <w:tc>
          <w:tcPr>
            <w:tcW w:w="8650" w:type="dxa"/>
            <w:gridSpan w:val="4"/>
            <w:tcBorders>
              <w:left w:val="nil"/>
              <w:bottom w:val="single" w:sz="4" w:space="0" w:color="auto"/>
              <w:right w:val="nil"/>
            </w:tcBorders>
            <w:shd w:val="clear" w:color="auto" w:fill="auto"/>
            <w:noWrap/>
            <w:vAlign w:val="bottom"/>
            <w:hideMark/>
          </w:tcPr>
          <w:p w14:paraId="5F127693" w14:textId="517E4331" w:rsidR="00A523D9" w:rsidRPr="00516A21" w:rsidRDefault="00A523D9">
            <w:pPr>
              <w:jc w:val="center"/>
              <w:rPr>
                <w:rFonts w:ascii="Calibri" w:hAnsi="Calibri"/>
                <w:b/>
                <w:color w:val="000000"/>
                <w:sz w:val="22"/>
                <w:szCs w:val="22"/>
              </w:rPr>
            </w:pPr>
            <w:r w:rsidRPr="00516A21">
              <w:rPr>
                <w:rFonts w:ascii="Calibri" w:hAnsi="Calibri"/>
                <w:b/>
                <w:color w:val="000000"/>
                <w:sz w:val="22"/>
                <w:szCs w:val="22"/>
              </w:rPr>
              <w:t>Table 5</w:t>
            </w:r>
          </w:p>
        </w:tc>
      </w:tr>
      <w:tr w:rsidR="007255EF" w14:paraId="0ABB8844" w14:textId="77777777" w:rsidTr="00B1343E">
        <w:trPr>
          <w:trHeight w:val="287"/>
        </w:trPr>
        <w:tc>
          <w:tcPr>
            <w:tcW w:w="8650" w:type="dxa"/>
            <w:gridSpan w:val="4"/>
            <w:tcBorders>
              <w:top w:val="single" w:sz="4" w:space="0" w:color="auto"/>
              <w:left w:val="nil"/>
              <w:bottom w:val="single" w:sz="4" w:space="0" w:color="auto"/>
              <w:right w:val="nil"/>
            </w:tcBorders>
            <w:shd w:val="clear" w:color="auto" w:fill="auto"/>
            <w:noWrap/>
            <w:vAlign w:val="bottom"/>
          </w:tcPr>
          <w:p w14:paraId="3AF19B79" w14:textId="77777777" w:rsidR="007255EF" w:rsidRDefault="007255EF" w:rsidP="00516A21">
            <w:pPr>
              <w:jc w:val="center"/>
              <w:rPr>
                <w:rFonts w:ascii="Calibri" w:hAnsi="Calibri"/>
                <w:color w:val="000000"/>
                <w:sz w:val="22"/>
                <w:szCs w:val="22"/>
              </w:rPr>
            </w:pPr>
            <w:r>
              <w:rPr>
                <w:rFonts w:ascii="Calibri" w:hAnsi="Calibri"/>
                <w:color w:val="000000"/>
                <w:sz w:val="22"/>
                <w:szCs w:val="22"/>
              </w:rPr>
              <w:t>Panel Data Analysis</w:t>
            </w:r>
          </w:p>
          <w:p w14:paraId="61E649AC" w14:textId="77777777" w:rsidR="007255EF" w:rsidRDefault="007255EF" w:rsidP="00516A21">
            <w:pPr>
              <w:jc w:val="center"/>
              <w:rPr>
                <w:rFonts w:ascii="Calibri" w:hAnsi="Calibri"/>
                <w:b/>
                <w:color w:val="000000"/>
                <w:sz w:val="22"/>
                <w:szCs w:val="22"/>
              </w:rPr>
            </w:pPr>
            <w:r>
              <w:rPr>
                <w:rFonts w:ascii="Calibri" w:hAnsi="Calibri"/>
                <w:color w:val="000000"/>
                <w:sz w:val="22"/>
                <w:szCs w:val="22"/>
              </w:rPr>
              <w:t xml:space="preserve">Dependent Variable: </w:t>
            </w:r>
            <w:r w:rsidRPr="000E549D">
              <w:rPr>
                <w:rFonts w:ascii="Calibri" w:hAnsi="Calibri"/>
                <w:b/>
                <w:color w:val="000000"/>
                <w:sz w:val="22"/>
                <w:szCs w:val="22"/>
              </w:rPr>
              <w:t>Annual Growth Rate in Real GDP (</w:t>
            </w:r>
            <w:proofErr w:type="spellStart"/>
            <w:r w:rsidRPr="000E549D">
              <w:rPr>
                <w:rFonts w:ascii="Calibri" w:hAnsi="Calibri"/>
                <w:b/>
                <w:color w:val="000000"/>
                <w:sz w:val="22"/>
                <w:szCs w:val="22"/>
              </w:rPr>
              <w:t>Y</w:t>
            </w:r>
            <w:r w:rsidRPr="000E549D">
              <w:rPr>
                <w:rFonts w:ascii="Calibri" w:hAnsi="Calibri"/>
                <w:b/>
                <w:color w:val="000000"/>
                <w:sz w:val="22"/>
                <w:szCs w:val="22"/>
                <w:vertAlign w:val="subscript"/>
              </w:rPr>
              <w:t>it</w:t>
            </w:r>
            <w:proofErr w:type="spellEnd"/>
            <w:r w:rsidRPr="000E549D">
              <w:rPr>
                <w:rFonts w:ascii="Calibri" w:hAnsi="Calibri"/>
                <w:b/>
                <w:color w:val="000000"/>
                <w:sz w:val="22"/>
                <w:szCs w:val="22"/>
              </w:rPr>
              <w:t>)</w:t>
            </w:r>
          </w:p>
          <w:p w14:paraId="7D38ABD0" w14:textId="447D7C93" w:rsidR="00B6165E" w:rsidRDefault="007255EF" w:rsidP="00516A21">
            <w:pPr>
              <w:jc w:val="center"/>
              <w:rPr>
                <w:rFonts w:ascii="Calibri" w:hAnsi="Calibri"/>
                <w:color w:val="000000"/>
                <w:sz w:val="22"/>
                <w:szCs w:val="22"/>
              </w:rPr>
            </w:pPr>
            <w:r w:rsidRPr="000E549D">
              <w:rPr>
                <w:rFonts w:ascii="Calibri" w:hAnsi="Calibri"/>
                <w:color w:val="000000"/>
                <w:sz w:val="22"/>
                <w:szCs w:val="22"/>
              </w:rPr>
              <w:t>5 countries: Bahrain, Egypt, Libya, Tunisia, and Yemen</w:t>
            </w:r>
            <w:r>
              <w:rPr>
                <w:rFonts w:ascii="Calibri" w:hAnsi="Calibri"/>
                <w:color w:val="000000"/>
                <w:sz w:val="22"/>
                <w:szCs w:val="22"/>
              </w:rPr>
              <w:t xml:space="preserve"> </w:t>
            </w:r>
          </w:p>
          <w:p w14:paraId="5E267BFA" w14:textId="02244526" w:rsidR="007255EF" w:rsidRDefault="007255EF" w:rsidP="00516A21">
            <w:pPr>
              <w:jc w:val="center"/>
              <w:rPr>
                <w:rFonts w:ascii="Calibri" w:hAnsi="Calibri"/>
                <w:color w:val="000000"/>
                <w:sz w:val="22"/>
                <w:szCs w:val="22"/>
              </w:rPr>
            </w:pPr>
            <w:r w:rsidRPr="000E549D">
              <w:rPr>
                <w:rFonts w:ascii="Calibri" w:hAnsi="Calibri"/>
                <w:color w:val="000000"/>
                <w:sz w:val="22"/>
                <w:szCs w:val="22"/>
              </w:rPr>
              <w:t>T = 1995</w:t>
            </w:r>
            <w:r>
              <w:rPr>
                <w:rFonts w:ascii="Calibri" w:hAnsi="Calibri"/>
                <w:color w:val="000000"/>
                <w:sz w:val="22"/>
                <w:szCs w:val="22"/>
              </w:rPr>
              <w:t xml:space="preserve"> </w:t>
            </w:r>
            <w:r w:rsidR="00B6165E">
              <w:rPr>
                <w:rFonts w:ascii="Calibri" w:hAnsi="Calibri"/>
                <w:color w:val="000000"/>
                <w:sz w:val="22"/>
                <w:szCs w:val="22"/>
              </w:rPr>
              <w:t>–</w:t>
            </w:r>
            <w:r>
              <w:rPr>
                <w:rFonts w:ascii="Calibri" w:hAnsi="Calibri"/>
                <w:color w:val="000000"/>
                <w:sz w:val="22"/>
                <w:szCs w:val="22"/>
              </w:rPr>
              <w:t xml:space="preserve"> </w:t>
            </w:r>
            <w:r w:rsidRPr="000E549D">
              <w:rPr>
                <w:rFonts w:ascii="Calibri" w:hAnsi="Calibri"/>
                <w:color w:val="000000"/>
                <w:sz w:val="22"/>
                <w:szCs w:val="22"/>
              </w:rPr>
              <w:t>2013</w:t>
            </w:r>
          </w:p>
          <w:p w14:paraId="7DF3BD8B" w14:textId="0CF1AEB0" w:rsidR="00B6165E" w:rsidRDefault="00B6165E" w:rsidP="00516A21">
            <w:pPr>
              <w:jc w:val="center"/>
              <w:rPr>
                <w:rFonts w:ascii="Calibri" w:hAnsi="Calibri"/>
                <w:color w:val="000000"/>
                <w:sz w:val="22"/>
                <w:szCs w:val="22"/>
              </w:rPr>
            </w:pPr>
          </w:p>
        </w:tc>
      </w:tr>
      <w:tr w:rsidR="007255EF" w14:paraId="738A1F1A" w14:textId="77777777" w:rsidTr="00B1343E">
        <w:trPr>
          <w:trHeight w:val="287"/>
        </w:trPr>
        <w:tc>
          <w:tcPr>
            <w:tcW w:w="5002" w:type="dxa"/>
            <w:tcBorders>
              <w:top w:val="single" w:sz="4" w:space="0" w:color="auto"/>
              <w:left w:val="nil"/>
              <w:bottom w:val="nil"/>
              <w:right w:val="nil"/>
            </w:tcBorders>
            <w:shd w:val="clear" w:color="auto" w:fill="auto"/>
            <w:noWrap/>
            <w:vAlign w:val="bottom"/>
          </w:tcPr>
          <w:p w14:paraId="03101D2B" w14:textId="2FD6BE9B" w:rsidR="007255EF" w:rsidRPr="001F0CF6" w:rsidRDefault="007255EF">
            <w:pPr>
              <w:rPr>
                <w:rFonts w:ascii="Calibri" w:hAnsi="Calibri"/>
                <w:b/>
                <w:color w:val="000000"/>
                <w:sz w:val="22"/>
                <w:szCs w:val="22"/>
              </w:rPr>
            </w:pPr>
          </w:p>
        </w:tc>
        <w:tc>
          <w:tcPr>
            <w:tcW w:w="1032" w:type="dxa"/>
            <w:tcBorders>
              <w:top w:val="single" w:sz="4" w:space="0" w:color="auto"/>
              <w:left w:val="nil"/>
              <w:bottom w:val="single" w:sz="4" w:space="0" w:color="auto"/>
              <w:right w:val="nil"/>
            </w:tcBorders>
            <w:shd w:val="clear" w:color="auto" w:fill="auto"/>
            <w:noWrap/>
            <w:vAlign w:val="bottom"/>
          </w:tcPr>
          <w:p w14:paraId="1C3BA110" w14:textId="5C5B1DF8" w:rsidR="007255EF" w:rsidRDefault="007255EF">
            <w:pPr>
              <w:rPr>
                <w:rFonts w:ascii="Calibri" w:hAnsi="Calibri"/>
                <w:color w:val="000000"/>
                <w:sz w:val="22"/>
                <w:szCs w:val="22"/>
              </w:rPr>
            </w:pPr>
            <w:proofErr w:type="spellStart"/>
            <w:r w:rsidRPr="000E549D">
              <w:rPr>
                <w:rFonts w:ascii="Calibri" w:hAnsi="Calibri"/>
                <w:b/>
                <w:color w:val="000000"/>
                <w:sz w:val="18"/>
                <w:szCs w:val="22"/>
              </w:rPr>
              <w:t>Coeff</w:t>
            </w:r>
            <w:proofErr w:type="spellEnd"/>
          </w:p>
        </w:tc>
        <w:tc>
          <w:tcPr>
            <w:tcW w:w="1367" w:type="dxa"/>
            <w:tcBorders>
              <w:top w:val="single" w:sz="4" w:space="0" w:color="auto"/>
              <w:left w:val="nil"/>
              <w:bottom w:val="single" w:sz="4" w:space="0" w:color="auto"/>
              <w:right w:val="nil"/>
            </w:tcBorders>
            <w:shd w:val="clear" w:color="auto" w:fill="auto"/>
            <w:noWrap/>
            <w:vAlign w:val="bottom"/>
          </w:tcPr>
          <w:p w14:paraId="4EA61D62" w14:textId="77777777" w:rsidR="007255EF" w:rsidRPr="000E549D" w:rsidRDefault="007255EF" w:rsidP="007255EF">
            <w:pPr>
              <w:rPr>
                <w:rFonts w:ascii="Calibri" w:hAnsi="Calibri"/>
                <w:b/>
                <w:color w:val="000000"/>
                <w:sz w:val="18"/>
                <w:szCs w:val="22"/>
              </w:rPr>
            </w:pPr>
            <w:r w:rsidRPr="000E549D">
              <w:rPr>
                <w:rFonts w:ascii="Calibri" w:hAnsi="Calibri"/>
                <w:b/>
                <w:color w:val="000000"/>
                <w:sz w:val="18"/>
                <w:szCs w:val="22"/>
              </w:rPr>
              <w:t xml:space="preserve">Robust </w:t>
            </w:r>
          </w:p>
          <w:p w14:paraId="369E9D43" w14:textId="55C2192F" w:rsidR="007255EF" w:rsidRDefault="007255EF" w:rsidP="007255EF">
            <w:pPr>
              <w:rPr>
                <w:rFonts w:ascii="Calibri" w:hAnsi="Calibri"/>
                <w:color w:val="000000"/>
                <w:sz w:val="22"/>
                <w:szCs w:val="22"/>
              </w:rPr>
            </w:pPr>
            <w:r w:rsidRPr="000E549D">
              <w:rPr>
                <w:rFonts w:ascii="Calibri" w:hAnsi="Calibri"/>
                <w:b/>
                <w:color w:val="000000"/>
                <w:sz w:val="18"/>
                <w:szCs w:val="22"/>
              </w:rPr>
              <w:t>t-ratio</w:t>
            </w:r>
          </w:p>
        </w:tc>
        <w:tc>
          <w:tcPr>
            <w:tcW w:w="1249" w:type="dxa"/>
            <w:tcBorders>
              <w:top w:val="single" w:sz="4" w:space="0" w:color="auto"/>
              <w:left w:val="nil"/>
              <w:bottom w:val="single" w:sz="4" w:space="0" w:color="auto"/>
              <w:right w:val="nil"/>
            </w:tcBorders>
            <w:shd w:val="clear" w:color="auto" w:fill="auto"/>
            <w:noWrap/>
            <w:vAlign w:val="bottom"/>
          </w:tcPr>
          <w:p w14:paraId="7E03D187" w14:textId="7B5097C0" w:rsidR="007255EF" w:rsidRDefault="007255EF">
            <w:pPr>
              <w:rPr>
                <w:rFonts w:ascii="Calibri" w:hAnsi="Calibri"/>
                <w:color w:val="000000"/>
                <w:sz w:val="22"/>
                <w:szCs w:val="22"/>
              </w:rPr>
            </w:pPr>
            <w:r w:rsidRPr="000E549D">
              <w:rPr>
                <w:rFonts w:ascii="Calibri" w:hAnsi="Calibri"/>
                <w:b/>
                <w:color w:val="000000"/>
                <w:sz w:val="18"/>
                <w:szCs w:val="22"/>
              </w:rPr>
              <w:t>Significance</w:t>
            </w:r>
          </w:p>
        </w:tc>
      </w:tr>
      <w:tr w:rsidR="00B6165E" w14:paraId="38A22D08" w14:textId="77777777" w:rsidTr="00B6165E">
        <w:trPr>
          <w:trHeight w:val="287"/>
        </w:trPr>
        <w:tc>
          <w:tcPr>
            <w:tcW w:w="5002" w:type="dxa"/>
            <w:tcBorders>
              <w:top w:val="nil"/>
              <w:left w:val="nil"/>
              <w:bottom w:val="nil"/>
              <w:right w:val="nil"/>
            </w:tcBorders>
            <w:shd w:val="clear" w:color="auto" w:fill="auto"/>
            <w:noWrap/>
            <w:vAlign w:val="bottom"/>
          </w:tcPr>
          <w:p w14:paraId="4B61780D" w14:textId="77777777" w:rsidR="00B6165E" w:rsidRPr="001F0CF6" w:rsidRDefault="00B6165E">
            <w:pPr>
              <w:rPr>
                <w:rFonts w:ascii="Calibri" w:hAnsi="Calibri"/>
                <w:b/>
                <w:color w:val="000000"/>
                <w:sz w:val="22"/>
                <w:szCs w:val="22"/>
              </w:rPr>
            </w:pPr>
          </w:p>
        </w:tc>
        <w:tc>
          <w:tcPr>
            <w:tcW w:w="1032" w:type="dxa"/>
            <w:tcBorders>
              <w:top w:val="nil"/>
              <w:left w:val="nil"/>
              <w:bottom w:val="nil"/>
              <w:right w:val="nil"/>
            </w:tcBorders>
            <w:shd w:val="clear" w:color="auto" w:fill="auto"/>
            <w:noWrap/>
            <w:vAlign w:val="bottom"/>
          </w:tcPr>
          <w:p w14:paraId="75476888" w14:textId="77777777" w:rsidR="00B6165E" w:rsidRDefault="00B6165E">
            <w:pPr>
              <w:rPr>
                <w:rFonts w:ascii="Calibri" w:hAnsi="Calibri"/>
                <w:color w:val="000000"/>
                <w:sz w:val="22"/>
                <w:szCs w:val="22"/>
              </w:rPr>
            </w:pPr>
          </w:p>
        </w:tc>
        <w:tc>
          <w:tcPr>
            <w:tcW w:w="1367" w:type="dxa"/>
            <w:tcBorders>
              <w:top w:val="nil"/>
              <w:left w:val="nil"/>
              <w:bottom w:val="nil"/>
              <w:right w:val="nil"/>
            </w:tcBorders>
            <w:shd w:val="clear" w:color="auto" w:fill="auto"/>
            <w:noWrap/>
            <w:vAlign w:val="bottom"/>
          </w:tcPr>
          <w:p w14:paraId="4F821321" w14:textId="77777777" w:rsidR="00B6165E" w:rsidRDefault="00B6165E">
            <w:pPr>
              <w:rPr>
                <w:rFonts w:ascii="Calibri" w:hAnsi="Calibri"/>
                <w:color w:val="000000"/>
                <w:sz w:val="22"/>
                <w:szCs w:val="22"/>
              </w:rPr>
            </w:pPr>
          </w:p>
        </w:tc>
        <w:tc>
          <w:tcPr>
            <w:tcW w:w="1249" w:type="dxa"/>
            <w:tcBorders>
              <w:top w:val="nil"/>
              <w:left w:val="nil"/>
              <w:bottom w:val="nil"/>
              <w:right w:val="nil"/>
            </w:tcBorders>
            <w:shd w:val="clear" w:color="auto" w:fill="auto"/>
            <w:noWrap/>
            <w:vAlign w:val="bottom"/>
          </w:tcPr>
          <w:p w14:paraId="4C24BE37" w14:textId="77777777" w:rsidR="00B6165E" w:rsidRDefault="00B6165E">
            <w:pPr>
              <w:rPr>
                <w:rFonts w:ascii="Calibri" w:hAnsi="Calibri"/>
                <w:color w:val="000000"/>
                <w:sz w:val="22"/>
                <w:szCs w:val="22"/>
              </w:rPr>
            </w:pPr>
          </w:p>
        </w:tc>
      </w:tr>
      <w:tr w:rsidR="002B5A1A" w14:paraId="30CAA8F8" w14:textId="77777777" w:rsidTr="00516A21">
        <w:trPr>
          <w:trHeight w:val="287"/>
        </w:trPr>
        <w:tc>
          <w:tcPr>
            <w:tcW w:w="5002" w:type="dxa"/>
            <w:tcBorders>
              <w:top w:val="nil"/>
              <w:left w:val="nil"/>
              <w:bottom w:val="nil"/>
              <w:right w:val="nil"/>
            </w:tcBorders>
            <w:shd w:val="clear" w:color="auto" w:fill="auto"/>
            <w:noWrap/>
            <w:vAlign w:val="bottom"/>
            <w:hideMark/>
          </w:tcPr>
          <w:p w14:paraId="769EC9DA" w14:textId="77777777" w:rsidR="007255EF" w:rsidRPr="00516A21" w:rsidRDefault="007255EF">
            <w:pPr>
              <w:rPr>
                <w:rFonts w:ascii="Calibri" w:hAnsi="Calibri"/>
                <w:b/>
                <w:color w:val="000000"/>
                <w:sz w:val="22"/>
                <w:szCs w:val="22"/>
              </w:rPr>
            </w:pPr>
            <w:r w:rsidRPr="00516A21">
              <w:rPr>
                <w:rFonts w:ascii="Calibri" w:hAnsi="Calibri"/>
                <w:b/>
                <w:color w:val="000000"/>
                <w:sz w:val="22"/>
                <w:szCs w:val="22"/>
              </w:rPr>
              <w:t>Model 1</w:t>
            </w:r>
          </w:p>
        </w:tc>
        <w:tc>
          <w:tcPr>
            <w:tcW w:w="1032" w:type="dxa"/>
            <w:tcBorders>
              <w:top w:val="nil"/>
              <w:left w:val="nil"/>
              <w:bottom w:val="nil"/>
              <w:right w:val="nil"/>
            </w:tcBorders>
            <w:shd w:val="clear" w:color="auto" w:fill="auto"/>
            <w:noWrap/>
            <w:vAlign w:val="bottom"/>
            <w:hideMark/>
          </w:tcPr>
          <w:p w14:paraId="44B2BA83" w14:textId="77777777" w:rsidR="007255EF" w:rsidRDefault="007255EF">
            <w:pPr>
              <w:rPr>
                <w:rFonts w:ascii="Calibri" w:hAnsi="Calibri"/>
                <w:color w:val="000000"/>
                <w:sz w:val="22"/>
                <w:szCs w:val="22"/>
              </w:rPr>
            </w:pPr>
          </w:p>
        </w:tc>
        <w:tc>
          <w:tcPr>
            <w:tcW w:w="1367" w:type="dxa"/>
            <w:tcBorders>
              <w:top w:val="nil"/>
              <w:left w:val="nil"/>
              <w:bottom w:val="nil"/>
              <w:right w:val="nil"/>
            </w:tcBorders>
            <w:shd w:val="clear" w:color="auto" w:fill="auto"/>
            <w:noWrap/>
            <w:vAlign w:val="bottom"/>
            <w:hideMark/>
          </w:tcPr>
          <w:p w14:paraId="17AA1945" w14:textId="77777777" w:rsidR="007255EF" w:rsidRDefault="007255EF">
            <w:pPr>
              <w:rPr>
                <w:rFonts w:ascii="Calibri" w:hAnsi="Calibri"/>
                <w:color w:val="000000"/>
                <w:sz w:val="22"/>
                <w:szCs w:val="22"/>
              </w:rPr>
            </w:pPr>
          </w:p>
        </w:tc>
        <w:tc>
          <w:tcPr>
            <w:tcW w:w="1249" w:type="dxa"/>
            <w:tcBorders>
              <w:top w:val="nil"/>
              <w:left w:val="nil"/>
              <w:bottom w:val="nil"/>
              <w:right w:val="nil"/>
            </w:tcBorders>
            <w:shd w:val="clear" w:color="auto" w:fill="auto"/>
            <w:noWrap/>
            <w:vAlign w:val="bottom"/>
            <w:hideMark/>
          </w:tcPr>
          <w:p w14:paraId="73983232" w14:textId="77777777" w:rsidR="007255EF" w:rsidRDefault="007255EF">
            <w:pPr>
              <w:rPr>
                <w:rFonts w:ascii="Calibri" w:hAnsi="Calibri"/>
                <w:color w:val="000000"/>
                <w:sz w:val="22"/>
                <w:szCs w:val="22"/>
              </w:rPr>
            </w:pPr>
          </w:p>
        </w:tc>
      </w:tr>
      <w:tr w:rsidR="002B5A1A" w14:paraId="7455CAA5" w14:textId="77777777" w:rsidTr="00516A21">
        <w:trPr>
          <w:trHeight w:val="287"/>
        </w:trPr>
        <w:tc>
          <w:tcPr>
            <w:tcW w:w="5002" w:type="dxa"/>
            <w:tcBorders>
              <w:top w:val="nil"/>
              <w:left w:val="nil"/>
              <w:bottom w:val="single" w:sz="4" w:space="0" w:color="auto"/>
              <w:right w:val="nil"/>
            </w:tcBorders>
            <w:shd w:val="clear" w:color="auto" w:fill="auto"/>
            <w:noWrap/>
            <w:vAlign w:val="bottom"/>
            <w:hideMark/>
          </w:tcPr>
          <w:p w14:paraId="69C0EEDC" w14:textId="77777777" w:rsidR="007255EF" w:rsidRPr="00516A21" w:rsidRDefault="007255EF">
            <w:pPr>
              <w:rPr>
                <w:rFonts w:ascii="Calibri" w:hAnsi="Calibri"/>
                <w:i/>
                <w:color w:val="000000"/>
                <w:sz w:val="22"/>
                <w:szCs w:val="22"/>
              </w:rPr>
            </w:pPr>
            <w:r w:rsidRPr="00516A21">
              <w:rPr>
                <w:rFonts w:ascii="Calibri" w:hAnsi="Calibri"/>
                <w:i/>
                <w:color w:val="000000"/>
                <w:sz w:val="18"/>
                <w:szCs w:val="22"/>
              </w:rPr>
              <w:t xml:space="preserve">Fixed-effects, 95 </w:t>
            </w:r>
            <w:proofErr w:type="spellStart"/>
            <w:r w:rsidRPr="00516A21">
              <w:rPr>
                <w:rFonts w:ascii="Calibri" w:hAnsi="Calibri"/>
                <w:i/>
                <w:color w:val="000000"/>
                <w:sz w:val="18"/>
                <w:szCs w:val="22"/>
              </w:rPr>
              <w:t>obs</w:t>
            </w:r>
            <w:proofErr w:type="spellEnd"/>
            <w:r w:rsidRPr="00516A21">
              <w:rPr>
                <w:rFonts w:ascii="Calibri" w:hAnsi="Calibri"/>
                <w:i/>
                <w:color w:val="000000"/>
                <w:sz w:val="18"/>
                <w:szCs w:val="22"/>
              </w:rPr>
              <w:t>, R-square 17.4%</w:t>
            </w:r>
          </w:p>
        </w:tc>
        <w:tc>
          <w:tcPr>
            <w:tcW w:w="1032" w:type="dxa"/>
            <w:tcBorders>
              <w:top w:val="nil"/>
              <w:left w:val="nil"/>
              <w:bottom w:val="single" w:sz="4" w:space="0" w:color="auto"/>
              <w:right w:val="nil"/>
            </w:tcBorders>
            <w:shd w:val="clear" w:color="auto" w:fill="auto"/>
            <w:noWrap/>
            <w:vAlign w:val="bottom"/>
          </w:tcPr>
          <w:p w14:paraId="299853AD" w14:textId="379DD1D0" w:rsidR="007255EF" w:rsidRPr="00516A21" w:rsidRDefault="007255EF">
            <w:pPr>
              <w:rPr>
                <w:rFonts w:ascii="Calibri" w:hAnsi="Calibri"/>
                <w:b/>
                <w:color w:val="000000"/>
                <w:sz w:val="18"/>
                <w:szCs w:val="22"/>
              </w:rPr>
            </w:pPr>
          </w:p>
        </w:tc>
        <w:tc>
          <w:tcPr>
            <w:tcW w:w="1367" w:type="dxa"/>
            <w:tcBorders>
              <w:top w:val="nil"/>
              <w:left w:val="nil"/>
              <w:bottom w:val="single" w:sz="4" w:space="0" w:color="auto"/>
              <w:right w:val="nil"/>
            </w:tcBorders>
            <w:shd w:val="clear" w:color="auto" w:fill="auto"/>
            <w:noWrap/>
            <w:vAlign w:val="bottom"/>
          </w:tcPr>
          <w:p w14:paraId="53CEE0F3" w14:textId="350C657A" w:rsidR="007255EF" w:rsidRPr="00516A21" w:rsidRDefault="007255EF">
            <w:pPr>
              <w:rPr>
                <w:rFonts w:ascii="Calibri" w:hAnsi="Calibri"/>
                <w:b/>
                <w:color w:val="000000"/>
                <w:sz w:val="18"/>
                <w:szCs w:val="22"/>
              </w:rPr>
            </w:pPr>
          </w:p>
        </w:tc>
        <w:tc>
          <w:tcPr>
            <w:tcW w:w="1249" w:type="dxa"/>
            <w:tcBorders>
              <w:top w:val="nil"/>
              <w:left w:val="nil"/>
              <w:bottom w:val="single" w:sz="4" w:space="0" w:color="auto"/>
              <w:right w:val="nil"/>
            </w:tcBorders>
            <w:shd w:val="clear" w:color="auto" w:fill="auto"/>
            <w:noWrap/>
            <w:vAlign w:val="bottom"/>
          </w:tcPr>
          <w:p w14:paraId="4298A098" w14:textId="279A7F9A" w:rsidR="007255EF" w:rsidRPr="00516A21" w:rsidRDefault="007255EF">
            <w:pPr>
              <w:rPr>
                <w:rFonts w:ascii="Calibri" w:hAnsi="Calibri"/>
                <w:b/>
                <w:color w:val="000000"/>
                <w:sz w:val="18"/>
                <w:szCs w:val="22"/>
              </w:rPr>
            </w:pPr>
          </w:p>
        </w:tc>
      </w:tr>
      <w:tr w:rsidR="00A97000" w:rsidRPr="00A97000" w14:paraId="44DA27EA" w14:textId="77777777" w:rsidTr="00516A21">
        <w:trPr>
          <w:trHeight w:val="287"/>
        </w:trPr>
        <w:tc>
          <w:tcPr>
            <w:tcW w:w="5002" w:type="dxa"/>
            <w:tcBorders>
              <w:top w:val="nil"/>
              <w:left w:val="nil"/>
              <w:bottom w:val="nil"/>
              <w:right w:val="nil"/>
            </w:tcBorders>
            <w:shd w:val="clear" w:color="auto" w:fill="auto"/>
            <w:noWrap/>
            <w:vAlign w:val="bottom"/>
            <w:hideMark/>
          </w:tcPr>
          <w:p w14:paraId="1A4C1D92" w14:textId="54F6CFC8" w:rsidR="007255EF" w:rsidRPr="00516A21" w:rsidRDefault="007255EF">
            <w:pPr>
              <w:rPr>
                <w:rFonts w:ascii="Calibri" w:hAnsi="Calibri"/>
                <w:color w:val="000000"/>
                <w:sz w:val="20"/>
                <w:szCs w:val="22"/>
              </w:rPr>
            </w:pPr>
            <w:proofErr w:type="spellStart"/>
            <w:r w:rsidRPr="00516A21">
              <w:rPr>
                <w:rFonts w:ascii="Calibri" w:hAnsi="Calibri"/>
                <w:color w:val="000000"/>
                <w:sz w:val="20"/>
                <w:szCs w:val="22"/>
              </w:rPr>
              <w:t>Const</w:t>
            </w:r>
            <w:proofErr w:type="spellEnd"/>
          </w:p>
        </w:tc>
        <w:tc>
          <w:tcPr>
            <w:tcW w:w="1032" w:type="dxa"/>
            <w:tcBorders>
              <w:top w:val="nil"/>
              <w:left w:val="nil"/>
              <w:bottom w:val="nil"/>
              <w:right w:val="nil"/>
            </w:tcBorders>
            <w:shd w:val="clear" w:color="auto" w:fill="auto"/>
            <w:noWrap/>
            <w:vAlign w:val="bottom"/>
            <w:hideMark/>
          </w:tcPr>
          <w:p w14:paraId="751726A7"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5.20</w:t>
            </w:r>
          </w:p>
        </w:tc>
        <w:tc>
          <w:tcPr>
            <w:tcW w:w="1367" w:type="dxa"/>
            <w:tcBorders>
              <w:top w:val="nil"/>
              <w:left w:val="nil"/>
              <w:bottom w:val="nil"/>
              <w:right w:val="nil"/>
            </w:tcBorders>
            <w:shd w:val="clear" w:color="auto" w:fill="auto"/>
            <w:noWrap/>
            <w:vAlign w:val="bottom"/>
            <w:hideMark/>
          </w:tcPr>
          <w:p w14:paraId="1432D2DA"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1.08</w:t>
            </w:r>
          </w:p>
        </w:tc>
        <w:tc>
          <w:tcPr>
            <w:tcW w:w="1249" w:type="dxa"/>
            <w:tcBorders>
              <w:top w:val="nil"/>
              <w:left w:val="nil"/>
              <w:bottom w:val="nil"/>
              <w:right w:val="nil"/>
            </w:tcBorders>
            <w:shd w:val="clear" w:color="auto" w:fill="auto"/>
            <w:noWrap/>
            <w:vAlign w:val="bottom"/>
            <w:hideMark/>
          </w:tcPr>
          <w:p w14:paraId="7CCFA42C" w14:textId="77777777" w:rsidR="007255EF" w:rsidRPr="00516A21" w:rsidRDefault="007255EF">
            <w:pPr>
              <w:jc w:val="center"/>
              <w:rPr>
                <w:rFonts w:ascii="Calibri" w:hAnsi="Calibri"/>
                <w:color w:val="000000"/>
                <w:sz w:val="20"/>
                <w:szCs w:val="22"/>
              </w:rPr>
            </w:pPr>
          </w:p>
        </w:tc>
      </w:tr>
      <w:tr w:rsidR="00A97000" w:rsidRPr="00A97000" w14:paraId="6FCD1EF1" w14:textId="77777777" w:rsidTr="00516A21">
        <w:trPr>
          <w:trHeight w:val="287"/>
        </w:trPr>
        <w:tc>
          <w:tcPr>
            <w:tcW w:w="5002" w:type="dxa"/>
            <w:tcBorders>
              <w:top w:val="nil"/>
              <w:left w:val="nil"/>
              <w:bottom w:val="nil"/>
              <w:right w:val="nil"/>
            </w:tcBorders>
            <w:shd w:val="clear" w:color="auto" w:fill="auto"/>
            <w:noWrap/>
            <w:vAlign w:val="bottom"/>
            <w:hideMark/>
          </w:tcPr>
          <w:p w14:paraId="003A267C"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CR (Log Domestic Credit by Banks % of GDP)</w:t>
            </w:r>
          </w:p>
        </w:tc>
        <w:tc>
          <w:tcPr>
            <w:tcW w:w="1032" w:type="dxa"/>
            <w:tcBorders>
              <w:top w:val="nil"/>
              <w:left w:val="nil"/>
              <w:bottom w:val="nil"/>
              <w:right w:val="nil"/>
            </w:tcBorders>
            <w:shd w:val="clear" w:color="auto" w:fill="auto"/>
            <w:noWrap/>
            <w:vAlign w:val="bottom"/>
            <w:hideMark/>
          </w:tcPr>
          <w:p w14:paraId="51E31ACB"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−0.4256</w:t>
            </w:r>
          </w:p>
        </w:tc>
        <w:tc>
          <w:tcPr>
            <w:tcW w:w="1367" w:type="dxa"/>
            <w:tcBorders>
              <w:top w:val="nil"/>
              <w:left w:val="nil"/>
              <w:bottom w:val="nil"/>
              <w:right w:val="nil"/>
            </w:tcBorders>
            <w:shd w:val="clear" w:color="auto" w:fill="auto"/>
            <w:noWrap/>
            <w:vAlign w:val="bottom"/>
            <w:hideMark/>
          </w:tcPr>
          <w:p w14:paraId="1087BCFC"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−0.3329</w:t>
            </w:r>
          </w:p>
        </w:tc>
        <w:tc>
          <w:tcPr>
            <w:tcW w:w="1249" w:type="dxa"/>
            <w:tcBorders>
              <w:top w:val="nil"/>
              <w:left w:val="nil"/>
              <w:bottom w:val="nil"/>
              <w:right w:val="nil"/>
            </w:tcBorders>
            <w:shd w:val="clear" w:color="auto" w:fill="auto"/>
            <w:noWrap/>
            <w:vAlign w:val="bottom"/>
            <w:hideMark/>
          </w:tcPr>
          <w:p w14:paraId="4269CC3D" w14:textId="77777777" w:rsidR="007255EF" w:rsidRPr="00516A21" w:rsidRDefault="007255EF">
            <w:pPr>
              <w:jc w:val="center"/>
              <w:rPr>
                <w:rFonts w:ascii="Calibri" w:hAnsi="Calibri"/>
                <w:color w:val="000000"/>
                <w:sz w:val="20"/>
                <w:szCs w:val="22"/>
              </w:rPr>
            </w:pPr>
          </w:p>
        </w:tc>
      </w:tr>
      <w:tr w:rsidR="00A97000" w:rsidRPr="00A97000" w14:paraId="53B246D4" w14:textId="77777777" w:rsidTr="00516A21">
        <w:trPr>
          <w:trHeight w:val="287"/>
        </w:trPr>
        <w:tc>
          <w:tcPr>
            <w:tcW w:w="5002" w:type="dxa"/>
            <w:tcBorders>
              <w:top w:val="nil"/>
              <w:left w:val="nil"/>
              <w:bottom w:val="nil"/>
              <w:right w:val="nil"/>
            </w:tcBorders>
            <w:shd w:val="clear" w:color="auto" w:fill="auto"/>
            <w:noWrap/>
            <w:vAlign w:val="bottom"/>
            <w:hideMark/>
          </w:tcPr>
          <w:p w14:paraId="2B28FB23"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National Debt (% of GDP)</w:t>
            </w:r>
          </w:p>
        </w:tc>
        <w:tc>
          <w:tcPr>
            <w:tcW w:w="1032" w:type="dxa"/>
            <w:tcBorders>
              <w:top w:val="nil"/>
              <w:left w:val="nil"/>
              <w:bottom w:val="nil"/>
              <w:right w:val="nil"/>
            </w:tcBorders>
            <w:shd w:val="clear" w:color="auto" w:fill="auto"/>
            <w:noWrap/>
            <w:vAlign w:val="bottom"/>
            <w:hideMark/>
          </w:tcPr>
          <w:p w14:paraId="5E3743A8"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−0.0597</w:t>
            </w:r>
          </w:p>
        </w:tc>
        <w:tc>
          <w:tcPr>
            <w:tcW w:w="1367" w:type="dxa"/>
            <w:tcBorders>
              <w:top w:val="nil"/>
              <w:left w:val="nil"/>
              <w:bottom w:val="nil"/>
              <w:right w:val="nil"/>
            </w:tcBorders>
            <w:shd w:val="clear" w:color="auto" w:fill="auto"/>
            <w:noWrap/>
            <w:vAlign w:val="bottom"/>
            <w:hideMark/>
          </w:tcPr>
          <w:p w14:paraId="092B6AFD"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−2.878</w:t>
            </w:r>
          </w:p>
        </w:tc>
        <w:tc>
          <w:tcPr>
            <w:tcW w:w="1249" w:type="dxa"/>
            <w:tcBorders>
              <w:top w:val="nil"/>
              <w:left w:val="nil"/>
              <w:bottom w:val="nil"/>
              <w:right w:val="nil"/>
            </w:tcBorders>
            <w:shd w:val="clear" w:color="auto" w:fill="auto"/>
            <w:noWrap/>
            <w:vAlign w:val="bottom"/>
            <w:hideMark/>
          </w:tcPr>
          <w:p w14:paraId="61B40F0D"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w:t>
            </w:r>
          </w:p>
        </w:tc>
      </w:tr>
      <w:tr w:rsidR="00A97000" w:rsidRPr="00A97000" w14:paraId="72ADE73D" w14:textId="77777777" w:rsidTr="00516A21">
        <w:trPr>
          <w:trHeight w:val="287"/>
        </w:trPr>
        <w:tc>
          <w:tcPr>
            <w:tcW w:w="5002" w:type="dxa"/>
            <w:tcBorders>
              <w:top w:val="nil"/>
              <w:left w:val="nil"/>
              <w:bottom w:val="nil"/>
              <w:right w:val="nil"/>
            </w:tcBorders>
            <w:shd w:val="clear" w:color="auto" w:fill="auto"/>
            <w:noWrap/>
            <w:vAlign w:val="bottom"/>
            <w:hideMark/>
          </w:tcPr>
          <w:p w14:paraId="79541C70"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Real Investment (% of GDP)</w:t>
            </w:r>
          </w:p>
        </w:tc>
        <w:tc>
          <w:tcPr>
            <w:tcW w:w="1032" w:type="dxa"/>
            <w:tcBorders>
              <w:top w:val="nil"/>
              <w:left w:val="nil"/>
              <w:bottom w:val="nil"/>
              <w:right w:val="nil"/>
            </w:tcBorders>
            <w:shd w:val="clear" w:color="auto" w:fill="auto"/>
            <w:noWrap/>
            <w:vAlign w:val="bottom"/>
            <w:hideMark/>
          </w:tcPr>
          <w:p w14:paraId="2AD3E455"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0.09</w:t>
            </w:r>
          </w:p>
        </w:tc>
        <w:tc>
          <w:tcPr>
            <w:tcW w:w="1367" w:type="dxa"/>
            <w:tcBorders>
              <w:top w:val="nil"/>
              <w:left w:val="nil"/>
              <w:bottom w:val="nil"/>
              <w:right w:val="nil"/>
            </w:tcBorders>
            <w:shd w:val="clear" w:color="auto" w:fill="auto"/>
            <w:noWrap/>
            <w:vAlign w:val="bottom"/>
            <w:hideMark/>
          </w:tcPr>
          <w:p w14:paraId="1DEB5D15"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0.97</w:t>
            </w:r>
          </w:p>
        </w:tc>
        <w:tc>
          <w:tcPr>
            <w:tcW w:w="1249" w:type="dxa"/>
            <w:tcBorders>
              <w:top w:val="nil"/>
              <w:left w:val="nil"/>
              <w:bottom w:val="nil"/>
              <w:right w:val="nil"/>
            </w:tcBorders>
            <w:shd w:val="clear" w:color="auto" w:fill="auto"/>
            <w:noWrap/>
            <w:vAlign w:val="bottom"/>
            <w:hideMark/>
          </w:tcPr>
          <w:p w14:paraId="695EBE0D" w14:textId="77777777" w:rsidR="007255EF" w:rsidRPr="00516A21" w:rsidRDefault="007255EF">
            <w:pPr>
              <w:jc w:val="center"/>
              <w:rPr>
                <w:rFonts w:ascii="Calibri" w:hAnsi="Calibri"/>
                <w:color w:val="000000"/>
                <w:sz w:val="20"/>
                <w:szCs w:val="22"/>
              </w:rPr>
            </w:pPr>
          </w:p>
        </w:tc>
      </w:tr>
      <w:tr w:rsidR="00A97000" w:rsidRPr="00A97000" w14:paraId="6B09DD7F" w14:textId="77777777" w:rsidTr="00516A21">
        <w:trPr>
          <w:trHeight w:val="287"/>
        </w:trPr>
        <w:tc>
          <w:tcPr>
            <w:tcW w:w="5002" w:type="dxa"/>
            <w:tcBorders>
              <w:top w:val="nil"/>
              <w:left w:val="nil"/>
              <w:bottom w:val="single" w:sz="4" w:space="0" w:color="auto"/>
              <w:right w:val="nil"/>
            </w:tcBorders>
            <w:shd w:val="clear" w:color="auto" w:fill="auto"/>
            <w:noWrap/>
            <w:vAlign w:val="bottom"/>
            <w:hideMark/>
          </w:tcPr>
          <w:p w14:paraId="148D0C4B"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Real Exchange Rate (local currency per US$)</w:t>
            </w:r>
          </w:p>
        </w:tc>
        <w:tc>
          <w:tcPr>
            <w:tcW w:w="1032" w:type="dxa"/>
            <w:tcBorders>
              <w:top w:val="nil"/>
              <w:left w:val="nil"/>
              <w:bottom w:val="single" w:sz="4" w:space="0" w:color="auto"/>
              <w:right w:val="nil"/>
            </w:tcBorders>
            <w:shd w:val="clear" w:color="auto" w:fill="auto"/>
            <w:noWrap/>
            <w:vAlign w:val="bottom"/>
            <w:hideMark/>
          </w:tcPr>
          <w:p w14:paraId="021D59C3"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−0.02715</w:t>
            </w:r>
          </w:p>
        </w:tc>
        <w:tc>
          <w:tcPr>
            <w:tcW w:w="1367" w:type="dxa"/>
            <w:tcBorders>
              <w:top w:val="nil"/>
              <w:left w:val="nil"/>
              <w:bottom w:val="single" w:sz="4" w:space="0" w:color="auto"/>
              <w:right w:val="nil"/>
            </w:tcBorders>
            <w:shd w:val="clear" w:color="auto" w:fill="auto"/>
            <w:noWrap/>
            <w:vAlign w:val="bottom"/>
            <w:hideMark/>
          </w:tcPr>
          <w:p w14:paraId="3B095060"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−3.362</w:t>
            </w:r>
          </w:p>
        </w:tc>
        <w:tc>
          <w:tcPr>
            <w:tcW w:w="1249" w:type="dxa"/>
            <w:tcBorders>
              <w:top w:val="nil"/>
              <w:left w:val="nil"/>
              <w:bottom w:val="single" w:sz="4" w:space="0" w:color="auto"/>
              <w:right w:val="nil"/>
            </w:tcBorders>
            <w:shd w:val="clear" w:color="auto" w:fill="auto"/>
            <w:noWrap/>
            <w:vAlign w:val="bottom"/>
            <w:hideMark/>
          </w:tcPr>
          <w:p w14:paraId="6F5D581A"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w:t>
            </w:r>
          </w:p>
        </w:tc>
      </w:tr>
      <w:tr w:rsidR="002B5A1A" w:rsidRPr="00A97000" w14:paraId="5A389CE6" w14:textId="77777777" w:rsidTr="00516A21">
        <w:trPr>
          <w:trHeight w:val="287"/>
        </w:trPr>
        <w:tc>
          <w:tcPr>
            <w:tcW w:w="5002" w:type="dxa"/>
            <w:tcBorders>
              <w:top w:val="nil"/>
              <w:left w:val="nil"/>
              <w:bottom w:val="nil"/>
              <w:right w:val="nil"/>
            </w:tcBorders>
            <w:shd w:val="clear" w:color="auto" w:fill="auto"/>
            <w:noWrap/>
            <w:vAlign w:val="bottom"/>
          </w:tcPr>
          <w:p w14:paraId="24960826" w14:textId="77777777" w:rsidR="00A97000" w:rsidRPr="001F0CF6" w:rsidRDefault="00A97000">
            <w:pPr>
              <w:rPr>
                <w:rFonts w:ascii="Calibri" w:hAnsi="Calibri"/>
                <w:b/>
                <w:color w:val="000000"/>
                <w:sz w:val="22"/>
                <w:szCs w:val="22"/>
              </w:rPr>
            </w:pPr>
          </w:p>
        </w:tc>
        <w:tc>
          <w:tcPr>
            <w:tcW w:w="1032" w:type="dxa"/>
            <w:tcBorders>
              <w:top w:val="nil"/>
              <w:left w:val="nil"/>
              <w:bottom w:val="nil"/>
              <w:right w:val="nil"/>
            </w:tcBorders>
            <w:shd w:val="clear" w:color="auto" w:fill="auto"/>
            <w:noWrap/>
            <w:vAlign w:val="bottom"/>
          </w:tcPr>
          <w:p w14:paraId="2AC37059" w14:textId="77777777" w:rsidR="00A97000" w:rsidRPr="00A97000" w:rsidRDefault="00A97000">
            <w:pPr>
              <w:rPr>
                <w:rFonts w:ascii="Calibri" w:hAnsi="Calibri"/>
                <w:color w:val="000000"/>
                <w:sz w:val="20"/>
                <w:szCs w:val="22"/>
              </w:rPr>
            </w:pPr>
          </w:p>
        </w:tc>
        <w:tc>
          <w:tcPr>
            <w:tcW w:w="1367" w:type="dxa"/>
            <w:tcBorders>
              <w:top w:val="nil"/>
              <w:left w:val="nil"/>
              <w:bottom w:val="nil"/>
              <w:right w:val="nil"/>
            </w:tcBorders>
            <w:shd w:val="clear" w:color="auto" w:fill="auto"/>
            <w:noWrap/>
            <w:vAlign w:val="bottom"/>
          </w:tcPr>
          <w:p w14:paraId="26B9D84E" w14:textId="77777777" w:rsidR="00A97000" w:rsidRPr="00A97000" w:rsidRDefault="00A97000">
            <w:pPr>
              <w:rPr>
                <w:rFonts w:ascii="Calibri" w:hAnsi="Calibri"/>
                <w:color w:val="000000"/>
                <w:sz w:val="20"/>
                <w:szCs w:val="22"/>
              </w:rPr>
            </w:pPr>
          </w:p>
        </w:tc>
        <w:tc>
          <w:tcPr>
            <w:tcW w:w="1249" w:type="dxa"/>
            <w:tcBorders>
              <w:top w:val="nil"/>
              <w:left w:val="nil"/>
              <w:bottom w:val="nil"/>
              <w:right w:val="nil"/>
            </w:tcBorders>
            <w:shd w:val="clear" w:color="auto" w:fill="auto"/>
            <w:noWrap/>
            <w:vAlign w:val="bottom"/>
          </w:tcPr>
          <w:p w14:paraId="42ABF73C" w14:textId="77777777" w:rsidR="00A97000" w:rsidRPr="00A97000" w:rsidRDefault="00A97000">
            <w:pPr>
              <w:jc w:val="center"/>
              <w:rPr>
                <w:rFonts w:ascii="Calibri" w:hAnsi="Calibri"/>
                <w:color w:val="000000"/>
                <w:sz w:val="20"/>
                <w:szCs w:val="22"/>
              </w:rPr>
            </w:pPr>
          </w:p>
        </w:tc>
      </w:tr>
      <w:tr w:rsidR="00A97000" w:rsidRPr="00A97000" w14:paraId="1167B964" w14:textId="77777777" w:rsidTr="00516A21">
        <w:trPr>
          <w:trHeight w:val="287"/>
        </w:trPr>
        <w:tc>
          <w:tcPr>
            <w:tcW w:w="5002" w:type="dxa"/>
            <w:tcBorders>
              <w:top w:val="nil"/>
              <w:left w:val="nil"/>
              <w:bottom w:val="nil"/>
              <w:right w:val="nil"/>
            </w:tcBorders>
            <w:shd w:val="clear" w:color="auto" w:fill="auto"/>
            <w:noWrap/>
            <w:vAlign w:val="bottom"/>
            <w:hideMark/>
          </w:tcPr>
          <w:p w14:paraId="6F488EA0" w14:textId="77777777" w:rsidR="007255EF" w:rsidRPr="00516A21" w:rsidRDefault="007255EF">
            <w:pPr>
              <w:rPr>
                <w:rFonts w:ascii="Calibri" w:hAnsi="Calibri"/>
                <w:b/>
                <w:color w:val="000000"/>
                <w:sz w:val="22"/>
                <w:szCs w:val="22"/>
              </w:rPr>
            </w:pPr>
            <w:r w:rsidRPr="00516A21">
              <w:rPr>
                <w:rFonts w:ascii="Calibri" w:hAnsi="Calibri"/>
                <w:b/>
                <w:color w:val="000000"/>
                <w:sz w:val="22"/>
                <w:szCs w:val="22"/>
              </w:rPr>
              <w:t>Model 2</w:t>
            </w:r>
          </w:p>
        </w:tc>
        <w:tc>
          <w:tcPr>
            <w:tcW w:w="1032" w:type="dxa"/>
            <w:tcBorders>
              <w:top w:val="nil"/>
              <w:left w:val="nil"/>
              <w:bottom w:val="nil"/>
              <w:right w:val="nil"/>
            </w:tcBorders>
            <w:shd w:val="clear" w:color="auto" w:fill="auto"/>
            <w:noWrap/>
            <w:vAlign w:val="bottom"/>
            <w:hideMark/>
          </w:tcPr>
          <w:p w14:paraId="4D948EE7" w14:textId="77777777" w:rsidR="007255EF" w:rsidRPr="00516A21" w:rsidRDefault="007255EF">
            <w:pPr>
              <w:rPr>
                <w:rFonts w:ascii="Calibri" w:hAnsi="Calibri"/>
                <w:color w:val="000000"/>
                <w:sz w:val="20"/>
                <w:szCs w:val="22"/>
              </w:rPr>
            </w:pPr>
          </w:p>
        </w:tc>
        <w:tc>
          <w:tcPr>
            <w:tcW w:w="1367" w:type="dxa"/>
            <w:tcBorders>
              <w:top w:val="nil"/>
              <w:left w:val="nil"/>
              <w:bottom w:val="nil"/>
              <w:right w:val="nil"/>
            </w:tcBorders>
            <w:shd w:val="clear" w:color="auto" w:fill="auto"/>
            <w:noWrap/>
            <w:vAlign w:val="bottom"/>
            <w:hideMark/>
          </w:tcPr>
          <w:p w14:paraId="573B1AA5" w14:textId="77777777" w:rsidR="007255EF" w:rsidRPr="00516A21" w:rsidRDefault="007255EF">
            <w:pPr>
              <w:rPr>
                <w:rFonts w:ascii="Calibri" w:hAnsi="Calibri"/>
                <w:color w:val="000000"/>
                <w:sz w:val="20"/>
                <w:szCs w:val="22"/>
              </w:rPr>
            </w:pPr>
          </w:p>
        </w:tc>
        <w:tc>
          <w:tcPr>
            <w:tcW w:w="1249" w:type="dxa"/>
            <w:tcBorders>
              <w:top w:val="nil"/>
              <w:left w:val="nil"/>
              <w:bottom w:val="nil"/>
              <w:right w:val="nil"/>
            </w:tcBorders>
            <w:shd w:val="clear" w:color="auto" w:fill="auto"/>
            <w:noWrap/>
            <w:vAlign w:val="bottom"/>
            <w:hideMark/>
          </w:tcPr>
          <w:p w14:paraId="117A06E8" w14:textId="77777777" w:rsidR="007255EF" w:rsidRPr="00516A21" w:rsidRDefault="007255EF">
            <w:pPr>
              <w:jc w:val="center"/>
              <w:rPr>
                <w:rFonts w:ascii="Calibri" w:hAnsi="Calibri"/>
                <w:color w:val="000000"/>
                <w:sz w:val="20"/>
                <w:szCs w:val="22"/>
              </w:rPr>
            </w:pPr>
          </w:p>
        </w:tc>
      </w:tr>
      <w:tr w:rsidR="00A97000" w:rsidRPr="00A97000" w14:paraId="1C8F5B19" w14:textId="77777777" w:rsidTr="00516A21">
        <w:trPr>
          <w:trHeight w:val="287"/>
        </w:trPr>
        <w:tc>
          <w:tcPr>
            <w:tcW w:w="5002" w:type="dxa"/>
            <w:tcBorders>
              <w:top w:val="nil"/>
              <w:left w:val="nil"/>
              <w:bottom w:val="nil"/>
              <w:right w:val="nil"/>
            </w:tcBorders>
            <w:shd w:val="clear" w:color="auto" w:fill="auto"/>
            <w:noWrap/>
            <w:vAlign w:val="bottom"/>
            <w:hideMark/>
          </w:tcPr>
          <w:p w14:paraId="533FF344" w14:textId="77777777" w:rsidR="007255EF" w:rsidRPr="00516A21" w:rsidRDefault="007255EF">
            <w:pPr>
              <w:rPr>
                <w:rFonts w:ascii="Calibri" w:hAnsi="Calibri"/>
                <w:i/>
                <w:color w:val="000000"/>
                <w:sz w:val="22"/>
                <w:szCs w:val="22"/>
              </w:rPr>
            </w:pPr>
            <w:r w:rsidRPr="00516A21">
              <w:rPr>
                <w:rFonts w:ascii="Calibri" w:hAnsi="Calibri"/>
                <w:i/>
                <w:color w:val="000000"/>
                <w:sz w:val="18"/>
                <w:szCs w:val="22"/>
              </w:rPr>
              <w:t xml:space="preserve">Fixed Effects, 84 </w:t>
            </w:r>
            <w:proofErr w:type="spellStart"/>
            <w:r w:rsidRPr="00516A21">
              <w:rPr>
                <w:rFonts w:ascii="Calibri" w:hAnsi="Calibri"/>
                <w:i/>
                <w:color w:val="000000"/>
                <w:sz w:val="18"/>
                <w:szCs w:val="22"/>
              </w:rPr>
              <w:t>obs</w:t>
            </w:r>
            <w:proofErr w:type="spellEnd"/>
            <w:r w:rsidRPr="00516A21">
              <w:rPr>
                <w:rFonts w:ascii="Calibri" w:hAnsi="Calibri"/>
                <w:i/>
                <w:color w:val="000000"/>
                <w:sz w:val="18"/>
                <w:szCs w:val="22"/>
              </w:rPr>
              <w:t>, R-square 20.3%</w:t>
            </w:r>
          </w:p>
        </w:tc>
        <w:tc>
          <w:tcPr>
            <w:tcW w:w="1032" w:type="dxa"/>
            <w:tcBorders>
              <w:top w:val="nil"/>
              <w:left w:val="nil"/>
              <w:bottom w:val="nil"/>
              <w:right w:val="nil"/>
            </w:tcBorders>
            <w:shd w:val="clear" w:color="auto" w:fill="auto"/>
            <w:noWrap/>
            <w:vAlign w:val="bottom"/>
            <w:hideMark/>
          </w:tcPr>
          <w:p w14:paraId="57644B8C" w14:textId="77777777" w:rsidR="007255EF" w:rsidRPr="00516A21" w:rsidRDefault="007255EF">
            <w:pPr>
              <w:rPr>
                <w:rFonts w:ascii="Calibri" w:hAnsi="Calibri"/>
                <w:i/>
                <w:color w:val="000000"/>
                <w:sz w:val="20"/>
                <w:szCs w:val="22"/>
              </w:rPr>
            </w:pPr>
          </w:p>
        </w:tc>
        <w:tc>
          <w:tcPr>
            <w:tcW w:w="1367" w:type="dxa"/>
            <w:tcBorders>
              <w:top w:val="nil"/>
              <w:left w:val="nil"/>
              <w:bottom w:val="nil"/>
              <w:right w:val="nil"/>
            </w:tcBorders>
            <w:shd w:val="clear" w:color="auto" w:fill="auto"/>
            <w:noWrap/>
            <w:vAlign w:val="bottom"/>
            <w:hideMark/>
          </w:tcPr>
          <w:p w14:paraId="3DB31D84" w14:textId="77777777" w:rsidR="007255EF" w:rsidRPr="00516A21" w:rsidRDefault="007255EF">
            <w:pPr>
              <w:rPr>
                <w:rFonts w:ascii="Calibri" w:hAnsi="Calibri"/>
                <w:i/>
                <w:color w:val="000000"/>
                <w:sz w:val="20"/>
                <w:szCs w:val="22"/>
              </w:rPr>
            </w:pPr>
          </w:p>
        </w:tc>
        <w:tc>
          <w:tcPr>
            <w:tcW w:w="1249" w:type="dxa"/>
            <w:tcBorders>
              <w:top w:val="nil"/>
              <w:left w:val="nil"/>
              <w:bottom w:val="nil"/>
              <w:right w:val="nil"/>
            </w:tcBorders>
            <w:shd w:val="clear" w:color="auto" w:fill="auto"/>
            <w:noWrap/>
            <w:vAlign w:val="bottom"/>
            <w:hideMark/>
          </w:tcPr>
          <w:p w14:paraId="1B801AC3" w14:textId="77777777" w:rsidR="007255EF" w:rsidRPr="00516A21" w:rsidRDefault="007255EF">
            <w:pPr>
              <w:jc w:val="center"/>
              <w:rPr>
                <w:rFonts w:ascii="Calibri" w:hAnsi="Calibri"/>
                <w:i/>
                <w:color w:val="000000"/>
                <w:sz w:val="20"/>
                <w:szCs w:val="22"/>
              </w:rPr>
            </w:pPr>
          </w:p>
        </w:tc>
      </w:tr>
      <w:tr w:rsidR="00A97000" w:rsidRPr="00A97000" w14:paraId="1A3A8505" w14:textId="77777777" w:rsidTr="00516A21">
        <w:trPr>
          <w:trHeight w:val="287"/>
        </w:trPr>
        <w:tc>
          <w:tcPr>
            <w:tcW w:w="5002" w:type="dxa"/>
            <w:tcBorders>
              <w:top w:val="single" w:sz="4" w:space="0" w:color="auto"/>
              <w:left w:val="nil"/>
              <w:bottom w:val="nil"/>
              <w:right w:val="nil"/>
            </w:tcBorders>
            <w:shd w:val="clear" w:color="auto" w:fill="auto"/>
            <w:noWrap/>
            <w:vAlign w:val="bottom"/>
            <w:hideMark/>
          </w:tcPr>
          <w:p w14:paraId="42A680A9" w14:textId="388BC24B" w:rsidR="007255EF" w:rsidRPr="00516A21" w:rsidRDefault="007255EF">
            <w:pPr>
              <w:rPr>
                <w:rFonts w:ascii="Calibri" w:hAnsi="Calibri"/>
                <w:color w:val="000000"/>
                <w:sz w:val="20"/>
                <w:szCs w:val="22"/>
              </w:rPr>
            </w:pPr>
            <w:proofErr w:type="spellStart"/>
            <w:r w:rsidRPr="00516A21">
              <w:rPr>
                <w:rFonts w:ascii="Calibri" w:hAnsi="Calibri"/>
                <w:color w:val="000000"/>
                <w:sz w:val="20"/>
                <w:szCs w:val="22"/>
              </w:rPr>
              <w:t>Const</w:t>
            </w:r>
            <w:proofErr w:type="spellEnd"/>
          </w:p>
        </w:tc>
        <w:tc>
          <w:tcPr>
            <w:tcW w:w="1032" w:type="dxa"/>
            <w:tcBorders>
              <w:top w:val="single" w:sz="4" w:space="0" w:color="auto"/>
              <w:left w:val="nil"/>
              <w:bottom w:val="nil"/>
              <w:right w:val="nil"/>
            </w:tcBorders>
            <w:shd w:val="clear" w:color="auto" w:fill="auto"/>
            <w:noWrap/>
            <w:vAlign w:val="bottom"/>
            <w:hideMark/>
          </w:tcPr>
          <w:p w14:paraId="08A29E2D"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3.72</w:t>
            </w:r>
          </w:p>
        </w:tc>
        <w:tc>
          <w:tcPr>
            <w:tcW w:w="1367" w:type="dxa"/>
            <w:tcBorders>
              <w:top w:val="single" w:sz="4" w:space="0" w:color="auto"/>
              <w:left w:val="nil"/>
              <w:bottom w:val="nil"/>
              <w:right w:val="nil"/>
            </w:tcBorders>
            <w:shd w:val="clear" w:color="auto" w:fill="auto"/>
            <w:noWrap/>
            <w:vAlign w:val="bottom"/>
            <w:hideMark/>
          </w:tcPr>
          <w:p w14:paraId="619AE276"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0.90</w:t>
            </w:r>
          </w:p>
        </w:tc>
        <w:tc>
          <w:tcPr>
            <w:tcW w:w="1249" w:type="dxa"/>
            <w:tcBorders>
              <w:top w:val="single" w:sz="4" w:space="0" w:color="auto"/>
              <w:left w:val="nil"/>
              <w:bottom w:val="nil"/>
              <w:right w:val="nil"/>
            </w:tcBorders>
            <w:shd w:val="clear" w:color="auto" w:fill="auto"/>
            <w:noWrap/>
            <w:vAlign w:val="bottom"/>
            <w:hideMark/>
          </w:tcPr>
          <w:p w14:paraId="0DEEB8F7"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 </w:t>
            </w:r>
          </w:p>
        </w:tc>
      </w:tr>
      <w:tr w:rsidR="00A97000" w:rsidRPr="00A97000" w14:paraId="7B6FE9CB" w14:textId="77777777" w:rsidTr="00516A21">
        <w:trPr>
          <w:trHeight w:val="287"/>
        </w:trPr>
        <w:tc>
          <w:tcPr>
            <w:tcW w:w="5002" w:type="dxa"/>
            <w:tcBorders>
              <w:top w:val="nil"/>
              <w:left w:val="nil"/>
              <w:bottom w:val="nil"/>
              <w:right w:val="nil"/>
            </w:tcBorders>
            <w:shd w:val="clear" w:color="auto" w:fill="auto"/>
            <w:noWrap/>
            <w:vAlign w:val="bottom"/>
            <w:hideMark/>
          </w:tcPr>
          <w:p w14:paraId="520DC783"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CR (Log Domestic Credit by Banks % of GDP)</w:t>
            </w:r>
          </w:p>
        </w:tc>
        <w:tc>
          <w:tcPr>
            <w:tcW w:w="1032" w:type="dxa"/>
            <w:tcBorders>
              <w:top w:val="nil"/>
              <w:left w:val="nil"/>
              <w:bottom w:val="nil"/>
              <w:right w:val="nil"/>
            </w:tcBorders>
            <w:shd w:val="clear" w:color="auto" w:fill="auto"/>
            <w:noWrap/>
            <w:vAlign w:val="bottom"/>
            <w:hideMark/>
          </w:tcPr>
          <w:p w14:paraId="75ABDD5B"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−4.95</w:t>
            </w:r>
          </w:p>
        </w:tc>
        <w:tc>
          <w:tcPr>
            <w:tcW w:w="1367" w:type="dxa"/>
            <w:tcBorders>
              <w:top w:val="nil"/>
              <w:left w:val="nil"/>
              <w:bottom w:val="nil"/>
              <w:right w:val="nil"/>
            </w:tcBorders>
            <w:shd w:val="clear" w:color="auto" w:fill="auto"/>
            <w:noWrap/>
            <w:vAlign w:val="bottom"/>
            <w:hideMark/>
          </w:tcPr>
          <w:p w14:paraId="5D57D40F"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−1.456</w:t>
            </w:r>
          </w:p>
        </w:tc>
        <w:tc>
          <w:tcPr>
            <w:tcW w:w="1249" w:type="dxa"/>
            <w:tcBorders>
              <w:top w:val="nil"/>
              <w:left w:val="nil"/>
              <w:bottom w:val="nil"/>
              <w:right w:val="nil"/>
            </w:tcBorders>
            <w:shd w:val="clear" w:color="auto" w:fill="auto"/>
            <w:noWrap/>
            <w:vAlign w:val="bottom"/>
            <w:hideMark/>
          </w:tcPr>
          <w:p w14:paraId="0D6F21CA" w14:textId="77777777" w:rsidR="007255EF" w:rsidRPr="00516A21" w:rsidRDefault="007255EF">
            <w:pPr>
              <w:jc w:val="center"/>
              <w:rPr>
                <w:rFonts w:ascii="Calibri" w:hAnsi="Calibri"/>
                <w:color w:val="000000"/>
                <w:sz w:val="20"/>
                <w:szCs w:val="22"/>
              </w:rPr>
            </w:pPr>
          </w:p>
        </w:tc>
      </w:tr>
      <w:tr w:rsidR="00A97000" w:rsidRPr="00A97000" w14:paraId="4F145DF1" w14:textId="77777777" w:rsidTr="00516A21">
        <w:trPr>
          <w:trHeight w:val="287"/>
        </w:trPr>
        <w:tc>
          <w:tcPr>
            <w:tcW w:w="5002" w:type="dxa"/>
            <w:tcBorders>
              <w:top w:val="nil"/>
              <w:left w:val="nil"/>
              <w:bottom w:val="nil"/>
              <w:right w:val="nil"/>
            </w:tcBorders>
            <w:shd w:val="clear" w:color="auto" w:fill="auto"/>
            <w:noWrap/>
            <w:vAlign w:val="bottom"/>
            <w:hideMark/>
          </w:tcPr>
          <w:p w14:paraId="0F68FF6B" w14:textId="19F54634" w:rsidR="007255EF" w:rsidRPr="00516A21" w:rsidRDefault="007255EF">
            <w:pPr>
              <w:rPr>
                <w:rFonts w:ascii="Calibri" w:hAnsi="Calibri"/>
                <w:color w:val="000000"/>
                <w:sz w:val="20"/>
                <w:szCs w:val="22"/>
              </w:rPr>
            </w:pPr>
            <w:r w:rsidRPr="00516A21">
              <w:rPr>
                <w:rFonts w:ascii="Calibri" w:hAnsi="Calibri"/>
                <w:color w:val="000000"/>
                <w:sz w:val="20"/>
                <w:szCs w:val="22"/>
              </w:rPr>
              <w:t>CR</w:t>
            </w:r>
            <w:r w:rsidRPr="00516A21">
              <w:rPr>
                <w:rFonts w:ascii="Calibri" w:hAnsi="Calibri"/>
                <w:color w:val="000000"/>
                <w:sz w:val="20"/>
                <w:szCs w:val="22"/>
                <w:vertAlign w:val="subscript"/>
              </w:rPr>
              <w:t>t-1</w:t>
            </w:r>
            <w:r w:rsidRPr="00516A21">
              <w:rPr>
                <w:rFonts w:ascii="Calibri" w:hAnsi="Calibri"/>
                <w:color w:val="000000"/>
                <w:sz w:val="20"/>
                <w:szCs w:val="22"/>
              </w:rPr>
              <w:t xml:space="preserve"> (Log Domestic Credit by Banks % of GDP) - 1y lag</w:t>
            </w:r>
          </w:p>
        </w:tc>
        <w:tc>
          <w:tcPr>
            <w:tcW w:w="1032" w:type="dxa"/>
            <w:tcBorders>
              <w:top w:val="nil"/>
              <w:left w:val="nil"/>
              <w:bottom w:val="nil"/>
              <w:right w:val="nil"/>
            </w:tcBorders>
            <w:shd w:val="clear" w:color="auto" w:fill="auto"/>
            <w:noWrap/>
            <w:vAlign w:val="bottom"/>
            <w:hideMark/>
          </w:tcPr>
          <w:p w14:paraId="4A1B6A49"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2.65</w:t>
            </w:r>
          </w:p>
        </w:tc>
        <w:tc>
          <w:tcPr>
            <w:tcW w:w="1367" w:type="dxa"/>
            <w:tcBorders>
              <w:top w:val="nil"/>
              <w:left w:val="nil"/>
              <w:bottom w:val="nil"/>
              <w:right w:val="nil"/>
            </w:tcBorders>
            <w:shd w:val="clear" w:color="auto" w:fill="auto"/>
            <w:noWrap/>
            <w:vAlign w:val="bottom"/>
            <w:hideMark/>
          </w:tcPr>
          <w:p w14:paraId="18C95820"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1.49</w:t>
            </w:r>
          </w:p>
        </w:tc>
        <w:tc>
          <w:tcPr>
            <w:tcW w:w="1249" w:type="dxa"/>
            <w:tcBorders>
              <w:top w:val="nil"/>
              <w:left w:val="nil"/>
              <w:bottom w:val="nil"/>
              <w:right w:val="nil"/>
            </w:tcBorders>
            <w:shd w:val="clear" w:color="auto" w:fill="auto"/>
            <w:noWrap/>
            <w:vAlign w:val="bottom"/>
            <w:hideMark/>
          </w:tcPr>
          <w:p w14:paraId="7F4682C9" w14:textId="77777777" w:rsidR="007255EF" w:rsidRPr="00516A21" w:rsidRDefault="007255EF">
            <w:pPr>
              <w:jc w:val="center"/>
              <w:rPr>
                <w:rFonts w:ascii="Calibri" w:hAnsi="Calibri"/>
                <w:color w:val="000000"/>
                <w:sz w:val="20"/>
                <w:szCs w:val="22"/>
              </w:rPr>
            </w:pPr>
          </w:p>
        </w:tc>
      </w:tr>
      <w:tr w:rsidR="00A97000" w:rsidRPr="00A97000" w14:paraId="73A0E1E1" w14:textId="77777777" w:rsidTr="00516A21">
        <w:trPr>
          <w:trHeight w:val="287"/>
        </w:trPr>
        <w:tc>
          <w:tcPr>
            <w:tcW w:w="5002" w:type="dxa"/>
            <w:tcBorders>
              <w:top w:val="nil"/>
              <w:left w:val="nil"/>
              <w:bottom w:val="nil"/>
              <w:right w:val="nil"/>
            </w:tcBorders>
            <w:shd w:val="clear" w:color="auto" w:fill="auto"/>
            <w:noWrap/>
            <w:vAlign w:val="bottom"/>
            <w:hideMark/>
          </w:tcPr>
          <w:p w14:paraId="5B64C93B" w14:textId="7192F55B" w:rsidR="007255EF" w:rsidRPr="00516A21" w:rsidRDefault="007255EF">
            <w:pPr>
              <w:rPr>
                <w:rFonts w:ascii="Calibri" w:hAnsi="Calibri"/>
                <w:color w:val="000000"/>
                <w:sz w:val="20"/>
                <w:szCs w:val="22"/>
              </w:rPr>
            </w:pPr>
            <w:r w:rsidRPr="00516A21">
              <w:rPr>
                <w:rFonts w:ascii="Calibri" w:hAnsi="Calibri"/>
                <w:color w:val="000000"/>
                <w:sz w:val="20"/>
                <w:szCs w:val="22"/>
              </w:rPr>
              <w:t>CR</w:t>
            </w:r>
            <w:r w:rsidRPr="00516A21">
              <w:rPr>
                <w:rFonts w:ascii="Calibri" w:hAnsi="Calibri"/>
                <w:color w:val="000000"/>
                <w:sz w:val="20"/>
                <w:szCs w:val="22"/>
                <w:vertAlign w:val="subscript"/>
              </w:rPr>
              <w:t>t-2</w:t>
            </w:r>
            <w:r w:rsidRPr="00516A21">
              <w:rPr>
                <w:rFonts w:ascii="Calibri" w:hAnsi="Calibri"/>
                <w:color w:val="000000"/>
                <w:sz w:val="20"/>
                <w:szCs w:val="22"/>
              </w:rPr>
              <w:t xml:space="preserve"> (Log Domestic Credit by Banks % of GDP) - 2y lag</w:t>
            </w:r>
          </w:p>
        </w:tc>
        <w:tc>
          <w:tcPr>
            <w:tcW w:w="1032" w:type="dxa"/>
            <w:tcBorders>
              <w:top w:val="nil"/>
              <w:left w:val="nil"/>
              <w:bottom w:val="nil"/>
              <w:right w:val="nil"/>
            </w:tcBorders>
            <w:shd w:val="clear" w:color="auto" w:fill="auto"/>
            <w:noWrap/>
            <w:vAlign w:val="bottom"/>
            <w:hideMark/>
          </w:tcPr>
          <w:p w14:paraId="4488BEBD"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3.85</w:t>
            </w:r>
          </w:p>
        </w:tc>
        <w:tc>
          <w:tcPr>
            <w:tcW w:w="1367" w:type="dxa"/>
            <w:tcBorders>
              <w:top w:val="nil"/>
              <w:left w:val="nil"/>
              <w:bottom w:val="nil"/>
              <w:right w:val="nil"/>
            </w:tcBorders>
            <w:shd w:val="clear" w:color="auto" w:fill="auto"/>
            <w:noWrap/>
            <w:vAlign w:val="bottom"/>
            <w:hideMark/>
          </w:tcPr>
          <w:p w14:paraId="4D0A3E7D"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1.06</w:t>
            </w:r>
          </w:p>
        </w:tc>
        <w:tc>
          <w:tcPr>
            <w:tcW w:w="1249" w:type="dxa"/>
            <w:tcBorders>
              <w:top w:val="nil"/>
              <w:left w:val="nil"/>
              <w:bottom w:val="nil"/>
              <w:right w:val="nil"/>
            </w:tcBorders>
            <w:shd w:val="clear" w:color="auto" w:fill="auto"/>
            <w:noWrap/>
            <w:vAlign w:val="bottom"/>
            <w:hideMark/>
          </w:tcPr>
          <w:p w14:paraId="1D0C157B" w14:textId="77777777" w:rsidR="007255EF" w:rsidRPr="00516A21" w:rsidRDefault="007255EF">
            <w:pPr>
              <w:jc w:val="center"/>
              <w:rPr>
                <w:rFonts w:ascii="Calibri" w:hAnsi="Calibri"/>
                <w:color w:val="000000"/>
                <w:sz w:val="20"/>
                <w:szCs w:val="22"/>
              </w:rPr>
            </w:pPr>
          </w:p>
        </w:tc>
      </w:tr>
      <w:tr w:rsidR="00A97000" w:rsidRPr="00A97000" w14:paraId="696E4F7E" w14:textId="77777777" w:rsidTr="00516A21">
        <w:trPr>
          <w:trHeight w:val="287"/>
        </w:trPr>
        <w:tc>
          <w:tcPr>
            <w:tcW w:w="5002" w:type="dxa"/>
            <w:tcBorders>
              <w:top w:val="nil"/>
              <w:left w:val="nil"/>
              <w:bottom w:val="nil"/>
              <w:right w:val="nil"/>
            </w:tcBorders>
            <w:shd w:val="clear" w:color="auto" w:fill="auto"/>
            <w:noWrap/>
            <w:vAlign w:val="bottom"/>
            <w:hideMark/>
          </w:tcPr>
          <w:p w14:paraId="7E06588A" w14:textId="2DDB944D" w:rsidR="007255EF" w:rsidRPr="00516A21" w:rsidRDefault="007255EF">
            <w:pPr>
              <w:rPr>
                <w:rFonts w:ascii="Calibri" w:hAnsi="Calibri"/>
                <w:color w:val="000000"/>
                <w:sz w:val="20"/>
                <w:szCs w:val="22"/>
              </w:rPr>
            </w:pPr>
            <w:r w:rsidRPr="00516A21">
              <w:rPr>
                <w:rFonts w:ascii="Calibri" w:hAnsi="Calibri"/>
                <w:color w:val="000000"/>
                <w:sz w:val="20"/>
                <w:szCs w:val="22"/>
              </w:rPr>
              <w:t>CR</w:t>
            </w:r>
            <w:r w:rsidRPr="00516A21">
              <w:rPr>
                <w:rFonts w:ascii="Calibri" w:hAnsi="Calibri"/>
                <w:color w:val="000000"/>
                <w:sz w:val="20"/>
                <w:szCs w:val="22"/>
                <w:vertAlign w:val="subscript"/>
              </w:rPr>
              <w:t>t-3</w:t>
            </w:r>
            <w:r w:rsidRPr="00516A21">
              <w:rPr>
                <w:rFonts w:ascii="Calibri" w:hAnsi="Calibri"/>
                <w:color w:val="000000"/>
                <w:sz w:val="20"/>
                <w:szCs w:val="22"/>
              </w:rPr>
              <w:t xml:space="preserve"> (Log Domestic Credit by Banks % of GDP) - 3y lag</w:t>
            </w:r>
          </w:p>
        </w:tc>
        <w:tc>
          <w:tcPr>
            <w:tcW w:w="1032" w:type="dxa"/>
            <w:tcBorders>
              <w:top w:val="nil"/>
              <w:left w:val="nil"/>
              <w:bottom w:val="nil"/>
              <w:right w:val="nil"/>
            </w:tcBorders>
            <w:shd w:val="clear" w:color="auto" w:fill="auto"/>
            <w:noWrap/>
            <w:vAlign w:val="bottom"/>
            <w:hideMark/>
          </w:tcPr>
          <w:p w14:paraId="547FA43C"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−2.00</w:t>
            </w:r>
          </w:p>
        </w:tc>
        <w:tc>
          <w:tcPr>
            <w:tcW w:w="1367" w:type="dxa"/>
            <w:tcBorders>
              <w:top w:val="nil"/>
              <w:left w:val="nil"/>
              <w:bottom w:val="nil"/>
              <w:right w:val="nil"/>
            </w:tcBorders>
            <w:shd w:val="clear" w:color="auto" w:fill="auto"/>
            <w:noWrap/>
            <w:vAlign w:val="bottom"/>
            <w:hideMark/>
          </w:tcPr>
          <w:p w14:paraId="3FCC869C"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−0.8124</w:t>
            </w:r>
          </w:p>
        </w:tc>
        <w:tc>
          <w:tcPr>
            <w:tcW w:w="1249" w:type="dxa"/>
            <w:tcBorders>
              <w:top w:val="nil"/>
              <w:left w:val="nil"/>
              <w:bottom w:val="nil"/>
              <w:right w:val="nil"/>
            </w:tcBorders>
            <w:shd w:val="clear" w:color="auto" w:fill="auto"/>
            <w:noWrap/>
            <w:vAlign w:val="bottom"/>
            <w:hideMark/>
          </w:tcPr>
          <w:p w14:paraId="2454EF55" w14:textId="77777777" w:rsidR="007255EF" w:rsidRPr="00516A21" w:rsidRDefault="007255EF">
            <w:pPr>
              <w:jc w:val="center"/>
              <w:rPr>
                <w:rFonts w:ascii="Calibri" w:hAnsi="Calibri"/>
                <w:color w:val="000000"/>
                <w:sz w:val="20"/>
                <w:szCs w:val="22"/>
              </w:rPr>
            </w:pPr>
          </w:p>
        </w:tc>
      </w:tr>
      <w:tr w:rsidR="00A97000" w:rsidRPr="00A97000" w14:paraId="25777B19" w14:textId="77777777" w:rsidTr="00516A21">
        <w:trPr>
          <w:trHeight w:val="287"/>
        </w:trPr>
        <w:tc>
          <w:tcPr>
            <w:tcW w:w="5002" w:type="dxa"/>
            <w:tcBorders>
              <w:top w:val="nil"/>
              <w:left w:val="nil"/>
              <w:bottom w:val="nil"/>
              <w:right w:val="nil"/>
            </w:tcBorders>
            <w:shd w:val="clear" w:color="auto" w:fill="auto"/>
            <w:noWrap/>
            <w:vAlign w:val="bottom"/>
            <w:hideMark/>
          </w:tcPr>
          <w:p w14:paraId="47EC76C8"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National Debt (% of GDP)</w:t>
            </w:r>
          </w:p>
        </w:tc>
        <w:tc>
          <w:tcPr>
            <w:tcW w:w="1032" w:type="dxa"/>
            <w:tcBorders>
              <w:top w:val="nil"/>
              <w:left w:val="nil"/>
              <w:bottom w:val="nil"/>
              <w:right w:val="nil"/>
            </w:tcBorders>
            <w:shd w:val="clear" w:color="auto" w:fill="auto"/>
            <w:noWrap/>
            <w:vAlign w:val="bottom"/>
            <w:hideMark/>
          </w:tcPr>
          <w:p w14:paraId="5595A09C"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−0.0531</w:t>
            </w:r>
          </w:p>
        </w:tc>
        <w:tc>
          <w:tcPr>
            <w:tcW w:w="1367" w:type="dxa"/>
            <w:tcBorders>
              <w:top w:val="nil"/>
              <w:left w:val="nil"/>
              <w:bottom w:val="nil"/>
              <w:right w:val="nil"/>
            </w:tcBorders>
            <w:shd w:val="clear" w:color="auto" w:fill="auto"/>
            <w:noWrap/>
            <w:vAlign w:val="bottom"/>
            <w:hideMark/>
          </w:tcPr>
          <w:p w14:paraId="683F6539"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−2.068</w:t>
            </w:r>
          </w:p>
        </w:tc>
        <w:tc>
          <w:tcPr>
            <w:tcW w:w="1249" w:type="dxa"/>
            <w:tcBorders>
              <w:top w:val="nil"/>
              <w:left w:val="nil"/>
              <w:bottom w:val="nil"/>
              <w:right w:val="nil"/>
            </w:tcBorders>
            <w:shd w:val="clear" w:color="auto" w:fill="auto"/>
            <w:noWrap/>
            <w:vAlign w:val="bottom"/>
            <w:hideMark/>
          </w:tcPr>
          <w:p w14:paraId="631B32C4"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w:t>
            </w:r>
          </w:p>
        </w:tc>
      </w:tr>
      <w:tr w:rsidR="00A97000" w:rsidRPr="00A97000" w14:paraId="1E529F28" w14:textId="77777777" w:rsidTr="00516A21">
        <w:trPr>
          <w:trHeight w:val="287"/>
        </w:trPr>
        <w:tc>
          <w:tcPr>
            <w:tcW w:w="5002" w:type="dxa"/>
            <w:tcBorders>
              <w:top w:val="nil"/>
              <w:left w:val="nil"/>
              <w:bottom w:val="nil"/>
              <w:right w:val="nil"/>
            </w:tcBorders>
            <w:shd w:val="clear" w:color="auto" w:fill="auto"/>
            <w:noWrap/>
            <w:vAlign w:val="bottom"/>
            <w:hideMark/>
          </w:tcPr>
          <w:p w14:paraId="73BA2527"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Real Investment (% of GDP)</w:t>
            </w:r>
          </w:p>
        </w:tc>
        <w:tc>
          <w:tcPr>
            <w:tcW w:w="1032" w:type="dxa"/>
            <w:tcBorders>
              <w:top w:val="nil"/>
              <w:left w:val="nil"/>
              <w:bottom w:val="nil"/>
              <w:right w:val="nil"/>
            </w:tcBorders>
            <w:shd w:val="clear" w:color="auto" w:fill="auto"/>
            <w:noWrap/>
            <w:vAlign w:val="bottom"/>
            <w:hideMark/>
          </w:tcPr>
          <w:p w14:paraId="4730366A"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0.15</w:t>
            </w:r>
          </w:p>
        </w:tc>
        <w:tc>
          <w:tcPr>
            <w:tcW w:w="1367" w:type="dxa"/>
            <w:tcBorders>
              <w:top w:val="nil"/>
              <w:left w:val="nil"/>
              <w:bottom w:val="nil"/>
              <w:right w:val="nil"/>
            </w:tcBorders>
            <w:shd w:val="clear" w:color="auto" w:fill="auto"/>
            <w:noWrap/>
            <w:vAlign w:val="bottom"/>
            <w:hideMark/>
          </w:tcPr>
          <w:p w14:paraId="1FA453E8"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2.04</w:t>
            </w:r>
          </w:p>
        </w:tc>
        <w:tc>
          <w:tcPr>
            <w:tcW w:w="1249" w:type="dxa"/>
            <w:tcBorders>
              <w:top w:val="nil"/>
              <w:left w:val="nil"/>
              <w:bottom w:val="nil"/>
              <w:right w:val="nil"/>
            </w:tcBorders>
            <w:shd w:val="clear" w:color="auto" w:fill="auto"/>
            <w:noWrap/>
            <w:vAlign w:val="bottom"/>
            <w:hideMark/>
          </w:tcPr>
          <w:p w14:paraId="7E33A51F"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w:t>
            </w:r>
          </w:p>
        </w:tc>
      </w:tr>
      <w:tr w:rsidR="00A97000" w:rsidRPr="00A97000" w14:paraId="6729CDB0" w14:textId="77777777" w:rsidTr="00516A21">
        <w:trPr>
          <w:trHeight w:val="287"/>
        </w:trPr>
        <w:tc>
          <w:tcPr>
            <w:tcW w:w="5002" w:type="dxa"/>
            <w:tcBorders>
              <w:top w:val="nil"/>
              <w:left w:val="nil"/>
              <w:bottom w:val="single" w:sz="4" w:space="0" w:color="auto"/>
              <w:right w:val="nil"/>
            </w:tcBorders>
            <w:shd w:val="clear" w:color="auto" w:fill="auto"/>
            <w:noWrap/>
            <w:vAlign w:val="bottom"/>
            <w:hideMark/>
          </w:tcPr>
          <w:p w14:paraId="62B095F9"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Real Exchange Rate (local currency per US$)</w:t>
            </w:r>
          </w:p>
        </w:tc>
        <w:tc>
          <w:tcPr>
            <w:tcW w:w="1032" w:type="dxa"/>
            <w:tcBorders>
              <w:top w:val="nil"/>
              <w:left w:val="nil"/>
              <w:bottom w:val="single" w:sz="4" w:space="0" w:color="auto"/>
              <w:right w:val="nil"/>
            </w:tcBorders>
            <w:shd w:val="clear" w:color="auto" w:fill="auto"/>
            <w:noWrap/>
            <w:vAlign w:val="bottom"/>
            <w:hideMark/>
          </w:tcPr>
          <w:p w14:paraId="2B76667F"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−0.0184</w:t>
            </w:r>
          </w:p>
        </w:tc>
        <w:tc>
          <w:tcPr>
            <w:tcW w:w="1367" w:type="dxa"/>
            <w:tcBorders>
              <w:top w:val="nil"/>
              <w:left w:val="nil"/>
              <w:bottom w:val="single" w:sz="4" w:space="0" w:color="auto"/>
              <w:right w:val="nil"/>
            </w:tcBorders>
            <w:shd w:val="clear" w:color="auto" w:fill="auto"/>
            <w:noWrap/>
            <w:vAlign w:val="bottom"/>
            <w:hideMark/>
          </w:tcPr>
          <w:p w14:paraId="7846E555"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−1.882</w:t>
            </w:r>
          </w:p>
        </w:tc>
        <w:tc>
          <w:tcPr>
            <w:tcW w:w="1249" w:type="dxa"/>
            <w:tcBorders>
              <w:top w:val="nil"/>
              <w:left w:val="nil"/>
              <w:bottom w:val="single" w:sz="4" w:space="0" w:color="auto"/>
              <w:right w:val="nil"/>
            </w:tcBorders>
            <w:shd w:val="clear" w:color="auto" w:fill="auto"/>
            <w:noWrap/>
            <w:vAlign w:val="bottom"/>
            <w:hideMark/>
          </w:tcPr>
          <w:p w14:paraId="52D8EDDB"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w:t>
            </w:r>
          </w:p>
        </w:tc>
      </w:tr>
      <w:tr w:rsidR="002B5A1A" w:rsidRPr="00A97000" w14:paraId="15B02366" w14:textId="77777777" w:rsidTr="00516A21">
        <w:trPr>
          <w:trHeight w:val="287"/>
        </w:trPr>
        <w:tc>
          <w:tcPr>
            <w:tcW w:w="5002" w:type="dxa"/>
            <w:tcBorders>
              <w:top w:val="nil"/>
              <w:left w:val="nil"/>
              <w:bottom w:val="nil"/>
              <w:right w:val="nil"/>
            </w:tcBorders>
            <w:shd w:val="clear" w:color="auto" w:fill="auto"/>
            <w:noWrap/>
            <w:vAlign w:val="bottom"/>
          </w:tcPr>
          <w:p w14:paraId="3BEF3817" w14:textId="77777777" w:rsidR="00A97000" w:rsidRPr="001F0CF6" w:rsidRDefault="00A97000">
            <w:pPr>
              <w:rPr>
                <w:rFonts w:ascii="Calibri" w:hAnsi="Calibri"/>
                <w:b/>
                <w:color w:val="000000"/>
                <w:sz w:val="22"/>
                <w:szCs w:val="22"/>
              </w:rPr>
            </w:pPr>
          </w:p>
        </w:tc>
        <w:tc>
          <w:tcPr>
            <w:tcW w:w="1032" w:type="dxa"/>
            <w:tcBorders>
              <w:top w:val="nil"/>
              <w:left w:val="nil"/>
              <w:bottom w:val="nil"/>
              <w:right w:val="nil"/>
            </w:tcBorders>
            <w:shd w:val="clear" w:color="auto" w:fill="auto"/>
            <w:noWrap/>
            <w:vAlign w:val="bottom"/>
          </w:tcPr>
          <w:p w14:paraId="63479F53" w14:textId="77777777" w:rsidR="00A97000" w:rsidRPr="00A97000" w:rsidRDefault="00A97000">
            <w:pPr>
              <w:rPr>
                <w:rFonts w:ascii="Calibri" w:hAnsi="Calibri"/>
                <w:color w:val="000000"/>
                <w:sz w:val="20"/>
                <w:szCs w:val="22"/>
              </w:rPr>
            </w:pPr>
          </w:p>
        </w:tc>
        <w:tc>
          <w:tcPr>
            <w:tcW w:w="1367" w:type="dxa"/>
            <w:tcBorders>
              <w:top w:val="nil"/>
              <w:left w:val="nil"/>
              <w:bottom w:val="nil"/>
              <w:right w:val="nil"/>
            </w:tcBorders>
            <w:shd w:val="clear" w:color="auto" w:fill="auto"/>
            <w:noWrap/>
            <w:vAlign w:val="bottom"/>
          </w:tcPr>
          <w:p w14:paraId="4DB80C3E" w14:textId="77777777" w:rsidR="00A97000" w:rsidRPr="00A97000" w:rsidRDefault="00A97000">
            <w:pPr>
              <w:rPr>
                <w:rFonts w:ascii="Calibri" w:hAnsi="Calibri"/>
                <w:color w:val="000000"/>
                <w:sz w:val="20"/>
                <w:szCs w:val="22"/>
              </w:rPr>
            </w:pPr>
          </w:p>
        </w:tc>
        <w:tc>
          <w:tcPr>
            <w:tcW w:w="1249" w:type="dxa"/>
            <w:tcBorders>
              <w:top w:val="nil"/>
              <w:left w:val="nil"/>
              <w:bottom w:val="nil"/>
              <w:right w:val="nil"/>
            </w:tcBorders>
            <w:shd w:val="clear" w:color="auto" w:fill="auto"/>
            <w:noWrap/>
            <w:vAlign w:val="bottom"/>
          </w:tcPr>
          <w:p w14:paraId="28BA7F3E" w14:textId="77777777" w:rsidR="00A97000" w:rsidRPr="00A97000" w:rsidRDefault="00A97000">
            <w:pPr>
              <w:jc w:val="center"/>
              <w:rPr>
                <w:rFonts w:ascii="Calibri" w:hAnsi="Calibri"/>
                <w:color w:val="000000"/>
                <w:sz w:val="20"/>
                <w:szCs w:val="22"/>
              </w:rPr>
            </w:pPr>
          </w:p>
        </w:tc>
      </w:tr>
      <w:tr w:rsidR="00A97000" w:rsidRPr="00A97000" w14:paraId="0A703272" w14:textId="77777777" w:rsidTr="00516A21">
        <w:trPr>
          <w:trHeight w:val="287"/>
        </w:trPr>
        <w:tc>
          <w:tcPr>
            <w:tcW w:w="5002" w:type="dxa"/>
            <w:tcBorders>
              <w:top w:val="nil"/>
              <w:left w:val="nil"/>
              <w:bottom w:val="nil"/>
              <w:right w:val="nil"/>
            </w:tcBorders>
            <w:shd w:val="clear" w:color="auto" w:fill="auto"/>
            <w:noWrap/>
            <w:vAlign w:val="bottom"/>
            <w:hideMark/>
          </w:tcPr>
          <w:p w14:paraId="1D85295D" w14:textId="77777777" w:rsidR="007255EF" w:rsidRPr="00516A21" w:rsidRDefault="007255EF">
            <w:pPr>
              <w:rPr>
                <w:rFonts w:ascii="Calibri" w:hAnsi="Calibri"/>
                <w:b/>
                <w:color w:val="000000"/>
                <w:sz w:val="22"/>
                <w:szCs w:val="22"/>
              </w:rPr>
            </w:pPr>
            <w:r w:rsidRPr="00516A21">
              <w:rPr>
                <w:rFonts w:ascii="Calibri" w:hAnsi="Calibri"/>
                <w:b/>
                <w:color w:val="000000"/>
                <w:sz w:val="22"/>
                <w:szCs w:val="22"/>
              </w:rPr>
              <w:t>Model 3</w:t>
            </w:r>
          </w:p>
        </w:tc>
        <w:tc>
          <w:tcPr>
            <w:tcW w:w="1032" w:type="dxa"/>
            <w:tcBorders>
              <w:top w:val="nil"/>
              <w:left w:val="nil"/>
              <w:bottom w:val="nil"/>
              <w:right w:val="nil"/>
            </w:tcBorders>
            <w:shd w:val="clear" w:color="auto" w:fill="auto"/>
            <w:noWrap/>
            <w:vAlign w:val="bottom"/>
            <w:hideMark/>
          </w:tcPr>
          <w:p w14:paraId="1890863E" w14:textId="77777777" w:rsidR="007255EF" w:rsidRPr="00516A21" w:rsidRDefault="007255EF">
            <w:pPr>
              <w:rPr>
                <w:rFonts w:ascii="Calibri" w:hAnsi="Calibri"/>
                <w:color w:val="000000"/>
                <w:sz w:val="20"/>
                <w:szCs w:val="22"/>
              </w:rPr>
            </w:pPr>
          </w:p>
        </w:tc>
        <w:tc>
          <w:tcPr>
            <w:tcW w:w="1367" w:type="dxa"/>
            <w:tcBorders>
              <w:top w:val="nil"/>
              <w:left w:val="nil"/>
              <w:bottom w:val="nil"/>
              <w:right w:val="nil"/>
            </w:tcBorders>
            <w:shd w:val="clear" w:color="auto" w:fill="auto"/>
            <w:noWrap/>
            <w:vAlign w:val="bottom"/>
            <w:hideMark/>
          </w:tcPr>
          <w:p w14:paraId="7B7AB5E3" w14:textId="77777777" w:rsidR="007255EF" w:rsidRPr="00516A21" w:rsidRDefault="007255EF">
            <w:pPr>
              <w:rPr>
                <w:rFonts w:ascii="Calibri" w:hAnsi="Calibri"/>
                <w:color w:val="000000"/>
                <w:sz w:val="20"/>
                <w:szCs w:val="22"/>
              </w:rPr>
            </w:pPr>
          </w:p>
        </w:tc>
        <w:tc>
          <w:tcPr>
            <w:tcW w:w="1249" w:type="dxa"/>
            <w:tcBorders>
              <w:top w:val="nil"/>
              <w:left w:val="nil"/>
              <w:bottom w:val="nil"/>
              <w:right w:val="nil"/>
            </w:tcBorders>
            <w:shd w:val="clear" w:color="auto" w:fill="auto"/>
            <w:noWrap/>
            <w:vAlign w:val="bottom"/>
            <w:hideMark/>
          </w:tcPr>
          <w:p w14:paraId="2DA0BC9A" w14:textId="77777777" w:rsidR="007255EF" w:rsidRPr="00516A21" w:rsidRDefault="007255EF">
            <w:pPr>
              <w:jc w:val="center"/>
              <w:rPr>
                <w:rFonts w:ascii="Calibri" w:hAnsi="Calibri"/>
                <w:color w:val="000000"/>
                <w:sz w:val="20"/>
                <w:szCs w:val="22"/>
              </w:rPr>
            </w:pPr>
          </w:p>
        </w:tc>
      </w:tr>
      <w:tr w:rsidR="00A97000" w:rsidRPr="00A97000" w14:paraId="0A297343" w14:textId="77777777" w:rsidTr="00516A21">
        <w:trPr>
          <w:trHeight w:val="287"/>
        </w:trPr>
        <w:tc>
          <w:tcPr>
            <w:tcW w:w="5002" w:type="dxa"/>
            <w:tcBorders>
              <w:top w:val="nil"/>
              <w:left w:val="nil"/>
              <w:bottom w:val="nil"/>
              <w:right w:val="nil"/>
            </w:tcBorders>
            <w:shd w:val="clear" w:color="auto" w:fill="auto"/>
            <w:noWrap/>
            <w:vAlign w:val="bottom"/>
            <w:hideMark/>
          </w:tcPr>
          <w:p w14:paraId="0D4BF25E" w14:textId="77777777" w:rsidR="007255EF" w:rsidRPr="00516A21" w:rsidRDefault="007255EF">
            <w:pPr>
              <w:rPr>
                <w:rFonts w:ascii="Calibri" w:hAnsi="Calibri"/>
                <w:i/>
                <w:color w:val="000000"/>
                <w:sz w:val="18"/>
                <w:szCs w:val="22"/>
              </w:rPr>
            </w:pPr>
            <w:r w:rsidRPr="00516A21">
              <w:rPr>
                <w:rFonts w:ascii="Calibri" w:hAnsi="Calibri"/>
                <w:i/>
                <w:color w:val="000000"/>
                <w:sz w:val="18"/>
                <w:szCs w:val="22"/>
              </w:rPr>
              <w:t xml:space="preserve">Dynamic Panel Model, 85 </w:t>
            </w:r>
            <w:proofErr w:type="spellStart"/>
            <w:r w:rsidRPr="00516A21">
              <w:rPr>
                <w:rFonts w:ascii="Calibri" w:hAnsi="Calibri"/>
                <w:i/>
                <w:color w:val="000000"/>
                <w:sz w:val="18"/>
                <w:szCs w:val="22"/>
              </w:rPr>
              <w:t>obs</w:t>
            </w:r>
            <w:proofErr w:type="spellEnd"/>
          </w:p>
        </w:tc>
        <w:tc>
          <w:tcPr>
            <w:tcW w:w="1032" w:type="dxa"/>
            <w:tcBorders>
              <w:top w:val="nil"/>
              <w:left w:val="nil"/>
              <w:bottom w:val="nil"/>
              <w:right w:val="nil"/>
            </w:tcBorders>
            <w:shd w:val="clear" w:color="auto" w:fill="auto"/>
            <w:noWrap/>
            <w:vAlign w:val="bottom"/>
            <w:hideMark/>
          </w:tcPr>
          <w:p w14:paraId="359DC768" w14:textId="77777777" w:rsidR="007255EF" w:rsidRPr="00516A21" w:rsidRDefault="007255EF">
            <w:pPr>
              <w:rPr>
                <w:rFonts w:ascii="Calibri" w:hAnsi="Calibri"/>
                <w:i/>
                <w:color w:val="000000"/>
                <w:sz w:val="20"/>
                <w:szCs w:val="22"/>
              </w:rPr>
            </w:pPr>
          </w:p>
        </w:tc>
        <w:tc>
          <w:tcPr>
            <w:tcW w:w="1367" w:type="dxa"/>
            <w:tcBorders>
              <w:top w:val="nil"/>
              <w:left w:val="nil"/>
              <w:bottom w:val="nil"/>
              <w:right w:val="nil"/>
            </w:tcBorders>
            <w:shd w:val="clear" w:color="auto" w:fill="auto"/>
            <w:noWrap/>
            <w:vAlign w:val="bottom"/>
            <w:hideMark/>
          </w:tcPr>
          <w:p w14:paraId="00F7B0A9" w14:textId="77777777" w:rsidR="007255EF" w:rsidRPr="00516A21" w:rsidRDefault="007255EF">
            <w:pPr>
              <w:rPr>
                <w:rFonts w:ascii="Calibri" w:hAnsi="Calibri"/>
                <w:i/>
                <w:color w:val="000000"/>
                <w:sz w:val="20"/>
                <w:szCs w:val="22"/>
              </w:rPr>
            </w:pPr>
          </w:p>
        </w:tc>
        <w:tc>
          <w:tcPr>
            <w:tcW w:w="1249" w:type="dxa"/>
            <w:tcBorders>
              <w:top w:val="nil"/>
              <w:left w:val="nil"/>
              <w:bottom w:val="nil"/>
              <w:right w:val="nil"/>
            </w:tcBorders>
            <w:shd w:val="clear" w:color="auto" w:fill="auto"/>
            <w:noWrap/>
            <w:vAlign w:val="bottom"/>
            <w:hideMark/>
          </w:tcPr>
          <w:p w14:paraId="3940E8A2" w14:textId="77777777" w:rsidR="007255EF" w:rsidRPr="00516A21" w:rsidRDefault="007255EF">
            <w:pPr>
              <w:jc w:val="center"/>
              <w:rPr>
                <w:rFonts w:ascii="Calibri" w:hAnsi="Calibri"/>
                <w:i/>
                <w:color w:val="000000"/>
                <w:sz w:val="20"/>
                <w:szCs w:val="22"/>
              </w:rPr>
            </w:pPr>
          </w:p>
        </w:tc>
      </w:tr>
      <w:tr w:rsidR="00A97000" w:rsidRPr="00A97000" w14:paraId="0C9BD807" w14:textId="77777777" w:rsidTr="00516A21">
        <w:trPr>
          <w:trHeight w:val="287"/>
        </w:trPr>
        <w:tc>
          <w:tcPr>
            <w:tcW w:w="5002" w:type="dxa"/>
            <w:tcBorders>
              <w:top w:val="single" w:sz="4" w:space="0" w:color="auto"/>
              <w:left w:val="nil"/>
              <w:bottom w:val="nil"/>
              <w:right w:val="nil"/>
            </w:tcBorders>
            <w:shd w:val="clear" w:color="auto" w:fill="auto"/>
            <w:noWrap/>
            <w:vAlign w:val="bottom"/>
            <w:hideMark/>
          </w:tcPr>
          <w:p w14:paraId="73377933" w14:textId="316A56D6" w:rsidR="007255EF" w:rsidRPr="00516A21" w:rsidRDefault="007255EF">
            <w:pPr>
              <w:rPr>
                <w:rFonts w:ascii="Calibri" w:hAnsi="Calibri"/>
                <w:color w:val="000000"/>
                <w:sz w:val="20"/>
                <w:szCs w:val="22"/>
              </w:rPr>
            </w:pPr>
            <w:proofErr w:type="spellStart"/>
            <w:r w:rsidRPr="00516A21">
              <w:rPr>
                <w:rFonts w:ascii="Calibri" w:hAnsi="Calibri"/>
                <w:color w:val="000000"/>
                <w:sz w:val="20"/>
                <w:szCs w:val="22"/>
              </w:rPr>
              <w:t>Const</w:t>
            </w:r>
            <w:proofErr w:type="spellEnd"/>
          </w:p>
        </w:tc>
        <w:tc>
          <w:tcPr>
            <w:tcW w:w="1032" w:type="dxa"/>
            <w:tcBorders>
              <w:top w:val="single" w:sz="4" w:space="0" w:color="auto"/>
              <w:left w:val="nil"/>
              <w:bottom w:val="nil"/>
              <w:right w:val="nil"/>
            </w:tcBorders>
            <w:shd w:val="clear" w:color="auto" w:fill="auto"/>
            <w:noWrap/>
            <w:vAlign w:val="bottom"/>
            <w:hideMark/>
          </w:tcPr>
          <w:p w14:paraId="32318BA5" w14:textId="76B5E7A6" w:rsidR="007255EF" w:rsidRPr="00516A21" w:rsidRDefault="007255EF">
            <w:pPr>
              <w:jc w:val="center"/>
              <w:rPr>
                <w:rFonts w:ascii="Calibri" w:hAnsi="Calibri"/>
                <w:color w:val="000000"/>
                <w:sz w:val="20"/>
                <w:szCs w:val="22"/>
              </w:rPr>
            </w:pPr>
            <w:r w:rsidRPr="00516A21">
              <w:rPr>
                <w:rFonts w:ascii="Calibri" w:hAnsi="Calibri"/>
                <w:color w:val="000000"/>
                <w:sz w:val="20"/>
                <w:szCs w:val="22"/>
              </w:rPr>
              <w:t>−0.0191</w:t>
            </w:r>
          </w:p>
        </w:tc>
        <w:tc>
          <w:tcPr>
            <w:tcW w:w="1367" w:type="dxa"/>
            <w:tcBorders>
              <w:top w:val="single" w:sz="4" w:space="0" w:color="auto"/>
              <w:left w:val="nil"/>
              <w:bottom w:val="nil"/>
              <w:right w:val="nil"/>
            </w:tcBorders>
            <w:shd w:val="clear" w:color="auto" w:fill="auto"/>
            <w:noWrap/>
            <w:vAlign w:val="bottom"/>
            <w:hideMark/>
          </w:tcPr>
          <w:p w14:paraId="31C704FF" w14:textId="6EB9F755" w:rsidR="007255EF" w:rsidRPr="00516A21" w:rsidRDefault="007255EF">
            <w:pPr>
              <w:jc w:val="center"/>
              <w:rPr>
                <w:rFonts w:ascii="Calibri" w:hAnsi="Calibri"/>
                <w:color w:val="000000"/>
                <w:sz w:val="20"/>
                <w:szCs w:val="22"/>
              </w:rPr>
            </w:pPr>
            <w:r w:rsidRPr="00516A21">
              <w:rPr>
                <w:rFonts w:ascii="Calibri" w:hAnsi="Calibri"/>
                <w:color w:val="000000"/>
                <w:sz w:val="20"/>
                <w:szCs w:val="22"/>
              </w:rPr>
              <w:t>−0.4463</w:t>
            </w:r>
          </w:p>
        </w:tc>
        <w:tc>
          <w:tcPr>
            <w:tcW w:w="1249" w:type="dxa"/>
            <w:tcBorders>
              <w:top w:val="single" w:sz="4" w:space="0" w:color="auto"/>
              <w:left w:val="nil"/>
              <w:bottom w:val="nil"/>
              <w:right w:val="nil"/>
            </w:tcBorders>
            <w:shd w:val="clear" w:color="auto" w:fill="auto"/>
            <w:noWrap/>
            <w:vAlign w:val="bottom"/>
            <w:hideMark/>
          </w:tcPr>
          <w:p w14:paraId="3B176C20" w14:textId="6F526D84" w:rsidR="007255EF" w:rsidRPr="00516A21" w:rsidRDefault="007255EF">
            <w:pPr>
              <w:jc w:val="center"/>
              <w:rPr>
                <w:rFonts w:ascii="Calibri" w:hAnsi="Calibri"/>
                <w:color w:val="000000"/>
                <w:sz w:val="20"/>
                <w:szCs w:val="22"/>
              </w:rPr>
            </w:pPr>
          </w:p>
        </w:tc>
      </w:tr>
      <w:tr w:rsidR="00A97000" w:rsidRPr="00A97000" w14:paraId="56CC25F6" w14:textId="77777777" w:rsidTr="00516A21">
        <w:trPr>
          <w:trHeight w:val="287"/>
        </w:trPr>
        <w:tc>
          <w:tcPr>
            <w:tcW w:w="5002" w:type="dxa"/>
            <w:tcBorders>
              <w:top w:val="nil"/>
              <w:left w:val="nil"/>
              <w:bottom w:val="nil"/>
              <w:right w:val="nil"/>
            </w:tcBorders>
            <w:shd w:val="clear" w:color="auto" w:fill="auto"/>
            <w:noWrap/>
            <w:vAlign w:val="bottom"/>
            <w:hideMark/>
          </w:tcPr>
          <w:p w14:paraId="51BB3432" w14:textId="41B5031F" w:rsidR="007255EF" w:rsidRPr="00516A21" w:rsidRDefault="007255EF">
            <w:pPr>
              <w:rPr>
                <w:rFonts w:ascii="Calibri" w:hAnsi="Calibri"/>
                <w:color w:val="000000"/>
                <w:sz w:val="20"/>
                <w:szCs w:val="22"/>
              </w:rPr>
            </w:pPr>
            <w:r w:rsidRPr="00516A21">
              <w:rPr>
                <w:rFonts w:ascii="Calibri" w:hAnsi="Calibri"/>
                <w:color w:val="000000"/>
                <w:sz w:val="20"/>
                <w:szCs w:val="22"/>
              </w:rPr>
              <w:t>Dependent Variable  - 1y lag (Yt-1)</w:t>
            </w:r>
          </w:p>
        </w:tc>
        <w:tc>
          <w:tcPr>
            <w:tcW w:w="1032" w:type="dxa"/>
            <w:tcBorders>
              <w:top w:val="nil"/>
              <w:left w:val="nil"/>
              <w:bottom w:val="nil"/>
              <w:right w:val="nil"/>
            </w:tcBorders>
            <w:shd w:val="clear" w:color="auto" w:fill="auto"/>
            <w:noWrap/>
            <w:vAlign w:val="bottom"/>
            <w:hideMark/>
          </w:tcPr>
          <w:p w14:paraId="15CE5016" w14:textId="0131AE65" w:rsidR="007255EF" w:rsidRPr="00516A21" w:rsidRDefault="007255EF">
            <w:pPr>
              <w:jc w:val="center"/>
              <w:rPr>
                <w:rFonts w:ascii="Calibri" w:hAnsi="Calibri"/>
                <w:color w:val="000000"/>
                <w:sz w:val="20"/>
                <w:szCs w:val="22"/>
              </w:rPr>
            </w:pPr>
            <w:r w:rsidRPr="00516A21">
              <w:rPr>
                <w:rFonts w:ascii="Calibri" w:hAnsi="Calibri"/>
                <w:color w:val="000000"/>
                <w:sz w:val="20"/>
                <w:szCs w:val="22"/>
              </w:rPr>
              <w:t>−0.171</w:t>
            </w:r>
          </w:p>
        </w:tc>
        <w:tc>
          <w:tcPr>
            <w:tcW w:w="1367" w:type="dxa"/>
            <w:tcBorders>
              <w:top w:val="nil"/>
              <w:left w:val="nil"/>
              <w:bottom w:val="nil"/>
              <w:right w:val="nil"/>
            </w:tcBorders>
            <w:shd w:val="clear" w:color="auto" w:fill="auto"/>
            <w:noWrap/>
            <w:vAlign w:val="bottom"/>
            <w:hideMark/>
          </w:tcPr>
          <w:p w14:paraId="26E32161" w14:textId="07BBC4A8" w:rsidR="007255EF" w:rsidRPr="00516A21" w:rsidRDefault="007255EF">
            <w:pPr>
              <w:jc w:val="center"/>
              <w:rPr>
                <w:rFonts w:ascii="Calibri" w:hAnsi="Calibri"/>
                <w:color w:val="000000"/>
                <w:sz w:val="20"/>
                <w:szCs w:val="22"/>
              </w:rPr>
            </w:pPr>
            <w:r w:rsidRPr="00516A21">
              <w:rPr>
                <w:rFonts w:ascii="Calibri" w:hAnsi="Calibri"/>
                <w:color w:val="000000"/>
                <w:sz w:val="20"/>
                <w:szCs w:val="22"/>
              </w:rPr>
              <w:t>−1.65</w:t>
            </w:r>
          </w:p>
        </w:tc>
        <w:tc>
          <w:tcPr>
            <w:tcW w:w="1249" w:type="dxa"/>
            <w:tcBorders>
              <w:top w:val="nil"/>
              <w:left w:val="nil"/>
              <w:bottom w:val="nil"/>
              <w:right w:val="nil"/>
            </w:tcBorders>
            <w:shd w:val="clear" w:color="auto" w:fill="auto"/>
            <w:noWrap/>
            <w:vAlign w:val="bottom"/>
            <w:hideMark/>
          </w:tcPr>
          <w:p w14:paraId="7284415B" w14:textId="49741A93" w:rsidR="007255EF" w:rsidRPr="00516A21" w:rsidRDefault="007255EF">
            <w:pPr>
              <w:jc w:val="center"/>
              <w:rPr>
                <w:rFonts w:ascii="Calibri" w:hAnsi="Calibri"/>
                <w:color w:val="000000"/>
                <w:sz w:val="20"/>
                <w:szCs w:val="22"/>
              </w:rPr>
            </w:pPr>
            <w:r w:rsidRPr="00516A21">
              <w:rPr>
                <w:rFonts w:ascii="Calibri" w:hAnsi="Calibri"/>
                <w:color w:val="000000"/>
                <w:sz w:val="20"/>
                <w:szCs w:val="22"/>
              </w:rPr>
              <w:t>*</w:t>
            </w:r>
          </w:p>
        </w:tc>
      </w:tr>
      <w:tr w:rsidR="00A97000" w:rsidRPr="00A97000" w14:paraId="23F8EAE0" w14:textId="77777777" w:rsidTr="00516A21">
        <w:trPr>
          <w:trHeight w:val="287"/>
        </w:trPr>
        <w:tc>
          <w:tcPr>
            <w:tcW w:w="5002" w:type="dxa"/>
            <w:tcBorders>
              <w:top w:val="nil"/>
              <w:left w:val="nil"/>
              <w:bottom w:val="nil"/>
              <w:right w:val="nil"/>
            </w:tcBorders>
            <w:shd w:val="clear" w:color="auto" w:fill="auto"/>
            <w:noWrap/>
            <w:vAlign w:val="bottom"/>
            <w:hideMark/>
          </w:tcPr>
          <w:p w14:paraId="70D92967"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CR (Log Domestic Credit by Banks % of GDP)</w:t>
            </w:r>
          </w:p>
        </w:tc>
        <w:tc>
          <w:tcPr>
            <w:tcW w:w="1032" w:type="dxa"/>
            <w:tcBorders>
              <w:top w:val="nil"/>
              <w:left w:val="nil"/>
              <w:bottom w:val="nil"/>
              <w:right w:val="nil"/>
            </w:tcBorders>
            <w:shd w:val="clear" w:color="auto" w:fill="auto"/>
            <w:noWrap/>
            <w:vAlign w:val="bottom"/>
            <w:hideMark/>
          </w:tcPr>
          <w:p w14:paraId="561648DB"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−0.350</w:t>
            </w:r>
          </w:p>
        </w:tc>
        <w:tc>
          <w:tcPr>
            <w:tcW w:w="1367" w:type="dxa"/>
            <w:tcBorders>
              <w:top w:val="nil"/>
              <w:left w:val="nil"/>
              <w:bottom w:val="nil"/>
              <w:right w:val="nil"/>
            </w:tcBorders>
            <w:shd w:val="clear" w:color="auto" w:fill="auto"/>
            <w:noWrap/>
            <w:vAlign w:val="bottom"/>
            <w:hideMark/>
          </w:tcPr>
          <w:p w14:paraId="2FF5DDBD"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−0.3261</w:t>
            </w:r>
          </w:p>
        </w:tc>
        <w:tc>
          <w:tcPr>
            <w:tcW w:w="1249" w:type="dxa"/>
            <w:tcBorders>
              <w:top w:val="nil"/>
              <w:left w:val="nil"/>
              <w:bottom w:val="nil"/>
              <w:right w:val="nil"/>
            </w:tcBorders>
            <w:shd w:val="clear" w:color="auto" w:fill="auto"/>
            <w:noWrap/>
            <w:vAlign w:val="bottom"/>
            <w:hideMark/>
          </w:tcPr>
          <w:p w14:paraId="06486FE2" w14:textId="77777777" w:rsidR="007255EF" w:rsidRPr="00516A21" w:rsidRDefault="007255EF">
            <w:pPr>
              <w:jc w:val="center"/>
              <w:rPr>
                <w:rFonts w:ascii="Calibri" w:hAnsi="Calibri"/>
                <w:color w:val="000000"/>
                <w:sz w:val="20"/>
                <w:szCs w:val="22"/>
              </w:rPr>
            </w:pPr>
          </w:p>
        </w:tc>
      </w:tr>
      <w:tr w:rsidR="00A97000" w:rsidRPr="00A97000" w14:paraId="24CA362A" w14:textId="77777777" w:rsidTr="00516A21">
        <w:trPr>
          <w:trHeight w:val="287"/>
        </w:trPr>
        <w:tc>
          <w:tcPr>
            <w:tcW w:w="5002" w:type="dxa"/>
            <w:tcBorders>
              <w:top w:val="nil"/>
              <w:left w:val="nil"/>
              <w:bottom w:val="nil"/>
              <w:right w:val="nil"/>
            </w:tcBorders>
            <w:shd w:val="clear" w:color="auto" w:fill="auto"/>
            <w:noWrap/>
            <w:vAlign w:val="bottom"/>
            <w:hideMark/>
          </w:tcPr>
          <w:p w14:paraId="1F574894"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National Debt (% of GDP)</w:t>
            </w:r>
          </w:p>
        </w:tc>
        <w:tc>
          <w:tcPr>
            <w:tcW w:w="1032" w:type="dxa"/>
            <w:tcBorders>
              <w:top w:val="nil"/>
              <w:left w:val="nil"/>
              <w:bottom w:val="nil"/>
              <w:right w:val="nil"/>
            </w:tcBorders>
            <w:shd w:val="clear" w:color="auto" w:fill="auto"/>
            <w:noWrap/>
            <w:vAlign w:val="bottom"/>
            <w:hideMark/>
          </w:tcPr>
          <w:p w14:paraId="728807E4"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−0.093</w:t>
            </w:r>
          </w:p>
        </w:tc>
        <w:tc>
          <w:tcPr>
            <w:tcW w:w="1367" w:type="dxa"/>
            <w:tcBorders>
              <w:top w:val="nil"/>
              <w:left w:val="nil"/>
              <w:bottom w:val="nil"/>
              <w:right w:val="nil"/>
            </w:tcBorders>
            <w:shd w:val="clear" w:color="auto" w:fill="auto"/>
            <w:noWrap/>
            <w:vAlign w:val="bottom"/>
            <w:hideMark/>
          </w:tcPr>
          <w:p w14:paraId="67A3A385"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−3.541</w:t>
            </w:r>
          </w:p>
        </w:tc>
        <w:tc>
          <w:tcPr>
            <w:tcW w:w="1249" w:type="dxa"/>
            <w:tcBorders>
              <w:top w:val="nil"/>
              <w:left w:val="nil"/>
              <w:bottom w:val="nil"/>
              <w:right w:val="nil"/>
            </w:tcBorders>
            <w:shd w:val="clear" w:color="auto" w:fill="auto"/>
            <w:noWrap/>
            <w:vAlign w:val="bottom"/>
            <w:hideMark/>
          </w:tcPr>
          <w:p w14:paraId="0BC52286"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w:t>
            </w:r>
          </w:p>
        </w:tc>
      </w:tr>
      <w:tr w:rsidR="00A97000" w:rsidRPr="00A97000" w14:paraId="3F6ABC0E" w14:textId="77777777" w:rsidTr="00516A21">
        <w:trPr>
          <w:trHeight w:val="287"/>
        </w:trPr>
        <w:tc>
          <w:tcPr>
            <w:tcW w:w="5002" w:type="dxa"/>
            <w:tcBorders>
              <w:top w:val="nil"/>
              <w:left w:val="nil"/>
              <w:bottom w:val="nil"/>
              <w:right w:val="nil"/>
            </w:tcBorders>
            <w:shd w:val="clear" w:color="auto" w:fill="auto"/>
            <w:noWrap/>
            <w:vAlign w:val="bottom"/>
            <w:hideMark/>
          </w:tcPr>
          <w:p w14:paraId="7C8CA7AB"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Real Investment (% of GDP)</w:t>
            </w:r>
          </w:p>
        </w:tc>
        <w:tc>
          <w:tcPr>
            <w:tcW w:w="1032" w:type="dxa"/>
            <w:tcBorders>
              <w:top w:val="nil"/>
              <w:left w:val="nil"/>
              <w:bottom w:val="nil"/>
              <w:right w:val="nil"/>
            </w:tcBorders>
            <w:shd w:val="clear" w:color="auto" w:fill="auto"/>
            <w:noWrap/>
            <w:vAlign w:val="bottom"/>
            <w:hideMark/>
          </w:tcPr>
          <w:p w14:paraId="3B095716"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0.107</w:t>
            </w:r>
          </w:p>
        </w:tc>
        <w:tc>
          <w:tcPr>
            <w:tcW w:w="1367" w:type="dxa"/>
            <w:tcBorders>
              <w:top w:val="nil"/>
              <w:left w:val="nil"/>
              <w:bottom w:val="nil"/>
              <w:right w:val="nil"/>
            </w:tcBorders>
            <w:shd w:val="clear" w:color="auto" w:fill="auto"/>
            <w:noWrap/>
            <w:vAlign w:val="bottom"/>
            <w:hideMark/>
          </w:tcPr>
          <w:p w14:paraId="705ECC84"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1.716</w:t>
            </w:r>
          </w:p>
        </w:tc>
        <w:tc>
          <w:tcPr>
            <w:tcW w:w="1249" w:type="dxa"/>
            <w:tcBorders>
              <w:top w:val="nil"/>
              <w:left w:val="nil"/>
              <w:bottom w:val="nil"/>
              <w:right w:val="nil"/>
            </w:tcBorders>
            <w:shd w:val="clear" w:color="auto" w:fill="auto"/>
            <w:noWrap/>
            <w:vAlign w:val="bottom"/>
            <w:hideMark/>
          </w:tcPr>
          <w:p w14:paraId="7FD8E8DF"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w:t>
            </w:r>
          </w:p>
        </w:tc>
      </w:tr>
      <w:tr w:rsidR="00A97000" w:rsidRPr="00A97000" w14:paraId="1AE5F141" w14:textId="77777777" w:rsidTr="00516A21">
        <w:trPr>
          <w:trHeight w:val="287"/>
        </w:trPr>
        <w:tc>
          <w:tcPr>
            <w:tcW w:w="5002" w:type="dxa"/>
            <w:tcBorders>
              <w:top w:val="nil"/>
              <w:left w:val="nil"/>
              <w:bottom w:val="single" w:sz="4" w:space="0" w:color="auto"/>
              <w:right w:val="nil"/>
            </w:tcBorders>
            <w:shd w:val="clear" w:color="auto" w:fill="auto"/>
            <w:noWrap/>
            <w:vAlign w:val="bottom"/>
            <w:hideMark/>
          </w:tcPr>
          <w:p w14:paraId="7CBD4777" w14:textId="77777777" w:rsidR="007255EF" w:rsidRPr="00516A21" w:rsidRDefault="007255EF">
            <w:pPr>
              <w:rPr>
                <w:rFonts w:ascii="Calibri" w:hAnsi="Calibri"/>
                <w:color w:val="000000"/>
                <w:sz w:val="20"/>
                <w:szCs w:val="22"/>
              </w:rPr>
            </w:pPr>
            <w:r w:rsidRPr="00516A21">
              <w:rPr>
                <w:rFonts w:ascii="Calibri" w:hAnsi="Calibri"/>
                <w:color w:val="000000"/>
                <w:sz w:val="20"/>
                <w:szCs w:val="22"/>
              </w:rPr>
              <w:t>Real Exchange Rate (local currency per US$)</w:t>
            </w:r>
          </w:p>
        </w:tc>
        <w:tc>
          <w:tcPr>
            <w:tcW w:w="1032" w:type="dxa"/>
            <w:tcBorders>
              <w:top w:val="nil"/>
              <w:left w:val="nil"/>
              <w:bottom w:val="single" w:sz="4" w:space="0" w:color="auto"/>
              <w:right w:val="nil"/>
            </w:tcBorders>
            <w:shd w:val="clear" w:color="auto" w:fill="auto"/>
            <w:noWrap/>
            <w:vAlign w:val="bottom"/>
            <w:hideMark/>
          </w:tcPr>
          <w:p w14:paraId="046B8D08"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−0.036</w:t>
            </w:r>
          </w:p>
        </w:tc>
        <w:tc>
          <w:tcPr>
            <w:tcW w:w="1367" w:type="dxa"/>
            <w:tcBorders>
              <w:top w:val="nil"/>
              <w:left w:val="nil"/>
              <w:bottom w:val="single" w:sz="4" w:space="0" w:color="auto"/>
              <w:right w:val="nil"/>
            </w:tcBorders>
            <w:shd w:val="clear" w:color="auto" w:fill="auto"/>
            <w:noWrap/>
            <w:vAlign w:val="bottom"/>
            <w:hideMark/>
          </w:tcPr>
          <w:p w14:paraId="2D0E157E"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−3.024</w:t>
            </w:r>
          </w:p>
        </w:tc>
        <w:tc>
          <w:tcPr>
            <w:tcW w:w="1249" w:type="dxa"/>
            <w:tcBorders>
              <w:top w:val="nil"/>
              <w:left w:val="nil"/>
              <w:bottom w:val="single" w:sz="4" w:space="0" w:color="auto"/>
              <w:right w:val="nil"/>
            </w:tcBorders>
            <w:shd w:val="clear" w:color="auto" w:fill="auto"/>
            <w:noWrap/>
            <w:vAlign w:val="bottom"/>
            <w:hideMark/>
          </w:tcPr>
          <w:p w14:paraId="105B5559" w14:textId="77777777" w:rsidR="007255EF" w:rsidRPr="00516A21" w:rsidRDefault="007255EF">
            <w:pPr>
              <w:jc w:val="center"/>
              <w:rPr>
                <w:rFonts w:ascii="Calibri" w:hAnsi="Calibri"/>
                <w:color w:val="000000"/>
                <w:sz w:val="20"/>
                <w:szCs w:val="22"/>
              </w:rPr>
            </w:pPr>
            <w:r w:rsidRPr="00516A21">
              <w:rPr>
                <w:rFonts w:ascii="Calibri" w:hAnsi="Calibri"/>
                <w:color w:val="000000"/>
                <w:sz w:val="20"/>
                <w:szCs w:val="22"/>
              </w:rPr>
              <w:t>***</w:t>
            </w:r>
          </w:p>
        </w:tc>
      </w:tr>
      <w:tr w:rsidR="007255EF" w:rsidRPr="00A523D9" w14:paraId="1A226D06" w14:textId="77777777" w:rsidTr="00516A21">
        <w:trPr>
          <w:trHeight w:val="287"/>
        </w:trPr>
        <w:tc>
          <w:tcPr>
            <w:tcW w:w="5002" w:type="dxa"/>
            <w:tcBorders>
              <w:top w:val="nil"/>
              <w:left w:val="nil"/>
              <w:bottom w:val="nil"/>
              <w:right w:val="nil"/>
            </w:tcBorders>
            <w:shd w:val="clear" w:color="auto" w:fill="auto"/>
            <w:noWrap/>
            <w:vAlign w:val="bottom"/>
            <w:hideMark/>
          </w:tcPr>
          <w:p w14:paraId="02650DC1" w14:textId="77777777" w:rsidR="007255EF" w:rsidRPr="00516A21" w:rsidRDefault="007255EF">
            <w:pPr>
              <w:rPr>
                <w:rFonts w:ascii="Calibri" w:hAnsi="Calibri"/>
                <w:i/>
                <w:color w:val="000000"/>
                <w:sz w:val="18"/>
                <w:szCs w:val="22"/>
              </w:rPr>
            </w:pPr>
            <w:r w:rsidRPr="00516A21">
              <w:rPr>
                <w:rFonts w:ascii="Calibri" w:hAnsi="Calibri"/>
                <w:i/>
                <w:color w:val="000000"/>
                <w:sz w:val="18"/>
                <w:szCs w:val="22"/>
              </w:rPr>
              <w:t>Wald Test Chi Square (5) and p-value: 23.51 (&lt; 1%)</w:t>
            </w:r>
          </w:p>
        </w:tc>
        <w:tc>
          <w:tcPr>
            <w:tcW w:w="1032" w:type="dxa"/>
            <w:tcBorders>
              <w:top w:val="nil"/>
              <w:left w:val="nil"/>
              <w:bottom w:val="nil"/>
              <w:right w:val="nil"/>
            </w:tcBorders>
            <w:shd w:val="clear" w:color="auto" w:fill="auto"/>
            <w:noWrap/>
            <w:vAlign w:val="bottom"/>
            <w:hideMark/>
          </w:tcPr>
          <w:p w14:paraId="79CD4EFF" w14:textId="77777777" w:rsidR="007255EF" w:rsidRPr="00516A21" w:rsidRDefault="007255EF">
            <w:pPr>
              <w:rPr>
                <w:rFonts w:ascii="Calibri" w:hAnsi="Calibri"/>
                <w:i/>
                <w:color w:val="000000"/>
                <w:sz w:val="18"/>
                <w:szCs w:val="22"/>
              </w:rPr>
            </w:pPr>
          </w:p>
        </w:tc>
        <w:tc>
          <w:tcPr>
            <w:tcW w:w="1367" w:type="dxa"/>
            <w:tcBorders>
              <w:top w:val="nil"/>
              <w:left w:val="nil"/>
              <w:bottom w:val="nil"/>
              <w:right w:val="nil"/>
            </w:tcBorders>
            <w:shd w:val="clear" w:color="auto" w:fill="auto"/>
            <w:noWrap/>
            <w:vAlign w:val="bottom"/>
            <w:hideMark/>
          </w:tcPr>
          <w:p w14:paraId="545C7B15" w14:textId="77777777" w:rsidR="007255EF" w:rsidRPr="00516A21" w:rsidRDefault="007255EF">
            <w:pPr>
              <w:rPr>
                <w:rFonts w:ascii="Calibri" w:hAnsi="Calibri"/>
                <w:i/>
                <w:color w:val="000000"/>
                <w:sz w:val="18"/>
                <w:szCs w:val="22"/>
              </w:rPr>
            </w:pPr>
          </w:p>
        </w:tc>
        <w:tc>
          <w:tcPr>
            <w:tcW w:w="1249" w:type="dxa"/>
            <w:tcBorders>
              <w:top w:val="nil"/>
              <w:left w:val="nil"/>
              <w:bottom w:val="nil"/>
              <w:right w:val="nil"/>
            </w:tcBorders>
            <w:shd w:val="clear" w:color="auto" w:fill="auto"/>
            <w:noWrap/>
            <w:vAlign w:val="bottom"/>
            <w:hideMark/>
          </w:tcPr>
          <w:p w14:paraId="7AEABB5A" w14:textId="77777777" w:rsidR="007255EF" w:rsidRPr="00516A21" w:rsidRDefault="007255EF">
            <w:pPr>
              <w:rPr>
                <w:rFonts w:ascii="Calibri" w:hAnsi="Calibri"/>
                <w:i/>
                <w:color w:val="000000"/>
                <w:sz w:val="18"/>
                <w:szCs w:val="22"/>
              </w:rPr>
            </w:pPr>
          </w:p>
        </w:tc>
      </w:tr>
      <w:tr w:rsidR="007255EF" w:rsidRPr="00A523D9" w14:paraId="50C8AC88" w14:textId="77777777" w:rsidTr="00516A21">
        <w:trPr>
          <w:trHeight w:val="287"/>
        </w:trPr>
        <w:tc>
          <w:tcPr>
            <w:tcW w:w="5002" w:type="dxa"/>
            <w:tcBorders>
              <w:top w:val="nil"/>
              <w:left w:val="nil"/>
              <w:right w:val="nil"/>
            </w:tcBorders>
            <w:shd w:val="clear" w:color="auto" w:fill="auto"/>
            <w:noWrap/>
            <w:vAlign w:val="bottom"/>
            <w:hideMark/>
          </w:tcPr>
          <w:p w14:paraId="35BD464A" w14:textId="77777777" w:rsidR="007255EF" w:rsidRPr="00516A21" w:rsidRDefault="007255EF">
            <w:pPr>
              <w:rPr>
                <w:rFonts w:ascii="Calibri" w:hAnsi="Calibri"/>
                <w:i/>
                <w:color w:val="000000"/>
                <w:sz w:val="18"/>
                <w:szCs w:val="22"/>
              </w:rPr>
            </w:pPr>
            <w:r w:rsidRPr="00516A21">
              <w:rPr>
                <w:rFonts w:ascii="Calibri" w:hAnsi="Calibri"/>
                <w:i/>
                <w:color w:val="000000"/>
                <w:sz w:val="18"/>
                <w:szCs w:val="22"/>
              </w:rPr>
              <w:t xml:space="preserve">Test for </w:t>
            </w:r>
            <w:proofErr w:type="gramStart"/>
            <w:r w:rsidRPr="00516A21">
              <w:rPr>
                <w:rFonts w:ascii="Calibri" w:hAnsi="Calibri"/>
                <w:i/>
                <w:color w:val="000000"/>
                <w:sz w:val="18"/>
                <w:szCs w:val="22"/>
              </w:rPr>
              <w:t>AR(</w:t>
            </w:r>
            <w:proofErr w:type="gramEnd"/>
            <w:r w:rsidRPr="00516A21">
              <w:rPr>
                <w:rFonts w:ascii="Calibri" w:hAnsi="Calibri"/>
                <w:i/>
                <w:color w:val="000000"/>
                <w:sz w:val="18"/>
                <w:szCs w:val="22"/>
              </w:rPr>
              <w:t>1) errors and p-value: -5.21 (&lt;1%)</w:t>
            </w:r>
          </w:p>
        </w:tc>
        <w:tc>
          <w:tcPr>
            <w:tcW w:w="1032" w:type="dxa"/>
            <w:tcBorders>
              <w:top w:val="nil"/>
              <w:left w:val="nil"/>
              <w:right w:val="nil"/>
            </w:tcBorders>
            <w:shd w:val="clear" w:color="auto" w:fill="auto"/>
            <w:noWrap/>
            <w:vAlign w:val="bottom"/>
            <w:hideMark/>
          </w:tcPr>
          <w:p w14:paraId="393E46D2" w14:textId="77777777" w:rsidR="007255EF" w:rsidRPr="00516A21" w:rsidRDefault="007255EF">
            <w:pPr>
              <w:rPr>
                <w:rFonts w:ascii="Calibri" w:hAnsi="Calibri"/>
                <w:i/>
                <w:color w:val="000000"/>
                <w:sz w:val="18"/>
                <w:szCs w:val="22"/>
              </w:rPr>
            </w:pPr>
          </w:p>
        </w:tc>
        <w:tc>
          <w:tcPr>
            <w:tcW w:w="1367" w:type="dxa"/>
            <w:tcBorders>
              <w:top w:val="nil"/>
              <w:left w:val="nil"/>
              <w:right w:val="nil"/>
            </w:tcBorders>
            <w:shd w:val="clear" w:color="auto" w:fill="auto"/>
            <w:noWrap/>
            <w:vAlign w:val="bottom"/>
            <w:hideMark/>
          </w:tcPr>
          <w:p w14:paraId="252FBA23" w14:textId="77777777" w:rsidR="007255EF" w:rsidRPr="00516A21" w:rsidRDefault="007255EF">
            <w:pPr>
              <w:rPr>
                <w:rFonts w:ascii="Calibri" w:hAnsi="Calibri"/>
                <w:i/>
                <w:color w:val="000000"/>
                <w:sz w:val="18"/>
                <w:szCs w:val="22"/>
              </w:rPr>
            </w:pPr>
          </w:p>
        </w:tc>
        <w:tc>
          <w:tcPr>
            <w:tcW w:w="1249" w:type="dxa"/>
            <w:tcBorders>
              <w:top w:val="nil"/>
              <w:left w:val="nil"/>
              <w:right w:val="nil"/>
            </w:tcBorders>
            <w:shd w:val="clear" w:color="auto" w:fill="auto"/>
            <w:noWrap/>
            <w:vAlign w:val="bottom"/>
            <w:hideMark/>
          </w:tcPr>
          <w:p w14:paraId="33048E02" w14:textId="77777777" w:rsidR="007255EF" w:rsidRPr="00516A21" w:rsidRDefault="007255EF">
            <w:pPr>
              <w:rPr>
                <w:rFonts w:ascii="Calibri" w:hAnsi="Calibri"/>
                <w:i/>
                <w:color w:val="000000"/>
                <w:sz w:val="18"/>
                <w:szCs w:val="22"/>
              </w:rPr>
            </w:pPr>
          </w:p>
        </w:tc>
      </w:tr>
      <w:tr w:rsidR="007255EF" w:rsidRPr="00A523D9" w14:paraId="07BF1545" w14:textId="77777777" w:rsidTr="00516A21">
        <w:trPr>
          <w:trHeight w:val="287"/>
        </w:trPr>
        <w:tc>
          <w:tcPr>
            <w:tcW w:w="5002" w:type="dxa"/>
            <w:tcBorders>
              <w:top w:val="nil"/>
              <w:left w:val="nil"/>
              <w:bottom w:val="single" w:sz="4" w:space="0" w:color="auto"/>
              <w:right w:val="nil"/>
            </w:tcBorders>
            <w:shd w:val="clear" w:color="auto" w:fill="auto"/>
            <w:noWrap/>
            <w:vAlign w:val="bottom"/>
            <w:hideMark/>
          </w:tcPr>
          <w:p w14:paraId="3D8FB406" w14:textId="77777777" w:rsidR="007255EF" w:rsidRPr="00516A21" w:rsidRDefault="007255EF">
            <w:pPr>
              <w:rPr>
                <w:rFonts w:ascii="Calibri" w:hAnsi="Calibri"/>
                <w:i/>
                <w:color w:val="000000"/>
                <w:sz w:val="18"/>
                <w:szCs w:val="22"/>
              </w:rPr>
            </w:pPr>
            <w:r w:rsidRPr="00516A21">
              <w:rPr>
                <w:rFonts w:ascii="Calibri" w:hAnsi="Calibri"/>
                <w:i/>
                <w:color w:val="000000"/>
                <w:sz w:val="18"/>
                <w:szCs w:val="22"/>
              </w:rPr>
              <w:t xml:space="preserve">Test for </w:t>
            </w:r>
            <w:proofErr w:type="gramStart"/>
            <w:r w:rsidRPr="00516A21">
              <w:rPr>
                <w:rFonts w:ascii="Calibri" w:hAnsi="Calibri"/>
                <w:i/>
                <w:color w:val="000000"/>
                <w:sz w:val="18"/>
                <w:szCs w:val="22"/>
              </w:rPr>
              <w:t>AR(</w:t>
            </w:r>
            <w:proofErr w:type="gramEnd"/>
            <w:r w:rsidRPr="00516A21">
              <w:rPr>
                <w:rFonts w:ascii="Calibri" w:hAnsi="Calibri"/>
                <w:i/>
                <w:color w:val="000000"/>
                <w:sz w:val="18"/>
                <w:szCs w:val="22"/>
              </w:rPr>
              <w:t>2) errors: 0.964 (&lt; 5%)</w:t>
            </w:r>
          </w:p>
        </w:tc>
        <w:tc>
          <w:tcPr>
            <w:tcW w:w="1032" w:type="dxa"/>
            <w:tcBorders>
              <w:top w:val="nil"/>
              <w:left w:val="nil"/>
              <w:bottom w:val="single" w:sz="4" w:space="0" w:color="auto"/>
              <w:right w:val="nil"/>
            </w:tcBorders>
            <w:shd w:val="clear" w:color="auto" w:fill="auto"/>
            <w:noWrap/>
            <w:vAlign w:val="bottom"/>
            <w:hideMark/>
          </w:tcPr>
          <w:p w14:paraId="4CFA231E" w14:textId="77777777" w:rsidR="007255EF" w:rsidRPr="00516A21" w:rsidRDefault="007255EF">
            <w:pPr>
              <w:rPr>
                <w:rFonts w:ascii="Calibri" w:hAnsi="Calibri"/>
                <w:i/>
                <w:color w:val="000000"/>
                <w:sz w:val="18"/>
                <w:szCs w:val="22"/>
              </w:rPr>
            </w:pPr>
          </w:p>
        </w:tc>
        <w:tc>
          <w:tcPr>
            <w:tcW w:w="1367" w:type="dxa"/>
            <w:tcBorders>
              <w:top w:val="nil"/>
              <w:left w:val="nil"/>
              <w:bottom w:val="single" w:sz="4" w:space="0" w:color="auto"/>
              <w:right w:val="nil"/>
            </w:tcBorders>
            <w:shd w:val="clear" w:color="auto" w:fill="auto"/>
            <w:noWrap/>
            <w:vAlign w:val="bottom"/>
            <w:hideMark/>
          </w:tcPr>
          <w:p w14:paraId="3322270B" w14:textId="77777777" w:rsidR="007255EF" w:rsidRPr="00516A21" w:rsidRDefault="007255EF">
            <w:pPr>
              <w:rPr>
                <w:rFonts w:ascii="Calibri" w:hAnsi="Calibri"/>
                <w:i/>
                <w:color w:val="000000"/>
                <w:sz w:val="18"/>
                <w:szCs w:val="22"/>
              </w:rPr>
            </w:pPr>
          </w:p>
        </w:tc>
        <w:tc>
          <w:tcPr>
            <w:tcW w:w="1249" w:type="dxa"/>
            <w:tcBorders>
              <w:top w:val="nil"/>
              <w:left w:val="nil"/>
              <w:bottom w:val="single" w:sz="4" w:space="0" w:color="auto"/>
              <w:right w:val="nil"/>
            </w:tcBorders>
            <w:shd w:val="clear" w:color="auto" w:fill="auto"/>
            <w:noWrap/>
            <w:vAlign w:val="bottom"/>
            <w:hideMark/>
          </w:tcPr>
          <w:p w14:paraId="40408F1D" w14:textId="77777777" w:rsidR="007255EF" w:rsidRPr="00516A21" w:rsidRDefault="007255EF">
            <w:pPr>
              <w:rPr>
                <w:rFonts w:ascii="Calibri" w:hAnsi="Calibri"/>
                <w:i/>
                <w:color w:val="000000"/>
                <w:sz w:val="18"/>
                <w:szCs w:val="22"/>
              </w:rPr>
            </w:pPr>
          </w:p>
        </w:tc>
      </w:tr>
      <w:tr w:rsidR="00B6165E" w:rsidRPr="00721F48" w14:paraId="254D45F4" w14:textId="77777777" w:rsidTr="004B7AC5">
        <w:trPr>
          <w:trHeight w:val="287"/>
        </w:trPr>
        <w:tc>
          <w:tcPr>
            <w:tcW w:w="8650" w:type="dxa"/>
            <w:gridSpan w:val="4"/>
            <w:tcBorders>
              <w:top w:val="single" w:sz="4" w:space="0" w:color="auto"/>
              <w:left w:val="nil"/>
              <w:bottom w:val="nil"/>
              <w:right w:val="nil"/>
            </w:tcBorders>
            <w:shd w:val="clear" w:color="auto" w:fill="auto"/>
            <w:noWrap/>
            <w:vAlign w:val="bottom"/>
            <w:hideMark/>
          </w:tcPr>
          <w:p w14:paraId="61D7704A" w14:textId="77777777" w:rsidR="00B6165E" w:rsidRPr="00721F48" w:rsidRDefault="00B6165E" w:rsidP="00B6165E">
            <w:pPr>
              <w:jc w:val="right"/>
              <w:rPr>
                <w:rFonts w:ascii="Calibri" w:hAnsi="Calibri"/>
                <w:color w:val="000000"/>
                <w:sz w:val="18"/>
                <w:szCs w:val="22"/>
              </w:rPr>
            </w:pPr>
            <w:r w:rsidRPr="000E549D">
              <w:rPr>
                <w:rFonts w:ascii="Calibri" w:hAnsi="Calibri"/>
                <w:i/>
                <w:color w:val="000000"/>
                <w:sz w:val="18"/>
                <w:szCs w:val="22"/>
              </w:rPr>
              <w:t>Significant at 10% (*), 5% ( **), and 1% (***)</w:t>
            </w:r>
          </w:p>
          <w:p w14:paraId="72D4EE73" w14:textId="6DCCB8B9" w:rsidR="00B6165E" w:rsidRPr="00721F48" w:rsidRDefault="00B6165E" w:rsidP="00B6165E">
            <w:pPr>
              <w:jc w:val="right"/>
              <w:rPr>
                <w:rFonts w:ascii="Calibri" w:hAnsi="Calibri"/>
                <w:color w:val="000000"/>
                <w:sz w:val="18"/>
                <w:szCs w:val="22"/>
              </w:rPr>
            </w:pPr>
            <w:r>
              <w:rPr>
                <w:rFonts w:ascii="Calibri" w:hAnsi="Calibri"/>
                <w:color w:val="000000"/>
                <w:sz w:val="22"/>
                <w:szCs w:val="22"/>
              </w:rPr>
              <w:t> </w:t>
            </w:r>
          </w:p>
          <w:p w14:paraId="5B70F11B" w14:textId="16DE8D06" w:rsidR="00B6165E" w:rsidRPr="00721F48" w:rsidRDefault="00B6165E" w:rsidP="00B6165E">
            <w:pPr>
              <w:jc w:val="right"/>
              <w:rPr>
                <w:rFonts w:ascii="Calibri" w:hAnsi="Calibri"/>
                <w:color w:val="000000"/>
                <w:sz w:val="18"/>
                <w:szCs w:val="22"/>
              </w:rPr>
            </w:pPr>
            <w:r>
              <w:rPr>
                <w:rFonts w:ascii="Calibri" w:hAnsi="Calibri"/>
                <w:color w:val="000000"/>
                <w:sz w:val="22"/>
                <w:szCs w:val="22"/>
              </w:rPr>
              <w:t> </w:t>
            </w:r>
          </w:p>
          <w:p w14:paraId="3C47B090" w14:textId="592AD66D" w:rsidR="00B6165E" w:rsidRPr="00516A21" w:rsidRDefault="00B6165E" w:rsidP="00516A21">
            <w:pPr>
              <w:jc w:val="right"/>
              <w:rPr>
                <w:rFonts w:ascii="Calibri" w:hAnsi="Calibri"/>
                <w:color w:val="000000"/>
                <w:sz w:val="18"/>
                <w:szCs w:val="22"/>
              </w:rPr>
            </w:pPr>
            <w:r>
              <w:rPr>
                <w:rFonts w:ascii="Calibri" w:hAnsi="Calibri"/>
                <w:color w:val="000000"/>
                <w:sz w:val="22"/>
                <w:szCs w:val="22"/>
              </w:rPr>
              <w:t> </w:t>
            </w:r>
          </w:p>
        </w:tc>
      </w:tr>
    </w:tbl>
    <w:p w14:paraId="1D57A9D0" w14:textId="77777777" w:rsidR="00721F48" w:rsidRDefault="00721F48" w:rsidP="00A523D9"/>
    <w:p w14:paraId="1F2286B2" w14:textId="53EF05F1" w:rsidR="00875915" w:rsidRPr="00516A21" w:rsidRDefault="00721F48" w:rsidP="00875915">
      <w:pPr>
        <w:rPr>
          <w:rFonts w:asciiTheme="minorHAnsi" w:hAnsiTheme="minorHAnsi"/>
          <w:b/>
        </w:rPr>
      </w:pPr>
      <w:r>
        <w:br w:type="page"/>
      </w:r>
      <w:r w:rsidR="00875915" w:rsidRPr="00516A21">
        <w:rPr>
          <w:rFonts w:asciiTheme="minorHAnsi" w:hAnsiTheme="minorHAnsi"/>
          <w:b/>
        </w:rPr>
        <w:lastRenderedPageBreak/>
        <w:t>References</w:t>
      </w:r>
    </w:p>
    <w:p w14:paraId="0A960E12" w14:textId="77777777" w:rsidR="00875915" w:rsidRPr="00516A21" w:rsidRDefault="00875915" w:rsidP="00875915">
      <w:pPr>
        <w:jc w:val="both"/>
        <w:rPr>
          <w:rFonts w:asciiTheme="minorHAnsi" w:hAnsiTheme="minorHAnsi"/>
          <w:sz w:val="22"/>
        </w:rPr>
      </w:pPr>
    </w:p>
    <w:p w14:paraId="39A66CE1" w14:textId="77777777"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Abiad</w:t>
      </w:r>
      <w:proofErr w:type="spellEnd"/>
      <w:r w:rsidRPr="00B1343E">
        <w:rPr>
          <w:rFonts w:asciiTheme="minorHAnsi" w:hAnsiTheme="minorHAnsi"/>
        </w:rPr>
        <w:t xml:space="preserve"> A., </w:t>
      </w:r>
      <w:proofErr w:type="spellStart"/>
      <w:r w:rsidRPr="00B1343E">
        <w:rPr>
          <w:rFonts w:asciiTheme="minorHAnsi" w:hAnsiTheme="minorHAnsi"/>
        </w:rPr>
        <w:t>Dell’Ariccia</w:t>
      </w:r>
      <w:proofErr w:type="spellEnd"/>
      <w:r w:rsidRPr="00B1343E">
        <w:rPr>
          <w:rFonts w:asciiTheme="minorHAnsi" w:hAnsiTheme="minorHAnsi"/>
        </w:rPr>
        <w:t xml:space="preserve"> G., and Li B.: </w:t>
      </w:r>
      <w:proofErr w:type="spellStart"/>
      <w:r w:rsidRPr="00B1343E">
        <w:rPr>
          <w:rFonts w:asciiTheme="minorHAnsi" w:hAnsiTheme="minorHAnsi"/>
        </w:rPr>
        <w:t>Creditless</w:t>
      </w:r>
      <w:proofErr w:type="spellEnd"/>
      <w:r w:rsidRPr="00B1343E">
        <w:rPr>
          <w:rFonts w:asciiTheme="minorHAnsi" w:hAnsiTheme="minorHAnsi"/>
        </w:rPr>
        <w:t xml:space="preserve"> Recoveries, International Monetary Fund WP/ 11/58, March 2011.</w:t>
      </w:r>
    </w:p>
    <w:p w14:paraId="40ABD140" w14:textId="11421A32" w:rsidR="00875915" w:rsidRPr="00B1343E" w:rsidRDefault="00875915" w:rsidP="00875915">
      <w:pPr>
        <w:numPr>
          <w:ilvl w:val="0"/>
          <w:numId w:val="5"/>
        </w:numPr>
        <w:jc w:val="both"/>
        <w:rPr>
          <w:rFonts w:asciiTheme="minorHAnsi" w:hAnsiTheme="minorHAnsi"/>
        </w:rPr>
      </w:pPr>
      <w:r w:rsidRPr="00B1343E">
        <w:rPr>
          <w:rFonts w:asciiTheme="minorHAnsi" w:hAnsiTheme="minorHAnsi"/>
        </w:rPr>
        <w:t xml:space="preserve">Arellano M.: Panel Data Econometrics, Oxford: </w:t>
      </w:r>
      <w:r w:rsidR="000E4570">
        <w:rPr>
          <w:rFonts w:asciiTheme="minorHAnsi" w:hAnsiTheme="minorHAnsi"/>
        </w:rPr>
        <w:t xml:space="preserve"> </w:t>
      </w:r>
      <w:r w:rsidRPr="00B1343E">
        <w:rPr>
          <w:rFonts w:asciiTheme="minorHAnsi" w:hAnsiTheme="minorHAnsi"/>
        </w:rPr>
        <w:t>Oxford University Press, 2003.</w:t>
      </w:r>
    </w:p>
    <w:p w14:paraId="1A87521A" w14:textId="2FF3B1CD"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Tamim</w:t>
      </w:r>
      <w:proofErr w:type="spellEnd"/>
      <w:r w:rsidRPr="00B1343E">
        <w:rPr>
          <w:rFonts w:asciiTheme="minorHAnsi" w:hAnsiTheme="minorHAnsi"/>
        </w:rPr>
        <w:t xml:space="preserve"> </w:t>
      </w:r>
      <w:proofErr w:type="spellStart"/>
      <w:r w:rsidRPr="00B1343E">
        <w:rPr>
          <w:rFonts w:asciiTheme="minorHAnsi" w:hAnsiTheme="minorHAnsi"/>
        </w:rPr>
        <w:t>Bayoumi</w:t>
      </w:r>
      <w:proofErr w:type="spellEnd"/>
      <w:r w:rsidRPr="00B1343E">
        <w:rPr>
          <w:rFonts w:asciiTheme="minorHAnsi" w:hAnsiTheme="minorHAnsi"/>
        </w:rPr>
        <w:t xml:space="preserve"> T. and </w:t>
      </w:r>
      <w:proofErr w:type="spellStart"/>
      <w:r w:rsidRPr="00B1343E">
        <w:rPr>
          <w:rFonts w:asciiTheme="minorHAnsi" w:hAnsiTheme="minorHAnsi"/>
        </w:rPr>
        <w:t>Melander</w:t>
      </w:r>
      <w:proofErr w:type="spellEnd"/>
      <w:r w:rsidRPr="00B1343E">
        <w:rPr>
          <w:rFonts w:asciiTheme="minorHAnsi" w:hAnsiTheme="minorHAnsi"/>
        </w:rPr>
        <w:t xml:space="preserve"> O.: Credit Matters: Empirical Evidence on U.</w:t>
      </w:r>
      <w:r w:rsidR="000E4570">
        <w:rPr>
          <w:rFonts w:asciiTheme="minorHAnsi" w:hAnsiTheme="minorHAnsi"/>
        </w:rPr>
        <w:t xml:space="preserve"> </w:t>
      </w:r>
      <w:r w:rsidRPr="00B1343E">
        <w:rPr>
          <w:rFonts w:asciiTheme="minorHAnsi" w:hAnsiTheme="minorHAnsi"/>
        </w:rPr>
        <w:t>S. Macro-Financial Linkages.  IMF Working paper WP/08/169, 2008.</w:t>
      </w:r>
    </w:p>
    <w:p w14:paraId="54657EB8" w14:textId="77777777"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Bech</w:t>
      </w:r>
      <w:proofErr w:type="spellEnd"/>
      <w:r w:rsidRPr="00B1343E">
        <w:rPr>
          <w:rFonts w:asciiTheme="minorHAnsi" w:hAnsiTheme="minorHAnsi"/>
        </w:rPr>
        <w:t xml:space="preserve"> M., </w:t>
      </w:r>
      <w:proofErr w:type="spellStart"/>
      <w:r w:rsidRPr="00B1343E">
        <w:rPr>
          <w:rFonts w:asciiTheme="minorHAnsi" w:hAnsiTheme="minorHAnsi"/>
        </w:rPr>
        <w:t>Gambacorta</w:t>
      </w:r>
      <w:proofErr w:type="spellEnd"/>
      <w:r w:rsidRPr="00B1343E">
        <w:rPr>
          <w:rFonts w:asciiTheme="minorHAnsi" w:hAnsiTheme="minorHAnsi"/>
        </w:rPr>
        <w:t xml:space="preserve"> L., and </w:t>
      </w:r>
      <w:proofErr w:type="spellStart"/>
      <w:r w:rsidRPr="00B1343E">
        <w:rPr>
          <w:rFonts w:asciiTheme="minorHAnsi" w:hAnsiTheme="minorHAnsi"/>
        </w:rPr>
        <w:t>Kharroubi</w:t>
      </w:r>
      <w:proofErr w:type="spellEnd"/>
      <w:r w:rsidRPr="00B1343E">
        <w:rPr>
          <w:rFonts w:asciiTheme="minorHAnsi" w:hAnsiTheme="minorHAnsi"/>
        </w:rPr>
        <w:t xml:space="preserve"> E.:  Monetary policy in a downturn: Are financial crises special? Bank of International Settlements, Working Paper No. 388, September 2012.</w:t>
      </w:r>
    </w:p>
    <w:p w14:paraId="54BB396D" w14:textId="77777777" w:rsidR="00875915" w:rsidRPr="00B1343E" w:rsidRDefault="00875915" w:rsidP="00875915">
      <w:pPr>
        <w:numPr>
          <w:ilvl w:val="0"/>
          <w:numId w:val="5"/>
        </w:numPr>
        <w:jc w:val="both"/>
        <w:rPr>
          <w:rFonts w:asciiTheme="minorHAnsi" w:hAnsiTheme="minorHAnsi"/>
        </w:rPr>
      </w:pPr>
      <w:r w:rsidRPr="00B1343E">
        <w:rPr>
          <w:rFonts w:asciiTheme="minorHAnsi" w:hAnsiTheme="minorHAnsi"/>
        </w:rPr>
        <w:t xml:space="preserve">Beck, T and R Levine: Stock markets, banks, and growth: Panel evidence, Journal of Banking and Finance, </w:t>
      </w:r>
      <w:proofErr w:type="spellStart"/>
      <w:r w:rsidRPr="00B1343E">
        <w:rPr>
          <w:rFonts w:asciiTheme="minorHAnsi" w:hAnsiTheme="minorHAnsi"/>
        </w:rPr>
        <w:t>vol</w:t>
      </w:r>
      <w:proofErr w:type="spellEnd"/>
      <w:r w:rsidRPr="00B1343E">
        <w:rPr>
          <w:rFonts w:asciiTheme="minorHAnsi" w:hAnsiTheme="minorHAnsi"/>
        </w:rPr>
        <w:t xml:space="preserve"> 28, no 3, pp 423–42, 2004.</w:t>
      </w:r>
    </w:p>
    <w:p w14:paraId="34114D69" w14:textId="77777777" w:rsidR="00D96ED9" w:rsidRPr="000E549D" w:rsidRDefault="00D96ED9" w:rsidP="00D96ED9">
      <w:pPr>
        <w:numPr>
          <w:ilvl w:val="0"/>
          <w:numId w:val="5"/>
        </w:numPr>
        <w:jc w:val="both"/>
        <w:rPr>
          <w:rFonts w:asciiTheme="minorHAnsi" w:hAnsiTheme="minorHAnsi"/>
        </w:rPr>
      </w:pPr>
      <w:r>
        <w:rPr>
          <w:rFonts w:asciiTheme="minorHAnsi" w:hAnsiTheme="minorHAnsi"/>
        </w:rPr>
        <w:t xml:space="preserve">Ben </w:t>
      </w:r>
      <w:proofErr w:type="spellStart"/>
      <w:r w:rsidRPr="000E549D">
        <w:rPr>
          <w:rFonts w:asciiTheme="minorHAnsi" w:hAnsiTheme="minorHAnsi"/>
        </w:rPr>
        <w:t>Naceur</w:t>
      </w:r>
      <w:proofErr w:type="spellEnd"/>
      <w:r w:rsidRPr="000E549D">
        <w:rPr>
          <w:rFonts w:asciiTheme="minorHAnsi" w:hAnsiTheme="minorHAnsi"/>
        </w:rPr>
        <w:t xml:space="preserve">, S. and </w:t>
      </w:r>
      <w:proofErr w:type="spellStart"/>
      <w:r w:rsidRPr="000E549D">
        <w:rPr>
          <w:rFonts w:asciiTheme="minorHAnsi" w:hAnsiTheme="minorHAnsi"/>
        </w:rPr>
        <w:t>Ghazouani</w:t>
      </w:r>
      <w:proofErr w:type="spellEnd"/>
      <w:r w:rsidRPr="000E549D">
        <w:rPr>
          <w:rFonts w:asciiTheme="minorHAnsi" w:hAnsiTheme="minorHAnsi"/>
        </w:rPr>
        <w:t>, S.: Stock markets, banks, and economic growth: Empirical evidence from the MENA region. Research in International Business and Finance, 21(2), 297-315</w:t>
      </w:r>
      <w:r>
        <w:rPr>
          <w:rFonts w:asciiTheme="minorHAnsi" w:hAnsiTheme="minorHAnsi"/>
        </w:rPr>
        <w:t>, 2007.</w:t>
      </w:r>
    </w:p>
    <w:p w14:paraId="2D96E99C" w14:textId="77777777" w:rsidR="00875915" w:rsidRPr="00B1343E" w:rsidRDefault="00875915" w:rsidP="00875915">
      <w:pPr>
        <w:pStyle w:val="ListParagraph"/>
        <w:numPr>
          <w:ilvl w:val="0"/>
          <w:numId w:val="5"/>
        </w:numPr>
        <w:jc w:val="both"/>
        <w:rPr>
          <w:rFonts w:asciiTheme="minorHAnsi" w:hAnsiTheme="minorHAnsi"/>
        </w:rPr>
      </w:pPr>
      <w:proofErr w:type="spellStart"/>
      <w:r w:rsidRPr="00B1343E">
        <w:rPr>
          <w:rFonts w:asciiTheme="minorHAnsi" w:hAnsiTheme="minorHAnsi"/>
        </w:rPr>
        <w:t>Bijsterbosch</w:t>
      </w:r>
      <w:proofErr w:type="spellEnd"/>
      <w:r w:rsidRPr="00B1343E">
        <w:rPr>
          <w:rFonts w:asciiTheme="minorHAnsi" w:hAnsiTheme="minorHAnsi"/>
        </w:rPr>
        <w:t xml:space="preserve"> M. and </w:t>
      </w:r>
      <w:proofErr w:type="spellStart"/>
      <w:r w:rsidRPr="00B1343E">
        <w:rPr>
          <w:rFonts w:asciiTheme="minorHAnsi" w:hAnsiTheme="minorHAnsi"/>
        </w:rPr>
        <w:t>Dahlhaus</w:t>
      </w:r>
      <w:proofErr w:type="spellEnd"/>
      <w:r w:rsidRPr="00B1343E">
        <w:rPr>
          <w:rFonts w:asciiTheme="minorHAnsi" w:hAnsiTheme="minorHAnsi"/>
        </w:rPr>
        <w:t xml:space="preserve"> T.: Determinants of credit-less recoveries, European Central Bank, working paper series No. 1358, June 2011. </w:t>
      </w:r>
    </w:p>
    <w:p w14:paraId="3AEFF12E" w14:textId="2CC23731" w:rsidR="004766C4" w:rsidRDefault="004766C4" w:rsidP="004766C4">
      <w:pPr>
        <w:pStyle w:val="ListParagraph"/>
        <w:numPr>
          <w:ilvl w:val="0"/>
          <w:numId w:val="5"/>
        </w:numPr>
        <w:jc w:val="both"/>
        <w:rPr>
          <w:rFonts w:asciiTheme="minorHAnsi" w:hAnsiTheme="minorHAnsi"/>
        </w:rPr>
      </w:pPr>
      <w:r w:rsidRPr="004766C4">
        <w:rPr>
          <w:rFonts w:asciiTheme="minorHAnsi" w:hAnsiTheme="minorHAnsi"/>
        </w:rPr>
        <w:t>Bolton P</w:t>
      </w:r>
      <w:r>
        <w:rPr>
          <w:rFonts w:asciiTheme="minorHAnsi" w:hAnsiTheme="minorHAnsi"/>
        </w:rPr>
        <w:t>.</w:t>
      </w:r>
      <w:r w:rsidRPr="004766C4">
        <w:rPr>
          <w:rFonts w:asciiTheme="minorHAnsi" w:hAnsiTheme="minorHAnsi"/>
        </w:rPr>
        <w:t xml:space="preserve">, X </w:t>
      </w:r>
      <w:proofErr w:type="spellStart"/>
      <w:r w:rsidRPr="004766C4">
        <w:rPr>
          <w:rFonts w:asciiTheme="minorHAnsi" w:hAnsiTheme="minorHAnsi"/>
        </w:rPr>
        <w:t>Freixas</w:t>
      </w:r>
      <w:proofErr w:type="spellEnd"/>
      <w:r w:rsidRPr="004766C4">
        <w:rPr>
          <w:rFonts w:asciiTheme="minorHAnsi" w:hAnsiTheme="minorHAnsi"/>
        </w:rPr>
        <w:t xml:space="preserve">, L </w:t>
      </w:r>
      <w:proofErr w:type="spellStart"/>
      <w:r w:rsidRPr="004766C4">
        <w:rPr>
          <w:rFonts w:asciiTheme="minorHAnsi" w:hAnsiTheme="minorHAnsi"/>
        </w:rPr>
        <w:t>Gambacorta</w:t>
      </w:r>
      <w:proofErr w:type="spellEnd"/>
      <w:r w:rsidRPr="004766C4">
        <w:rPr>
          <w:rFonts w:asciiTheme="minorHAnsi" w:hAnsiTheme="minorHAnsi"/>
        </w:rPr>
        <w:t xml:space="preserve"> and P </w:t>
      </w:r>
      <w:proofErr w:type="spellStart"/>
      <w:r w:rsidRPr="004766C4">
        <w:rPr>
          <w:rFonts w:asciiTheme="minorHAnsi" w:hAnsiTheme="minorHAnsi"/>
        </w:rPr>
        <w:t>Mistrulli</w:t>
      </w:r>
      <w:proofErr w:type="spellEnd"/>
      <w:r w:rsidRPr="004766C4">
        <w:rPr>
          <w:rFonts w:asciiTheme="minorHAnsi" w:hAnsiTheme="minorHAnsi"/>
        </w:rPr>
        <w:t>: Relationship and transaction lending over the business cycle, BIS Working Papers, no 417</w:t>
      </w:r>
      <w:r>
        <w:rPr>
          <w:rFonts w:asciiTheme="minorHAnsi" w:hAnsiTheme="minorHAnsi"/>
        </w:rPr>
        <w:t>, 2013</w:t>
      </w:r>
      <w:r w:rsidRPr="004766C4">
        <w:rPr>
          <w:rFonts w:asciiTheme="minorHAnsi" w:hAnsiTheme="minorHAnsi"/>
        </w:rPr>
        <w:t>.</w:t>
      </w:r>
    </w:p>
    <w:p w14:paraId="1FBB6F0B" w14:textId="00E094B4" w:rsidR="00577682" w:rsidRPr="00577682" w:rsidRDefault="00577682" w:rsidP="00577682">
      <w:pPr>
        <w:pStyle w:val="ListParagraph"/>
        <w:numPr>
          <w:ilvl w:val="0"/>
          <w:numId w:val="5"/>
        </w:numPr>
        <w:jc w:val="both"/>
        <w:rPr>
          <w:rFonts w:asciiTheme="minorHAnsi" w:hAnsiTheme="minorHAnsi"/>
        </w:rPr>
      </w:pPr>
      <w:proofErr w:type="spellStart"/>
      <w:r w:rsidRPr="00577682">
        <w:rPr>
          <w:rFonts w:asciiTheme="minorHAnsi" w:hAnsiTheme="minorHAnsi"/>
        </w:rPr>
        <w:t>Boyreau-Debray</w:t>
      </w:r>
      <w:proofErr w:type="spellEnd"/>
      <w:r w:rsidRPr="00577682">
        <w:rPr>
          <w:rFonts w:asciiTheme="minorHAnsi" w:hAnsiTheme="minorHAnsi"/>
        </w:rPr>
        <w:t>, G. &amp; Shang-Jin W.</w:t>
      </w:r>
      <w:r>
        <w:rPr>
          <w:rFonts w:asciiTheme="minorHAnsi" w:hAnsiTheme="minorHAnsi"/>
        </w:rPr>
        <w:t xml:space="preserve">: </w:t>
      </w:r>
      <w:r w:rsidRPr="00577682">
        <w:rPr>
          <w:rFonts w:asciiTheme="minorHAnsi" w:hAnsiTheme="minorHAnsi"/>
        </w:rPr>
        <w:t>Pitfalls of a State-Dominated Financial System: The Case of China. NBER Working Paper 11214</w:t>
      </w:r>
      <w:r>
        <w:rPr>
          <w:rFonts w:asciiTheme="minorHAnsi" w:hAnsiTheme="minorHAnsi"/>
        </w:rPr>
        <w:t>, 2005</w:t>
      </w:r>
      <w:r w:rsidRPr="00577682">
        <w:rPr>
          <w:rFonts w:asciiTheme="minorHAnsi" w:hAnsiTheme="minorHAnsi"/>
        </w:rPr>
        <w:t>.</w:t>
      </w:r>
    </w:p>
    <w:p w14:paraId="4D9919F4" w14:textId="79C0B169" w:rsidR="00577682" w:rsidRPr="00410DC7" w:rsidRDefault="00577682" w:rsidP="00AB13C9">
      <w:pPr>
        <w:pStyle w:val="ListParagraph"/>
        <w:numPr>
          <w:ilvl w:val="0"/>
          <w:numId w:val="5"/>
        </w:numPr>
        <w:jc w:val="both"/>
        <w:rPr>
          <w:rFonts w:asciiTheme="minorHAnsi" w:hAnsiTheme="minorHAnsi"/>
        </w:rPr>
      </w:pPr>
      <w:proofErr w:type="spellStart"/>
      <w:r w:rsidRPr="00577682">
        <w:rPr>
          <w:rFonts w:asciiTheme="minorHAnsi" w:hAnsiTheme="minorHAnsi"/>
        </w:rPr>
        <w:t>Boyreau-Debray</w:t>
      </w:r>
      <w:proofErr w:type="spellEnd"/>
      <w:r w:rsidRPr="00577682">
        <w:rPr>
          <w:rFonts w:asciiTheme="minorHAnsi" w:hAnsiTheme="minorHAnsi"/>
        </w:rPr>
        <w:t>, G.</w:t>
      </w:r>
      <w:r>
        <w:rPr>
          <w:rFonts w:asciiTheme="minorHAnsi" w:hAnsiTheme="minorHAnsi"/>
        </w:rPr>
        <w:t xml:space="preserve">: </w:t>
      </w:r>
      <w:r w:rsidRPr="00577682">
        <w:rPr>
          <w:rFonts w:asciiTheme="minorHAnsi" w:hAnsiTheme="minorHAnsi"/>
        </w:rPr>
        <w:t>Financial Intermediation and Growt</w:t>
      </w:r>
      <w:r w:rsidR="00AB13C9">
        <w:rPr>
          <w:rFonts w:asciiTheme="minorHAnsi" w:hAnsiTheme="minorHAnsi"/>
        </w:rPr>
        <w:t>h—</w:t>
      </w:r>
      <w:r w:rsidRPr="00410DC7">
        <w:rPr>
          <w:rFonts w:asciiTheme="minorHAnsi" w:hAnsiTheme="minorHAnsi"/>
        </w:rPr>
        <w:t xml:space="preserve">Chinese Style. Policy Research Working Paper 3027, </w:t>
      </w:r>
      <w:proofErr w:type="gramStart"/>
      <w:r w:rsidRPr="00410DC7">
        <w:rPr>
          <w:rFonts w:asciiTheme="minorHAnsi" w:hAnsiTheme="minorHAnsi"/>
        </w:rPr>
        <w:t>The</w:t>
      </w:r>
      <w:proofErr w:type="gramEnd"/>
      <w:r w:rsidRPr="00410DC7">
        <w:rPr>
          <w:rFonts w:asciiTheme="minorHAnsi" w:hAnsiTheme="minorHAnsi"/>
        </w:rPr>
        <w:t xml:space="preserve"> World Bank, 2003.</w:t>
      </w:r>
    </w:p>
    <w:p w14:paraId="118CC570" w14:textId="77777777" w:rsidR="00875915" w:rsidRPr="00B1343E" w:rsidRDefault="00875915" w:rsidP="00875915">
      <w:pPr>
        <w:pStyle w:val="ListParagraph"/>
        <w:numPr>
          <w:ilvl w:val="0"/>
          <w:numId w:val="5"/>
        </w:numPr>
        <w:jc w:val="both"/>
        <w:rPr>
          <w:rFonts w:asciiTheme="minorHAnsi" w:hAnsiTheme="minorHAnsi"/>
        </w:rPr>
      </w:pPr>
      <w:r w:rsidRPr="00B1343E">
        <w:rPr>
          <w:rFonts w:asciiTheme="minorHAnsi" w:hAnsiTheme="minorHAnsi"/>
        </w:rPr>
        <w:t>Blundell, R. and S. Bond: Initial conditions and moment restrictions in dynamic panel data models, Journal of Econometrics 87: 115–143, 1998.</w:t>
      </w:r>
    </w:p>
    <w:p w14:paraId="607F2344" w14:textId="77777777"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Calvo</w:t>
      </w:r>
      <w:proofErr w:type="spellEnd"/>
      <w:r w:rsidRPr="00B1343E">
        <w:rPr>
          <w:rFonts w:asciiTheme="minorHAnsi" w:hAnsiTheme="minorHAnsi"/>
        </w:rPr>
        <w:t xml:space="preserve"> G., </w:t>
      </w:r>
      <w:proofErr w:type="spellStart"/>
      <w:r w:rsidRPr="00B1343E">
        <w:rPr>
          <w:rFonts w:asciiTheme="minorHAnsi" w:hAnsiTheme="minorHAnsi"/>
        </w:rPr>
        <w:t>Izquierdo</w:t>
      </w:r>
      <w:proofErr w:type="spellEnd"/>
      <w:r w:rsidRPr="00B1343E">
        <w:rPr>
          <w:rFonts w:asciiTheme="minorHAnsi" w:hAnsiTheme="minorHAnsi"/>
        </w:rPr>
        <w:t xml:space="preserve"> A. and </w:t>
      </w:r>
      <w:proofErr w:type="spellStart"/>
      <w:r w:rsidRPr="00B1343E">
        <w:rPr>
          <w:rFonts w:asciiTheme="minorHAnsi" w:hAnsiTheme="minorHAnsi"/>
        </w:rPr>
        <w:t>Talvi</w:t>
      </w:r>
      <w:proofErr w:type="spellEnd"/>
      <w:r w:rsidRPr="00B1343E">
        <w:rPr>
          <w:rFonts w:asciiTheme="minorHAnsi" w:hAnsiTheme="minorHAnsi"/>
        </w:rPr>
        <w:t xml:space="preserve"> E.: Phoenix Miracles in Emerging Markets: Recovering without Credit from Systemic Financial Crises, NBER Working Paper No. 12101, March 2006</w:t>
      </w:r>
    </w:p>
    <w:p w14:paraId="0878CFC8" w14:textId="77777777" w:rsidR="00875915" w:rsidRPr="00B1343E" w:rsidRDefault="00875915" w:rsidP="00875915">
      <w:pPr>
        <w:numPr>
          <w:ilvl w:val="0"/>
          <w:numId w:val="5"/>
        </w:numPr>
        <w:jc w:val="both"/>
        <w:rPr>
          <w:rFonts w:asciiTheme="minorHAnsi" w:hAnsiTheme="minorHAnsi"/>
        </w:rPr>
      </w:pPr>
      <w:r w:rsidRPr="00B1343E">
        <w:rPr>
          <w:rFonts w:asciiTheme="minorHAnsi" w:hAnsiTheme="minorHAnsi"/>
        </w:rPr>
        <w:t>Caballero, Ricardo J., and Arvind Krishnamurthy: Excessive Dollar Debt: Financial Development and Underinsurance. Journal of Finance 58(2):867–93, 2003.</w:t>
      </w:r>
    </w:p>
    <w:p w14:paraId="1DC7EA99" w14:textId="7062F5CA"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Christopoulos</w:t>
      </w:r>
      <w:proofErr w:type="spellEnd"/>
      <w:r w:rsidRPr="00B1343E">
        <w:rPr>
          <w:rFonts w:asciiTheme="minorHAnsi" w:hAnsiTheme="minorHAnsi"/>
        </w:rPr>
        <w:t xml:space="preserve">, D. &amp; </w:t>
      </w:r>
      <w:proofErr w:type="spellStart"/>
      <w:r w:rsidRPr="00B1343E">
        <w:rPr>
          <w:rFonts w:asciiTheme="minorHAnsi" w:hAnsiTheme="minorHAnsi"/>
        </w:rPr>
        <w:t>Tsionas</w:t>
      </w:r>
      <w:proofErr w:type="spellEnd"/>
      <w:r w:rsidRPr="00B1343E">
        <w:rPr>
          <w:rFonts w:asciiTheme="minorHAnsi" w:hAnsiTheme="minorHAnsi"/>
        </w:rPr>
        <w:t xml:space="preserve"> E.: Financial Development and Economic Growth: Evidence from Panel Unit Root and </w:t>
      </w:r>
      <w:proofErr w:type="spellStart"/>
      <w:r w:rsidRPr="00B1343E">
        <w:rPr>
          <w:rFonts w:asciiTheme="minorHAnsi" w:hAnsiTheme="minorHAnsi"/>
        </w:rPr>
        <w:t>Cointegration</w:t>
      </w:r>
      <w:proofErr w:type="spellEnd"/>
      <w:r w:rsidRPr="00B1343E">
        <w:rPr>
          <w:rFonts w:asciiTheme="minorHAnsi" w:hAnsiTheme="minorHAnsi"/>
        </w:rPr>
        <w:t xml:space="preserve"> Tests. Journal of Development Economics 73, 55</w:t>
      </w:r>
      <w:r w:rsidR="00AB13C9">
        <w:rPr>
          <w:rFonts w:asciiTheme="minorHAnsi" w:hAnsiTheme="minorHAnsi"/>
        </w:rPr>
        <w:t>–</w:t>
      </w:r>
      <w:r w:rsidRPr="00B1343E">
        <w:rPr>
          <w:rFonts w:asciiTheme="minorHAnsi" w:hAnsiTheme="minorHAnsi"/>
        </w:rPr>
        <w:t>74, 2004.</w:t>
      </w:r>
    </w:p>
    <w:p w14:paraId="197FB93D" w14:textId="77777777"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Creane</w:t>
      </w:r>
      <w:proofErr w:type="spellEnd"/>
      <w:r w:rsidRPr="00B1343E">
        <w:rPr>
          <w:rFonts w:asciiTheme="minorHAnsi" w:hAnsiTheme="minorHAnsi"/>
        </w:rPr>
        <w:t xml:space="preserve"> S., </w:t>
      </w:r>
      <w:proofErr w:type="spellStart"/>
      <w:r w:rsidRPr="00B1343E">
        <w:rPr>
          <w:rFonts w:asciiTheme="minorHAnsi" w:hAnsiTheme="minorHAnsi"/>
        </w:rPr>
        <w:t>Goyal</w:t>
      </w:r>
      <w:proofErr w:type="spellEnd"/>
      <w:r w:rsidRPr="00B1343E">
        <w:rPr>
          <w:rFonts w:asciiTheme="minorHAnsi" w:hAnsiTheme="minorHAnsi"/>
        </w:rPr>
        <w:t xml:space="preserve"> R., </w:t>
      </w:r>
      <w:proofErr w:type="spellStart"/>
      <w:r w:rsidRPr="00B1343E">
        <w:rPr>
          <w:rFonts w:asciiTheme="minorHAnsi" w:hAnsiTheme="minorHAnsi"/>
        </w:rPr>
        <w:t>Mobarak</w:t>
      </w:r>
      <w:proofErr w:type="spellEnd"/>
      <w:r w:rsidRPr="00B1343E">
        <w:rPr>
          <w:rFonts w:asciiTheme="minorHAnsi" w:hAnsiTheme="minorHAnsi"/>
        </w:rPr>
        <w:t xml:space="preserve"> A., </w:t>
      </w:r>
      <w:proofErr w:type="spellStart"/>
      <w:r w:rsidRPr="00B1343E">
        <w:rPr>
          <w:rFonts w:asciiTheme="minorHAnsi" w:hAnsiTheme="minorHAnsi"/>
        </w:rPr>
        <w:t>Mushfiq</w:t>
      </w:r>
      <w:proofErr w:type="spellEnd"/>
      <w:r w:rsidRPr="00B1343E">
        <w:rPr>
          <w:rFonts w:asciiTheme="minorHAnsi" w:hAnsiTheme="minorHAnsi"/>
        </w:rPr>
        <w:t xml:space="preserve"> A., and Sab R.: Financial Sector Development in the Middle East and North Africa, IMF Working Paper, Oct. 2004.   </w:t>
      </w:r>
    </w:p>
    <w:p w14:paraId="53F221D7" w14:textId="1E94FF57" w:rsidR="00875915" w:rsidRPr="00B1343E" w:rsidRDefault="00875915" w:rsidP="00875915">
      <w:pPr>
        <w:numPr>
          <w:ilvl w:val="0"/>
          <w:numId w:val="5"/>
        </w:numPr>
        <w:jc w:val="both"/>
        <w:rPr>
          <w:rFonts w:asciiTheme="minorHAnsi" w:hAnsiTheme="minorHAnsi"/>
        </w:rPr>
      </w:pPr>
      <w:r w:rsidRPr="00B1343E">
        <w:rPr>
          <w:rFonts w:asciiTheme="minorHAnsi" w:hAnsiTheme="minorHAnsi"/>
        </w:rPr>
        <w:t xml:space="preserve">De Haas R, Van </w:t>
      </w:r>
      <w:proofErr w:type="spellStart"/>
      <w:r w:rsidRPr="00B1343E">
        <w:rPr>
          <w:rFonts w:asciiTheme="minorHAnsi" w:hAnsiTheme="minorHAnsi"/>
        </w:rPr>
        <w:t>Lelyveld</w:t>
      </w:r>
      <w:proofErr w:type="spellEnd"/>
      <w:r w:rsidRPr="00B1343E">
        <w:rPr>
          <w:rFonts w:asciiTheme="minorHAnsi" w:hAnsiTheme="minorHAnsi"/>
        </w:rPr>
        <w:t xml:space="preserve"> I.:  Foreign banks and credit stability in Central and Eastern Europe. A panel data analysis. Journal of Banking &amp; Finance 30, 2006. </w:t>
      </w:r>
    </w:p>
    <w:p w14:paraId="0B09164B" w14:textId="77777777"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Demirgüç-Kunt</w:t>
      </w:r>
      <w:proofErr w:type="spellEnd"/>
      <w:r w:rsidRPr="00B1343E">
        <w:rPr>
          <w:rFonts w:asciiTheme="minorHAnsi" w:hAnsiTheme="minorHAnsi"/>
        </w:rPr>
        <w:t xml:space="preserve"> A. and Levine R.: Finance and Economic Opportunity. World Bank Policy Research Working Paper No. 4468, 2008.</w:t>
      </w:r>
    </w:p>
    <w:p w14:paraId="76A8DEE9" w14:textId="1F7C2EE9"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Demetriades</w:t>
      </w:r>
      <w:proofErr w:type="spellEnd"/>
      <w:r w:rsidRPr="00B1343E">
        <w:rPr>
          <w:rFonts w:asciiTheme="minorHAnsi" w:hAnsiTheme="minorHAnsi"/>
        </w:rPr>
        <w:t xml:space="preserve"> O. P. &amp; Hussein A. K.: Does Financial Development cause Economic Growth? Time Series evidence from 16 countries.  Journal of Development Economics vol. 51, Issue 2, pp 387</w:t>
      </w:r>
      <w:r w:rsidR="00AB13C9">
        <w:rPr>
          <w:rFonts w:asciiTheme="minorHAnsi" w:hAnsiTheme="minorHAnsi"/>
        </w:rPr>
        <w:t>–</w:t>
      </w:r>
      <w:r w:rsidRPr="00B1343E">
        <w:rPr>
          <w:rFonts w:asciiTheme="minorHAnsi" w:hAnsiTheme="minorHAnsi"/>
        </w:rPr>
        <w:t>411, 1996.</w:t>
      </w:r>
    </w:p>
    <w:p w14:paraId="477C7C2B" w14:textId="77777777" w:rsidR="00875915" w:rsidRPr="00B1343E" w:rsidRDefault="00875915" w:rsidP="00875915">
      <w:pPr>
        <w:pStyle w:val="ListParagraph"/>
        <w:numPr>
          <w:ilvl w:val="0"/>
          <w:numId w:val="5"/>
        </w:numPr>
        <w:jc w:val="both"/>
        <w:rPr>
          <w:rFonts w:asciiTheme="minorHAnsi" w:hAnsiTheme="minorHAnsi"/>
        </w:rPr>
      </w:pPr>
      <w:proofErr w:type="spellStart"/>
      <w:r w:rsidRPr="00B1343E">
        <w:rPr>
          <w:rFonts w:asciiTheme="minorHAnsi" w:hAnsiTheme="minorHAnsi"/>
        </w:rPr>
        <w:lastRenderedPageBreak/>
        <w:t>Favara</w:t>
      </w:r>
      <w:proofErr w:type="spellEnd"/>
      <w:r w:rsidRPr="00B1343E">
        <w:rPr>
          <w:rFonts w:asciiTheme="minorHAnsi" w:hAnsiTheme="minorHAnsi"/>
        </w:rPr>
        <w:t xml:space="preserve"> G.: An Empirical Reassessment of the Relationship between Finance and Growth. IMF Working Paper No: 03/123, 2003. </w:t>
      </w:r>
    </w:p>
    <w:p w14:paraId="0DB44A47" w14:textId="77777777" w:rsidR="00875915" w:rsidRPr="00B1343E" w:rsidRDefault="00875915" w:rsidP="00875915">
      <w:pPr>
        <w:pStyle w:val="ListParagraph"/>
        <w:numPr>
          <w:ilvl w:val="0"/>
          <w:numId w:val="5"/>
        </w:numPr>
        <w:jc w:val="both"/>
        <w:rPr>
          <w:rFonts w:asciiTheme="minorHAnsi" w:hAnsiTheme="minorHAnsi"/>
        </w:rPr>
      </w:pPr>
      <w:r w:rsidRPr="00B1343E">
        <w:rPr>
          <w:rFonts w:asciiTheme="minorHAnsi" w:hAnsiTheme="minorHAnsi"/>
        </w:rPr>
        <w:t xml:space="preserve">Galindo, A, </w:t>
      </w:r>
      <w:proofErr w:type="spellStart"/>
      <w:r w:rsidRPr="00B1343E">
        <w:rPr>
          <w:rFonts w:asciiTheme="minorHAnsi" w:hAnsiTheme="minorHAnsi"/>
        </w:rPr>
        <w:t>Micco</w:t>
      </w:r>
      <w:proofErr w:type="spellEnd"/>
      <w:r w:rsidRPr="00B1343E">
        <w:rPr>
          <w:rFonts w:asciiTheme="minorHAnsi" w:hAnsiTheme="minorHAnsi"/>
        </w:rPr>
        <w:t xml:space="preserve"> A, and </w:t>
      </w:r>
      <w:proofErr w:type="spellStart"/>
      <w:r w:rsidRPr="00B1343E">
        <w:rPr>
          <w:rFonts w:asciiTheme="minorHAnsi" w:hAnsiTheme="minorHAnsi"/>
        </w:rPr>
        <w:t>Ordóñez</w:t>
      </w:r>
      <w:proofErr w:type="spellEnd"/>
      <w:r w:rsidRPr="00B1343E">
        <w:rPr>
          <w:rFonts w:asciiTheme="minorHAnsi" w:hAnsiTheme="minorHAnsi"/>
        </w:rPr>
        <w:t xml:space="preserve"> G.: Financial Liberalization: Does It Pay to Join the Party? </w:t>
      </w:r>
      <w:proofErr w:type="spellStart"/>
      <w:r w:rsidRPr="00B1343E">
        <w:rPr>
          <w:rFonts w:asciiTheme="minorHAnsi" w:hAnsiTheme="minorHAnsi"/>
        </w:rPr>
        <w:t>Economia</w:t>
      </w:r>
      <w:proofErr w:type="spellEnd"/>
      <w:r w:rsidRPr="00B1343E">
        <w:rPr>
          <w:rFonts w:asciiTheme="minorHAnsi" w:hAnsiTheme="minorHAnsi"/>
        </w:rPr>
        <w:t xml:space="preserve"> 3(1) Fall 2002.</w:t>
      </w:r>
    </w:p>
    <w:p w14:paraId="5892324D" w14:textId="55146613"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Gambacorta</w:t>
      </w:r>
      <w:proofErr w:type="spellEnd"/>
      <w:r w:rsidRPr="00B1343E">
        <w:rPr>
          <w:rFonts w:asciiTheme="minorHAnsi" w:hAnsiTheme="minorHAnsi"/>
        </w:rPr>
        <w:t xml:space="preserve"> L., Yang J., and </w:t>
      </w:r>
      <w:proofErr w:type="spellStart"/>
      <w:r w:rsidRPr="00B1343E">
        <w:rPr>
          <w:rFonts w:asciiTheme="minorHAnsi" w:hAnsiTheme="minorHAnsi"/>
        </w:rPr>
        <w:t>Tsatsaronis</w:t>
      </w:r>
      <w:proofErr w:type="spellEnd"/>
      <w:r w:rsidRPr="00B1343E">
        <w:rPr>
          <w:rFonts w:asciiTheme="minorHAnsi" w:hAnsiTheme="minorHAnsi"/>
        </w:rPr>
        <w:t xml:space="preserve"> K.:  Financial structure and growth, Bank of International Settlements, Working Paper, March 2014.</w:t>
      </w:r>
    </w:p>
    <w:p w14:paraId="7BA089C3" w14:textId="77777777"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Ghirmay</w:t>
      </w:r>
      <w:proofErr w:type="spellEnd"/>
      <w:r w:rsidRPr="00B1343E">
        <w:rPr>
          <w:rFonts w:asciiTheme="minorHAnsi" w:hAnsiTheme="minorHAnsi"/>
        </w:rPr>
        <w:t xml:space="preserve"> T.: Financial Development and Economic Growth in Sub-Saharan African Countries: Evidence from Time Series Analysis.  African Development Bank, 2004.</w:t>
      </w:r>
    </w:p>
    <w:p w14:paraId="623AB6B2" w14:textId="4EECC160" w:rsidR="007C3FFC" w:rsidRPr="00B1343E" w:rsidRDefault="007C3FFC" w:rsidP="00B1343E">
      <w:pPr>
        <w:numPr>
          <w:ilvl w:val="0"/>
          <w:numId w:val="5"/>
        </w:numPr>
        <w:jc w:val="both"/>
        <w:rPr>
          <w:rFonts w:asciiTheme="minorHAnsi" w:hAnsiTheme="minorHAnsi"/>
        </w:rPr>
      </w:pPr>
      <w:r w:rsidRPr="00B1343E">
        <w:rPr>
          <w:rFonts w:asciiTheme="minorHAnsi" w:hAnsiTheme="minorHAnsi"/>
        </w:rPr>
        <w:t xml:space="preserve">Gray S., </w:t>
      </w:r>
      <w:proofErr w:type="spellStart"/>
      <w:r w:rsidRPr="00B1343E">
        <w:rPr>
          <w:rFonts w:asciiTheme="minorHAnsi" w:hAnsiTheme="minorHAnsi"/>
        </w:rPr>
        <w:t>Karam</w:t>
      </w:r>
      <w:proofErr w:type="spellEnd"/>
      <w:r w:rsidRPr="00B1343E">
        <w:rPr>
          <w:rFonts w:asciiTheme="minorHAnsi" w:hAnsiTheme="minorHAnsi"/>
        </w:rPr>
        <w:t xml:space="preserve"> P., and Turk-</w:t>
      </w:r>
      <w:proofErr w:type="spellStart"/>
      <w:r w:rsidRPr="00B1343E">
        <w:rPr>
          <w:rFonts w:asciiTheme="minorHAnsi" w:hAnsiTheme="minorHAnsi"/>
        </w:rPr>
        <w:t>Ariss</w:t>
      </w:r>
      <w:proofErr w:type="spellEnd"/>
      <w:r w:rsidRPr="00B1343E">
        <w:rPr>
          <w:rFonts w:asciiTheme="minorHAnsi" w:hAnsiTheme="minorHAnsi"/>
        </w:rPr>
        <w:t xml:space="preserve"> R.: Are Banks Really Lazy? Evidence from Middle East and North Africa</w:t>
      </w:r>
      <w:r>
        <w:rPr>
          <w:rFonts w:asciiTheme="minorHAnsi" w:hAnsiTheme="minorHAnsi"/>
        </w:rPr>
        <w:t xml:space="preserve">, IMF </w:t>
      </w:r>
      <w:r w:rsidRPr="007C3FFC">
        <w:rPr>
          <w:rFonts w:asciiTheme="minorHAnsi" w:hAnsiTheme="minorHAnsi"/>
        </w:rPr>
        <w:t>WP/14/86</w:t>
      </w:r>
      <w:r>
        <w:rPr>
          <w:rFonts w:asciiTheme="minorHAnsi" w:hAnsiTheme="minorHAnsi"/>
        </w:rPr>
        <w:t>, May 2014.</w:t>
      </w:r>
      <w:r w:rsidRPr="00B1343E">
        <w:rPr>
          <w:rFonts w:asciiTheme="minorHAnsi" w:hAnsiTheme="minorHAnsi"/>
        </w:rPr>
        <w:t xml:space="preserve">  </w:t>
      </w:r>
    </w:p>
    <w:p w14:paraId="58D1FD37" w14:textId="7A9A249E" w:rsidR="00875915" w:rsidRPr="00B1343E" w:rsidRDefault="00875915" w:rsidP="00875915">
      <w:pPr>
        <w:numPr>
          <w:ilvl w:val="0"/>
          <w:numId w:val="5"/>
        </w:numPr>
        <w:jc w:val="both"/>
        <w:rPr>
          <w:rFonts w:asciiTheme="minorHAnsi" w:hAnsiTheme="minorHAnsi"/>
        </w:rPr>
      </w:pPr>
      <w:r w:rsidRPr="00B1343E">
        <w:rPr>
          <w:rFonts w:asciiTheme="minorHAnsi" w:hAnsiTheme="minorHAnsi"/>
        </w:rPr>
        <w:t>Greenwood J., Sanchez J., and Wang C.: Quantifying the impact of financial development on economic development, Review of Economic Dynamics, 2012.</w:t>
      </w:r>
    </w:p>
    <w:p w14:paraId="0AEC1F18" w14:textId="4786E111"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Habibullah</w:t>
      </w:r>
      <w:proofErr w:type="spellEnd"/>
      <w:r w:rsidRPr="00B1343E">
        <w:rPr>
          <w:rFonts w:asciiTheme="minorHAnsi" w:hAnsiTheme="minorHAnsi"/>
        </w:rPr>
        <w:t xml:space="preserve"> M. S. &amp; </w:t>
      </w:r>
      <w:proofErr w:type="spellStart"/>
      <w:r w:rsidRPr="00B1343E">
        <w:rPr>
          <w:rFonts w:asciiTheme="minorHAnsi" w:hAnsiTheme="minorHAnsi"/>
        </w:rPr>
        <w:t>Eng</w:t>
      </w:r>
      <w:proofErr w:type="spellEnd"/>
      <w:r w:rsidRPr="00B1343E">
        <w:rPr>
          <w:rFonts w:asciiTheme="minorHAnsi" w:hAnsiTheme="minorHAnsi"/>
        </w:rPr>
        <w:t xml:space="preserve"> Yoke-</w:t>
      </w:r>
      <w:proofErr w:type="spellStart"/>
      <w:r w:rsidRPr="00B1343E">
        <w:rPr>
          <w:rFonts w:asciiTheme="minorHAnsi" w:hAnsiTheme="minorHAnsi"/>
        </w:rPr>
        <w:t>kee</w:t>
      </w:r>
      <w:proofErr w:type="spellEnd"/>
      <w:r w:rsidRPr="00B1343E">
        <w:rPr>
          <w:rFonts w:asciiTheme="minorHAnsi" w:hAnsiTheme="minorHAnsi"/>
        </w:rPr>
        <w:t>: Does Financial Development Cause Economic Growth? A Panel Data Dynamic Analysis for the Asian Developing Countries.  Journal of the Asia Pacific Economy Vol. 11, No: 4, pp</w:t>
      </w:r>
      <w:r w:rsidR="00AB13C9">
        <w:rPr>
          <w:rFonts w:asciiTheme="minorHAnsi" w:hAnsiTheme="minorHAnsi"/>
        </w:rPr>
        <w:t>.</w:t>
      </w:r>
      <w:r w:rsidRPr="00B1343E">
        <w:rPr>
          <w:rFonts w:asciiTheme="minorHAnsi" w:hAnsiTheme="minorHAnsi"/>
        </w:rPr>
        <w:t xml:space="preserve"> 37 –393, 2006.</w:t>
      </w:r>
    </w:p>
    <w:p w14:paraId="1F7195B7" w14:textId="77777777" w:rsidR="00875915" w:rsidRPr="00B1343E" w:rsidRDefault="00875915" w:rsidP="00875915">
      <w:pPr>
        <w:numPr>
          <w:ilvl w:val="0"/>
          <w:numId w:val="5"/>
        </w:numPr>
        <w:jc w:val="both"/>
        <w:rPr>
          <w:rFonts w:asciiTheme="minorHAnsi" w:hAnsiTheme="minorHAnsi"/>
        </w:rPr>
      </w:pPr>
      <w:r w:rsidRPr="00B1343E">
        <w:rPr>
          <w:rFonts w:asciiTheme="minorHAnsi" w:hAnsiTheme="minorHAnsi"/>
        </w:rPr>
        <w:t>Institute for International Finance: Capital Markets Monitor, September 2011</w:t>
      </w:r>
    </w:p>
    <w:p w14:paraId="0CDCF76D" w14:textId="3E3F4064" w:rsidR="001A4293" w:rsidRPr="001A4293" w:rsidRDefault="001A4293" w:rsidP="00B1343E">
      <w:pPr>
        <w:numPr>
          <w:ilvl w:val="0"/>
          <w:numId w:val="5"/>
        </w:numPr>
        <w:jc w:val="both"/>
        <w:rPr>
          <w:rFonts w:asciiTheme="minorHAnsi" w:hAnsiTheme="minorHAnsi"/>
        </w:rPr>
      </w:pPr>
      <w:r>
        <w:rPr>
          <w:rFonts w:asciiTheme="minorHAnsi" w:hAnsiTheme="minorHAnsi"/>
        </w:rPr>
        <w:t xml:space="preserve">Kamal, M.: </w:t>
      </w:r>
      <w:r w:rsidRPr="001A4293">
        <w:rPr>
          <w:rFonts w:asciiTheme="minorHAnsi" w:hAnsiTheme="minorHAnsi"/>
        </w:rPr>
        <w:t>Financial Development and Economic Growth in Egypt: A Re-investigation</w:t>
      </w:r>
      <w:r>
        <w:rPr>
          <w:rFonts w:asciiTheme="minorHAnsi" w:hAnsiTheme="minorHAnsi"/>
        </w:rPr>
        <w:t>, MPRA working paper, 2013.</w:t>
      </w:r>
    </w:p>
    <w:p w14:paraId="26F1E19F" w14:textId="1C753680" w:rsidR="00875915" w:rsidRPr="00B1343E" w:rsidRDefault="00875915" w:rsidP="00B1343E">
      <w:pPr>
        <w:numPr>
          <w:ilvl w:val="0"/>
          <w:numId w:val="5"/>
        </w:numPr>
        <w:jc w:val="both"/>
        <w:rPr>
          <w:rFonts w:asciiTheme="minorHAnsi" w:hAnsiTheme="minorHAnsi"/>
        </w:rPr>
      </w:pPr>
      <w:r w:rsidRPr="00B1343E">
        <w:rPr>
          <w:rFonts w:asciiTheme="minorHAnsi" w:hAnsiTheme="minorHAnsi"/>
        </w:rPr>
        <w:t>King R. and Levine R.: Finance and Growth: Schumpeter Might Be Right. Quarterly Journal of Economics, Volume 108, Issue 3 pp. 717</w:t>
      </w:r>
      <w:r w:rsidR="00AB13C9">
        <w:rPr>
          <w:rFonts w:asciiTheme="minorHAnsi" w:hAnsiTheme="minorHAnsi"/>
        </w:rPr>
        <w:t>–</w:t>
      </w:r>
      <w:r w:rsidRPr="00B1343E">
        <w:rPr>
          <w:rFonts w:asciiTheme="minorHAnsi" w:hAnsiTheme="minorHAnsi"/>
        </w:rPr>
        <w:t>7, 1993.</w:t>
      </w:r>
    </w:p>
    <w:p w14:paraId="28695938" w14:textId="77777777" w:rsidR="00875915" w:rsidRPr="00B1343E" w:rsidRDefault="00875915" w:rsidP="00875915">
      <w:pPr>
        <w:numPr>
          <w:ilvl w:val="0"/>
          <w:numId w:val="5"/>
        </w:numPr>
        <w:jc w:val="both"/>
        <w:rPr>
          <w:rFonts w:asciiTheme="minorHAnsi" w:hAnsiTheme="minorHAnsi"/>
        </w:rPr>
      </w:pPr>
      <w:r w:rsidRPr="00B1343E">
        <w:rPr>
          <w:rFonts w:asciiTheme="minorHAnsi" w:hAnsiTheme="minorHAnsi"/>
        </w:rPr>
        <w:t>Levine R.: Financial Development and Economic Growth: Views and Agenda. Journal of Economic Literature, Vol. XXXV, pp. 688–726, June 1997.</w:t>
      </w:r>
    </w:p>
    <w:p w14:paraId="6C90859E" w14:textId="57B88080" w:rsidR="00875915" w:rsidRPr="00B1343E" w:rsidRDefault="00875915" w:rsidP="00875915">
      <w:pPr>
        <w:numPr>
          <w:ilvl w:val="0"/>
          <w:numId w:val="5"/>
        </w:numPr>
        <w:jc w:val="both"/>
        <w:rPr>
          <w:rFonts w:asciiTheme="minorHAnsi" w:hAnsiTheme="minorHAnsi"/>
          <w:sz w:val="22"/>
          <w:szCs w:val="22"/>
        </w:rPr>
      </w:pPr>
      <w:r w:rsidRPr="00B1343E">
        <w:rPr>
          <w:rFonts w:asciiTheme="minorHAnsi" w:hAnsiTheme="minorHAnsi"/>
          <w:bCs/>
          <w:szCs w:val="23"/>
        </w:rPr>
        <w:t>Lucas, R.: On the Mechanics of Economic Development.  Journal of Monetary Economics 22, 2</w:t>
      </w:r>
      <w:r w:rsidR="00AB13C9">
        <w:rPr>
          <w:rFonts w:asciiTheme="minorHAnsi" w:hAnsiTheme="minorHAnsi"/>
          <w:bCs/>
          <w:szCs w:val="23"/>
        </w:rPr>
        <w:t>–</w:t>
      </w:r>
      <w:r w:rsidRPr="00B1343E">
        <w:rPr>
          <w:rFonts w:asciiTheme="minorHAnsi" w:hAnsiTheme="minorHAnsi"/>
          <w:bCs/>
          <w:szCs w:val="23"/>
        </w:rPr>
        <w:t>42, 1988</w:t>
      </w:r>
      <w:r w:rsidR="00AB13C9">
        <w:rPr>
          <w:rFonts w:asciiTheme="minorHAnsi" w:hAnsiTheme="minorHAnsi"/>
          <w:bCs/>
          <w:szCs w:val="23"/>
        </w:rPr>
        <w:t>.</w:t>
      </w:r>
    </w:p>
    <w:p w14:paraId="3F3E71AF" w14:textId="77777777" w:rsidR="001A4293" w:rsidRDefault="001A4293" w:rsidP="001A4293">
      <w:pPr>
        <w:numPr>
          <w:ilvl w:val="0"/>
          <w:numId w:val="5"/>
        </w:numPr>
        <w:jc w:val="both"/>
        <w:rPr>
          <w:rFonts w:asciiTheme="minorHAnsi" w:hAnsiTheme="minorHAnsi"/>
        </w:rPr>
      </w:pPr>
      <w:proofErr w:type="spellStart"/>
      <w:r w:rsidRPr="001A4293">
        <w:rPr>
          <w:rFonts w:asciiTheme="minorHAnsi" w:hAnsiTheme="minorHAnsi"/>
        </w:rPr>
        <w:t>Makdisi</w:t>
      </w:r>
      <w:proofErr w:type="spellEnd"/>
      <w:r w:rsidRPr="001A4293">
        <w:rPr>
          <w:rFonts w:asciiTheme="minorHAnsi" w:hAnsiTheme="minorHAnsi"/>
        </w:rPr>
        <w:t xml:space="preserve">, S., Fattah, Z. and </w:t>
      </w:r>
      <w:proofErr w:type="spellStart"/>
      <w:r w:rsidRPr="001A4293">
        <w:rPr>
          <w:rFonts w:asciiTheme="minorHAnsi" w:hAnsiTheme="minorHAnsi"/>
        </w:rPr>
        <w:t>Limam</w:t>
      </w:r>
      <w:proofErr w:type="spellEnd"/>
      <w:r w:rsidRPr="001A4293">
        <w:rPr>
          <w:rFonts w:asciiTheme="minorHAnsi" w:hAnsiTheme="minorHAnsi"/>
        </w:rPr>
        <w:t xml:space="preserve">, I.: Determinants of growth in the MENA countries, in J. Nugent and H. </w:t>
      </w:r>
      <w:proofErr w:type="spellStart"/>
      <w:r w:rsidRPr="001A4293">
        <w:rPr>
          <w:rFonts w:asciiTheme="minorHAnsi" w:hAnsiTheme="minorHAnsi"/>
        </w:rPr>
        <w:t>Pesaran</w:t>
      </w:r>
      <w:proofErr w:type="spellEnd"/>
      <w:r w:rsidRPr="001A4293">
        <w:rPr>
          <w:rFonts w:asciiTheme="minorHAnsi" w:hAnsiTheme="minorHAnsi"/>
        </w:rPr>
        <w:t xml:space="preserve"> (</w:t>
      </w:r>
      <w:proofErr w:type="spellStart"/>
      <w:r w:rsidRPr="001A4293">
        <w:rPr>
          <w:rFonts w:asciiTheme="minorHAnsi" w:hAnsiTheme="minorHAnsi"/>
        </w:rPr>
        <w:t>eds</w:t>
      </w:r>
      <w:proofErr w:type="spellEnd"/>
      <w:r w:rsidRPr="001A4293">
        <w:rPr>
          <w:rFonts w:asciiTheme="minorHAnsi" w:hAnsiTheme="minorHAnsi"/>
        </w:rPr>
        <w:t xml:space="preserve">): Explaining Growth in the Middle </w:t>
      </w:r>
      <w:proofErr w:type="spellStart"/>
      <w:r w:rsidRPr="001A4293">
        <w:rPr>
          <w:rFonts w:asciiTheme="minorHAnsi" w:hAnsiTheme="minorHAnsi"/>
        </w:rPr>
        <w:t>East,Elsevier</w:t>
      </w:r>
      <w:proofErr w:type="spellEnd"/>
      <w:r w:rsidRPr="001A4293">
        <w:rPr>
          <w:rFonts w:asciiTheme="minorHAnsi" w:hAnsiTheme="minorHAnsi"/>
        </w:rPr>
        <w:t xml:space="preserve">, Amsterdam, pp. 31-60, 2007.   </w:t>
      </w:r>
    </w:p>
    <w:p w14:paraId="6E792943" w14:textId="7E821978" w:rsidR="005F4BAD" w:rsidRDefault="005F4BAD" w:rsidP="001A4293">
      <w:pPr>
        <w:numPr>
          <w:ilvl w:val="0"/>
          <w:numId w:val="5"/>
        </w:numPr>
        <w:jc w:val="both"/>
        <w:rPr>
          <w:rFonts w:asciiTheme="minorHAnsi" w:hAnsiTheme="minorHAnsi"/>
        </w:rPr>
      </w:pPr>
      <w:proofErr w:type="spellStart"/>
      <w:r w:rsidRPr="005F4BAD">
        <w:rPr>
          <w:rFonts w:asciiTheme="minorHAnsi" w:hAnsiTheme="minorHAnsi"/>
        </w:rPr>
        <w:t>Manizheh</w:t>
      </w:r>
      <w:proofErr w:type="spellEnd"/>
      <w:r w:rsidRPr="005F4BAD">
        <w:rPr>
          <w:rFonts w:asciiTheme="minorHAnsi" w:hAnsiTheme="minorHAnsi"/>
        </w:rPr>
        <w:t xml:space="preserve"> F. and Hook, L. S.: The Effect of Financial Development on Economic Growth in the MENA Region, Journal of Economic Cooperation &amp; Development , Vol. 34, No. 3 , September 2013</w:t>
      </w:r>
      <w:r w:rsidR="00AB13C9">
        <w:rPr>
          <w:rFonts w:asciiTheme="minorHAnsi" w:hAnsiTheme="minorHAnsi"/>
        </w:rPr>
        <w:t>.</w:t>
      </w:r>
    </w:p>
    <w:p w14:paraId="7F62FB27" w14:textId="3930E55A" w:rsidR="00875915" w:rsidRPr="00B1343E" w:rsidRDefault="00875915" w:rsidP="005F4BAD">
      <w:pPr>
        <w:numPr>
          <w:ilvl w:val="0"/>
          <w:numId w:val="5"/>
        </w:numPr>
        <w:jc w:val="both"/>
        <w:rPr>
          <w:rFonts w:asciiTheme="minorHAnsi" w:hAnsiTheme="minorHAnsi"/>
        </w:rPr>
      </w:pPr>
      <w:proofErr w:type="spellStart"/>
      <w:r w:rsidRPr="00B1343E">
        <w:rPr>
          <w:rFonts w:asciiTheme="minorHAnsi" w:hAnsiTheme="minorHAnsi"/>
        </w:rPr>
        <w:t>Rajan</w:t>
      </w:r>
      <w:proofErr w:type="spellEnd"/>
      <w:r w:rsidRPr="00B1343E">
        <w:rPr>
          <w:rFonts w:asciiTheme="minorHAnsi" w:hAnsiTheme="minorHAnsi"/>
        </w:rPr>
        <w:t xml:space="preserve"> R., and </w:t>
      </w:r>
      <w:proofErr w:type="spellStart"/>
      <w:r w:rsidRPr="00B1343E">
        <w:rPr>
          <w:rFonts w:asciiTheme="minorHAnsi" w:hAnsiTheme="minorHAnsi"/>
        </w:rPr>
        <w:t>Zingales</w:t>
      </w:r>
      <w:proofErr w:type="spellEnd"/>
      <w:r w:rsidRPr="00B1343E">
        <w:rPr>
          <w:rFonts w:asciiTheme="minorHAnsi" w:hAnsiTheme="minorHAnsi"/>
        </w:rPr>
        <w:t xml:space="preserve"> L.: The Great Reversals: The Politics Of Financial Development In The Twentieth Century, Journal of Financial Economics 69, 5–50, 2003.</w:t>
      </w:r>
    </w:p>
    <w:p w14:paraId="597E182B" w14:textId="46434A71" w:rsidR="004766C4" w:rsidRDefault="004766C4" w:rsidP="004766C4">
      <w:pPr>
        <w:numPr>
          <w:ilvl w:val="0"/>
          <w:numId w:val="5"/>
        </w:numPr>
        <w:jc w:val="both"/>
        <w:rPr>
          <w:rFonts w:asciiTheme="minorHAnsi" w:hAnsiTheme="minorHAnsi"/>
        </w:rPr>
      </w:pPr>
      <w:proofErr w:type="spellStart"/>
      <w:r w:rsidRPr="004766C4">
        <w:rPr>
          <w:rFonts w:asciiTheme="minorHAnsi" w:hAnsiTheme="minorHAnsi"/>
        </w:rPr>
        <w:t>Soltani</w:t>
      </w:r>
      <w:proofErr w:type="spellEnd"/>
      <w:r w:rsidRPr="004766C4">
        <w:rPr>
          <w:rFonts w:asciiTheme="minorHAnsi" w:hAnsiTheme="minorHAnsi"/>
        </w:rPr>
        <w:t xml:space="preserve"> H. and </w:t>
      </w:r>
      <w:proofErr w:type="spellStart"/>
      <w:r w:rsidRPr="004766C4">
        <w:rPr>
          <w:rFonts w:asciiTheme="minorHAnsi" w:hAnsiTheme="minorHAnsi"/>
        </w:rPr>
        <w:t>Maktouf</w:t>
      </w:r>
      <w:proofErr w:type="spellEnd"/>
      <w:r w:rsidRPr="004766C4">
        <w:rPr>
          <w:rFonts w:asciiTheme="minorHAnsi" w:hAnsiTheme="minorHAnsi"/>
        </w:rPr>
        <w:t xml:space="preserve"> S.: Financial Development and Economic Growth Case of the MENA region. Global Journal of Management and Business Research, Volume 13 Issue 7, 2013</w:t>
      </w:r>
    </w:p>
    <w:p w14:paraId="1349F1A5" w14:textId="77777777" w:rsidR="00875915" w:rsidRPr="00B1343E" w:rsidRDefault="00875915" w:rsidP="00875915">
      <w:pPr>
        <w:numPr>
          <w:ilvl w:val="0"/>
          <w:numId w:val="5"/>
        </w:numPr>
        <w:jc w:val="both"/>
        <w:rPr>
          <w:rFonts w:asciiTheme="minorHAnsi" w:hAnsiTheme="minorHAnsi"/>
        </w:rPr>
      </w:pPr>
      <w:proofErr w:type="spellStart"/>
      <w:r w:rsidRPr="00B1343E">
        <w:rPr>
          <w:rFonts w:asciiTheme="minorHAnsi" w:hAnsiTheme="minorHAnsi"/>
        </w:rPr>
        <w:t>Takáts</w:t>
      </w:r>
      <w:proofErr w:type="spellEnd"/>
      <w:r w:rsidRPr="00B1343E">
        <w:rPr>
          <w:rFonts w:asciiTheme="minorHAnsi" w:hAnsiTheme="minorHAnsi"/>
        </w:rPr>
        <w:t xml:space="preserve"> E. and Upper C.: Credit and growth after financial crises, Bank For International Settlements, Working Paper No. 416, Monetary and Economic Department, July 2013. </w:t>
      </w:r>
    </w:p>
    <w:p w14:paraId="14D8A098" w14:textId="0E424375" w:rsidR="00984795" w:rsidRDefault="00984795" w:rsidP="00516A21">
      <w:pPr>
        <w:rPr>
          <w:rFonts w:asciiTheme="minorHAnsi" w:hAnsiTheme="minorHAnsi"/>
        </w:rPr>
      </w:pPr>
    </w:p>
    <w:p w14:paraId="5595A63C" w14:textId="77777777" w:rsidR="00984795" w:rsidRDefault="00984795" w:rsidP="002D6E81">
      <w:pPr>
        <w:jc w:val="both"/>
        <w:rPr>
          <w:rFonts w:asciiTheme="minorHAnsi" w:hAnsiTheme="minorHAnsi"/>
        </w:rPr>
      </w:pPr>
    </w:p>
    <w:p w14:paraId="69171C6B" w14:textId="675B424A" w:rsidR="00984795" w:rsidRDefault="00984795" w:rsidP="002D6E81">
      <w:pPr>
        <w:jc w:val="both"/>
        <w:rPr>
          <w:rFonts w:asciiTheme="minorHAnsi" w:hAnsiTheme="minorHAnsi"/>
        </w:rPr>
      </w:pPr>
    </w:p>
    <w:p w14:paraId="3792904E" w14:textId="77777777" w:rsidR="00984795" w:rsidRDefault="00984795" w:rsidP="002D6E81">
      <w:pPr>
        <w:jc w:val="both"/>
        <w:rPr>
          <w:rFonts w:asciiTheme="minorHAnsi" w:hAnsiTheme="minorHAnsi"/>
        </w:rPr>
      </w:pPr>
    </w:p>
    <w:p w14:paraId="6D3E6496" w14:textId="77777777" w:rsidR="00FF44A7" w:rsidRPr="00516A21" w:rsidRDefault="00FF44A7" w:rsidP="00F51ECD">
      <w:pPr>
        <w:jc w:val="both"/>
        <w:rPr>
          <w:rFonts w:asciiTheme="minorHAnsi" w:hAnsiTheme="minorHAnsi"/>
        </w:rPr>
      </w:pPr>
    </w:p>
    <w:sectPr w:rsidR="00FF44A7" w:rsidRPr="00516A21" w:rsidSect="00F51ECD">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379C8" w14:textId="77777777" w:rsidR="00316B44" w:rsidRDefault="00316B44">
      <w:r>
        <w:separator/>
      </w:r>
    </w:p>
  </w:endnote>
  <w:endnote w:type="continuationSeparator" w:id="0">
    <w:p w14:paraId="33E64B17" w14:textId="77777777" w:rsidR="00316B44" w:rsidRDefault="00316B44">
      <w:r>
        <w:continuationSeparator/>
      </w:r>
    </w:p>
  </w:endnote>
  <w:endnote w:type="continuationNotice" w:id="1">
    <w:p w14:paraId="143B9D11" w14:textId="77777777" w:rsidR="00316B44" w:rsidRDefault="00316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DB9A" w14:textId="77777777" w:rsidR="00D84F14" w:rsidRDefault="00D84F14" w:rsidP="00862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55F7C" w14:textId="77777777" w:rsidR="00D84F14" w:rsidRDefault="00D84F14" w:rsidP="00F51E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F3071" w14:textId="77777777" w:rsidR="00D84F14" w:rsidRDefault="00D84F14" w:rsidP="00862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DC7">
      <w:rPr>
        <w:rStyle w:val="PageNumber"/>
        <w:noProof/>
      </w:rPr>
      <w:t>2</w:t>
    </w:r>
    <w:r>
      <w:rPr>
        <w:rStyle w:val="PageNumber"/>
      </w:rPr>
      <w:fldChar w:fldCharType="end"/>
    </w:r>
  </w:p>
  <w:p w14:paraId="5172343E" w14:textId="77777777" w:rsidR="00D84F14" w:rsidRDefault="00D84F14" w:rsidP="00F51EC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53F5" w14:textId="77777777" w:rsidR="00D84F14" w:rsidRDefault="00D84F14" w:rsidP="006A35C6">
    <w:pPr>
      <w:pStyle w:val="Footer"/>
      <w:pBdr>
        <w:top w:val="single" w:sz="4" w:space="1" w:color="D9D9D9"/>
      </w:pBdr>
      <w:jc w:val="right"/>
    </w:pPr>
    <w:r>
      <w:fldChar w:fldCharType="begin"/>
    </w:r>
    <w:r>
      <w:instrText xml:space="preserve"> PAGE   \* MERGEFORMAT </w:instrText>
    </w:r>
    <w:r>
      <w:fldChar w:fldCharType="separate"/>
    </w:r>
    <w:r w:rsidR="00410DC7">
      <w:rPr>
        <w:noProof/>
      </w:rPr>
      <w:t>1</w:t>
    </w:r>
    <w:r>
      <w:rPr>
        <w:noProof/>
      </w:rPr>
      <w:fldChar w:fldCharType="end"/>
    </w:r>
    <w:r>
      <w:t xml:space="preserve"> | </w:t>
    </w:r>
    <w:r w:rsidRPr="006A35C6">
      <w:rPr>
        <w:color w:val="808080"/>
        <w:spacing w:val="60"/>
      </w:rPr>
      <w:t>Page</w:t>
    </w:r>
  </w:p>
  <w:p w14:paraId="2C15DBF6" w14:textId="77777777" w:rsidR="00D84F14" w:rsidRDefault="00D8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A506C" w14:textId="77777777" w:rsidR="00316B44" w:rsidRDefault="00316B44">
      <w:r>
        <w:separator/>
      </w:r>
    </w:p>
  </w:footnote>
  <w:footnote w:type="continuationSeparator" w:id="0">
    <w:p w14:paraId="5C7FABEA" w14:textId="77777777" w:rsidR="00316B44" w:rsidRDefault="00316B44">
      <w:r>
        <w:continuationSeparator/>
      </w:r>
    </w:p>
  </w:footnote>
  <w:footnote w:type="continuationNotice" w:id="1">
    <w:p w14:paraId="129EEF89" w14:textId="77777777" w:rsidR="00316B44" w:rsidRDefault="00316B44"/>
  </w:footnote>
  <w:footnote w:id="2">
    <w:p w14:paraId="4E898507" w14:textId="07B5A6E8" w:rsidR="00D84F14" w:rsidRPr="00516A21" w:rsidRDefault="00D84F14" w:rsidP="00983797">
      <w:pPr>
        <w:pStyle w:val="FootnoteText"/>
        <w:rPr>
          <w:rFonts w:asciiTheme="minorHAnsi" w:hAnsiTheme="minorHAnsi"/>
        </w:rPr>
      </w:pPr>
      <w:r w:rsidRPr="00516A21">
        <w:rPr>
          <w:rStyle w:val="FootnoteReference"/>
          <w:rFonts w:asciiTheme="minorHAnsi" w:hAnsiTheme="minorHAnsi"/>
        </w:rPr>
        <w:footnoteRef/>
      </w:r>
      <w:r w:rsidRPr="00516A21">
        <w:rPr>
          <w:rFonts w:asciiTheme="minorHAnsi" w:hAnsiTheme="minorHAnsi"/>
        </w:rPr>
        <w:t xml:space="preserve"> </w:t>
      </w:r>
      <w:r>
        <w:rPr>
          <w:rFonts w:asciiTheme="minorHAnsi" w:hAnsiTheme="minorHAnsi"/>
        </w:rPr>
        <w:t xml:space="preserve">In explaining the key role of banks following a financial crisis, The </w:t>
      </w:r>
      <w:r w:rsidRPr="00516A21">
        <w:rPr>
          <w:rFonts w:asciiTheme="minorHAnsi" w:hAnsiTheme="minorHAnsi"/>
        </w:rPr>
        <w:t xml:space="preserve">Institute for International Finance (2011) </w:t>
      </w:r>
      <w:r w:rsidRPr="00983797">
        <w:rPr>
          <w:rFonts w:asciiTheme="minorHAnsi" w:hAnsiTheme="minorHAnsi"/>
        </w:rPr>
        <w:t xml:space="preserve">argues that </w:t>
      </w:r>
      <w:r>
        <w:rPr>
          <w:rFonts w:asciiTheme="minorHAnsi" w:hAnsiTheme="minorHAnsi"/>
        </w:rPr>
        <w:t xml:space="preserve">the </w:t>
      </w:r>
      <w:r w:rsidRPr="00983797">
        <w:rPr>
          <w:rFonts w:asciiTheme="minorHAnsi" w:hAnsiTheme="minorHAnsi"/>
        </w:rPr>
        <w:t>“private sector deleveraging will remain</w:t>
      </w:r>
      <w:r>
        <w:rPr>
          <w:rFonts w:asciiTheme="minorHAnsi" w:hAnsiTheme="minorHAnsi"/>
        </w:rPr>
        <w:t xml:space="preserve"> </w:t>
      </w:r>
      <w:r w:rsidRPr="00983797">
        <w:rPr>
          <w:rFonts w:asciiTheme="minorHAnsi" w:hAnsiTheme="minorHAnsi"/>
        </w:rPr>
        <w:t>a major headwind to growth in the years ahead</w:t>
      </w:r>
      <w:r>
        <w:rPr>
          <w:rFonts w:asciiTheme="minorHAnsi" w:hAnsiTheme="minorHAnsi"/>
        </w:rPr>
        <w:t>”.</w:t>
      </w:r>
    </w:p>
  </w:footnote>
  <w:footnote w:id="3">
    <w:p w14:paraId="6DDA4D80" w14:textId="27AEF4A5" w:rsidR="00D84F14" w:rsidRPr="00B1343E" w:rsidRDefault="00D84F14">
      <w:pPr>
        <w:pStyle w:val="FootnoteText"/>
        <w:rPr>
          <w:rFonts w:asciiTheme="minorHAnsi" w:hAnsiTheme="minorHAnsi"/>
        </w:rPr>
      </w:pPr>
      <w:r>
        <w:rPr>
          <w:rStyle w:val="FootnoteReference"/>
        </w:rPr>
        <w:footnoteRef/>
      </w:r>
      <w:r>
        <w:t xml:space="preserve"> </w:t>
      </w:r>
      <w:r w:rsidRPr="00B1343E">
        <w:rPr>
          <w:rFonts w:asciiTheme="minorHAnsi" w:hAnsiTheme="minorHAnsi"/>
        </w:rPr>
        <w:t xml:space="preserve">For a review of these issues in the context of countries in the MENA region, see </w:t>
      </w:r>
      <w:proofErr w:type="spellStart"/>
      <w:r w:rsidRPr="00B1343E">
        <w:rPr>
          <w:rFonts w:asciiTheme="minorHAnsi" w:hAnsiTheme="minorHAnsi"/>
        </w:rPr>
        <w:t>Soltani</w:t>
      </w:r>
      <w:proofErr w:type="spellEnd"/>
      <w:r w:rsidRPr="00B1343E">
        <w:rPr>
          <w:rFonts w:asciiTheme="minorHAnsi" w:hAnsiTheme="minorHAnsi"/>
        </w:rPr>
        <w:t xml:space="preserve"> and </w:t>
      </w:r>
      <w:proofErr w:type="spellStart"/>
      <w:proofErr w:type="gramStart"/>
      <w:r w:rsidRPr="00B1343E">
        <w:rPr>
          <w:rFonts w:asciiTheme="minorHAnsi" w:hAnsiTheme="minorHAnsi"/>
        </w:rPr>
        <w:t>Maktouf</w:t>
      </w:r>
      <w:proofErr w:type="spellEnd"/>
      <w:r w:rsidRPr="00B1343E">
        <w:rPr>
          <w:rFonts w:asciiTheme="minorHAnsi" w:hAnsiTheme="minorHAnsi"/>
        </w:rPr>
        <w:t xml:space="preserve">  (</w:t>
      </w:r>
      <w:proofErr w:type="gramEnd"/>
      <w:r w:rsidRPr="00B1343E">
        <w:rPr>
          <w:rFonts w:asciiTheme="minorHAnsi" w:hAnsiTheme="minorHAnsi"/>
        </w:rPr>
        <w:t>2013)</w:t>
      </w:r>
      <w:r>
        <w:rPr>
          <w:rFonts w:asciiTheme="minorHAnsi" w:hAnsiTheme="minorHAnsi"/>
        </w:rPr>
        <w:t xml:space="preserve">, </w:t>
      </w:r>
      <w:proofErr w:type="spellStart"/>
      <w:r w:rsidRPr="005F4BAD">
        <w:rPr>
          <w:rFonts w:asciiTheme="minorHAnsi" w:hAnsiTheme="minorHAnsi"/>
        </w:rPr>
        <w:t>Manizheh</w:t>
      </w:r>
      <w:proofErr w:type="spellEnd"/>
      <w:r w:rsidRPr="005F4BAD">
        <w:rPr>
          <w:rFonts w:asciiTheme="minorHAnsi" w:hAnsiTheme="minorHAnsi"/>
        </w:rPr>
        <w:t xml:space="preserve">  and Hook</w:t>
      </w:r>
      <w:r>
        <w:rPr>
          <w:rFonts w:asciiTheme="minorHAnsi" w:hAnsiTheme="minorHAnsi"/>
        </w:rPr>
        <w:t xml:space="preserve"> (2013).  For the case of Egypt, the reference is Kamal (2013).</w:t>
      </w:r>
    </w:p>
  </w:footnote>
  <w:footnote w:id="4">
    <w:p w14:paraId="6FD187AE" w14:textId="5C268A96" w:rsidR="00D84F14" w:rsidRPr="00516A21" w:rsidRDefault="00D84F14">
      <w:pPr>
        <w:pStyle w:val="FootnoteText"/>
        <w:rPr>
          <w:rFonts w:asciiTheme="minorHAnsi" w:hAnsiTheme="minorHAnsi"/>
        </w:rPr>
      </w:pPr>
      <w:r>
        <w:rPr>
          <w:rStyle w:val="FootnoteReference"/>
        </w:rPr>
        <w:footnoteRef/>
      </w:r>
      <w:r>
        <w:t xml:space="preserve"> </w:t>
      </w:r>
      <w:r w:rsidRPr="00516A21">
        <w:rPr>
          <w:rFonts w:asciiTheme="minorHAnsi" w:hAnsiTheme="minorHAnsi"/>
        </w:rPr>
        <w:t xml:space="preserve">The World Bank figures show that Libya’s real GDP shrunk by 62% in 2011 and rebounded by 105% in 2012.  We consider these changes as outliers and eliminate these extremes from </w:t>
      </w:r>
      <w:r>
        <w:rPr>
          <w:rFonts w:asciiTheme="minorHAnsi" w:hAnsiTheme="minorHAnsi"/>
        </w:rPr>
        <w:t>the</w:t>
      </w:r>
      <w:r w:rsidRPr="00516A21">
        <w:rPr>
          <w:rFonts w:asciiTheme="minorHAnsi" w:hAnsiTheme="minorHAnsi"/>
        </w:rPr>
        <w:t xml:space="preserve"> analysis. </w:t>
      </w:r>
    </w:p>
  </w:footnote>
  <w:footnote w:id="5">
    <w:p w14:paraId="2559E645" w14:textId="1640BD85" w:rsidR="00D84F14" w:rsidRPr="00516A21" w:rsidRDefault="00D84F14">
      <w:pPr>
        <w:pStyle w:val="FootnoteText"/>
        <w:rPr>
          <w:rFonts w:asciiTheme="minorHAnsi" w:hAnsiTheme="minorHAnsi"/>
        </w:rPr>
      </w:pPr>
      <w:r w:rsidRPr="00516A21">
        <w:rPr>
          <w:rStyle w:val="FootnoteReference"/>
          <w:rFonts w:asciiTheme="minorHAnsi" w:hAnsiTheme="minorHAnsi"/>
        </w:rPr>
        <w:footnoteRef/>
      </w:r>
      <w:r w:rsidRPr="00516A21">
        <w:rPr>
          <w:rFonts w:asciiTheme="minorHAnsi" w:hAnsiTheme="minorHAnsi"/>
        </w:rPr>
        <w:t xml:space="preserve"> This is part of large study by the IMF detailed in </w:t>
      </w:r>
      <w:proofErr w:type="spellStart"/>
      <w:r w:rsidRPr="00516A21">
        <w:rPr>
          <w:rFonts w:asciiTheme="minorHAnsi" w:hAnsiTheme="minorHAnsi"/>
        </w:rPr>
        <w:t>Creane</w:t>
      </w:r>
      <w:proofErr w:type="spellEnd"/>
      <w:r w:rsidRPr="00516A21">
        <w:rPr>
          <w:rFonts w:asciiTheme="minorHAnsi" w:hAnsiTheme="minorHAnsi"/>
        </w:rPr>
        <w:t xml:space="preserve"> et al.</w:t>
      </w:r>
      <w:r>
        <w:rPr>
          <w:rFonts w:asciiTheme="minorHAnsi" w:hAnsiTheme="minorHAnsi"/>
        </w:rPr>
        <w:t xml:space="preserve"> (</w:t>
      </w:r>
      <w:r w:rsidRPr="00516A21">
        <w:rPr>
          <w:rFonts w:asciiTheme="minorHAnsi" w:hAnsiTheme="minorHAnsi"/>
        </w:rPr>
        <w:t>2004</w:t>
      </w:r>
      <w:r>
        <w:rPr>
          <w:rFonts w:asciiTheme="minorHAnsi" w:hAnsiTheme="minorHAnsi"/>
        </w:rPr>
        <w:t>)</w:t>
      </w:r>
      <w:r w:rsidRPr="00516A21">
        <w:rPr>
          <w:rFonts w:asciiTheme="minorHAnsi" w:hAnsiTheme="minorHAnsi"/>
        </w:rPr>
        <w:t>.</w:t>
      </w:r>
    </w:p>
  </w:footnote>
  <w:footnote w:id="6">
    <w:p w14:paraId="1D2B554A" w14:textId="77777777" w:rsidR="00D84F14" w:rsidRDefault="00D84F14" w:rsidP="00B37744">
      <w:pPr>
        <w:pStyle w:val="FootnoteText"/>
      </w:pPr>
      <w:r>
        <w:rPr>
          <w:rStyle w:val="FootnoteReference"/>
        </w:rPr>
        <w:footnoteRef/>
      </w:r>
      <w:r>
        <w:t xml:space="preserve"> </w:t>
      </w:r>
      <w:r w:rsidRPr="00194B40">
        <w:rPr>
          <w:rFonts w:asciiTheme="minorHAnsi" w:hAnsiTheme="minorHAnsi"/>
          <w:sz w:val="18"/>
        </w:rPr>
        <w:t>Egypt’s recent Suez Canal Expansion Project is one such example. See  http://www.worldbank.org/projects/P004982/suez-canal-development-project?lang=en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244EA" w14:textId="5C04D24E" w:rsidR="00D84F14" w:rsidRPr="00F51ECD" w:rsidRDefault="00D84F14" w:rsidP="00F51ECD">
    <w:pPr>
      <w:pStyle w:val="Header"/>
      <w:jc w:val="center"/>
      <w:rPr>
        <w:rFonts w:ascii="Calibri" w:hAnsi="Calibri"/>
      </w:rPr>
    </w:pPr>
    <w:r w:rsidRPr="006A35C6">
      <w:rPr>
        <w:rFonts w:ascii="Calibri" w:hAnsi="Calibri"/>
      </w:rPr>
      <w:t>Finance Track: Are Banks A Casualty Of The Arab Spring?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928C" w14:textId="517C5227" w:rsidR="00D84F14" w:rsidRPr="00B069EE" w:rsidRDefault="00410DC7" w:rsidP="00B069EE">
    <w:pPr>
      <w:pStyle w:val="Header"/>
      <w:jc w:val="right"/>
      <w:rPr>
        <w:rFonts w:asciiTheme="minorHAnsi" w:hAnsiTheme="minorHAnsi"/>
        <w:sz w:val="20"/>
      </w:rPr>
    </w:pPr>
    <w:r>
      <w:rPr>
        <w:rFonts w:asciiTheme="minorHAnsi" w:hAnsiTheme="minorHAnsi"/>
        <w:sz w:val="20"/>
      </w:rPr>
      <w:t>Jan 25</w:t>
    </w:r>
    <w:r w:rsidR="00D84F14" w:rsidRPr="00B069EE">
      <w:rPr>
        <w:rFonts w:asciiTheme="minorHAnsi" w:hAnsiTheme="minorHAnsi"/>
        <w:sz w:val="20"/>
      </w:rPr>
      <w:t>, 201</w:t>
    </w:r>
    <w:r>
      <w:rPr>
        <w:rFonts w:asciiTheme="minorHAnsi" w:hAnsiTheme="minorHAnsi"/>
        <w:sz w:val="20"/>
      </w:rPr>
      <w:t>5</w:t>
    </w:r>
  </w:p>
  <w:p w14:paraId="1AA3379E" w14:textId="3A7DEF30" w:rsidR="00D84F14" w:rsidRPr="00B069EE" w:rsidRDefault="00D84F14" w:rsidP="00B069EE">
    <w:pPr>
      <w:pStyle w:val="Header"/>
      <w:jc w:val="right"/>
      <w:rPr>
        <w:rFonts w:asciiTheme="minorHAnsi" w:hAnsiTheme="minorHAnsi"/>
        <w:sz w:val="20"/>
      </w:rPr>
    </w:pPr>
    <w:r w:rsidRPr="00B069EE">
      <w:rPr>
        <w:rFonts w:asciiTheme="minorHAnsi" w:hAnsiTheme="minorHAnsi"/>
        <w:sz w:val="20"/>
      </w:rPr>
      <w:t>Please do not quote without the authors permission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3787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D244D"/>
    <w:multiLevelType w:val="hybridMultilevel"/>
    <w:tmpl w:val="93F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776F"/>
    <w:multiLevelType w:val="hybridMultilevel"/>
    <w:tmpl w:val="B6E06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8A51E6"/>
    <w:multiLevelType w:val="hybridMultilevel"/>
    <w:tmpl w:val="64048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7C0533"/>
    <w:multiLevelType w:val="hybridMultilevel"/>
    <w:tmpl w:val="41747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990415"/>
    <w:multiLevelType w:val="hybridMultilevel"/>
    <w:tmpl w:val="96BE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A1EE5"/>
    <w:multiLevelType w:val="hybridMultilevel"/>
    <w:tmpl w:val="3802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348B6"/>
    <w:multiLevelType w:val="hybridMultilevel"/>
    <w:tmpl w:val="3802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294366"/>
    <w:multiLevelType w:val="hybridMultilevel"/>
    <w:tmpl w:val="B920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55"/>
    <w:rsid w:val="000004B9"/>
    <w:rsid w:val="00001E85"/>
    <w:rsid w:val="00003642"/>
    <w:rsid w:val="00007E7E"/>
    <w:rsid w:val="000178FB"/>
    <w:rsid w:val="00033175"/>
    <w:rsid w:val="000539E0"/>
    <w:rsid w:val="00055167"/>
    <w:rsid w:val="00055517"/>
    <w:rsid w:val="000627F4"/>
    <w:rsid w:val="000657BE"/>
    <w:rsid w:val="00067C76"/>
    <w:rsid w:val="000742BE"/>
    <w:rsid w:val="00085F61"/>
    <w:rsid w:val="000932F5"/>
    <w:rsid w:val="000A0460"/>
    <w:rsid w:val="000A4413"/>
    <w:rsid w:val="000A5DA5"/>
    <w:rsid w:val="000A6AD5"/>
    <w:rsid w:val="000A7454"/>
    <w:rsid w:val="000B080B"/>
    <w:rsid w:val="000B0DB8"/>
    <w:rsid w:val="000B7DCE"/>
    <w:rsid w:val="000C36EC"/>
    <w:rsid w:val="000C437A"/>
    <w:rsid w:val="000C52CD"/>
    <w:rsid w:val="000D7A28"/>
    <w:rsid w:val="000E04EA"/>
    <w:rsid w:val="000E2D28"/>
    <w:rsid w:val="000E4570"/>
    <w:rsid w:val="000E743F"/>
    <w:rsid w:val="000F2AB7"/>
    <w:rsid w:val="00115D4D"/>
    <w:rsid w:val="00134B54"/>
    <w:rsid w:val="00135AEA"/>
    <w:rsid w:val="001406D3"/>
    <w:rsid w:val="001851D1"/>
    <w:rsid w:val="00190BAE"/>
    <w:rsid w:val="001967CE"/>
    <w:rsid w:val="00197DDA"/>
    <w:rsid w:val="001A01C2"/>
    <w:rsid w:val="001A0655"/>
    <w:rsid w:val="001A4293"/>
    <w:rsid w:val="001A6528"/>
    <w:rsid w:val="001B32C1"/>
    <w:rsid w:val="001C7B26"/>
    <w:rsid w:val="001D366F"/>
    <w:rsid w:val="001E017E"/>
    <w:rsid w:val="001E04C7"/>
    <w:rsid w:val="001E1C4D"/>
    <w:rsid w:val="001F0CF6"/>
    <w:rsid w:val="0021269E"/>
    <w:rsid w:val="00213B8B"/>
    <w:rsid w:val="00215EF5"/>
    <w:rsid w:val="002302AA"/>
    <w:rsid w:val="0023175F"/>
    <w:rsid w:val="0023526C"/>
    <w:rsid w:val="00235FBC"/>
    <w:rsid w:val="00237E22"/>
    <w:rsid w:val="00250AB4"/>
    <w:rsid w:val="00253D60"/>
    <w:rsid w:val="00263535"/>
    <w:rsid w:val="00270995"/>
    <w:rsid w:val="00283ABA"/>
    <w:rsid w:val="00290816"/>
    <w:rsid w:val="00292DD5"/>
    <w:rsid w:val="002A2747"/>
    <w:rsid w:val="002A674D"/>
    <w:rsid w:val="002B5054"/>
    <w:rsid w:val="002B5A1A"/>
    <w:rsid w:val="002B637B"/>
    <w:rsid w:val="002C0DEF"/>
    <w:rsid w:val="002C67D0"/>
    <w:rsid w:val="002D0863"/>
    <w:rsid w:val="002D6E81"/>
    <w:rsid w:val="002E1B2B"/>
    <w:rsid w:val="002E2AD0"/>
    <w:rsid w:val="002E36BE"/>
    <w:rsid w:val="002E7941"/>
    <w:rsid w:val="002F1C2D"/>
    <w:rsid w:val="003009A1"/>
    <w:rsid w:val="00301BEF"/>
    <w:rsid w:val="00306171"/>
    <w:rsid w:val="003069EA"/>
    <w:rsid w:val="0031298F"/>
    <w:rsid w:val="00312F92"/>
    <w:rsid w:val="00316B44"/>
    <w:rsid w:val="0032483A"/>
    <w:rsid w:val="00342C08"/>
    <w:rsid w:val="00352F0B"/>
    <w:rsid w:val="00360FEF"/>
    <w:rsid w:val="00374740"/>
    <w:rsid w:val="003809E8"/>
    <w:rsid w:val="00380FDA"/>
    <w:rsid w:val="003914E5"/>
    <w:rsid w:val="003A2FD4"/>
    <w:rsid w:val="003B6F4E"/>
    <w:rsid w:val="003B7FA3"/>
    <w:rsid w:val="003C1BBF"/>
    <w:rsid w:val="003C2333"/>
    <w:rsid w:val="003D01EB"/>
    <w:rsid w:val="003E0660"/>
    <w:rsid w:val="004022AC"/>
    <w:rsid w:val="00405D7B"/>
    <w:rsid w:val="00410DC7"/>
    <w:rsid w:val="004252CA"/>
    <w:rsid w:val="00430E4B"/>
    <w:rsid w:val="004402CE"/>
    <w:rsid w:val="00445F31"/>
    <w:rsid w:val="00447482"/>
    <w:rsid w:val="00451AD8"/>
    <w:rsid w:val="0045508B"/>
    <w:rsid w:val="00462043"/>
    <w:rsid w:val="0046533F"/>
    <w:rsid w:val="004662F2"/>
    <w:rsid w:val="00466706"/>
    <w:rsid w:val="0046708D"/>
    <w:rsid w:val="00470A68"/>
    <w:rsid w:val="0047205B"/>
    <w:rsid w:val="004766C4"/>
    <w:rsid w:val="00477F21"/>
    <w:rsid w:val="00490DA2"/>
    <w:rsid w:val="00493475"/>
    <w:rsid w:val="0049360F"/>
    <w:rsid w:val="004A1A81"/>
    <w:rsid w:val="004B2A49"/>
    <w:rsid w:val="004B7AC5"/>
    <w:rsid w:val="004C15C1"/>
    <w:rsid w:val="004D3F67"/>
    <w:rsid w:val="004E38F3"/>
    <w:rsid w:val="005026F6"/>
    <w:rsid w:val="005069F3"/>
    <w:rsid w:val="00516A21"/>
    <w:rsid w:val="00517FB3"/>
    <w:rsid w:val="005210B4"/>
    <w:rsid w:val="00527913"/>
    <w:rsid w:val="00527CB6"/>
    <w:rsid w:val="005300D9"/>
    <w:rsid w:val="00530F3A"/>
    <w:rsid w:val="005366A2"/>
    <w:rsid w:val="00541476"/>
    <w:rsid w:val="00563C72"/>
    <w:rsid w:val="005767A7"/>
    <w:rsid w:val="00577682"/>
    <w:rsid w:val="005803D7"/>
    <w:rsid w:val="00582BA3"/>
    <w:rsid w:val="00591B9A"/>
    <w:rsid w:val="005978C3"/>
    <w:rsid w:val="005A0B46"/>
    <w:rsid w:val="005A177B"/>
    <w:rsid w:val="005B1DB6"/>
    <w:rsid w:val="005C1879"/>
    <w:rsid w:val="005C7624"/>
    <w:rsid w:val="005D0D39"/>
    <w:rsid w:val="005D711A"/>
    <w:rsid w:val="005E43A4"/>
    <w:rsid w:val="005E76BD"/>
    <w:rsid w:val="005F4BAD"/>
    <w:rsid w:val="005F5779"/>
    <w:rsid w:val="005F6EB7"/>
    <w:rsid w:val="0060371A"/>
    <w:rsid w:val="00605908"/>
    <w:rsid w:val="00606511"/>
    <w:rsid w:val="00606D80"/>
    <w:rsid w:val="006123CC"/>
    <w:rsid w:val="00612AC4"/>
    <w:rsid w:val="00613450"/>
    <w:rsid w:val="0062716B"/>
    <w:rsid w:val="006309A0"/>
    <w:rsid w:val="006316B5"/>
    <w:rsid w:val="00655AD2"/>
    <w:rsid w:val="00656A24"/>
    <w:rsid w:val="0066544F"/>
    <w:rsid w:val="00666464"/>
    <w:rsid w:val="006770FB"/>
    <w:rsid w:val="00683E13"/>
    <w:rsid w:val="006944B2"/>
    <w:rsid w:val="00697C55"/>
    <w:rsid w:val="006A2D23"/>
    <w:rsid w:val="006A35C6"/>
    <w:rsid w:val="006B0654"/>
    <w:rsid w:val="006B2DA2"/>
    <w:rsid w:val="006D5025"/>
    <w:rsid w:val="006E2626"/>
    <w:rsid w:val="006E5A5D"/>
    <w:rsid w:val="006E770E"/>
    <w:rsid w:val="006E7DD9"/>
    <w:rsid w:val="006F3ED6"/>
    <w:rsid w:val="006F4690"/>
    <w:rsid w:val="006F6CB3"/>
    <w:rsid w:val="006F7D6E"/>
    <w:rsid w:val="007125B4"/>
    <w:rsid w:val="00712A4F"/>
    <w:rsid w:val="0071650A"/>
    <w:rsid w:val="00721F48"/>
    <w:rsid w:val="007255EF"/>
    <w:rsid w:val="0074303F"/>
    <w:rsid w:val="00750AE0"/>
    <w:rsid w:val="007717EC"/>
    <w:rsid w:val="007729F5"/>
    <w:rsid w:val="00780335"/>
    <w:rsid w:val="00780DBE"/>
    <w:rsid w:val="00786274"/>
    <w:rsid w:val="007959D2"/>
    <w:rsid w:val="007A4527"/>
    <w:rsid w:val="007B0F7B"/>
    <w:rsid w:val="007B539E"/>
    <w:rsid w:val="007C32E8"/>
    <w:rsid w:val="007C34E6"/>
    <w:rsid w:val="007C3FFC"/>
    <w:rsid w:val="007D0AF1"/>
    <w:rsid w:val="007E7FE4"/>
    <w:rsid w:val="007F2A9D"/>
    <w:rsid w:val="007F6079"/>
    <w:rsid w:val="008062B6"/>
    <w:rsid w:val="00862C6E"/>
    <w:rsid w:val="00866D5F"/>
    <w:rsid w:val="00866D8E"/>
    <w:rsid w:val="008722DD"/>
    <w:rsid w:val="008753C9"/>
    <w:rsid w:val="00875915"/>
    <w:rsid w:val="00876D93"/>
    <w:rsid w:val="0088602F"/>
    <w:rsid w:val="008955C7"/>
    <w:rsid w:val="00897BA7"/>
    <w:rsid w:val="008A0D22"/>
    <w:rsid w:val="008A7360"/>
    <w:rsid w:val="008B39F5"/>
    <w:rsid w:val="008C5CAE"/>
    <w:rsid w:val="008D0718"/>
    <w:rsid w:val="008D5112"/>
    <w:rsid w:val="008D5478"/>
    <w:rsid w:val="008F3933"/>
    <w:rsid w:val="008F6D14"/>
    <w:rsid w:val="009002CC"/>
    <w:rsid w:val="0090417B"/>
    <w:rsid w:val="00906040"/>
    <w:rsid w:val="00911F21"/>
    <w:rsid w:val="00916DDD"/>
    <w:rsid w:val="00920037"/>
    <w:rsid w:val="00921B16"/>
    <w:rsid w:val="00943A40"/>
    <w:rsid w:val="009552C4"/>
    <w:rsid w:val="0096151B"/>
    <w:rsid w:val="00971077"/>
    <w:rsid w:val="00976287"/>
    <w:rsid w:val="00983797"/>
    <w:rsid w:val="00984795"/>
    <w:rsid w:val="009957F6"/>
    <w:rsid w:val="009A1E54"/>
    <w:rsid w:val="009A68E6"/>
    <w:rsid w:val="009B1D79"/>
    <w:rsid w:val="009B5C83"/>
    <w:rsid w:val="009C3096"/>
    <w:rsid w:val="009C6329"/>
    <w:rsid w:val="009D2FA5"/>
    <w:rsid w:val="009D3EAF"/>
    <w:rsid w:val="009D770B"/>
    <w:rsid w:val="009E167C"/>
    <w:rsid w:val="00A022BD"/>
    <w:rsid w:val="00A024F8"/>
    <w:rsid w:val="00A04D57"/>
    <w:rsid w:val="00A13BD7"/>
    <w:rsid w:val="00A21F25"/>
    <w:rsid w:val="00A22286"/>
    <w:rsid w:val="00A257DD"/>
    <w:rsid w:val="00A32A84"/>
    <w:rsid w:val="00A41DB8"/>
    <w:rsid w:val="00A46B44"/>
    <w:rsid w:val="00A523D9"/>
    <w:rsid w:val="00A62F62"/>
    <w:rsid w:val="00A6370E"/>
    <w:rsid w:val="00A74BA3"/>
    <w:rsid w:val="00A83755"/>
    <w:rsid w:val="00A85D88"/>
    <w:rsid w:val="00A91DF6"/>
    <w:rsid w:val="00A945C6"/>
    <w:rsid w:val="00A94734"/>
    <w:rsid w:val="00A97000"/>
    <w:rsid w:val="00AA6815"/>
    <w:rsid w:val="00AB13C9"/>
    <w:rsid w:val="00AC7B49"/>
    <w:rsid w:val="00AD17FB"/>
    <w:rsid w:val="00AF0D43"/>
    <w:rsid w:val="00AF43FA"/>
    <w:rsid w:val="00B069EE"/>
    <w:rsid w:val="00B1343E"/>
    <w:rsid w:val="00B13B0B"/>
    <w:rsid w:val="00B2216E"/>
    <w:rsid w:val="00B226D1"/>
    <w:rsid w:val="00B27562"/>
    <w:rsid w:val="00B31E23"/>
    <w:rsid w:val="00B3770F"/>
    <w:rsid w:val="00B37744"/>
    <w:rsid w:val="00B578F3"/>
    <w:rsid w:val="00B611E3"/>
    <w:rsid w:val="00B6165E"/>
    <w:rsid w:val="00B66332"/>
    <w:rsid w:val="00B836D7"/>
    <w:rsid w:val="00BC28F7"/>
    <w:rsid w:val="00BC75D5"/>
    <w:rsid w:val="00BD0B05"/>
    <w:rsid w:val="00BE345E"/>
    <w:rsid w:val="00BE3EAF"/>
    <w:rsid w:val="00BE6AA4"/>
    <w:rsid w:val="00BF3A8E"/>
    <w:rsid w:val="00BF6D58"/>
    <w:rsid w:val="00C04000"/>
    <w:rsid w:val="00C058EF"/>
    <w:rsid w:val="00C06C97"/>
    <w:rsid w:val="00C118A2"/>
    <w:rsid w:val="00C12339"/>
    <w:rsid w:val="00C1657D"/>
    <w:rsid w:val="00C165A2"/>
    <w:rsid w:val="00C165F9"/>
    <w:rsid w:val="00C175E5"/>
    <w:rsid w:val="00C17F01"/>
    <w:rsid w:val="00C24362"/>
    <w:rsid w:val="00C3013D"/>
    <w:rsid w:val="00C437EE"/>
    <w:rsid w:val="00C43B5E"/>
    <w:rsid w:val="00C47DE3"/>
    <w:rsid w:val="00C51EB3"/>
    <w:rsid w:val="00C54B95"/>
    <w:rsid w:val="00C621F5"/>
    <w:rsid w:val="00C64C6F"/>
    <w:rsid w:val="00C65D53"/>
    <w:rsid w:val="00C72C2D"/>
    <w:rsid w:val="00C739E8"/>
    <w:rsid w:val="00C7713C"/>
    <w:rsid w:val="00C92AA2"/>
    <w:rsid w:val="00CA37E9"/>
    <w:rsid w:val="00CB1BEB"/>
    <w:rsid w:val="00CB52A1"/>
    <w:rsid w:val="00CC41E2"/>
    <w:rsid w:val="00CC7D01"/>
    <w:rsid w:val="00CD06F7"/>
    <w:rsid w:val="00CD10CE"/>
    <w:rsid w:val="00CE2D20"/>
    <w:rsid w:val="00D02AB8"/>
    <w:rsid w:val="00D1073D"/>
    <w:rsid w:val="00D25292"/>
    <w:rsid w:val="00D26FC6"/>
    <w:rsid w:val="00D30DF5"/>
    <w:rsid w:val="00D54B31"/>
    <w:rsid w:val="00D54BA3"/>
    <w:rsid w:val="00D67B89"/>
    <w:rsid w:val="00D73BD6"/>
    <w:rsid w:val="00D84AAD"/>
    <w:rsid w:val="00D84F14"/>
    <w:rsid w:val="00D960FB"/>
    <w:rsid w:val="00D96ED9"/>
    <w:rsid w:val="00DA7841"/>
    <w:rsid w:val="00DB0DEA"/>
    <w:rsid w:val="00DB6CB3"/>
    <w:rsid w:val="00DB7285"/>
    <w:rsid w:val="00DD5FB8"/>
    <w:rsid w:val="00DE055F"/>
    <w:rsid w:val="00DE3C6C"/>
    <w:rsid w:val="00DE4455"/>
    <w:rsid w:val="00DE5C1C"/>
    <w:rsid w:val="00DE7D85"/>
    <w:rsid w:val="00DF2E1A"/>
    <w:rsid w:val="00DF35C2"/>
    <w:rsid w:val="00E44F10"/>
    <w:rsid w:val="00E65F54"/>
    <w:rsid w:val="00E85B7E"/>
    <w:rsid w:val="00EA27F5"/>
    <w:rsid w:val="00EA6219"/>
    <w:rsid w:val="00EB2584"/>
    <w:rsid w:val="00EB410F"/>
    <w:rsid w:val="00EB76D2"/>
    <w:rsid w:val="00EC32E8"/>
    <w:rsid w:val="00EF3D65"/>
    <w:rsid w:val="00F03D03"/>
    <w:rsid w:val="00F13371"/>
    <w:rsid w:val="00F21A04"/>
    <w:rsid w:val="00F23B8E"/>
    <w:rsid w:val="00F23C0C"/>
    <w:rsid w:val="00F40DCA"/>
    <w:rsid w:val="00F47C1A"/>
    <w:rsid w:val="00F51ECD"/>
    <w:rsid w:val="00F677B3"/>
    <w:rsid w:val="00F87DB6"/>
    <w:rsid w:val="00FA39C7"/>
    <w:rsid w:val="00FA4C3D"/>
    <w:rsid w:val="00FA78D9"/>
    <w:rsid w:val="00FA7E5E"/>
    <w:rsid w:val="00FC2514"/>
    <w:rsid w:val="00FE36B9"/>
    <w:rsid w:val="00FE4FB1"/>
    <w:rsid w:val="00FE67C1"/>
    <w:rsid w:val="00FE6EFB"/>
    <w:rsid w:val="00FF44A7"/>
    <w:rsid w:val="00FF4A2B"/>
    <w:rsid w:val="00FF5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7C2F727-34A5-4CEF-AB68-1B5A9845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A1"/>
    <w:rPr>
      <w:sz w:val="24"/>
      <w:szCs w:val="24"/>
    </w:rPr>
  </w:style>
  <w:style w:type="paragraph" w:styleId="Heading1">
    <w:name w:val="heading 1"/>
    <w:basedOn w:val="Normal"/>
    <w:next w:val="Normal"/>
    <w:link w:val="Heading1Char"/>
    <w:qFormat/>
    <w:rsid w:val="006A35C6"/>
    <w:pPr>
      <w:keepNext/>
      <w:jc w:val="both"/>
      <w:outlineLvl w:val="0"/>
    </w:pPr>
    <w:rPr>
      <w:rFonts w:cs="Traditional Arabic"/>
      <w:b/>
      <w:bCs/>
      <w:noProof/>
      <w:szCs w:val="28"/>
    </w:rPr>
  </w:style>
  <w:style w:type="paragraph" w:styleId="Heading4">
    <w:name w:val="heading 4"/>
    <w:basedOn w:val="Normal"/>
    <w:next w:val="Normal"/>
    <w:link w:val="Heading4Char"/>
    <w:uiPriority w:val="9"/>
    <w:semiHidden/>
    <w:unhideWhenUsed/>
    <w:qFormat/>
    <w:rsid w:val="00E85B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47DE3"/>
    <w:rPr>
      <w:sz w:val="20"/>
      <w:szCs w:val="20"/>
    </w:rPr>
  </w:style>
  <w:style w:type="character" w:styleId="FootnoteReference">
    <w:name w:val="footnote reference"/>
    <w:rsid w:val="00C47DE3"/>
    <w:rPr>
      <w:vertAlign w:val="superscript"/>
    </w:rPr>
  </w:style>
  <w:style w:type="paragraph" w:styleId="Footer">
    <w:name w:val="footer"/>
    <w:basedOn w:val="Normal"/>
    <w:link w:val="FooterChar"/>
    <w:uiPriority w:val="99"/>
    <w:rsid w:val="00862C6E"/>
    <w:pPr>
      <w:tabs>
        <w:tab w:val="center" w:pos="4320"/>
        <w:tab w:val="right" w:pos="8640"/>
      </w:tabs>
    </w:pPr>
  </w:style>
  <w:style w:type="character" w:styleId="PageNumber">
    <w:name w:val="page number"/>
    <w:basedOn w:val="DefaultParagraphFont"/>
    <w:rsid w:val="00862C6E"/>
  </w:style>
  <w:style w:type="paragraph" w:styleId="BalloonText">
    <w:name w:val="Balloon Text"/>
    <w:basedOn w:val="Normal"/>
    <w:link w:val="BalloonTextChar"/>
    <w:uiPriority w:val="99"/>
    <w:semiHidden/>
    <w:unhideWhenUsed/>
    <w:rsid w:val="00683E13"/>
    <w:rPr>
      <w:rFonts w:ascii="Tahoma" w:hAnsi="Tahoma" w:cs="Tahoma"/>
      <w:sz w:val="16"/>
      <w:szCs w:val="16"/>
    </w:rPr>
  </w:style>
  <w:style w:type="character" w:customStyle="1" w:styleId="BalloonTextChar">
    <w:name w:val="Balloon Text Char"/>
    <w:link w:val="BalloonText"/>
    <w:uiPriority w:val="99"/>
    <w:semiHidden/>
    <w:rsid w:val="00683E13"/>
    <w:rPr>
      <w:rFonts w:ascii="Tahoma" w:hAnsi="Tahoma" w:cs="Tahoma"/>
      <w:sz w:val="16"/>
      <w:szCs w:val="16"/>
    </w:rPr>
  </w:style>
  <w:style w:type="character" w:customStyle="1" w:styleId="apple-converted-space">
    <w:name w:val="apple-converted-space"/>
    <w:rsid w:val="000E2D28"/>
  </w:style>
  <w:style w:type="character" w:styleId="Hyperlink">
    <w:name w:val="Hyperlink"/>
    <w:uiPriority w:val="99"/>
    <w:unhideWhenUsed/>
    <w:rsid w:val="006A35C6"/>
    <w:rPr>
      <w:color w:val="0000FF"/>
      <w:u w:val="single"/>
    </w:rPr>
  </w:style>
  <w:style w:type="character" w:customStyle="1" w:styleId="FootnoteTextChar">
    <w:name w:val="Footnote Text Char"/>
    <w:link w:val="FootnoteText"/>
    <w:rsid w:val="006A35C6"/>
  </w:style>
  <w:style w:type="character" w:customStyle="1" w:styleId="Heading1Char">
    <w:name w:val="Heading 1 Char"/>
    <w:link w:val="Heading1"/>
    <w:rsid w:val="006A35C6"/>
    <w:rPr>
      <w:rFonts w:cs="Traditional Arabic"/>
      <w:b/>
      <w:bCs/>
      <w:noProof/>
      <w:sz w:val="24"/>
      <w:szCs w:val="28"/>
    </w:rPr>
  </w:style>
  <w:style w:type="paragraph" w:styleId="Header">
    <w:name w:val="header"/>
    <w:basedOn w:val="Normal"/>
    <w:link w:val="HeaderChar"/>
    <w:uiPriority w:val="99"/>
    <w:unhideWhenUsed/>
    <w:rsid w:val="006A35C6"/>
    <w:pPr>
      <w:tabs>
        <w:tab w:val="center" w:pos="4680"/>
        <w:tab w:val="right" w:pos="9360"/>
      </w:tabs>
    </w:pPr>
  </w:style>
  <w:style w:type="character" w:customStyle="1" w:styleId="HeaderChar">
    <w:name w:val="Header Char"/>
    <w:link w:val="Header"/>
    <w:uiPriority w:val="99"/>
    <w:rsid w:val="006A35C6"/>
    <w:rPr>
      <w:sz w:val="24"/>
      <w:szCs w:val="24"/>
    </w:rPr>
  </w:style>
  <w:style w:type="character" w:customStyle="1" w:styleId="FooterChar">
    <w:name w:val="Footer Char"/>
    <w:link w:val="Footer"/>
    <w:uiPriority w:val="99"/>
    <w:rsid w:val="006A35C6"/>
    <w:rPr>
      <w:sz w:val="24"/>
      <w:szCs w:val="24"/>
    </w:rPr>
  </w:style>
  <w:style w:type="paragraph" w:styleId="Revision">
    <w:name w:val="Revision"/>
    <w:hidden/>
    <w:uiPriority w:val="99"/>
    <w:semiHidden/>
    <w:rsid w:val="00C06C97"/>
    <w:rPr>
      <w:sz w:val="24"/>
      <w:szCs w:val="24"/>
    </w:rPr>
  </w:style>
  <w:style w:type="paragraph" w:styleId="EndnoteText">
    <w:name w:val="endnote text"/>
    <w:basedOn w:val="Normal"/>
    <w:link w:val="EndnoteTextChar"/>
    <w:uiPriority w:val="99"/>
    <w:semiHidden/>
    <w:unhideWhenUsed/>
    <w:rsid w:val="0023526C"/>
    <w:rPr>
      <w:sz w:val="20"/>
      <w:szCs w:val="20"/>
    </w:rPr>
  </w:style>
  <w:style w:type="character" w:customStyle="1" w:styleId="EndnoteTextChar">
    <w:name w:val="Endnote Text Char"/>
    <w:basedOn w:val="DefaultParagraphFont"/>
    <w:link w:val="EndnoteText"/>
    <w:uiPriority w:val="99"/>
    <w:semiHidden/>
    <w:rsid w:val="0023526C"/>
  </w:style>
  <w:style w:type="character" w:styleId="EndnoteReference">
    <w:name w:val="endnote reference"/>
    <w:basedOn w:val="DefaultParagraphFont"/>
    <w:uiPriority w:val="99"/>
    <w:semiHidden/>
    <w:unhideWhenUsed/>
    <w:rsid w:val="0023526C"/>
    <w:rPr>
      <w:vertAlign w:val="superscript"/>
    </w:rPr>
  </w:style>
  <w:style w:type="character" w:customStyle="1" w:styleId="Heading4Char">
    <w:name w:val="Heading 4 Char"/>
    <w:basedOn w:val="DefaultParagraphFont"/>
    <w:link w:val="Heading4"/>
    <w:uiPriority w:val="9"/>
    <w:semiHidden/>
    <w:rsid w:val="00E85B7E"/>
    <w:rPr>
      <w:rFonts w:asciiTheme="majorHAnsi" w:eastAsiaTheme="majorEastAsia" w:hAnsiTheme="majorHAnsi" w:cstheme="majorBidi"/>
      <w:b/>
      <w:bCs/>
      <w:i/>
      <w:iCs/>
      <w:color w:val="4F81BD" w:themeColor="accent1"/>
      <w:sz w:val="24"/>
      <w:szCs w:val="24"/>
    </w:rPr>
  </w:style>
  <w:style w:type="character" w:styleId="PlaceholderText">
    <w:name w:val="Placeholder Text"/>
    <w:basedOn w:val="DefaultParagraphFont"/>
    <w:uiPriority w:val="99"/>
    <w:semiHidden/>
    <w:rsid w:val="00CB52A1"/>
    <w:rPr>
      <w:color w:val="808080"/>
    </w:rPr>
  </w:style>
  <w:style w:type="paragraph" w:styleId="Caption">
    <w:name w:val="caption"/>
    <w:basedOn w:val="Normal"/>
    <w:next w:val="Normal"/>
    <w:uiPriority w:val="35"/>
    <w:unhideWhenUsed/>
    <w:qFormat/>
    <w:rsid w:val="006944B2"/>
    <w:pPr>
      <w:spacing w:after="200"/>
    </w:pPr>
    <w:rPr>
      <w:b/>
      <w:bCs/>
      <w:color w:val="4F81BD" w:themeColor="accent1"/>
      <w:sz w:val="18"/>
      <w:szCs w:val="18"/>
    </w:rPr>
  </w:style>
  <w:style w:type="paragraph" w:styleId="ListParagraph">
    <w:name w:val="List Paragraph"/>
    <w:basedOn w:val="Normal"/>
    <w:uiPriority w:val="34"/>
    <w:qFormat/>
    <w:rsid w:val="001A0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0439">
      <w:bodyDiv w:val="1"/>
      <w:marLeft w:val="0"/>
      <w:marRight w:val="0"/>
      <w:marTop w:val="0"/>
      <w:marBottom w:val="0"/>
      <w:divBdr>
        <w:top w:val="none" w:sz="0" w:space="0" w:color="auto"/>
        <w:left w:val="none" w:sz="0" w:space="0" w:color="auto"/>
        <w:bottom w:val="none" w:sz="0" w:space="0" w:color="auto"/>
        <w:right w:val="none" w:sz="0" w:space="0" w:color="auto"/>
      </w:divBdr>
    </w:div>
    <w:div w:id="113720750">
      <w:bodyDiv w:val="1"/>
      <w:marLeft w:val="0"/>
      <w:marRight w:val="0"/>
      <w:marTop w:val="0"/>
      <w:marBottom w:val="0"/>
      <w:divBdr>
        <w:top w:val="none" w:sz="0" w:space="0" w:color="auto"/>
        <w:left w:val="none" w:sz="0" w:space="0" w:color="auto"/>
        <w:bottom w:val="none" w:sz="0" w:space="0" w:color="auto"/>
        <w:right w:val="none" w:sz="0" w:space="0" w:color="auto"/>
      </w:divBdr>
    </w:div>
    <w:div w:id="218975348">
      <w:bodyDiv w:val="1"/>
      <w:marLeft w:val="0"/>
      <w:marRight w:val="0"/>
      <w:marTop w:val="0"/>
      <w:marBottom w:val="0"/>
      <w:divBdr>
        <w:top w:val="none" w:sz="0" w:space="0" w:color="auto"/>
        <w:left w:val="none" w:sz="0" w:space="0" w:color="auto"/>
        <w:bottom w:val="none" w:sz="0" w:space="0" w:color="auto"/>
        <w:right w:val="none" w:sz="0" w:space="0" w:color="auto"/>
      </w:divBdr>
      <w:divsChild>
        <w:div w:id="689187416">
          <w:marLeft w:val="0"/>
          <w:marRight w:val="0"/>
          <w:marTop w:val="0"/>
          <w:marBottom w:val="0"/>
          <w:divBdr>
            <w:top w:val="none" w:sz="0" w:space="0" w:color="auto"/>
            <w:left w:val="none" w:sz="0" w:space="0" w:color="auto"/>
            <w:bottom w:val="none" w:sz="0" w:space="0" w:color="auto"/>
            <w:right w:val="none" w:sz="0" w:space="0" w:color="auto"/>
          </w:divBdr>
          <w:divsChild>
            <w:div w:id="1919165870">
              <w:marLeft w:val="0"/>
              <w:marRight w:val="0"/>
              <w:marTop w:val="0"/>
              <w:marBottom w:val="0"/>
              <w:divBdr>
                <w:top w:val="none" w:sz="0" w:space="0" w:color="auto"/>
                <w:left w:val="none" w:sz="0" w:space="0" w:color="auto"/>
                <w:bottom w:val="none" w:sz="0" w:space="0" w:color="auto"/>
                <w:right w:val="none" w:sz="0" w:space="0" w:color="auto"/>
              </w:divBdr>
              <w:divsChild>
                <w:div w:id="1361003945">
                  <w:marLeft w:val="4050"/>
                  <w:marRight w:val="4050"/>
                  <w:marTop w:val="0"/>
                  <w:marBottom w:val="0"/>
                  <w:divBdr>
                    <w:top w:val="none" w:sz="0" w:space="0" w:color="auto"/>
                    <w:left w:val="none" w:sz="0" w:space="0" w:color="auto"/>
                    <w:bottom w:val="none" w:sz="0" w:space="0" w:color="auto"/>
                    <w:right w:val="none" w:sz="0" w:space="0" w:color="auto"/>
                  </w:divBdr>
                  <w:divsChild>
                    <w:div w:id="1380320585">
                      <w:marLeft w:val="-15"/>
                      <w:marRight w:val="-15"/>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46308495">
      <w:bodyDiv w:val="1"/>
      <w:marLeft w:val="0"/>
      <w:marRight w:val="0"/>
      <w:marTop w:val="0"/>
      <w:marBottom w:val="0"/>
      <w:divBdr>
        <w:top w:val="none" w:sz="0" w:space="0" w:color="auto"/>
        <w:left w:val="none" w:sz="0" w:space="0" w:color="auto"/>
        <w:bottom w:val="none" w:sz="0" w:space="0" w:color="auto"/>
        <w:right w:val="none" w:sz="0" w:space="0" w:color="auto"/>
      </w:divBdr>
    </w:div>
    <w:div w:id="302659797">
      <w:bodyDiv w:val="1"/>
      <w:marLeft w:val="0"/>
      <w:marRight w:val="0"/>
      <w:marTop w:val="0"/>
      <w:marBottom w:val="0"/>
      <w:divBdr>
        <w:top w:val="none" w:sz="0" w:space="0" w:color="auto"/>
        <w:left w:val="none" w:sz="0" w:space="0" w:color="auto"/>
        <w:bottom w:val="none" w:sz="0" w:space="0" w:color="auto"/>
        <w:right w:val="none" w:sz="0" w:space="0" w:color="auto"/>
      </w:divBdr>
    </w:div>
    <w:div w:id="534929347">
      <w:bodyDiv w:val="1"/>
      <w:marLeft w:val="0"/>
      <w:marRight w:val="0"/>
      <w:marTop w:val="0"/>
      <w:marBottom w:val="0"/>
      <w:divBdr>
        <w:top w:val="none" w:sz="0" w:space="0" w:color="auto"/>
        <w:left w:val="none" w:sz="0" w:space="0" w:color="auto"/>
        <w:bottom w:val="none" w:sz="0" w:space="0" w:color="auto"/>
        <w:right w:val="none" w:sz="0" w:space="0" w:color="auto"/>
      </w:divBdr>
    </w:div>
    <w:div w:id="614018659">
      <w:bodyDiv w:val="1"/>
      <w:marLeft w:val="0"/>
      <w:marRight w:val="0"/>
      <w:marTop w:val="0"/>
      <w:marBottom w:val="0"/>
      <w:divBdr>
        <w:top w:val="none" w:sz="0" w:space="0" w:color="auto"/>
        <w:left w:val="none" w:sz="0" w:space="0" w:color="auto"/>
        <w:bottom w:val="none" w:sz="0" w:space="0" w:color="auto"/>
        <w:right w:val="none" w:sz="0" w:space="0" w:color="auto"/>
      </w:divBdr>
    </w:div>
    <w:div w:id="720321485">
      <w:bodyDiv w:val="1"/>
      <w:marLeft w:val="0"/>
      <w:marRight w:val="0"/>
      <w:marTop w:val="0"/>
      <w:marBottom w:val="0"/>
      <w:divBdr>
        <w:top w:val="none" w:sz="0" w:space="0" w:color="auto"/>
        <w:left w:val="none" w:sz="0" w:space="0" w:color="auto"/>
        <w:bottom w:val="none" w:sz="0" w:space="0" w:color="auto"/>
        <w:right w:val="none" w:sz="0" w:space="0" w:color="auto"/>
      </w:divBdr>
    </w:div>
    <w:div w:id="869757465">
      <w:bodyDiv w:val="1"/>
      <w:marLeft w:val="0"/>
      <w:marRight w:val="0"/>
      <w:marTop w:val="0"/>
      <w:marBottom w:val="0"/>
      <w:divBdr>
        <w:top w:val="none" w:sz="0" w:space="0" w:color="auto"/>
        <w:left w:val="none" w:sz="0" w:space="0" w:color="auto"/>
        <w:bottom w:val="none" w:sz="0" w:space="0" w:color="auto"/>
        <w:right w:val="none" w:sz="0" w:space="0" w:color="auto"/>
      </w:divBdr>
    </w:div>
    <w:div w:id="893661329">
      <w:bodyDiv w:val="1"/>
      <w:marLeft w:val="0"/>
      <w:marRight w:val="0"/>
      <w:marTop w:val="0"/>
      <w:marBottom w:val="0"/>
      <w:divBdr>
        <w:top w:val="none" w:sz="0" w:space="0" w:color="auto"/>
        <w:left w:val="none" w:sz="0" w:space="0" w:color="auto"/>
        <w:bottom w:val="none" w:sz="0" w:space="0" w:color="auto"/>
        <w:right w:val="none" w:sz="0" w:space="0" w:color="auto"/>
      </w:divBdr>
    </w:div>
    <w:div w:id="935870628">
      <w:bodyDiv w:val="1"/>
      <w:marLeft w:val="0"/>
      <w:marRight w:val="0"/>
      <w:marTop w:val="0"/>
      <w:marBottom w:val="0"/>
      <w:divBdr>
        <w:top w:val="none" w:sz="0" w:space="0" w:color="auto"/>
        <w:left w:val="none" w:sz="0" w:space="0" w:color="auto"/>
        <w:bottom w:val="none" w:sz="0" w:space="0" w:color="auto"/>
        <w:right w:val="none" w:sz="0" w:space="0" w:color="auto"/>
      </w:divBdr>
    </w:div>
    <w:div w:id="947858800">
      <w:bodyDiv w:val="1"/>
      <w:marLeft w:val="0"/>
      <w:marRight w:val="0"/>
      <w:marTop w:val="0"/>
      <w:marBottom w:val="0"/>
      <w:divBdr>
        <w:top w:val="none" w:sz="0" w:space="0" w:color="auto"/>
        <w:left w:val="none" w:sz="0" w:space="0" w:color="auto"/>
        <w:bottom w:val="none" w:sz="0" w:space="0" w:color="auto"/>
        <w:right w:val="none" w:sz="0" w:space="0" w:color="auto"/>
      </w:divBdr>
    </w:div>
    <w:div w:id="1035694474">
      <w:bodyDiv w:val="1"/>
      <w:marLeft w:val="0"/>
      <w:marRight w:val="0"/>
      <w:marTop w:val="0"/>
      <w:marBottom w:val="0"/>
      <w:divBdr>
        <w:top w:val="none" w:sz="0" w:space="0" w:color="auto"/>
        <w:left w:val="none" w:sz="0" w:space="0" w:color="auto"/>
        <w:bottom w:val="none" w:sz="0" w:space="0" w:color="auto"/>
        <w:right w:val="none" w:sz="0" w:space="0" w:color="auto"/>
      </w:divBdr>
    </w:div>
    <w:div w:id="1196845319">
      <w:bodyDiv w:val="1"/>
      <w:marLeft w:val="0"/>
      <w:marRight w:val="0"/>
      <w:marTop w:val="0"/>
      <w:marBottom w:val="0"/>
      <w:divBdr>
        <w:top w:val="none" w:sz="0" w:space="0" w:color="auto"/>
        <w:left w:val="none" w:sz="0" w:space="0" w:color="auto"/>
        <w:bottom w:val="none" w:sz="0" w:space="0" w:color="auto"/>
        <w:right w:val="none" w:sz="0" w:space="0" w:color="auto"/>
      </w:divBdr>
    </w:div>
    <w:div w:id="1328247646">
      <w:bodyDiv w:val="1"/>
      <w:marLeft w:val="0"/>
      <w:marRight w:val="0"/>
      <w:marTop w:val="0"/>
      <w:marBottom w:val="0"/>
      <w:divBdr>
        <w:top w:val="none" w:sz="0" w:space="0" w:color="auto"/>
        <w:left w:val="none" w:sz="0" w:space="0" w:color="auto"/>
        <w:bottom w:val="none" w:sz="0" w:space="0" w:color="auto"/>
        <w:right w:val="none" w:sz="0" w:space="0" w:color="auto"/>
      </w:divBdr>
    </w:div>
    <w:div w:id="1349067844">
      <w:bodyDiv w:val="1"/>
      <w:marLeft w:val="0"/>
      <w:marRight w:val="0"/>
      <w:marTop w:val="0"/>
      <w:marBottom w:val="0"/>
      <w:divBdr>
        <w:top w:val="none" w:sz="0" w:space="0" w:color="auto"/>
        <w:left w:val="none" w:sz="0" w:space="0" w:color="auto"/>
        <w:bottom w:val="none" w:sz="0" w:space="0" w:color="auto"/>
        <w:right w:val="none" w:sz="0" w:space="0" w:color="auto"/>
      </w:divBdr>
    </w:div>
    <w:div w:id="1618946324">
      <w:bodyDiv w:val="1"/>
      <w:marLeft w:val="0"/>
      <w:marRight w:val="0"/>
      <w:marTop w:val="0"/>
      <w:marBottom w:val="0"/>
      <w:divBdr>
        <w:top w:val="none" w:sz="0" w:space="0" w:color="auto"/>
        <w:left w:val="none" w:sz="0" w:space="0" w:color="auto"/>
        <w:bottom w:val="none" w:sz="0" w:space="0" w:color="auto"/>
        <w:right w:val="none" w:sz="0" w:space="0" w:color="auto"/>
      </w:divBdr>
    </w:div>
    <w:div w:id="18021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CB2F-976D-45ED-ACC6-142B130DD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5360</Words>
  <Characters>28900</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Abstract</vt:lpstr>
    </vt:vector>
  </TitlesOfParts>
  <Company>Edison International</Company>
  <LinksUpToDate>false</LinksUpToDate>
  <CharactersWithSpaces>34192</CharactersWithSpaces>
  <SharedDoc>false</SharedDoc>
  <HLinks>
    <vt:vector size="12" baseType="variant">
      <vt:variant>
        <vt:i4>2293760</vt:i4>
      </vt:variant>
      <vt:variant>
        <vt:i4>3</vt:i4>
      </vt:variant>
      <vt:variant>
        <vt:i4>0</vt:i4>
      </vt:variant>
      <vt:variant>
        <vt:i4>5</vt:i4>
      </vt:variant>
      <vt:variant>
        <vt:lpwstr>mailto:shakim@theiis.org</vt:lpwstr>
      </vt:variant>
      <vt:variant>
        <vt:lpwstr/>
      </vt:variant>
      <vt:variant>
        <vt:i4>6684761</vt:i4>
      </vt:variant>
      <vt:variant>
        <vt:i4>0</vt:i4>
      </vt:variant>
      <vt:variant>
        <vt:i4>0</vt:i4>
      </vt:variant>
      <vt:variant>
        <vt:i4>5</vt:i4>
      </vt:variant>
      <vt:variant>
        <vt:lpwstr>mailto:mhaddad@utm.edu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Sam Hakim</dc:creator>
  <cp:lastModifiedBy>Mahmoud Haddad</cp:lastModifiedBy>
  <cp:revision>13</cp:revision>
  <cp:lastPrinted>2014-12-05T20:03:00Z</cp:lastPrinted>
  <dcterms:created xsi:type="dcterms:W3CDTF">2015-01-12T18:17:00Z</dcterms:created>
  <dcterms:modified xsi:type="dcterms:W3CDTF">2015-01-26T21:13:00Z</dcterms:modified>
</cp:coreProperties>
</file>