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22" w:rsidRPr="008B3934" w:rsidRDefault="007F3ED7" w:rsidP="008B3934">
      <w:pPr>
        <w:spacing w:before="200"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8B3934">
        <w:rPr>
          <w:rFonts w:ascii="Times New Roman" w:hAnsi="Times New Roman" w:cs="Times New Roman"/>
          <w:sz w:val="32"/>
          <w:szCs w:val="32"/>
        </w:rPr>
        <w:t>Approximating</w:t>
      </w:r>
      <w:r w:rsidR="007C2122" w:rsidRPr="008B3934">
        <w:rPr>
          <w:rFonts w:ascii="Times New Roman" w:hAnsi="Times New Roman" w:cs="Times New Roman"/>
          <w:sz w:val="32"/>
          <w:szCs w:val="32"/>
        </w:rPr>
        <w:t xml:space="preserve"> </w:t>
      </w:r>
      <w:r w:rsidR="00854075" w:rsidRPr="008B3934">
        <w:rPr>
          <w:rFonts w:ascii="Times New Roman" w:hAnsi="Times New Roman" w:cs="Times New Roman"/>
          <w:sz w:val="32"/>
          <w:szCs w:val="32"/>
        </w:rPr>
        <w:t>E</w:t>
      </w:r>
      <w:r w:rsidRPr="008B3934">
        <w:rPr>
          <w:rFonts w:ascii="Times New Roman" w:hAnsi="Times New Roman" w:cs="Times New Roman"/>
          <w:sz w:val="32"/>
          <w:szCs w:val="32"/>
        </w:rPr>
        <w:t xml:space="preserve">lasticity </w:t>
      </w:r>
      <w:r w:rsidR="003C0DA5" w:rsidRPr="008B3934">
        <w:rPr>
          <w:rFonts w:ascii="Times New Roman" w:hAnsi="Times New Roman" w:cs="Times New Roman"/>
          <w:sz w:val="32"/>
          <w:szCs w:val="32"/>
        </w:rPr>
        <w:t xml:space="preserve">Function </w:t>
      </w:r>
      <w:r w:rsidRPr="008B3934">
        <w:rPr>
          <w:rFonts w:ascii="Times New Roman" w:hAnsi="Times New Roman" w:cs="Times New Roman"/>
          <w:sz w:val="32"/>
          <w:szCs w:val="32"/>
        </w:rPr>
        <w:t xml:space="preserve">of Jordanian </w:t>
      </w:r>
      <w:r w:rsidR="00854075" w:rsidRPr="008B3934">
        <w:rPr>
          <w:rFonts w:ascii="Times New Roman" w:hAnsi="Times New Roman" w:cs="Times New Roman"/>
          <w:sz w:val="32"/>
          <w:szCs w:val="32"/>
        </w:rPr>
        <w:t>A</w:t>
      </w:r>
      <w:r w:rsidR="00E361FA" w:rsidRPr="008B3934">
        <w:rPr>
          <w:rFonts w:ascii="Times New Roman" w:hAnsi="Times New Roman" w:cs="Times New Roman"/>
          <w:sz w:val="32"/>
          <w:szCs w:val="32"/>
        </w:rPr>
        <w:t xml:space="preserve">ggregate </w:t>
      </w:r>
      <w:r w:rsidR="00854075" w:rsidRPr="008B3934">
        <w:rPr>
          <w:rFonts w:ascii="Times New Roman" w:hAnsi="Times New Roman" w:cs="Times New Roman"/>
          <w:sz w:val="32"/>
          <w:szCs w:val="32"/>
        </w:rPr>
        <w:t>I</w:t>
      </w:r>
      <w:r w:rsidR="007C2122" w:rsidRPr="008B3934">
        <w:rPr>
          <w:rFonts w:ascii="Times New Roman" w:hAnsi="Times New Roman" w:cs="Times New Roman"/>
          <w:sz w:val="32"/>
          <w:szCs w:val="32"/>
        </w:rPr>
        <w:t xml:space="preserve">mport </w:t>
      </w:r>
      <w:r w:rsidR="00854075" w:rsidRPr="008B3934">
        <w:rPr>
          <w:rFonts w:ascii="Times New Roman" w:hAnsi="Times New Roman" w:cs="Times New Roman"/>
          <w:sz w:val="32"/>
          <w:szCs w:val="32"/>
        </w:rPr>
        <w:t>D</w:t>
      </w:r>
      <w:r w:rsidR="00075E32" w:rsidRPr="008B3934">
        <w:rPr>
          <w:rFonts w:ascii="Times New Roman" w:hAnsi="Times New Roman" w:cs="Times New Roman"/>
          <w:sz w:val="32"/>
          <w:szCs w:val="32"/>
        </w:rPr>
        <w:t xml:space="preserve">emand </w:t>
      </w:r>
    </w:p>
    <w:p w:rsidR="006D0B75" w:rsidRPr="00B15BEA" w:rsidRDefault="006D0B75" w:rsidP="006D0B75">
      <w:pPr>
        <w:spacing w:after="8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B15BEA">
        <w:rPr>
          <w:rFonts w:ascii="Times New Roman" w:hAnsi="Times New Roman" w:cs="Times New Roman"/>
          <w:sz w:val="20"/>
          <w:szCs w:val="20"/>
        </w:rPr>
        <w:t xml:space="preserve">Mohamed Ibrahim </w:t>
      </w:r>
      <w:proofErr w:type="spellStart"/>
      <w:r w:rsidRPr="00B15BEA">
        <w:rPr>
          <w:rFonts w:ascii="Times New Roman" w:hAnsi="Times New Roman" w:cs="Times New Roman"/>
          <w:sz w:val="20"/>
          <w:szCs w:val="20"/>
        </w:rPr>
        <w:t>Mugableh</w:t>
      </w:r>
      <w:proofErr w:type="spellEnd"/>
      <w:r w:rsidRPr="00A71B9C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*</w:t>
      </w:r>
    </w:p>
    <w:p w:rsidR="006D0B75" w:rsidRPr="008B3934" w:rsidRDefault="006D0B75" w:rsidP="00806F80">
      <w:pPr>
        <w:spacing w:after="8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8B3934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*</w:t>
      </w:r>
      <w:r w:rsidRPr="008B3934">
        <w:rPr>
          <w:rFonts w:ascii="Times New Roman" w:hAnsi="Times New Roman" w:cs="Times New Roman"/>
          <w:sz w:val="20"/>
          <w:szCs w:val="20"/>
        </w:rPr>
        <w:t xml:space="preserve">Correspondence: </w:t>
      </w:r>
      <w:r w:rsidR="00806F80" w:rsidRPr="00B15BEA">
        <w:rPr>
          <w:rFonts w:ascii="Times New Roman" w:hAnsi="Times New Roman" w:cs="Times New Roman"/>
          <w:sz w:val="20"/>
          <w:szCs w:val="20"/>
        </w:rPr>
        <w:t xml:space="preserve">Mohamed Ibrahim </w:t>
      </w:r>
      <w:proofErr w:type="spellStart"/>
      <w:r w:rsidR="00806F80" w:rsidRPr="00B15BEA">
        <w:rPr>
          <w:rFonts w:ascii="Times New Roman" w:hAnsi="Times New Roman" w:cs="Times New Roman"/>
          <w:sz w:val="20"/>
          <w:szCs w:val="20"/>
        </w:rPr>
        <w:t>Mugableh</w:t>
      </w:r>
      <w:proofErr w:type="spellEnd"/>
      <w:r w:rsidR="00806F80">
        <w:rPr>
          <w:rFonts w:ascii="Times New Roman" w:hAnsi="Times New Roman" w:cs="Times New Roman"/>
          <w:sz w:val="20"/>
          <w:szCs w:val="20"/>
        </w:rPr>
        <w:t xml:space="preserve">, </w:t>
      </w:r>
      <w:r w:rsidR="00085925">
        <w:rPr>
          <w:rFonts w:ascii="Times New Roman" w:hAnsi="Times New Roman" w:cs="Times New Roman"/>
          <w:sz w:val="20"/>
          <w:szCs w:val="20"/>
        </w:rPr>
        <w:t xml:space="preserve">Head of </w:t>
      </w:r>
      <w:r w:rsidR="004F5BBB">
        <w:rPr>
          <w:rFonts w:ascii="Times New Roman" w:hAnsi="Times New Roman" w:cs="Times New Roman"/>
          <w:sz w:val="20"/>
          <w:szCs w:val="20"/>
        </w:rPr>
        <w:t xml:space="preserve">Department of Financial </w:t>
      </w:r>
      <w:r w:rsidRPr="008B3934">
        <w:rPr>
          <w:rFonts w:ascii="Times New Roman" w:hAnsi="Times New Roman" w:cs="Times New Roman"/>
          <w:sz w:val="20"/>
          <w:szCs w:val="20"/>
        </w:rPr>
        <w:t xml:space="preserve">and Banking Sciences, College of Administrative and Financial Sciences, Irbid National University, </w:t>
      </w:r>
      <w:r w:rsidRPr="008B3934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P.O Box: 2600−Zip Code: 21110, Jordan. Tel. +962790956497. E-mail addresses: </w:t>
      </w:r>
      <w:hyperlink r:id="rId8" w:history="1">
        <w:r w:rsidRPr="008B3934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en-GB"/>
          </w:rPr>
          <w:t>mugableh83@yahoo.com</w:t>
        </w:r>
      </w:hyperlink>
      <w:r w:rsidRPr="008B3934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hyperlink r:id="rId9" w:history="1">
        <w:r w:rsidRPr="008B3934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en-GB"/>
          </w:rPr>
          <w:t>mugableh83@gmail.com</w:t>
        </w:r>
      </w:hyperlink>
      <w:r w:rsidRPr="008B3934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:rsidR="006D0B75" w:rsidRPr="008B3934" w:rsidRDefault="006D0B75" w:rsidP="008B3934">
      <w:pPr>
        <w:spacing w:after="80" w:line="240" w:lineRule="exact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:rsidR="006D0B75" w:rsidRPr="008B3934" w:rsidRDefault="006D0B75" w:rsidP="004F5BBB">
      <w:pPr>
        <w:widowControl w:val="0"/>
        <w:spacing w:after="80" w:line="240" w:lineRule="exact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GB" w:eastAsia="zh-CN"/>
        </w:rPr>
      </w:pPr>
      <w:r w:rsidRPr="008B3934">
        <w:rPr>
          <w:rFonts w:ascii="Times New Roman" w:eastAsia="SimSun" w:hAnsi="Times New Roman" w:cs="Times New Roman"/>
          <w:bCs/>
          <w:kern w:val="2"/>
          <w:sz w:val="20"/>
          <w:szCs w:val="20"/>
          <w:lang w:val="en-GB" w:eastAsia="zh-CN"/>
        </w:rPr>
        <w:t xml:space="preserve">Received: </w:t>
      </w:r>
      <w:r w:rsidR="004F5BBB">
        <w:rPr>
          <w:rFonts w:ascii="Times New Roman" w:eastAsia="SimSun" w:hAnsi="Times New Roman" w:cs="Times New Roman"/>
          <w:bCs/>
          <w:kern w:val="2"/>
          <w:sz w:val="20"/>
          <w:szCs w:val="20"/>
          <w:lang w:val="en-GB" w:eastAsia="zh-CN"/>
        </w:rPr>
        <w:t>XX</w:t>
      </w:r>
      <w:r w:rsidRPr="008B3934">
        <w:rPr>
          <w:rFonts w:ascii="Times New Roman" w:eastAsia="SimSun" w:hAnsi="Times New Roman" w:cs="Times New Roman"/>
          <w:bCs/>
          <w:kern w:val="2"/>
          <w:sz w:val="20"/>
          <w:szCs w:val="20"/>
          <w:lang w:val="en-GB" w:eastAsia="zh-CN"/>
        </w:rPr>
        <w:t xml:space="preserve"> XX, 201X   Accepted: </w:t>
      </w:r>
      <w:r w:rsidR="004F5BBB">
        <w:rPr>
          <w:rFonts w:ascii="Times New Roman" w:eastAsia="SimSun" w:hAnsi="Times New Roman" w:cs="Times New Roman"/>
          <w:bCs/>
          <w:kern w:val="2"/>
          <w:sz w:val="20"/>
          <w:szCs w:val="20"/>
          <w:lang w:val="en-GB" w:eastAsia="zh-CN"/>
        </w:rPr>
        <w:t>XX</w:t>
      </w:r>
      <w:r w:rsidRPr="008B3934">
        <w:rPr>
          <w:rFonts w:ascii="Times New Roman" w:eastAsia="SimSun" w:hAnsi="Times New Roman" w:cs="Times New Roman"/>
          <w:bCs/>
          <w:kern w:val="2"/>
          <w:sz w:val="20"/>
          <w:szCs w:val="20"/>
          <w:lang w:val="en-GB" w:eastAsia="zh-CN"/>
        </w:rPr>
        <w:t xml:space="preserve"> XX, 201X   Online Published: </w:t>
      </w:r>
      <w:r w:rsidR="004F5BBB">
        <w:rPr>
          <w:rFonts w:ascii="Times New Roman" w:eastAsia="SimSun" w:hAnsi="Times New Roman" w:cs="Times New Roman"/>
          <w:bCs/>
          <w:kern w:val="2"/>
          <w:sz w:val="20"/>
          <w:szCs w:val="20"/>
          <w:lang w:val="en-GB" w:eastAsia="zh-CN"/>
        </w:rPr>
        <w:t>XX</w:t>
      </w:r>
      <w:r w:rsidRPr="008B3934">
        <w:rPr>
          <w:rFonts w:ascii="Times New Roman" w:eastAsia="SimSun" w:hAnsi="Times New Roman" w:cs="Times New Roman"/>
          <w:bCs/>
          <w:kern w:val="2"/>
          <w:sz w:val="20"/>
          <w:szCs w:val="20"/>
          <w:lang w:val="en-GB" w:eastAsia="zh-CN"/>
        </w:rPr>
        <w:t>XX, 201X</w:t>
      </w:r>
    </w:p>
    <w:p w:rsidR="006D0B75" w:rsidRDefault="006D0B75" w:rsidP="008B3934">
      <w:pPr>
        <w:widowControl w:val="0"/>
        <w:spacing w:after="80" w:line="240" w:lineRule="exact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GB" w:eastAsia="zh-CN"/>
        </w:rPr>
      </w:pPr>
      <w:proofErr w:type="gramStart"/>
      <w:r w:rsidRPr="008B3934">
        <w:rPr>
          <w:rFonts w:ascii="Times New Roman" w:eastAsia="SimSun" w:hAnsi="Times New Roman" w:cs="Times New Roman"/>
          <w:bCs/>
          <w:kern w:val="2"/>
          <w:sz w:val="20"/>
          <w:szCs w:val="20"/>
          <w:lang w:val="en-GB" w:eastAsia="zh-CN"/>
        </w:rPr>
        <w:t>doi:</w:t>
      </w:r>
      <w:proofErr w:type="gramEnd"/>
      <w:r w:rsidRPr="008B3934">
        <w:rPr>
          <w:rFonts w:ascii="Times New Roman" w:eastAsia="SimSun" w:hAnsi="Times New Roman" w:cs="Times New Roman"/>
          <w:bCs/>
          <w:kern w:val="2"/>
          <w:sz w:val="20"/>
          <w:szCs w:val="20"/>
          <w:lang w:val="en-GB" w:eastAsia="zh-CN"/>
        </w:rPr>
        <w:t xml:space="preserve">10.5539/ URL: </w:t>
      </w:r>
      <w:hyperlink r:id="rId10" w:history="1">
        <w:r w:rsidR="00A81CA4" w:rsidRPr="00A81CA4">
          <w:rPr>
            <w:rStyle w:val="Hyperlink"/>
            <w:rFonts w:ascii="Times New Roman" w:eastAsia="SimSun" w:hAnsi="Times New Roman" w:cs="Times New Roman"/>
            <w:bCs/>
            <w:color w:val="auto"/>
            <w:kern w:val="2"/>
            <w:sz w:val="20"/>
            <w:szCs w:val="20"/>
            <w:u w:val="none"/>
            <w:lang w:val="en-GB" w:eastAsia="zh-CN"/>
          </w:rPr>
          <w:t>http://dx.doi.org/</w:t>
        </w:r>
      </w:hyperlink>
    </w:p>
    <w:p w:rsidR="00A81CA4" w:rsidRPr="008B3934" w:rsidRDefault="00A81CA4" w:rsidP="008B3934">
      <w:pPr>
        <w:widowControl w:val="0"/>
        <w:spacing w:after="80" w:line="240" w:lineRule="exact"/>
        <w:jc w:val="both"/>
        <w:rPr>
          <w:rFonts w:ascii="Times New Roman" w:eastAsia="SimSun" w:hAnsi="Times New Roman" w:cs="Times New Roman"/>
          <w:color w:val="FF0000"/>
          <w:kern w:val="2"/>
          <w:sz w:val="20"/>
          <w:szCs w:val="20"/>
          <w:lang w:eastAsia="zh-CN"/>
        </w:rPr>
      </w:pPr>
    </w:p>
    <w:p w:rsidR="000E54BF" w:rsidRPr="008B3934" w:rsidRDefault="000E54BF" w:rsidP="008B3934">
      <w:pPr>
        <w:spacing w:after="80" w:line="24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3934">
        <w:rPr>
          <w:rFonts w:ascii="Times New Roman" w:hAnsi="Times New Roman" w:cs="Times New Roman"/>
          <w:b/>
          <w:bCs/>
          <w:sz w:val="20"/>
          <w:szCs w:val="20"/>
        </w:rPr>
        <w:t>Abstract</w:t>
      </w:r>
    </w:p>
    <w:p w:rsidR="001E4912" w:rsidRPr="008B3934" w:rsidRDefault="00707BE6" w:rsidP="000B7C1E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B3934">
        <w:rPr>
          <w:rFonts w:ascii="Times New Roman" w:hAnsi="Times New Roman" w:cs="Times New Roman"/>
          <w:sz w:val="20"/>
          <w:szCs w:val="20"/>
        </w:rPr>
        <w:t>Th</w:t>
      </w:r>
      <w:r w:rsidR="00341E5E" w:rsidRPr="008B3934">
        <w:rPr>
          <w:rFonts w:ascii="Times New Roman" w:hAnsi="Times New Roman" w:cs="Times New Roman"/>
          <w:sz w:val="20"/>
          <w:szCs w:val="20"/>
        </w:rPr>
        <w:t>is article estimate</w:t>
      </w:r>
      <w:r w:rsidR="00003686" w:rsidRPr="008B3934">
        <w:rPr>
          <w:rFonts w:ascii="Times New Roman" w:hAnsi="Times New Roman" w:cs="Times New Roman"/>
          <w:sz w:val="20"/>
          <w:szCs w:val="20"/>
        </w:rPr>
        <w:t>s</w:t>
      </w:r>
      <w:r w:rsidR="00341E5E" w:rsidRPr="008B3934">
        <w:rPr>
          <w:rFonts w:ascii="Times New Roman" w:hAnsi="Times New Roman" w:cs="Times New Roman"/>
          <w:sz w:val="20"/>
          <w:szCs w:val="20"/>
        </w:rPr>
        <w:t xml:space="preserve"> </w:t>
      </w:r>
      <w:r w:rsidR="00CE40A1" w:rsidRPr="008B3934">
        <w:rPr>
          <w:rFonts w:ascii="Times New Roman" w:hAnsi="Times New Roman" w:cs="Times New Roman"/>
          <w:sz w:val="20"/>
          <w:szCs w:val="20"/>
        </w:rPr>
        <w:t xml:space="preserve">the </w:t>
      </w:r>
      <w:r w:rsidRPr="008B3934">
        <w:rPr>
          <w:rFonts w:ascii="Times New Roman" w:hAnsi="Times New Roman" w:cs="Times New Roman"/>
          <w:sz w:val="20"/>
          <w:szCs w:val="20"/>
        </w:rPr>
        <w:t xml:space="preserve">aggregate import demand function </w:t>
      </w:r>
      <w:r w:rsidR="00CE40A1" w:rsidRPr="008B3934">
        <w:rPr>
          <w:rFonts w:ascii="Times New Roman" w:hAnsi="Times New Roman" w:cs="Times New Roman"/>
          <w:sz w:val="20"/>
          <w:szCs w:val="20"/>
        </w:rPr>
        <w:t>for Jordan using three fully co-integrating regressions</w:t>
      </w:r>
      <w:r w:rsidR="00F51758" w:rsidRPr="008B3934">
        <w:rPr>
          <w:rFonts w:ascii="Times New Roman" w:hAnsi="Times New Roman" w:cs="Times New Roman"/>
          <w:sz w:val="20"/>
          <w:szCs w:val="20"/>
        </w:rPr>
        <w:t xml:space="preserve"> over the (1980−2012) period</w:t>
      </w:r>
      <w:r w:rsidR="00CE40A1" w:rsidRPr="008B3934">
        <w:rPr>
          <w:rFonts w:ascii="Times New Roman" w:hAnsi="Times New Roman" w:cs="Times New Roman"/>
          <w:sz w:val="20"/>
          <w:szCs w:val="20"/>
        </w:rPr>
        <w:t xml:space="preserve">. </w:t>
      </w:r>
      <w:r w:rsidR="00341E5E" w:rsidRPr="008B3934">
        <w:rPr>
          <w:rFonts w:ascii="Times New Roman" w:hAnsi="Times New Roman" w:cs="Times New Roman"/>
          <w:sz w:val="20"/>
          <w:szCs w:val="20"/>
        </w:rPr>
        <w:t>The b</w:t>
      </w:r>
      <w:r w:rsidRPr="008B3934">
        <w:rPr>
          <w:rFonts w:ascii="Times New Roman" w:hAnsi="Times New Roman" w:cs="Times New Roman"/>
          <w:sz w:val="20"/>
          <w:szCs w:val="20"/>
        </w:rPr>
        <w:t>ounds testing approac</w:t>
      </w:r>
      <w:r w:rsidR="00341E5E" w:rsidRPr="008B3934">
        <w:rPr>
          <w:rFonts w:ascii="Times New Roman" w:hAnsi="Times New Roman" w:cs="Times New Roman"/>
          <w:sz w:val="20"/>
          <w:szCs w:val="20"/>
        </w:rPr>
        <w:t xml:space="preserve">h has been employed to test co-integration, while </w:t>
      </w:r>
      <w:r w:rsidR="000B7C1E">
        <w:rPr>
          <w:rFonts w:ascii="Times New Roman" w:hAnsi="Times New Roman" w:cs="Times New Roman"/>
          <w:sz w:val="20"/>
          <w:szCs w:val="20"/>
        </w:rPr>
        <w:t xml:space="preserve">ARDL </w:t>
      </w:r>
      <w:r w:rsidR="000D69A7" w:rsidRPr="008B3934">
        <w:rPr>
          <w:rFonts w:ascii="Times New Roman" w:hAnsi="Times New Roman" w:cs="Times New Roman"/>
          <w:sz w:val="20"/>
          <w:szCs w:val="20"/>
        </w:rPr>
        <w:t xml:space="preserve">approach </w:t>
      </w:r>
      <w:r w:rsidRPr="008B3934">
        <w:rPr>
          <w:rFonts w:ascii="Times New Roman" w:hAnsi="Times New Roman" w:cs="Times New Roman"/>
          <w:sz w:val="20"/>
          <w:szCs w:val="20"/>
        </w:rPr>
        <w:t xml:space="preserve">is used to approximate long-run </w:t>
      </w:r>
      <w:proofErr w:type="spellStart"/>
      <w:r w:rsidRPr="008B3934">
        <w:rPr>
          <w:rFonts w:ascii="Times New Roman" w:hAnsi="Times New Roman" w:cs="Times New Roman"/>
          <w:sz w:val="20"/>
          <w:szCs w:val="20"/>
        </w:rPr>
        <w:t>elasticities</w:t>
      </w:r>
      <w:proofErr w:type="spellEnd"/>
      <w:r w:rsidRPr="008B3934">
        <w:rPr>
          <w:rFonts w:ascii="Times New Roman" w:hAnsi="Times New Roman" w:cs="Times New Roman"/>
          <w:sz w:val="20"/>
          <w:szCs w:val="20"/>
        </w:rPr>
        <w:t xml:space="preserve">. However, the findings show a co-integration </w:t>
      </w:r>
      <w:r w:rsidR="00341E5E" w:rsidRPr="008B3934">
        <w:rPr>
          <w:rFonts w:ascii="Times New Roman" w:hAnsi="Times New Roman" w:cs="Times New Roman"/>
          <w:sz w:val="20"/>
          <w:szCs w:val="20"/>
        </w:rPr>
        <w:t xml:space="preserve">phenomenon among </w:t>
      </w:r>
      <w:r w:rsidRPr="008B3934">
        <w:rPr>
          <w:rFonts w:ascii="Times New Roman" w:hAnsi="Times New Roman" w:cs="Times New Roman"/>
          <w:sz w:val="20"/>
          <w:szCs w:val="20"/>
        </w:rPr>
        <w:t>vari</w:t>
      </w:r>
      <w:r w:rsidR="00627924" w:rsidRPr="008B3934">
        <w:rPr>
          <w:rFonts w:ascii="Times New Roman" w:hAnsi="Times New Roman" w:cs="Times New Roman"/>
          <w:sz w:val="20"/>
          <w:szCs w:val="20"/>
        </w:rPr>
        <w:t xml:space="preserve">ables when import volume is </w:t>
      </w:r>
      <w:r w:rsidR="00D82C95" w:rsidRPr="008B3934">
        <w:rPr>
          <w:rFonts w:ascii="Times New Roman" w:hAnsi="Times New Roman" w:cs="Times New Roman"/>
          <w:sz w:val="20"/>
          <w:szCs w:val="20"/>
        </w:rPr>
        <w:t>dependent variable</w:t>
      </w:r>
      <w:r w:rsidRPr="008B3934">
        <w:rPr>
          <w:rFonts w:ascii="Times New Roman" w:hAnsi="Times New Roman" w:cs="Times New Roman"/>
          <w:sz w:val="20"/>
          <w:szCs w:val="20"/>
        </w:rPr>
        <w:t xml:space="preserve">. </w:t>
      </w:r>
      <w:r w:rsidR="00EA20E9" w:rsidRPr="008B3934">
        <w:rPr>
          <w:rFonts w:ascii="Times New Roman" w:hAnsi="Times New Roman" w:cs="Times New Roman"/>
          <w:sz w:val="20"/>
          <w:szCs w:val="20"/>
        </w:rPr>
        <w:t xml:space="preserve">In addition, the estimated long-run </w:t>
      </w:r>
      <w:proofErr w:type="spellStart"/>
      <w:r w:rsidR="00EA20E9" w:rsidRPr="008B3934">
        <w:rPr>
          <w:rFonts w:ascii="Times New Roman" w:hAnsi="Times New Roman" w:cs="Times New Roman"/>
          <w:sz w:val="20"/>
          <w:szCs w:val="20"/>
        </w:rPr>
        <w:t>elasticities</w:t>
      </w:r>
      <w:proofErr w:type="spellEnd"/>
      <w:r w:rsidR="00EA20E9" w:rsidRPr="008B3934">
        <w:rPr>
          <w:rFonts w:ascii="Times New Roman" w:hAnsi="Times New Roman" w:cs="Times New Roman"/>
          <w:sz w:val="20"/>
          <w:szCs w:val="20"/>
        </w:rPr>
        <w:t xml:space="preserve"> of import demand with respect to income and relative</w:t>
      </w:r>
      <w:r w:rsidR="000E54BF" w:rsidRPr="008B3934">
        <w:rPr>
          <w:rFonts w:ascii="Times New Roman" w:hAnsi="Times New Roman" w:cs="Times New Roman"/>
          <w:sz w:val="20"/>
          <w:szCs w:val="20"/>
        </w:rPr>
        <w:t xml:space="preserve"> prices are </w:t>
      </w:r>
      <w:r w:rsidR="000D69A7" w:rsidRPr="008B3934">
        <w:rPr>
          <w:rFonts w:ascii="Times New Roman" w:hAnsi="Times New Roman" w:cs="Times New Roman"/>
          <w:sz w:val="20"/>
          <w:szCs w:val="20"/>
        </w:rPr>
        <w:t>1.16 and -1.03</w:t>
      </w:r>
      <w:r w:rsidR="00AE44EF" w:rsidRPr="008B3934">
        <w:rPr>
          <w:rFonts w:ascii="Times New Roman" w:hAnsi="Times New Roman" w:cs="Times New Roman"/>
          <w:sz w:val="20"/>
          <w:szCs w:val="20"/>
        </w:rPr>
        <w:t>, respectively. The understanding of import demand behavior is crucial for significant import forecasts, international trade planning, and exchange rate policy design.</w:t>
      </w:r>
    </w:p>
    <w:p w:rsidR="00707BE6" w:rsidRPr="008B3934" w:rsidRDefault="00911763" w:rsidP="008B3934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B3934">
        <w:rPr>
          <w:rFonts w:ascii="Times New Roman" w:hAnsi="Times New Roman" w:cs="Times New Roman"/>
          <w:b/>
          <w:bCs/>
          <w:sz w:val="20"/>
          <w:szCs w:val="20"/>
        </w:rPr>
        <w:t>Keywords:</w:t>
      </w:r>
      <w:r w:rsidRPr="008B3934">
        <w:rPr>
          <w:rFonts w:ascii="Times New Roman" w:hAnsi="Times New Roman" w:cs="Times New Roman"/>
          <w:sz w:val="20"/>
          <w:szCs w:val="20"/>
        </w:rPr>
        <w:t xml:space="preserve"> </w:t>
      </w:r>
      <w:r w:rsidR="00F74FD1">
        <w:rPr>
          <w:rFonts w:ascii="Times New Roman" w:hAnsi="Times New Roman" w:cs="Times New Roman"/>
          <w:sz w:val="20"/>
          <w:szCs w:val="20"/>
        </w:rPr>
        <w:t xml:space="preserve">Bounds testing </w:t>
      </w:r>
      <w:r w:rsidRPr="008B3934">
        <w:rPr>
          <w:rFonts w:ascii="Times New Roman" w:hAnsi="Times New Roman" w:cs="Times New Roman"/>
          <w:sz w:val="20"/>
          <w:szCs w:val="20"/>
        </w:rPr>
        <w:t>approach; Elasticity</w:t>
      </w:r>
      <w:r w:rsidR="006529CE" w:rsidRPr="008B3934">
        <w:rPr>
          <w:rFonts w:ascii="Times New Roman" w:hAnsi="Times New Roman" w:cs="Times New Roman"/>
          <w:sz w:val="20"/>
          <w:szCs w:val="20"/>
        </w:rPr>
        <w:t xml:space="preserve">; </w:t>
      </w:r>
      <w:r w:rsidRPr="008B3934">
        <w:rPr>
          <w:rFonts w:ascii="Times New Roman" w:hAnsi="Times New Roman" w:cs="Times New Roman"/>
          <w:sz w:val="20"/>
          <w:szCs w:val="20"/>
        </w:rPr>
        <w:t xml:space="preserve">Jordan.   </w:t>
      </w:r>
      <w:r w:rsidR="00AE44EF" w:rsidRPr="008B3934">
        <w:rPr>
          <w:rFonts w:ascii="Times New Roman" w:hAnsi="Times New Roman" w:cs="Times New Roman"/>
          <w:sz w:val="20"/>
          <w:szCs w:val="20"/>
        </w:rPr>
        <w:t xml:space="preserve">  </w:t>
      </w:r>
      <w:r w:rsidR="00CD0009" w:rsidRPr="008B3934">
        <w:rPr>
          <w:rFonts w:ascii="Times New Roman" w:hAnsi="Times New Roman" w:cs="Times New Roman"/>
          <w:sz w:val="20"/>
          <w:szCs w:val="20"/>
        </w:rPr>
        <w:t xml:space="preserve">  </w:t>
      </w:r>
      <w:r w:rsidR="00341E5E" w:rsidRPr="008B3934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A43275" w:rsidRPr="008B3934" w:rsidRDefault="00A43275" w:rsidP="008B3934">
      <w:pPr>
        <w:pStyle w:val="ListParagraph"/>
        <w:numPr>
          <w:ilvl w:val="0"/>
          <w:numId w:val="1"/>
        </w:numPr>
        <w:spacing w:after="80" w:line="240" w:lineRule="exact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3934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:rsidR="00CD7BA4" w:rsidRPr="00F82B5F" w:rsidRDefault="00762B34" w:rsidP="008B3934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82B5F">
        <w:rPr>
          <w:rFonts w:ascii="Times New Roman" w:hAnsi="Times New Roman" w:cs="Times New Roman"/>
          <w:sz w:val="20"/>
          <w:szCs w:val="20"/>
        </w:rPr>
        <w:t xml:space="preserve">The cure objective of this article is to </w:t>
      </w:r>
      <w:r w:rsidR="00F126FE" w:rsidRPr="00F82B5F">
        <w:rPr>
          <w:rFonts w:ascii="Times New Roman" w:hAnsi="Times New Roman" w:cs="Times New Roman"/>
          <w:sz w:val="20"/>
          <w:szCs w:val="20"/>
        </w:rPr>
        <w:t xml:space="preserve">investigate </w:t>
      </w:r>
      <w:r w:rsidRPr="00F82B5F">
        <w:rPr>
          <w:rFonts w:ascii="Times New Roman" w:hAnsi="Times New Roman" w:cs="Times New Roman"/>
          <w:sz w:val="20"/>
          <w:szCs w:val="20"/>
        </w:rPr>
        <w:t xml:space="preserve">co-integration </w:t>
      </w:r>
      <w:r w:rsidR="00F126FE" w:rsidRPr="00F82B5F">
        <w:rPr>
          <w:rFonts w:ascii="Times New Roman" w:hAnsi="Times New Roman" w:cs="Times New Roman"/>
          <w:sz w:val="20"/>
          <w:szCs w:val="20"/>
        </w:rPr>
        <w:t xml:space="preserve">and long-run </w:t>
      </w:r>
      <w:proofErr w:type="spellStart"/>
      <w:r w:rsidR="00F126FE" w:rsidRPr="00F82B5F">
        <w:rPr>
          <w:rFonts w:ascii="Times New Roman" w:hAnsi="Times New Roman" w:cs="Times New Roman"/>
          <w:sz w:val="20"/>
          <w:szCs w:val="20"/>
        </w:rPr>
        <w:t>elasticities</w:t>
      </w:r>
      <w:proofErr w:type="spellEnd"/>
      <w:r w:rsidR="00F126FE" w:rsidRPr="00F82B5F">
        <w:rPr>
          <w:rFonts w:ascii="Times New Roman" w:hAnsi="Times New Roman" w:cs="Times New Roman"/>
          <w:sz w:val="20"/>
          <w:szCs w:val="20"/>
        </w:rPr>
        <w:t xml:space="preserve"> </w:t>
      </w:r>
      <w:r w:rsidRPr="00F82B5F">
        <w:rPr>
          <w:rFonts w:ascii="Times New Roman" w:hAnsi="Times New Roman" w:cs="Times New Roman"/>
          <w:sz w:val="20"/>
          <w:szCs w:val="20"/>
        </w:rPr>
        <w:t>between Jordanian’s import demand a</w:t>
      </w:r>
      <w:r w:rsidR="006058EB" w:rsidRPr="00F82B5F">
        <w:rPr>
          <w:rFonts w:ascii="Times New Roman" w:hAnsi="Times New Roman" w:cs="Times New Roman"/>
          <w:sz w:val="20"/>
          <w:szCs w:val="20"/>
        </w:rPr>
        <w:t xml:space="preserve">nd its determinants (i.e., </w:t>
      </w:r>
      <w:r w:rsidRPr="00F82B5F">
        <w:rPr>
          <w:rFonts w:ascii="Times New Roman" w:hAnsi="Times New Roman" w:cs="Times New Roman"/>
          <w:sz w:val="20"/>
          <w:szCs w:val="20"/>
        </w:rPr>
        <w:t>income and import prices).</w:t>
      </w:r>
      <w:r w:rsidR="002059DB" w:rsidRPr="00F82B5F">
        <w:rPr>
          <w:rFonts w:ascii="Times New Roman" w:hAnsi="Times New Roman" w:cs="Times New Roman"/>
          <w:sz w:val="20"/>
          <w:szCs w:val="20"/>
        </w:rPr>
        <w:t xml:space="preserve"> However, numerous studies have been conducted to identify co-integration and estimate long-run </w:t>
      </w:r>
      <w:proofErr w:type="spellStart"/>
      <w:r w:rsidR="002059DB" w:rsidRPr="00F82B5F">
        <w:rPr>
          <w:rFonts w:ascii="Times New Roman" w:hAnsi="Times New Roman" w:cs="Times New Roman"/>
          <w:sz w:val="20"/>
          <w:szCs w:val="20"/>
        </w:rPr>
        <w:t>elasticities</w:t>
      </w:r>
      <w:proofErr w:type="spellEnd"/>
      <w:r w:rsidR="002059DB" w:rsidRPr="00F82B5F">
        <w:rPr>
          <w:rFonts w:ascii="Times New Roman" w:hAnsi="Times New Roman" w:cs="Times New Roman"/>
          <w:sz w:val="20"/>
          <w:szCs w:val="20"/>
        </w:rPr>
        <w:t xml:space="preserve"> of the import demand function. Among them are </w:t>
      </w:r>
      <w:proofErr w:type="spellStart"/>
      <w:r w:rsidR="00CA0E4C" w:rsidRPr="00F82B5F">
        <w:rPr>
          <w:rFonts w:ascii="Times New Roman" w:hAnsi="Times New Roman" w:cs="Times New Roman"/>
          <w:sz w:val="20"/>
          <w:szCs w:val="20"/>
        </w:rPr>
        <w:t>Alam</w:t>
      </w:r>
      <w:proofErr w:type="spellEnd"/>
      <w:r w:rsidR="00CA0E4C" w:rsidRPr="00F82B5F">
        <w:rPr>
          <w:rFonts w:ascii="Times New Roman" w:hAnsi="Times New Roman" w:cs="Times New Roman"/>
          <w:sz w:val="20"/>
          <w:szCs w:val="20"/>
        </w:rPr>
        <w:t xml:space="preserve"> and Ahmed (2010) for Pakistan; </w:t>
      </w:r>
      <w:proofErr w:type="spellStart"/>
      <w:r w:rsidR="00CA0E4C" w:rsidRPr="00F82B5F">
        <w:rPr>
          <w:rFonts w:ascii="Times New Roman" w:hAnsi="Times New Roman" w:cs="Times New Roman"/>
          <w:sz w:val="20"/>
          <w:szCs w:val="20"/>
        </w:rPr>
        <w:t>Awang</w:t>
      </w:r>
      <w:proofErr w:type="spellEnd"/>
      <w:r w:rsidR="00CA0E4C" w:rsidRPr="00F82B5F">
        <w:rPr>
          <w:rFonts w:ascii="Times New Roman" w:hAnsi="Times New Roman" w:cs="Times New Roman"/>
          <w:sz w:val="20"/>
          <w:szCs w:val="20"/>
        </w:rPr>
        <w:t xml:space="preserve"> (1988), Tang and Mohammad (2000), and Tang and Nair (2002) for Malaysia; </w:t>
      </w:r>
      <w:proofErr w:type="spellStart"/>
      <w:r w:rsidR="00CA0E4C" w:rsidRPr="00F82B5F">
        <w:rPr>
          <w:rFonts w:ascii="Times New Roman" w:hAnsi="Times New Roman" w:cs="Times New Roman"/>
          <w:sz w:val="20"/>
          <w:szCs w:val="20"/>
        </w:rPr>
        <w:t>Babatunde</w:t>
      </w:r>
      <w:proofErr w:type="spellEnd"/>
      <w:r w:rsidR="00CA0E4C" w:rsidRPr="00F82B5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CA0E4C" w:rsidRPr="00F82B5F">
        <w:rPr>
          <w:rFonts w:ascii="Times New Roman" w:hAnsi="Times New Roman" w:cs="Times New Roman"/>
          <w:sz w:val="20"/>
          <w:szCs w:val="20"/>
        </w:rPr>
        <w:t>Egw</w:t>
      </w:r>
      <w:r w:rsidR="00341A61" w:rsidRPr="00F82B5F">
        <w:rPr>
          <w:rFonts w:ascii="Times New Roman" w:hAnsi="Times New Roman" w:cs="Times New Roman"/>
          <w:sz w:val="20"/>
          <w:szCs w:val="20"/>
        </w:rPr>
        <w:t>aikhide</w:t>
      </w:r>
      <w:proofErr w:type="spellEnd"/>
      <w:r w:rsidR="00341A61" w:rsidRPr="00F82B5F">
        <w:rPr>
          <w:rFonts w:ascii="Times New Roman" w:hAnsi="Times New Roman" w:cs="Times New Roman"/>
          <w:sz w:val="20"/>
          <w:szCs w:val="20"/>
        </w:rPr>
        <w:t xml:space="preserve"> (2010) for Nigeria; </w:t>
      </w:r>
      <w:r w:rsidR="00CA0E4C" w:rsidRPr="00F82B5F">
        <w:rPr>
          <w:rFonts w:ascii="Times New Roman" w:hAnsi="Times New Roman" w:cs="Times New Roman"/>
          <w:sz w:val="20"/>
          <w:szCs w:val="20"/>
        </w:rPr>
        <w:t>Tang (2002) for Indonesia.</w:t>
      </w:r>
    </w:p>
    <w:p w:rsidR="00AC6A0E" w:rsidRPr="00F82B5F" w:rsidRDefault="00A92AA1" w:rsidP="008B3934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82B5F">
        <w:rPr>
          <w:rFonts w:ascii="Times New Roman" w:hAnsi="Times New Roman" w:cs="Times New Roman"/>
          <w:sz w:val="20"/>
          <w:szCs w:val="20"/>
        </w:rPr>
        <w:t>A</w:t>
      </w:r>
      <w:r w:rsidR="00366DDD" w:rsidRPr="00F82B5F">
        <w:rPr>
          <w:rFonts w:ascii="Times New Roman" w:hAnsi="Times New Roman" w:cs="Times New Roman"/>
          <w:sz w:val="20"/>
          <w:szCs w:val="20"/>
        </w:rPr>
        <w:t xml:space="preserve"> few empirical studies that conducted to examine the determinants of import demand on the Jordanian case contain certain methodological drawbacks (</w:t>
      </w:r>
      <w:r w:rsidR="00341E5E" w:rsidRPr="00F82B5F">
        <w:rPr>
          <w:rFonts w:ascii="Times New Roman" w:hAnsi="Times New Roman" w:cs="Times New Roman"/>
          <w:sz w:val="20"/>
          <w:szCs w:val="20"/>
        </w:rPr>
        <w:t xml:space="preserve">see </w:t>
      </w:r>
      <w:proofErr w:type="spellStart"/>
      <w:r w:rsidR="00366DDD" w:rsidRPr="00F82B5F">
        <w:rPr>
          <w:rFonts w:ascii="Times New Roman" w:hAnsi="Times New Roman" w:cs="Times New Roman"/>
          <w:sz w:val="20"/>
          <w:szCs w:val="20"/>
        </w:rPr>
        <w:t>Kreishan</w:t>
      </w:r>
      <w:proofErr w:type="spellEnd"/>
      <w:r w:rsidR="00366DDD" w:rsidRPr="00F82B5F">
        <w:rPr>
          <w:rFonts w:ascii="Times New Roman" w:hAnsi="Times New Roman" w:cs="Times New Roman"/>
          <w:sz w:val="20"/>
          <w:szCs w:val="20"/>
        </w:rPr>
        <w:t xml:space="preserve">, 2007; </w:t>
      </w:r>
      <w:proofErr w:type="spellStart"/>
      <w:r w:rsidR="00366DDD" w:rsidRPr="00F82B5F">
        <w:rPr>
          <w:rFonts w:ascii="Times New Roman" w:hAnsi="Times New Roman" w:cs="Times New Roman"/>
          <w:sz w:val="20"/>
          <w:szCs w:val="20"/>
        </w:rPr>
        <w:t>Majeed</w:t>
      </w:r>
      <w:proofErr w:type="spellEnd"/>
      <w:r w:rsidR="00366DDD" w:rsidRPr="00F82B5F">
        <w:rPr>
          <w:rFonts w:ascii="Times New Roman" w:hAnsi="Times New Roman" w:cs="Times New Roman"/>
          <w:sz w:val="20"/>
          <w:szCs w:val="20"/>
        </w:rPr>
        <w:t>, 2007). The methodological frameworks that employed in these studies such as the Engle and Granger (1987)</w:t>
      </w:r>
      <w:r w:rsidR="008B315E" w:rsidRPr="00F82B5F">
        <w:rPr>
          <w:rFonts w:ascii="Times New Roman" w:hAnsi="Times New Roman" w:cs="Times New Roman"/>
          <w:sz w:val="20"/>
          <w:szCs w:val="20"/>
        </w:rPr>
        <w:t xml:space="preserve"> and the Johansen and </w:t>
      </w:r>
      <w:proofErr w:type="spellStart"/>
      <w:r w:rsidR="008B315E" w:rsidRPr="00F82B5F">
        <w:rPr>
          <w:rFonts w:ascii="Times New Roman" w:hAnsi="Times New Roman" w:cs="Times New Roman"/>
          <w:sz w:val="20"/>
          <w:szCs w:val="20"/>
        </w:rPr>
        <w:t>Juselius</w:t>
      </w:r>
      <w:proofErr w:type="spellEnd"/>
      <w:r w:rsidR="008B315E" w:rsidRPr="00F82B5F">
        <w:rPr>
          <w:rFonts w:ascii="Times New Roman" w:hAnsi="Times New Roman" w:cs="Times New Roman"/>
          <w:sz w:val="20"/>
          <w:szCs w:val="20"/>
        </w:rPr>
        <w:t xml:space="preserve"> (1990) co-integration tests could affect the results obtained from them.</w:t>
      </w:r>
      <w:r w:rsidR="00C14F14" w:rsidRPr="00F82B5F">
        <w:rPr>
          <w:rFonts w:ascii="Times New Roman" w:hAnsi="Times New Roman" w:cs="Times New Roman"/>
          <w:sz w:val="20"/>
          <w:szCs w:val="20"/>
        </w:rPr>
        <w:t xml:space="preserve"> For example, </w:t>
      </w:r>
      <w:r w:rsidR="00B132A5" w:rsidRPr="00F82B5F">
        <w:rPr>
          <w:rFonts w:ascii="Times New Roman" w:hAnsi="Times New Roman" w:cs="Times New Roman"/>
          <w:sz w:val="20"/>
          <w:szCs w:val="20"/>
        </w:rPr>
        <w:t xml:space="preserve">Johansen and </w:t>
      </w:r>
      <w:proofErr w:type="spellStart"/>
      <w:r w:rsidR="00B132A5" w:rsidRPr="00F82B5F">
        <w:rPr>
          <w:rFonts w:ascii="Times New Roman" w:hAnsi="Times New Roman" w:cs="Times New Roman"/>
          <w:sz w:val="20"/>
          <w:szCs w:val="20"/>
        </w:rPr>
        <w:t>Juselius</w:t>
      </w:r>
      <w:proofErr w:type="spellEnd"/>
      <w:r w:rsidR="00B132A5" w:rsidRPr="00F82B5F">
        <w:rPr>
          <w:rFonts w:ascii="Times New Roman" w:hAnsi="Times New Roman" w:cs="Times New Roman"/>
          <w:sz w:val="20"/>
          <w:szCs w:val="20"/>
        </w:rPr>
        <w:t xml:space="preserve"> (1990) </w:t>
      </w:r>
      <w:r w:rsidR="00C14F14" w:rsidRPr="00F82B5F">
        <w:rPr>
          <w:rFonts w:ascii="Times New Roman" w:hAnsi="Times New Roman" w:cs="Times New Roman"/>
          <w:sz w:val="20"/>
          <w:szCs w:val="20"/>
        </w:rPr>
        <w:t>multivariate co-integration test fails to recognize the mixture of stationary time-series variables</w:t>
      </w:r>
      <w:r w:rsidR="00471D56" w:rsidRPr="00F82B5F">
        <w:rPr>
          <w:rFonts w:ascii="Times New Roman" w:hAnsi="Times New Roman" w:cs="Times New Roman"/>
          <w:sz w:val="20"/>
          <w:szCs w:val="20"/>
        </w:rPr>
        <w:t xml:space="preserve"> (i.e., </w:t>
      </w:r>
      <w:proofErr w:type="gramStart"/>
      <w:r w:rsidR="00471D56" w:rsidRPr="00F82B5F">
        <w:rPr>
          <w:rFonts w:ascii="Times New Roman" w:hAnsi="Times New Roman" w:cs="Times New Roman"/>
          <w:sz w:val="20"/>
          <w:szCs w:val="20"/>
        </w:rPr>
        <w:t>I(</w:t>
      </w:r>
      <w:proofErr w:type="gramEnd"/>
      <w:r w:rsidR="00471D56" w:rsidRPr="00F82B5F">
        <w:rPr>
          <w:rFonts w:ascii="Times New Roman" w:hAnsi="Times New Roman" w:cs="Times New Roman"/>
          <w:sz w:val="20"/>
          <w:szCs w:val="20"/>
        </w:rPr>
        <w:t>0)</w:t>
      </w:r>
      <w:r w:rsidR="00B132A5" w:rsidRPr="00F82B5F">
        <w:rPr>
          <w:rFonts w:ascii="Times New Roman" w:hAnsi="Times New Roman" w:cs="Times New Roman"/>
          <w:sz w:val="20"/>
          <w:szCs w:val="20"/>
        </w:rPr>
        <w:t xml:space="preserve">, I(1), and </w:t>
      </w:r>
      <w:r w:rsidR="00062D4F" w:rsidRPr="00F82B5F">
        <w:rPr>
          <w:rFonts w:ascii="Times New Roman" w:hAnsi="Times New Roman" w:cs="Times New Roman"/>
          <w:sz w:val="20"/>
          <w:szCs w:val="20"/>
        </w:rPr>
        <w:t>I(2)</w:t>
      </w:r>
      <w:r w:rsidR="00471D56" w:rsidRPr="00F82B5F">
        <w:rPr>
          <w:rFonts w:ascii="Times New Roman" w:hAnsi="Times New Roman" w:cs="Times New Roman"/>
          <w:sz w:val="20"/>
          <w:szCs w:val="20"/>
        </w:rPr>
        <w:t>)</w:t>
      </w:r>
      <w:r w:rsidR="00341E5E" w:rsidRPr="00F82B5F">
        <w:rPr>
          <w:rFonts w:ascii="Times New Roman" w:hAnsi="Times New Roman" w:cs="Times New Roman"/>
          <w:sz w:val="20"/>
          <w:szCs w:val="20"/>
        </w:rPr>
        <w:t xml:space="preserve">. Harris (1995) argued that </w:t>
      </w:r>
      <w:r w:rsidR="00C14F14" w:rsidRPr="00F82B5F">
        <w:rPr>
          <w:rFonts w:ascii="Times New Roman" w:hAnsi="Times New Roman" w:cs="Times New Roman"/>
          <w:sz w:val="20"/>
          <w:szCs w:val="20"/>
        </w:rPr>
        <w:t>trace an</w:t>
      </w:r>
      <w:r w:rsidR="00B132A5" w:rsidRPr="00F82B5F">
        <w:rPr>
          <w:rFonts w:ascii="Times New Roman" w:hAnsi="Times New Roman" w:cs="Times New Roman"/>
          <w:sz w:val="20"/>
          <w:szCs w:val="20"/>
        </w:rPr>
        <w:t xml:space="preserve">d maximum eigenvalues under Johansen and </w:t>
      </w:r>
      <w:proofErr w:type="spellStart"/>
      <w:r w:rsidR="00B132A5" w:rsidRPr="00F82B5F">
        <w:rPr>
          <w:rFonts w:ascii="Times New Roman" w:hAnsi="Times New Roman" w:cs="Times New Roman"/>
          <w:sz w:val="20"/>
          <w:szCs w:val="20"/>
        </w:rPr>
        <w:t>Juselius</w:t>
      </w:r>
      <w:proofErr w:type="spellEnd"/>
      <w:r w:rsidR="00B132A5" w:rsidRPr="00F82B5F">
        <w:rPr>
          <w:rFonts w:ascii="Times New Roman" w:hAnsi="Times New Roman" w:cs="Times New Roman"/>
          <w:sz w:val="20"/>
          <w:szCs w:val="20"/>
        </w:rPr>
        <w:t xml:space="preserve"> (1990) multivariate co-integration test </w:t>
      </w:r>
      <w:r w:rsidR="00C14F14" w:rsidRPr="00F82B5F">
        <w:rPr>
          <w:rFonts w:ascii="Times New Roman" w:hAnsi="Times New Roman" w:cs="Times New Roman"/>
          <w:sz w:val="20"/>
          <w:szCs w:val="20"/>
        </w:rPr>
        <w:t xml:space="preserve">could lead </w:t>
      </w:r>
      <w:r w:rsidR="00341E5E" w:rsidRPr="00F82B5F">
        <w:rPr>
          <w:rFonts w:ascii="Times New Roman" w:hAnsi="Times New Roman" w:cs="Times New Roman"/>
          <w:sz w:val="20"/>
          <w:szCs w:val="20"/>
        </w:rPr>
        <w:t xml:space="preserve">to </w:t>
      </w:r>
      <w:r w:rsidR="00C14F14" w:rsidRPr="00F82B5F">
        <w:rPr>
          <w:rFonts w:ascii="Times New Roman" w:hAnsi="Times New Roman" w:cs="Times New Roman"/>
          <w:sz w:val="20"/>
          <w:szCs w:val="20"/>
        </w:rPr>
        <w:t xml:space="preserve">statistical explosive </w:t>
      </w:r>
      <w:r w:rsidR="00471D56" w:rsidRPr="00F82B5F">
        <w:rPr>
          <w:rFonts w:ascii="Times New Roman" w:hAnsi="Times New Roman" w:cs="Times New Roman"/>
          <w:sz w:val="20"/>
          <w:szCs w:val="20"/>
        </w:rPr>
        <w:t>if the I(0) variables are present in the system.</w:t>
      </w:r>
      <w:r w:rsidR="00F126FE" w:rsidRPr="00F82B5F">
        <w:rPr>
          <w:rFonts w:ascii="Times New Roman" w:hAnsi="Times New Roman" w:cs="Times New Roman"/>
          <w:sz w:val="20"/>
          <w:szCs w:val="20"/>
        </w:rPr>
        <w:t xml:space="preserve"> In addition, </w:t>
      </w:r>
      <w:proofErr w:type="spellStart"/>
      <w:r w:rsidR="00F126FE" w:rsidRPr="00F82B5F">
        <w:rPr>
          <w:rFonts w:ascii="Times New Roman" w:hAnsi="Times New Roman" w:cs="Times New Roman"/>
          <w:sz w:val="20"/>
          <w:szCs w:val="20"/>
        </w:rPr>
        <w:t>Mah</w:t>
      </w:r>
      <w:proofErr w:type="spellEnd"/>
      <w:r w:rsidR="00F126FE" w:rsidRPr="00F82B5F">
        <w:rPr>
          <w:rFonts w:ascii="Times New Roman" w:hAnsi="Times New Roman" w:cs="Times New Roman"/>
          <w:sz w:val="20"/>
          <w:szCs w:val="20"/>
        </w:rPr>
        <w:t xml:space="preserve"> (2000) stated that the conventional co-integration tests (i.e.,</w:t>
      </w:r>
      <w:r w:rsidR="00B132A5" w:rsidRPr="00F82B5F">
        <w:rPr>
          <w:rFonts w:ascii="Times New Roman" w:hAnsi="Times New Roman" w:cs="Times New Roman"/>
          <w:sz w:val="20"/>
          <w:szCs w:val="20"/>
        </w:rPr>
        <w:t xml:space="preserve"> Engle and Granger (1987) and Johansen and </w:t>
      </w:r>
      <w:proofErr w:type="spellStart"/>
      <w:r w:rsidR="00B132A5" w:rsidRPr="00F82B5F">
        <w:rPr>
          <w:rFonts w:ascii="Times New Roman" w:hAnsi="Times New Roman" w:cs="Times New Roman"/>
          <w:sz w:val="20"/>
          <w:szCs w:val="20"/>
        </w:rPr>
        <w:t>Juselius</w:t>
      </w:r>
      <w:proofErr w:type="spellEnd"/>
      <w:r w:rsidR="00B132A5" w:rsidRPr="00F82B5F">
        <w:rPr>
          <w:rFonts w:ascii="Times New Roman" w:hAnsi="Times New Roman" w:cs="Times New Roman"/>
          <w:sz w:val="20"/>
          <w:szCs w:val="20"/>
        </w:rPr>
        <w:t xml:space="preserve"> (1990)</w:t>
      </w:r>
      <w:r w:rsidR="00F126FE" w:rsidRPr="00F82B5F">
        <w:rPr>
          <w:rFonts w:ascii="Times New Roman" w:hAnsi="Times New Roman" w:cs="Times New Roman"/>
          <w:sz w:val="20"/>
          <w:szCs w:val="20"/>
        </w:rPr>
        <w:t>) are not rel</w:t>
      </w:r>
      <w:r w:rsidR="00B132A5" w:rsidRPr="00F82B5F">
        <w:rPr>
          <w:rFonts w:ascii="Times New Roman" w:hAnsi="Times New Roman" w:cs="Times New Roman"/>
          <w:sz w:val="20"/>
          <w:szCs w:val="20"/>
        </w:rPr>
        <w:t>iable for studying small sample size</w:t>
      </w:r>
      <w:r w:rsidR="00F126FE" w:rsidRPr="00F82B5F">
        <w:rPr>
          <w:rFonts w:ascii="Times New Roman" w:hAnsi="Times New Roman" w:cs="Times New Roman"/>
          <w:sz w:val="20"/>
          <w:szCs w:val="20"/>
        </w:rPr>
        <w:t xml:space="preserve">. Thus, a more robust estimation approach – the bounds testing – proposed by </w:t>
      </w:r>
      <w:proofErr w:type="spellStart"/>
      <w:r w:rsidR="00F126FE" w:rsidRPr="00F82B5F">
        <w:rPr>
          <w:rFonts w:ascii="Times New Roman" w:hAnsi="Times New Roman" w:cs="Times New Roman"/>
          <w:sz w:val="20"/>
          <w:szCs w:val="20"/>
        </w:rPr>
        <w:t>Pesaran</w:t>
      </w:r>
      <w:proofErr w:type="spellEnd"/>
      <w:r w:rsidR="00F126FE" w:rsidRPr="00F82B5F">
        <w:rPr>
          <w:rFonts w:ascii="Times New Roman" w:hAnsi="Times New Roman" w:cs="Times New Roman"/>
          <w:sz w:val="20"/>
          <w:szCs w:val="20"/>
        </w:rPr>
        <w:t xml:space="preserve"> </w:t>
      </w:r>
      <w:r w:rsidR="00B132A5" w:rsidRPr="00F82B5F">
        <w:rPr>
          <w:rFonts w:ascii="Times New Roman" w:hAnsi="Times New Roman" w:cs="Times New Roman"/>
          <w:sz w:val="20"/>
          <w:szCs w:val="20"/>
        </w:rPr>
        <w:t xml:space="preserve">et al. </w:t>
      </w:r>
      <w:r w:rsidR="00F126FE" w:rsidRPr="00F82B5F">
        <w:rPr>
          <w:rFonts w:ascii="Times New Roman" w:hAnsi="Times New Roman" w:cs="Times New Roman"/>
          <w:sz w:val="20"/>
          <w:szCs w:val="20"/>
        </w:rPr>
        <w:t>(2001) is employed in this study.</w:t>
      </w:r>
      <w:r w:rsidR="006C5ACF" w:rsidRPr="00F82B5F">
        <w:rPr>
          <w:rFonts w:ascii="Times New Roman" w:hAnsi="Times New Roman" w:cs="Times New Roman"/>
          <w:sz w:val="20"/>
          <w:szCs w:val="20"/>
        </w:rPr>
        <w:t xml:space="preserve"> </w:t>
      </w:r>
      <w:r w:rsidR="00911763" w:rsidRPr="00F82B5F">
        <w:rPr>
          <w:rFonts w:ascii="Times New Roman" w:hAnsi="Times New Roman" w:cs="Times New Roman"/>
          <w:sz w:val="20"/>
          <w:szCs w:val="20"/>
        </w:rPr>
        <w:t xml:space="preserve">The balance of this paper is organized </w:t>
      </w:r>
      <w:r w:rsidR="00C66024" w:rsidRPr="00F82B5F">
        <w:rPr>
          <w:rFonts w:ascii="Times New Roman" w:hAnsi="Times New Roman" w:cs="Times New Roman"/>
          <w:sz w:val="20"/>
          <w:szCs w:val="20"/>
        </w:rPr>
        <w:t>as the following way. Section 2 discusses the methodology and empirical results. Section 3 p</w:t>
      </w:r>
      <w:r w:rsidR="00CD62B0" w:rsidRPr="00F82B5F">
        <w:rPr>
          <w:rFonts w:ascii="Times New Roman" w:hAnsi="Times New Roman" w:cs="Times New Roman"/>
          <w:sz w:val="20"/>
          <w:szCs w:val="20"/>
        </w:rPr>
        <w:t>rovides conclusions and policy implications.</w:t>
      </w:r>
    </w:p>
    <w:p w:rsidR="00CA0E4C" w:rsidRPr="008B3934" w:rsidRDefault="00C66024" w:rsidP="008B3934">
      <w:pPr>
        <w:pStyle w:val="ListParagraph"/>
        <w:numPr>
          <w:ilvl w:val="0"/>
          <w:numId w:val="1"/>
        </w:numPr>
        <w:spacing w:after="80" w:line="240" w:lineRule="exact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3934">
        <w:rPr>
          <w:rFonts w:ascii="Times New Roman" w:hAnsi="Times New Roman" w:cs="Times New Roman"/>
          <w:b/>
          <w:bCs/>
          <w:sz w:val="20"/>
          <w:szCs w:val="20"/>
        </w:rPr>
        <w:t>Methodology and empirical results</w:t>
      </w:r>
    </w:p>
    <w:p w:rsidR="006E6B29" w:rsidRPr="008B3934" w:rsidRDefault="00CD7BA4" w:rsidP="008B3934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B3934">
        <w:rPr>
          <w:rFonts w:ascii="Times New Roman" w:hAnsi="Times New Roman" w:cs="Times New Roman"/>
          <w:sz w:val="20"/>
          <w:szCs w:val="20"/>
        </w:rPr>
        <w:t>In this study, the following spec</w:t>
      </w:r>
      <w:r w:rsidR="0088670A" w:rsidRPr="008B3934">
        <w:rPr>
          <w:rFonts w:ascii="Times New Roman" w:hAnsi="Times New Roman" w:cs="Times New Roman"/>
          <w:sz w:val="20"/>
          <w:szCs w:val="20"/>
        </w:rPr>
        <w:t xml:space="preserve">ification is considered for </w:t>
      </w:r>
      <w:r w:rsidRPr="008B3934">
        <w:rPr>
          <w:rFonts w:ascii="Times New Roman" w:hAnsi="Times New Roman" w:cs="Times New Roman"/>
          <w:sz w:val="20"/>
          <w:szCs w:val="20"/>
        </w:rPr>
        <w:t>import demand function</w:t>
      </w:r>
      <w:r w:rsidR="00E3699E" w:rsidRPr="008B3934">
        <w:rPr>
          <w:rFonts w:ascii="Times New Roman" w:hAnsi="Times New Roman" w:cs="Times New Roman"/>
          <w:sz w:val="20"/>
          <w:szCs w:val="20"/>
        </w:rPr>
        <w:t xml:space="preserve"> (</w:t>
      </w:r>
      <w:r w:rsidR="002A01EC" w:rsidRPr="008B3934">
        <w:rPr>
          <w:rFonts w:ascii="Times New Roman" w:hAnsi="Times New Roman" w:cs="Times New Roman"/>
          <w:sz w:val="20"/>
          <w:szCs w:val="20"/>
        </w:rPr>
        <w:t xml:space="preserve">see </w:t>
      </w:r>
      <w:r w:rsidR="00E3699E" w:rsidRPr="008B3934">
        <w:rPr>
          <w:rFonts w:ascii="Times New Roman" w:hAnsi="Times New Roman" w:cs="Times New Roman"/>
          <w:sz w:val="20"/>
          <w:szCs w:val="20"/>
        </w:rPr>
        <w:t>Tang &amp; Nair, 2002):</w:t>
      </w:r>
      <w:r w:rsidRPr="008B3934">
        <w:rPr>
          <w:rFonts w:ascii="Times New Roman" w:hAnsi="Times New Roman" w:cs="Times New Roman"/>
          <w:sz w:val="20"/>
          <w:szCs w:val="20"/>
        </w:rPr>
        <w:t xml:space="preserve"> </w:t>
      </w:r>
      <w:r w:rsidR="002059DB" w:rsidRPr="008B393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577F9" w:rsidRPr="008B3934" w:rsidRDefault="0018082D" w:rsidP="007B4D74">
      <w:pPr>
        <w:spacing w:after="8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8B3934">
        <w:rPr>
          <w:rFonts w:ascii="Times New Roman" w:hAnsi="Times New Roman" w:cs="Times New Roman"/>
          <w:sz w:val="20"/>
          <w:szCs w:val="20"/>
        </w:rPr>
        <w:t>M</w:t>
      </w:r>
      <w:r w:rsidRPr="008B3934">
        <w:rPr>
          <w:rFonts w:ascii="Times New Roman" w:hAnsi="Times New Roman" w:cs="Times New Roman"/>
          <w:sz w:val="20"/>
          <w:szCs w:val="20"/>
          <w:vertAlign w:val="subscript"/>
        </w:rPr>
        <w:t>t</w:t>
      </w:r>
      <w:r w:rsidRPr="008B3934">
        <w:rPr>
          <w:rFonts w:ascii="Times New Roman" w:hAnsi="Times New Roman" w:cs="Times New Roman"/>
          <w:sz w:val="20"/>
          <w:szCs w:val="20"/>
        </w:rPr>
        <w:t xml:space="preserve"> = ƒ (</w:t>
      </w:r>
      <w:proofErr w:type="spellStart"/>
      <w:proofErr w:type="gramStart"/>
      <w:r w:rsidRPr="008B3934">
        <w:rPr>
          <w:rFonts w:ascii="Times New Roman" w:hAnsi="Times New Roman" w:cs="Times New Roman"/>
          <w:sz w:val="20"/>
          <w:szCs w:val="20"/>
        </w:rPr>
        <w:t>Y</w:t>
      </w:r>
      <w:r w:rsidRPr="008B3934">
        <w:rPr>
          <w:rFonts w:ascii="Times New Roman" w:hAnsi="Times New Roman" w:cs="Times New Roman"/>
          <w:sz w:val="20"/>
          <w:szCs w:val="20"/>
          <w:vertAlign w:val="subscript"/>
        </w:rPr>
        <w:t>t</w:t>
      </w:r>
      <w:proofErr w:type="spellEnd"/>
      <w:proofErr w:type="gramEnd"/>
      <w:r w:rsidRPr="008B39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B3934">
        <w:rPr>
          <w:rFonts w:ascii="Times New Roman" w:hAnsi="Times New Roman" w:cs="Times New Roman"/>
          <w:sz w:val="20"/>
          <w:szCs w:val="20"/>
        </w:rPr>
        <w:t>MP</w:t>
      </w:r>
      <w:r w:rsidRPr="008B3934">
        <w:rPr>
          <w:rFonts w:ascii="Times New Roman" w:hAnsi="Times New Roman" w:cs="Times New Roman"/>
          <w:sz w:val="20"/>
          <w:szCs w:val="20"/>
          <w:vertAlign w:val="subscript"/>
        </w:rPr>
        <w:t>t</w:t>
      </w:r>
      <w:proofErr w:type="spellEnd"/>
      <w:r w:rsidRPr="008B3934">
        <w:rPr>
          <w:rFonts w:ascii="Times New Roman" w:hAnsi="Times New Roman" w:cs="Times New Roman"/>
          <w:sz w:val="20"/>
          <w:szCs w:val="20"/>
        </w:rPr>
        <w:t>)</w:t>
      </w:r>
      <w:r w:rsidR="001E4912" w:rsidRPr="008B3934">
        <w:rPr>
          <w:rFonts w:ascii="Times New Roman" w:hAnsi="Times New Roman" w:cs="Times New Roman"/>
          <w:sz w:val="20"/>
          <w:szCs w:val="20"/>
        </w:rPr>
        <w:t xml:space="preserve"> </w:t>
      </w:r>
      <w:r w:rsidR="00B011DE" w:rsidRPr="008B39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7B4D7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E4912" w:rsidRPr="008B3934">
        <w:rPr>
          <w:rFonts w:ascii="Times New Roman" w:hAnsi="Times New Roman" w:cs="Times New Roman"/>
          <w:sz w:val="20"/>
          <w:szCs w:val="20"/>
        </w:rPr>
        <w:t>(1)</w:t>
      </w:r>
    </w:p>
    <w:p w:rsidR="00CF55B3" w:rsidRPr="008B3934" w:rsidRDefault="0018082D" w:rsidP="004C15A7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B3934">
        <w:rPr>
          <w:rFonts w:ascii="Times New Roman" w:hAnsi="Times New Roman" w:cs="Times New Roman"/>
          <w:sz w:val="20"/>
          <w:szCs w:val="20"/>
        </w:rPr>
        <w:t>Where, M</w:t>
      </w:r>
      <w:r w:rsidRPr="008B3934">
        <w:rPr>
          <w:rFonts w:ascii="Times New Roman" w:hAnsi="Times New Roman" w:cs="Times New Roman"/>
          <w:sz w:val="20"/>
          <w:szCs w:val="20"/>
          <w:vertAlign w:val="subscript"/>
        </w:rPr>
        <w:t>t</w:t>
      </w:r>
      <w:r w:rsidRPr="008B3934">
        <w:rPr>
          <w:rFonts w:ascii="Times New Roman" w:hAnsi="Times New Roman" w:cs="Times New Roman"/>
          <w:sz w:val="20"/>
          <w:szCs w:val="20"/>
        </w:rPr>
        <w:t xml:space="preserve"> is the </w:t>
      </w:r>
      <w:r w:rsidR="006855A2" w:rsidRPr="008B3934">
        <w:rPr>
          <w:rFonts w:ascii="Times New Roman" w:hAnsi="Times New Roman" w:cs="Times New Roman"/>
          <w:sz w:val="20"/>
          <w:szCs w:val="20"/>
        </w:rPr>
        <w:t xml:space="preserve">aggregate imports </w:t>
      </w:r>
      <w:r w:rsidRPr="008B3934">
        <w:rPr>
          <w:rFonts w:ascii="Times New Roman" w:hAnsi="Times New Roman" w:cs="Times New Roman"/>
          <w:sz w:val="20"/>
          <w:szCs w:val="20"/>
        </w:rPr>
        <w:t xml:space="preserve">quantity </w:t>
      </w:r>
      <w:r w:rsidR="007816EB">
        <w:rPr>
          <w:rFonts w:ascii="Times New Roman" w:hAnsi="Times New Roman" w:cs="Times New Roman"/>
          <w:sz w:val="20"/>
          <w:szCs w:val="20"/>
        </w:rPr>
        <w:t xml:space="preserve">(goods &amp; </w:t>
      </w:r>
      <w:r w:rsidR="00DF5D2F" w:rsidRPr="008B3934">
        <w:rPr>
          <w:rFonts w:ascii="Times New Roman" w:hAnsi="Times New Roman" w:cs="Times New Roman"/>
          <w:sz w:val="20"/>
          <w:szCs w:val="20"/>
        </w:rPr>
        <w:t xml:space="preserve">services) </w:t>
      </w:r>
      <w:r w:rsidRPr="008B3934">
        <w:rPr>
          <w:rFonts w:ascii="Times New Roman" w:hAnsi="Times New Roman" w:cs="Times New Roman"/>
          <w:sz w:val="20"/>
          <w:szCs w:val="20"/>
        </w:rPr>
        <w:t>demanded at period t</w:t>
      </w:r>
      <w:r w:rsidR="00DF5D2F" w:rsidRPr="008B3934">
        <w:rPr>
          <w:rFonts w:ascii="Times New Roman" w:hAnsi="Times New Roman" w:cs="Times New Roman"/>
          <w:sz w:val="20"/>
          <w:szCs w:val="20"/>
        </w:rPr>
        <w:t xml:space="preserve"> </w:t>
      </w:r>
      <w:r w:rsidR="006855A2" w:rsidRPr="008B3934">
        <w:rPr>
          <w:rFonts w:ascii="Times New Roman" w:hAnsi="Times New Roman" w:cs="Times New Roman"/>
          <w:sz w:val="20"/>
          <w:szCs w:val="20"/>
        </w:rPr>
        <w:t xml:space="preserve">expressed in local currency unit (Jordanian Dinar, JD); </w:t>
      </w:r>
      <w:proofErr w:type="spellStart"/>
      <w:r w:rsidRPr="008B3934">
        <w:rPr>
          <w:rFonts w:ascii="Times New Roman" w:hAnsi="Times New Roman" w:cs="Times New Roman"/>
          <w:sz w:val="20"/>
          <w:szCs w:val="20"/>
        </w:rPr>
        <w:t>Y</w:t>
      </w:r>
      <w:r w:rsidRPr="008B3934">
        <w:rPr>
          <w:rFonts w:ascii="Times New Roman" w:hAnsi="Times New Roman" w:cs="Times New Roman"/>
          <w:sz w:val="20"/>
          <w:szCs w:val="20"/>
          <w:vertAlign w:val="subscript"/>
        </w:rPr>
        <w:t>t</w:t>
      </w:r>
      <w:proofErr w:type="spellEnd"/>
      <w:r w:rsidRPr="008B3934">
        <w:rPr>
          <w:rFonts w:ascii="Times New Roman" w:hAnsi="Times New Roman" w:cs="Times New Roman"/>
          <w:sz w:val="20"/>
          <w:szCs w:val="20"/>
        </w:rPr>
        <w:t xml:space="preserve"> is the </w:t>
      </w:r>
      <w:r w:rsidR="00E8459E" w:rsidRPr="008B3934">
        <w:rPr>
          <w:rFonts w:ascii="Times New Roman" w:hAnsi="Times New Roman" w:cs="Times New Roman"/>
          <w:sz w:val="20"/>
          <w:szCs w:val="20"/>
        </w:rPr>
        <w:t xml:space="preserve">income, </w:t>
      </w:r>
      <w:r w:rsidR="006855A2" w:rsidRPr="008B3934">
        <w:rPr>
          <w:rFonts w:ascii="Times New Roman" w:hAnsi="Times New Roman" w:cs="Times New Roman"/>
          <w:sz w:val="20"/>
          <w:szCs w:val="20"/>
        </w:rPr>
        <w:t>gross domestic product (GDP) per capita</w:t>
      </w:r>
      <w:r w:rsidR="00E8459E" w:rsidRPr="008B3934">
        <w:rPr>
          <w:rFonts w:ascii="Times New Roman" w:hAnsi="Times New Roman" w:cs="Times New Roman"/>
          <w:sz w:val="20"/>
          <w:szCs w:val="20"/>
        </w:rPr>
        <w:t>,</w:t>
      </w:r>
      <w:r w:rsidR="006855A2" w:rsidRPr="008B3934">
        <w:rPr>
          <w:rFonts w:ascii="Times New Roman" w:hAnsi="Times New Roman" w:cs="Times New Roman"/>
          <w:sz w:val="20"/>
          <w:szCs w:val="20"/>
        </w:rPr>
        <w:t xml:space="preserve"> expressed in JD; </w:t>
      </w:r>
      <w:proofErr w:type="spellStart"/>
      <w:r w:rsidRPr="008B3934">
        <w:rPr>
          <w:rFonts w:ascii="Times New Roman" w:hAnsi="Times New Roman" w:cs="Times New Roman"/>
          <w:sz w:val="20"/>
          <w:szCs w:val="20"/>
        </w:rPr>
        <w:t>MP</w:t>
      </w:r>
      <w:r w:rsidRPr="008B3934">
        <w:rPr>
          <w:rFonts w:ascii="Times New Roman" w:hAnsi="Times New Roman" w:cs="Times New Roman"/>
          <w:sz w:val="20"/>
          <w:szCs w:val="20"/>
          <w:vertAlign w:val="subscript"/>
        </w:rPr>
        <w:t>t</w:t>
      </w:r>
      <w:proofErr w:type="spellEnd"/>
      <w:r w:rsidRPr="008B3934">
        <w:rPr>
          <w:rFonts w:ascii="Times New Roman" w:hAnsi="Times New Roman" w:cs="Times New Roman"/>
          <w:sz w:val="20"/>
          <w:szCs w:val="20"/>
        </w:rPr>
        <w:t xml:space="preserve"> is the </w:t>
      </w:r>
      <w:r w:rsidR="003E490B" w:rsidRPr="008B3934">
        <w:rPr>
          <w:rFonts w:ascii="Times New Roman" w:hAnsi="Times New Roman" w:cs="Times New Roman"/>
          <w:sz w:val="20"/>
          <w:szCs w:val="20"/>
        </w:rPr>
        <w:t>import value index (20</w:t>
      </w:r>
      <w:r w:rsidR="00AA5922">
        <w:rPr>
          <w:rFonts w:ascii="Times New Roman" w:hAnsi="Times New Roman" w:cs="Times New Roman"/>
          <w:sz w:val="20"/>
          <w:szCs w:val="20"/>
        </w:rPr>
        <w:t>1</w:t>
      </w:r>
      <w:r w:rsidR="003E490B" w:rsidRPr="008B3934">
        <w:rPr>
          <w:rFonts w:ascii="Times New Roman" w:hAnsi="Times New Roman" w:cs="Times New Roman"/>
          <w:sz w:val="20"/>
          <w:szCs w:val="20"/>
        </w:rPr>
        <w:t xml:space="preserve">0 = 100). </w:t>
      </w:r>
      <w:r w:rsidR="00DF5D2F" w:rsidRPr="008B3934">
        <w:rPr>
          <w:rFonts w:ascii="Times New Roman" w:hAnsi="Times New Roman" w:cs="Times New Roman"/>
          <w:sz w:val="20"/>
          <w:szCs w:val="20"/>
        </w:rPr>
        <w:t xml:space="preserve">However, the sample used in the </w:t>
      </w:r>
      <w:r w:rsidR="00010DF4" w:rsidRPr="008B3934">
        <w:rPr>
          <w:rFonts w:ascii="Times New Roman" w:hAnsi="Times New Roman" w:cs="Times New Roman"/>
          <w:sz w:val="20"/>
          <w:szCs w:val="20"/>
        </w:rPr>
        <w:t>current</w:t>
      </w:r>
      <w:r w:rsidR="00DF5D2F" w:rsidRPr="008B3934">
        <w:rPr>
          <w:rFonts w:ascii="Times New Roman" w:hAnsi="Times New Roman" w:cs="Times New Roman"/>
          <w:sz w:val="20"/>
          <w:szCs w:val="20"/>
        </w:rPr>
        <w:t xml:space="preserve"> study covers </w:t>
      </w:r>
      <w:r w:rsidR="00DF5D2F" w:rsidRPr="008B3934">
        <w:rPr>
          <w:rFonts w:ascii="Times New Roman" w:hAnsi="Times New Roman" w:cs="Times New Roman"/>
          <w:sz w:val="20"/>
          <w:szCs w:val="20"/>
        </w:rPr>
        <w:lastRenderedPageBreak/>
        <w:t>annual observations for the (19</w:t>
      </w:r>
      <w:r w:rsidR="003E490B" w:rsidRPr="008B3934">
        <w:rPr>
          <w:rFonts w:ascii="Times New Roman" w:hAnsi="Times New Roman" w:cs="Times New Roman"/>
          <w:sz w:val="20"/>
          <w:szCs w:val="20"/>
        </w:rPr>
        <w:t>8</w:t>
      </w:r>
      <w:r w:rsidR="00DF5D2F" w:rsidRPr="008B3934">
        <w:rPr>
          <w:rFonts w:ascii="Times New Roman" w:hAnsi="Times New Roman" w:cs="Times New Roman"/>
          <w:sz w:val="20"/>
          <w:szCs w:val="20"/>
        </w:rPr>
        <w:t>0−201</w:t>
      </w:r>
      <w:r w:rsidR="00120AC8" w:rsidRPr="008B3934">
        <w:rPr>
          <w:rFonts w:ascii="Times New Roman" w:hAnsi="Times New Roman" w:cs="Times New Roman"/>
          <w:sz w:val="20"/>
          <w:szCs w:val="20"/>
        </w:rPr>
        <w:t>2</w:t>
      </w:r>
      <w:r w:rsidR="00DF5D2F" w:rsidRPr="008B3934">
        <w:rPr>
          <w:rFonts w:ascii="Times New Roman" w:hAnsi="Times New Roman" w:cs="Times New Roman"/>
          <w:sz w:val="20"/>
          <w:szCs w:val="20"/>
        </w:rPr>
        <w:t xml:space="preserve">) period. The raw time-series data is obtained from the World Bank, Development Indicators Databases (2014). </w:t>
      </w:r>
      <w:r w:rsidR="004F6F39" w:rsidRPr="008B3934">
        <w:rPr>
          <w:rFonts w:ascii="Times New Roman" w:hAnsi="Times New Roman" w:cs="Times New Roman"/>
          <w:sz w:val="20"/>
          <w:szCs w:val="20"/>
        </w:rPr>
        <w:t>The import dema</w:t>
      </w:r>
      <w:r w:rsidR="00CF096A" w:rsidRPr="008B3934">
        <w:rPr>
          <w:rFonts w:ascii="Times New Roman" w:hAnsi="Times New Roman" w:cs="Times New Roman"/>
          <w:sz w:val="20"/>
          <w:szCs w:val="20"/>
        </w:rPr>
        <w:t>nd function in economy can be fully mod</w:t>
      </w:r>
      <w:r w:rsidR="00452361" w:rsidRPr="008B3934">
        <w:rPr>
          <w:rFonts w:ascii="Times New Roman" w:hAnsi="Times New Roman" w:cs="Times New Roman"/>
          <w:sz w:val="20"/>
          <w:szCs w:val="20"/>
        </w:rPr>
        <w:t xml:space="preserve">eled by two factors (i.e., the </w:t>
      </w:r>
      <w:r w:rsidR="00CF096A" w:rsidRPr="008B3934">
        <w:rPr>
          <w:rFonts w:ascii="Times New Roman" w:hAnsi="Times New Roman" w:cs="Times New Roman"/>
          <w:sz w:val="20"/>
          <w:szCs w:val="20"/>
        </w:rPr>
        <w:t xml:space="preserve">GDP </w:t>
      </w:r>
      <w:r w:rsidR="00452361" w:rsidRPr="008B3934">
        <w:rPr>
          <w:rFonts w:ascii="Times New Roman" w:hAnsi="Times New Roman" w:cs="Times New Roman"/>
          <w:sz w:val="20"/>
          <w:szCs w:val="20"/>
        </w:rPr>
        <w:t xml:space="preserve">per capita </w:t>
      </w:r>
      <w:r w:rsidR="00CF096A" w:rsidRPr="008B3934">
        <w:rPr>
          <w:rFonts w:ascii="Times New Roman" w:hAnsi="Times New Roman" w:cs="Times New Roman"/>
          <w:sz w:val="20"/>
          <w:szCs w:val="20"/>
        </w:rPr>
        <w:t>and</w:t>
      </w:r>
      <w:r w:rsidR="00452361" w:rsidRPr="008B3934">
        <w:rPr>
          <w:rFonts w:ascii="Times New Roman" w:hAnsi="Times New Roman" w:cs="Times New Roman"/>
          <w:sz w:val="20"/>
          <w:szCs w:val="20"/>
        </w:rPr>
        <w:t xml:space="preserve"> import value index</w:t>
      </w:r>
      <w:r w:rsidR="00CF096A" w:rsidRPr="008B3934">
        <w:rPr>
          <w:rFonts w:ascii="Times New Roman" w:hAnsi="Times New Roman" w:cs="Times New Roman"/>
          <w:sz w:val="20"/>
          <w:szCs w:val="20"/>
        </w:rPr>
        <w:t xml:space="preserve">). </w:t>
      </w:r>
      <w:r w:rsidR="00452361" w:rsidRPr="008B3934">
        <w:rPr>
          <w:rFonts w:ascii="Times New Roman" w:hAnsi="Times New Roman" w:cs="Times New Roman"/>
          <w:sz w:val="20"/>
          <w:szCs w:val="20"/>
        </w:rPr>
        <w:t xml:space="preserve">The import value index </w:t>
      </w:r>
      <w:r w:rsidR="00120AC8" w:rsidRPr="008B3934">
        <w:rPr>
          <w:rFonts w:ascii="Times New Roman" w:hAnsi="Times New Roman" w:cs="Times New Roman"/>
          <w:sz w:val="20"/>
          <w:szCs w:val="20"/>
        </w:rPr>
        <w:t xml:space="preserve">includes commodity adjusted for </w:t>
      </w:r>
      <w:r w:rsidR="00CF096A" w:rsidRPr="008B3934">
        <w:rPr>
          <w:rFonts w:ascii="Times New Roman" w:hAnsi="Times New Roman" w:cs="Times New Roman"/>
          <w:sz w:val="20"/>
          <w:szCs w:val="20"/>
        </w:rPr>
        <w:t>exchange rat</w:t>
      </w:r>
      <w:r w:rsidR="00120AC8" w:rsidRPr="008B3934">
        <w:rPr>
          <w:rFonts w:ascii="Times New Roman" w:hAnsi="Times New Roman" w:cs="Times New Roman"/>
          <w:sz w:val="20"/>
          <w:szCs w:val="20"/>
        </w:rPr>
        <w:t xml:space="preserve">e, which gives a measure of </w:t>
      </w:r>
      <w:r w:rsidR="00CF096A" w:rsidRPr="008B3934">
        <w:rPr>
          <w:rFonts w:ascii="Times New Roman" w:hAnsi="Times New Roman" w:cs="Times New Roman"/>
          <w:sz w:val="20"/>
          <w:szCs w:val="20"/>
        </w:rPr>
        <w:t xml:space="preserve">real exchange rate. </w:t>
      </w:r>
      <w:r w:rsidR="00231645" w:rsidRPr="008B3934">
        <w:rPr>
          <w:rFonts w:ascii="Times New Roman" w:hAnsi="Times New Roman" w:cs="Times New Roman"/>
          <w:sz w:val="20"/>
          <w:szCs w:val="20"/>
        </w:rPr>
        <w:t>The log-linear formulation is more appropriate than the linear one</w:t>
      </w:r>
      <w:r w:rsidR="00010DF4" w:rsidRPr="008B3934">
        <w:rPr>
          <w:rFonts w:ascii="Times New Roman" w:hAnsi="Times New Roman" w:cs="Times New Roman"/>
          <w:sz w:val="20"/>
          <w:szCs w:val="20"/>
        </w:rPr>
        <w:t xml:space="preserve"> (Eq. (1))</w:t>
      </w:r>
      <w:r w:rsidR="00231645" w:rsidRPr="008B3934">
        <w:rPr>
          <w:rFonts w:ascii="Times New Roman" w:hAnsi="Times New Roman" w:cs="Times New Roman"/>
          <w:sz w:val="20"/>
          <w:szCs w:val="20"/>
        </w:rPr>
        <w:t xml:space="preserve">. The log-linear specification avoids some estimation problems, particularly </w:t>
      </w:r>
      <w:proofErr w:type="spellStart"/>
      <w:r w:rsidR="00231645" w:rsidRPr="008B3934">
        <w:rPr>
          <w:rFonts w:ascii="Times New Roman" w:hAnsi="Times New Roman" w:cs="Times New Roman"/>
          <w:sz w:val="20"/>
          <w:szCs w:val="20"/>
        </w:rPr>
        <w:t>skewness</w:t>
      </w:r>
      <w:proofErr w:type="spellEnd"/>
      <w:r w:rsidR="00231645" w:rsidRPr="008B39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31645" w:rsidRPr="008B3934">
        <w:rPr>
          <w:rFonts w:ascii="Times New Roman" w:hAnsi="Times New Roman" w:cs="Times New Roman"/>
          <w:sz w:val="20"/>
          <w:szCs w:val="20"/>
        </w:rPr>
        <w:t>heteroscedasticity</w:t>
      </w:r>
      <w:proofErr w:type="spellEnd"/>
      <w:r w:rsidR="00231645" w:rsidRPr="008B3934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="00231645" w:rsidRPr="008B3934">
        <w:rPr>
          <w:rFonts w:ascii="Times New Roman" w:hAnsi="Times New Roman" w:cs="Times New Roman"/>
          <w:sz w:val="20"/>
          <w:szCs w:val="20"/>
        </w:rPr>
        <w:t>multicollinearity</w:t>
      </w:r>
      <w:proofErr w:type="spellEnd"/>
      <w:r w:rsidR="00927EA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27EAD">
        <w:rPr>
          <w:rFonts w:ascii="Times New Roman" w:hAnsi="Times New Roman" w:cs="Times New Roman"/>
          <w:sz w:val="20"/>
          <w:szCs w:val="20"/>
        </w:rPr>
        <w:t>Mugableh</w:t>
      </w:r>
      <w:proofErr w:type="spellEnd"/>
      <w:r w:rsidR="00927EAD">
        <w:rPr>
          <w:rFonts w:ascii="Times New Roman" w:hAnsi="Times New Roman" w:cs="Times New Roman"/>
          <w:sz w:val="20"/>
          <w:szCs w:val="20"/>
        </w:rPr>
        <w:t>, 2015</w:t>
      </w:r>
      <w:r w:rsidR="004C15A7">
        <w:rPr>
          <w:rFonts w:ascii="Times New Roman" w:hAnsi="Times New Roman" w:cs="Times New Roman"/>
          <w:sz w:val="20"/>
          <w:szCs w:val="20"/>
        </w:rPr>
        <w:t>a</w:t>
      </w:r>
      <w:r w:rsidR="00927EAD">
        <w:rPr>
          <w:rFonts w:ascii="Times New Roman" w:hAnsi="Times New Roman" w:cs="Times New Roman"/>
          <w:sz w:val="20"/>
          <w:szCs w:val="20"/>
        </w:rPr>
        <w:t>)</w:t>
      </w:r>
      <w:r w:rsidR="00231645" w:rsidRPr="008B3934">
        <w:rPr>
          <w:rFonts w:ascii="Times New Roman" w:hAnsi="Times New Roman" w:cs="Times New Roman"/>
          <w:sz w:val="20"/>
          <w:szCs w:val="20"/>
        </w:rPr>
        <w:t>. Thus, the log-linear specification is shown as in Eq. (2).</w:t>
      </w:r>
    </w:p>
    <w:p w:rsidR="00B011DE" w:rsidRPr="008B3934" w:rsidRDefault="00CF55B3" w:rsidP="008B3934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3934">
        <w:rPr>
          <w:rFonts w:ascii="Times New Roman" w:hAnsi="Times New Roman" w:cs="Times New Roman"/>
          <w:sz w:val="20"/>
          <w:szCs w:val="20"/>
        </w:rPr>
        <w:t>LogM</w:t>
      </w:r>
      <w:r w:rsidRPr="008B3934">
        <w:rPr>
          <w:rFonts w:ascii="Times New Roman" w:hAnsi="Times New Roman" w:cs="Times New Roman"/>
          <w:sz w:val="20"/>
          <w:szCs w:val="20"/>
          <w:vertAlign w:val="subscript"/>
        </w:rPr>
        <w:t>t</w:t>
      </w:r>
      <w:proofErr w:type="spellEnd"/>
      <w:r w:rsidRPr="008B3934">
        <w:rPr>
          <w:rFonts w:ascii="Times New Roman" w:hAnsi="Times New Roman" w:cs="Times New Roman"/>
          <w:sz w:val="20"/>
          <w:szCs w:val="20"/>
        </w:rPr>
        <w:t xml:space="preserve"> = β</w:t>
      </w:r>
      <w:r w:rsidRPr="008B3934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Pr="008B3934">
        <w:rPr>
          <w:rFonts w:ascii="Times New Roman" w:hAnsi="Times New Roman" w:cs="Times New Roman"/>
          <w:sz w:val="20"/>
          <w:szCs w:val="20"/>
        </w:rPr>
        <w:t xml:space="preserve"> + β</w:t>
      </w:r>
      <w:r w:rsidRPr="008B3934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8B3934">
        <w:rPr>
          <w:rFonts w:ascii="Times New Roman" w:hAnsi="Times New Roman" w:cs="Times New Roman"/>
          <w:sz w:val="20"/>
          <w:szCs w:val="20"/>
        </w:rPr>
        <w:t>LogY</w:t>
      </w:r>
      <w:r w:rsidRPr="008B3934">
        <w:rPr>
          <w:rFonts w:ascii="Times New Roman" w:hAnsi="Times New Roman" w:cs="Times New Roman"/>
          <w:sz w:val="20"/>
          <w:szCs w:val="20"/>
          <w:vertAlign w:val="subscript"/>
        </w:rPr>
        <w:t>t</w:t>
      </w:r>
      <w:r w:rsidRPr="008B3934">
        <w:rPr>
          <w:rFonts w:ascii="Times New Roman" w:hAnsi="Times New Roman" w:cs="Times New Roman"/>
          <w:sz w:val="20"/>
          <w:szCs w:val="20"/>
        </w:rPr>
        <w:t xml:space="preserve"> + β</w:t>
      </w:r>
      <w:r w:rsidRPr="008B393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B3934">
        <w:rPr>
          <w:rFonts w:ascii="Times New Roman" w:hAnsi="Times New Roman" w:cs="Times New Roman"/>
          <w:sz w:val="20"/>
          <w:szCs w:val="20"/>
        </w:rPr>
        <w:t>LogMP</w:t>
      </w:r>
      <w:r w:rsidRPr="008B3934">
        <w:rPr>
          <w:rFonts w:ascii="Times New Roman" w:hAnsi="Times New Roman" w:cs="Times New Roman"/>
          <w:sz w:val="20"/>
          <w:szCs w:val="20"/>
          <w:vertAlign w:val="subscript"/>
        </w:rPr>
        <w:t>t</w:t>
      </w:r>
      <w:r w:rsidRPr="008B3934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proofErr w:type="gramStart"/>
      <w:r w:rsidRPr="008B3934">
        <w:rPr>
          <w:rFonts w:ascii="Times New Roman" w:hAnsi="Times New Roman" w:cs="Times New Roman"/>
          <w:sz w:val="20"/>
          <w:szCs w:val="20"/>
        </w:rPr>
        <w:t>ε</w:t>
      </w:r>
      <w:r w:rsidRPr="008B3934">
        <w:rPr>
          <w:rFonts w:ascii="Times New Roman" w:hAnsi="Times New Roman" w:cs="Times New Roman"/>
          <w:sz w:val="20"/>
          <w:szCs w:val="20"/>
          <w:vertAlign w:val="subscript"/>
        </w:rPr>
        <w:t>t</w:t>
      </w:r>
      <w:proofErr w:type="spellEnd"/>
      <w:proofErr w:type="gramEnd"/>
      <w:r w:rsidRPr="008B3934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B011DE" w:rsidRPr="008B3934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F26A1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011DE" w:rsidRPr="008B3934">
        <w:rPr>
          <w:rFonts w:ascii="Times New Roman" w:hAnsi="Times New Roman" w:cs="Times New Roman"/>
          <w:sz w:val="20"/>
          <w:szCs w:val="20"/>
        </w:rPr>
        <w:t xml:space="preserve"> </w:t>
      </w:r>
      <w:r w:rsidRPr="008B3934">
        <w:rPr>
          <w:rFonts w:ascii="Times New Roman" w:hAnsi="Times New Roman" w:cs="Times New Roman"/>
          <w:sz w:val="20"/>
          <w:szCs w:val="20"/>
        </w:rPr>
        <w:t>(2)</w:t>
      </w:r>
    </w:p>
    <w:p w:rsidR="001A2BFA" w:rsidRPr="008B3934" w:rsidRDefault="00CF55B3" w:rsidP="008B3934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B3934">
        <w:rPr>
          <w:rFonts w:ascii="Times New Roman" w:hAnsi="Times New Roman" w:cs="Times New Roman"/>
          <w:sz w:val="20"/>
          <w:szCs w:val="20"/>
        </w:rPr>
        <w:t xml:space="preserve">Where, </w:t>
      </w:r>
      <w:proofErr w:type="spellStart"/>
      <w:proofErr w:type="gramStart"/>
      <w:r w:rsidRPr="008B3934">
        <w:rPr>
          <w:rFonts w:ascii="Times New Roman" w:hAnsi="Times New Roman" w:cs="Times New Roman"/>
          <w:sz w:val="20"/>
          <w:szCs w:val="20"/>
        </w:rPr>
        <w:t>ε</w:t>
      </w:r>
      <w:r w:rsidRPr="008B3934">
        <w:rPr>
          <w:rFonts w:ascii="Times New Roman" w:hAnsi="Times New Roman" w:cs="Times New Roman"/>
          <w:sz w:val="20"/>
          <w:szCs w:val="20"/>
          <w:vertAlign w:val="subscript"/>
        </w:rPr>
        <w:t>t</w:t>
      </w:r>
      <w:proofErr w:type="spellEnd"/>
      <w:proofErr w:type="gramEnd"/>
      <w:r w:rsidRPr="008B3934">
        <w:rPr>
          <w:rFonts w:ascii="Times New Roman" w:hAnsi="Times New Roman" w:cs="Times New Roman"/>
          <w:sz w:val="20"/>
          <w:szCs w:val="20"/>
        </w:rPr>
        <w:t xml:space="preserve"> is the </w:t>
      </w:r>
      <w:r w:rsidR="00B873BB" w:rsidRPr="008B3934">
        <w:rPr>
          <w:rFonts w:ascii="Times New Roman" w:hAnsi="Times New Roman" w:cs="Times New Roman"/>
          <w:sz w:val="20"/>
          <w:szCs w:val="20"/>
        </w:rPr>
        <w:t xml:space="preserve">white noise term distributed with zero mean and constant variance (i.e., </w:t>
      </w:r>
      <w:proofErr w:type="spellStart"/>
      <w:r w:rsidR="00B873BB" w:rsidRPr="008B3934">
        <w:rPr>
          <w:rFonts w:ascii="Times New Roman" w:hAnsi="Times New Roman" w:cs="Times New Roman"/>
          <w:sz w:val="20"/>
          <w:szCs w:val="20"/>
        </w:rPr>
        <w:t>ε</w:t>
      </w:r>
      <w:r w:rsidR="00B873BB" w:rsidRPr="008B3934">
        <w:rPr>
          <w:rFonts w:ascii="Times New Roman" w:hAnsi="Times New Roman" w:cs="Times New Roman"/>
          <w:sz w:val="20"/>
          <w:szCs w:val="20"/>
          <w:vertAlign w:val="subscript"/>
        </w:rPr>
        <w:t>t</w:t>
      </w:r>
      <w:proofErr w:type="spellEnd"/>
      <w:r w:rsidR="00B873BB" w:rsidRPr="008B3934">
        <w:rPr>
          <w:rFonts w:ascii="Times New Roman" w:hAnsi="Times New Roman" w:cs="Times New Roman"/>
          <w:sz w:val="20"/>
          <w:szCs w:val="20"/>
        </w:rPr>
        <w:t xml:space="preserve"> </w:t>
      </w:r>
      <w:r w:rsidR="00B873BB" w:rsidRPr="008B3934">
        <w:rPr>
          <w:rFonts w:ascii="Times New Roman" w:hAnsi="Times New Roman" w:cs="Times New Roman"/>
          <w:sz w:val="20"/>
          <w:szCs w:val="20"/>
          <w:lang w:val="en"/>
        </w:rPr>
        <w:t>~ N (0, σ</w:t>
      </w:r>
      <w:r w:rsidR="00B873BB" w:rsidRPr="008B3934">
        <w:rPr>
          <w:rFonts w:ascii="Times New Roman" w:hAnsi="Times New Roman" w:cs="Times New Roman"/>
          <w:sz w:val="20"/>
          <w:szCs w:val="20"/>
          <w:vertAlign w:val="superscript"/>
          <w:lang w:val="en"/>
        </w:rPr>
        <w:t>2</w:t>
      </w:r>
      <w:r w:rsidR="00B873BB" w:rsidRPr="008B3934">
        <w:rPr>
          <w:rFonts w:ascii="Times New Roman" w:hAnsi="Times New Roman" w:cs="Times New Roman"/>
          <w:sz w:val="20"/>
          <w:szCs w:val="20"/>
          <w:lang w:val="en"/>
        </w:rPr>
        <w:t>)</w:t>
      </w:r>
      <w:r w:rsidR="00B873BB" w:rsidRPr="008B3934">
        <w:rPr>
          <w:rFonts w:ascii="Times New Roman" w:hAnsi="Times New Roman" w:cs="Times New Roman"/>
          <w:sz w:val="20"/>
          <w:szCs w:val="20"/>
        </w:rPr>
        <w:t>). Based on the ec</w:t>
      </w:r>
      <w:r w:rsidR="00120AC8" w:rsidRPr="008B3934">
        <w:rPr>
          <w:rFonts w:ascii="Times New Roman" w:hAnsi="Times New Roman" w:cs="Times New Roman"/>
          <w:sz w:val="20"/>
          <w:szCs w:val="20"/>
        </w:rPr>
        <w:t xml:space="preserve">onomic theory, the signs of </w:t>
      </w:r>
      <w:r w:rsidR="00B873BB" w:rsidRPr="008B3934">
        <w:rPr>
          <w:rFonts w:ascii="Times New Roman" w:hAnsi="Times New Roman" w:cs="Times New Roman"/>
          <w:sz w:val="20"/>
          <w:szCs w:val="20"/>
        </w:rPr>
        <w:t>coefficients are expected to be as follows: β</w:t>
      </w:r>
      <w:r w:rsidR="00B873BB" w:rsidRPr="008B3934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B873BB" w:rsidRPr="008B3934">
        <w:rPr>
          <w:rFonts w:ascii="Times New Roman" w:hAnsi="Times New Roman" w:cs="Times New Roman"/>
          <w:sz w:val="20"/>
          <w:szCs w:val="20"/>
        </w:rPr>
        <w:t xml:space="preserve"> &gt; 0 and β</w:t>
      </w:r>
      <w:r w:rsidR="00B873BB" w:rsidRPr="008B393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B873BB" w:rsidRPr="008B3934">
        <w:rPr>
          <w:rFonts w:ascii="Times New Roman" w:hAnsi="Times New Roman" w:cs="Times New Roman"/>
          <w:sz w:val="20"/>
          <w:szCs w:val="20"/>
        </w:rPr>
        <w:t xml:space="preserve"> &lt; 0.</w:t>
      </w:r>
      <w:r w:rsidR="00564D5F" w:rsidRPr="008B3934">
        <w:rPr>
          <w:rFonts w:ascii="Times New Roman" w:hAnsi="Times New Roman" w:cs="Times New Roman"/>
          <w:sz w:val="20"/>
          <w:szCs w:val="20"/>
        </w:rPr>
        <w:t xml:space="preserve"> A positive relationship is hypothesized between income and imports, while an inverse relationship is expected between price and imports.</w:t>
      </w:r>
      <w:r w:rsidR="00D530E7" w:rsidRPr="008B3934">
        <w:rPr>
          <w:rFonts w:ascii="Times New Roman" w:hAnsi="Times New Roman" w:cs="Times New Roman"/>
          <w:sz w:val="20"/>
          <w:szCs w:val="20"/>
        </w:rPr>
        <w:t xml:space="preserve"> However, </w:t>
      </w:r>
      <w:r w:rsidR="00D449CB" w:rsidRPr="008B3934">
        <w:rPr>
          <w:rFonts w:ascii="Times New Roman" w:hAnsi="Times New Roman" w:cs="Times New Roman"/>
          <w:sz w:val="20"/>
          <w:szCs w:val="20"/>
        </w:rPr>
        <w:t>the results of correlation matrix in Table 1 show</w:t>
      </w:r>
      <w:r w:rsidR="00D530E7" w:rsidRPr="008B3934">
        <w:rPr>
          <w:rFonts w:ascii="Times New Roman" w:hAnsi="Times New Roman" w:cs="Times New Roman"/>
          <w:sz w:val="20"/>
          <w:szCs w:val="20"/>
        </w:rPr>
        <w:t xml:space="preserve"> that that the variables are linearly correlated between each other</w:t>
      </w:r>
      <w:r w:rsidR="00D449CB" w:rsidRPr="008B3934">
        <w:rPr>
          <w:rFonts w:ascii="Times New Roman" w:hAnsi="Times New Roman" w:cs="Times New Roman"/>
          <w:sz w:val="20"/>
          <w:szCs w:val="20"/>
        </w:rPr>
        <w:t xml:space="preserve">. This implies </w:t>
      </w:r>
      <w:r w:rsidR="009E7A14" w:rsidRPr="008B3934">
        <w:rPr>
          <w:rFonts w:ascii="Times New Roman" w:hAnsi="Times New Roman" w:cs="Times New Roman"/>
          <w:sz w:val="20"/>
          <w:szCs w:val="20"/>
        </w:rPr>
        <w:t xml:space="preserve">the appropriate estimation of import demand function in Jordan. </w:t>
      </w:r>
      <w:r w:rsidR="00D530E7" w:rsidRPr="008B3934">
        <w:rPr>
          <w:rFonts w:ascii="Times New Roman" w:hAnsi="Times New Roman" w:cs="Times New Roman"/>
          <w:sz w:val="20"/>
          <w:szCs w:val="20"/>
        </w:rPr>
        <w:t xml:space="preserve"> </w:t>
      </w:r>
      <w:r w:rsidR="00564D5F" w:rsidRPr="008B39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3C45" w:rsidRDefault="0088566A" w:rsidP="004C15A7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second </w:t>
      </w:r>
      <w:r w:rsidR="001A2BFA" w:rsidRPr="008B3934">
        <w:rPr>
          <w:rFonts w:ascii="Times New Roman" w:hAnsi="Times New Roman" w:cs="Times New Roman"/>
          <w:sz w:val="20"/>
          <w:szCs w:val="20"/>
        </w:rPr>
        <w:t xml:space="preserve">step is to determine </w:t>
      </w:r>
      <w:r w:rsidR="00010DF4" w:rsidRPr="008B3934">
        <w:rPr>
          <w:rFonts w:ascii="Times New Roman" w:hAnsi="Times New Roman" w:cs="Times New Roman"/>
          <w:sz w:val="20"/>
          <w:szCs w:val="20"/>
        </w:rPr>
        <w:t xml:space="preserve">the order of integration, </w:t>
      </w:r>
      <w:proofErr w:type="gramStart"/>
      <w:r w:rsidR="001A2BFA" w:rsidRPr="008B3934">
        <w:rPr>
          <w:rFonts w:ascii="Times New Roman" w:hAnsi="Times New Roman" w:cs="Times New Roman"/>
          <w:sz w:val="20"/>
          <w:szCs w:val="20"/>
        </w:rPr>
        <w:t>I(</w:t>
      </w:r>
      <w:proofErr w:type="gramEnd"/>
      <w:r w:rsidR="001A2BFA" w:rsidRPr="008B3934">
        <w:rPr>
          <w:rFonts w:ascii="Times New Roman" w:hAnsi="Times New Roman" w:cs="Times New Roman"/>
          <w:sz w:val="20"/>
          <w:szCs w:val="20"/>
        </w:rPr>
        <w:t>d)</w:t>
      </w:r>
      <w:r w:rsidR="00010DF4" w:rsidRPr="008B3934">
        <w:rPr>
          <w:rFonts w:ascii="Times New Roman" w:hAnsi="Times New Roman" w:cs="Times New Roman"/>
          <w:sz w:val="20"/>
          <w:szCs w:val="20"/>
        </w:rPr>
        <w:t>,</w:t>
      </w:r>
      <w:r w:rsidR="001A2BFA" w:rsidRPr="008B3934">
        <w:rPr>
          <w:rFonts w:ascii="Times New Roman" w:hAnsi="Times New Roman" w:cs="Times New Roman"/>
          <w:sz w:val="20"/>
          <w:szCs w:val="20"/>
        </w:rPr>
        <w:t xml:space="preserve"> for t</w:t>
      </w:r>
      <w:r w:rsidR="00120AC8" w:rsidRPr="008B3934">
        <w:rPr>
          <w:rFonts w:ascii="Times New Roman" w:hAnsi="Times New Roman" w:cs="Times New Roman"/>
          <w:sz w:val="20"/>
          <w:szCs w:val="20"/>
        </w:rPr>
        <w:t xml:space="preserve">he variables before applying </w:t>
      </w:r>
      <w:r w:rsidR="001A2BFA" w:rsidRPr="008B3934">
        <w:rPr>
          <w:rFonts w:ascii="Times New Roman" w:hAnsi="Times New Roman" w:cs="Times New Roman"/>
          <w:sz w:val="20"/>
          <w:szCs w:val="20"/>
        </w:rPr>
        <w:t>co-integration analysis, l</w:t>
      </w:r>
      <w:r w:rsidR="009B287F" w:rsidRPr="008B3934">
        <w:rPr>
          <w:rFonts w:ascii="Times New Roman" w:hAnsi="Times New Roman" w:cs="Times New Roman"/>
          <w:sz w:val="20"/>
          <w:szCs w:val="20"/>
        </w:rPr>
        <w:t xml:space="preserve">ike </w:t>
      </w:r>
      <w:r w:rsidR="001A2BFA" w:rsidRPr="008B3934">
        <w:rPr>
          <w:rFonts w:ascii="Times New Roman" w:hAnsi="Times New Roman" w:cs="Times New Roman"/>
          <w:sz w:val="20"/>
          <w:szCs w:val="20"/>
        </w:rPr>
        <w:t>bounds F-statistics test. The application of bounds F-</w:t>
      </w:r>
      <w:r w:rsidR="00120AC8" w:rsidRPr="00F82B5F">
        <w:rPr>
          <w:rFonts w:ascii="Times New Roman" w:hAnsi="Times New Roman" w:cs="Times New Roman"/>
          <w:sz w:val="20"/>
          <w:szCs w:val="20"/>
        </w:rPr>
        <w:t xml:space="preserve">statistics test is based on </w:t>
      </w:r>
      <w:r w:rsidR="001A2BFA" w:rsidRPr="00F82B5F">
        <w:rPr>
          <w:rFonts w:ascii="Times New Roman" w:hAnsi="Times New Roman" w:cs="Times New Roman"/>
          <w:sz w:val="20"/>
          <w:szCs w:val="20"/>
        </w:rPr>
        <w:t>assumption that none of variables are integrated at level more than one</w:t>
      </w:r>
      <w:r w:rsidR="00485503" w:rsidRPr="00F82B5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236E26" w:rsidRPr="00F82B5F">
        <w:rPr>
          <w:rFonts w:ascii="Times New Roman" w:hAnsi="Times New Roman" w:cs="Times New Roman"/>
          <w:sz w:val="20"/>
          <w:szCs w:val="20"/>
        </w:rPr>
        <w:t>Pesaran</w:t>
      </w:r>
      <w:proofErr w:type="spellEnd"/>
      <w:r w:rsidR="00236E26" w:rsidRPr="00F82B5F">
        <w:rPr>
          <w:rFonts w:ascii="Times New Roman" w:hAnsi="Times New Roman" w:cs="Times New Roman"/>
          <w:sz w:val="20"/>
          <w:szCs w:val="20"/>
        </w:rPr>
        <w:t xml:space="preserve"> et al., 2001</w:t>
      </w:r>
      <w:r w:rsidR="00485503" w:rsidRPr="00F82B5F">
        <w:rPr>
          <w:rFonts w:ascii="Times New Roman" w:hAnsi="Times New Roman" w:cs="Times New Roman"/>
          <w:sz w:val="20"/>
          <w:szCs w:val="20"/>
        </w:rPr>
        <w:t>)</w:t>
      </w:r>
      <w:r w:rsidR="001A2BFA" w:rsidRPr="00F82B5F">
        <w:rPr>
          <w:rFonts w:ascii="Times New Roman" w:hAnsi="Times New Roman" w:cs="Times New Roman"/>
          <w:sz w:val="20"/>
          <w:szCs w:val="20"/>
        </w:rPr>
        <w:t xml:space="preserve">. The </w:t>
      </w:r>
      <w:r w:rsidR="00236E26" w:rsidRPr="00F82B5F">
        <w:rPr>
          <w:rFonts w:ascii="Times New Roman" w:hAnsi="Times New Roman" w:cs="Times New Roman"/>
          <w:sz w:val="20"/>
          <w:szCs w:val="20"/>
        </w:rPr>
        <w:t xml:space="preserve">Phillip and </w:t>
      </w:r>
      <w:proofErr w:type="spellStart"/>
      <w:r w:rsidR="001A2BFA" w:rsidRPr="00F82B5F">
        <w:rPr>
          <w:rFonts w:ascii="Times New Roman" w:hAnsi="Times New Roman" w:cs="Times New Roman"/>
          <w:sz w:val="20"/>
          <w:szCs w:val="20"/>
        </w:rPr>
        <w:t>Perron</w:t>
      </w:r>
      <w:proofErr w:type="spellEnd"/>
      <w:r w:rsidR="001A2BFA" w:rsidRPr="00F82B5F">
        <w:rPr>
          <w:rFonts w:ascii="Times New Roman" w:hAnsi="Times New Roman" w:cs="Times New Roman"/>
          <w:sz w:val="20"/>
          <w:szCs w:val="20"/>
        </w:rPr>
        <w:t xml:space="preserve"> (1988) unit root test is designed to be robust for the presence of autocorrelation.</w:t>
      </w:r>
      <w:r w:rsidR="00010DF4" w:rsidRPr="00F82B5F">
        <w:rPr>
          <w:rFonts w:ascii="Times New Roman" w:hAnsi="Times New Roman" w:cs="Times New Roman"/>
          <w:sz w:val="20"/>
          <w:szCs w:val="20"/>
        </w:rPr>
        <w:t xml:space="preserve"> The results of </w:t>
      </w:r>
      <w:r w:rsidR="00236E26" w:rsidRPr="00F82B5F">
        <w:rPr>
          <w:rFonts w:ascii="Times New Roman" w:hAnsi="Times New Roman" w:cs="Times New Roman"/>
          <w:sz w:val="20"/>
          <w:szCs w:val="20"/>
        </w:rPr>
        <w:t xml:space="preserve">Phillip and </w:t>
      </w:r>
      <w:proofErr w:type="spellStart"/>
      <w:r w:rsidR="00236E26" w:rsidRPr="00F82B5F">
        <w:rPr>
          <w:rFonts w:ascii="Times New Roman" w:hAnsi="Times New Roman" w:cs="Times New Roman"/>
          <w:sz w:val="20"/>
          <w:szCs w:val="20"/>
        </w:rPr>
        <w:t>Perron</w:t>
      </w:r>
      <w:proofErr w:type="spellEnd"/>
      <w:r w:rsidR="00236E26" w:rsidRPr="00F82B5F">
        <w:rPr>
          <w:rFonts w:ascii="Times New Roman" w:hAnsi="Times New Roman" w:cs="Times New Roman"/>
          <w:sz w:val="20"/>
          <w:szCs w:val="20"/>
        </w:rPr>
        <w:t xml:space="preserve"> (1988) </w:t>
      </w:r>
      <w:r w:rsidR="00010DF4" w:rsidRPr="00F82B5F">
        <w:rPr>
          <w:rFonts w:ascii="Times New Roman" w:hAnsi="Times New Roman" w:cs="Times New Roman"/>
          <w:sz w:val="20"/>
          <w:szCs w:val="20"/>
        </w:rPr>
        <w:t xml:space="preserve">test </w:t>
      </w:r>
      <w:r w:rsidR="005B01EB" w:rsidRPr="00F82B5F">
        <w:rPr>
          <w:rFonts w:ascii="Times New Roman" w:hAnsi="Times New Roman" w:cs="Times New Roman"/>
          <w:sz w:val="20"/>
          <w:szCs w:val="20"/>
        </w:rPr>
        <w:t xml:space="preserve">in Table 2 show that all variables are stationary at </w:t>
      </w:r>
      <w:proofErr w:type="gramStart"/>
      <w:r w:rsidR="005B01EB" w:rsidRPr="00F82B5F">
        <w:rPr>
          <w:rFonts w:ascii="Times New Roman" w:hAnsi="Times New Roman" w:cs="Times New Roman"/>
          <w:sz w:val="20"/>
          <w:szCs w:val="20"/>
        </w:rPr>
        <w:t>I(</w:t>
      </w:r>
      <w:proofErr w:type="gramEnd"/>
      <w:r w:rsidR="005B01EB" w:rsidRPr="00F82B5F">
        <w:rPr>
          <w:rFonts w:ascii="Times New Roman" w:hAnsi="Times New Roman" w:cs="Times New Roman"/>
          <w:sz w:val="20"/>
          <w:szCs w:val="20"/>
        </w:rPr>
        <w:t>1)</w:t>
      </w:r>
      <w:r w:rsidR="009B287F" w:rsidRPr="00F82B5F">
        <w:rPr>
          <w:rFonts w:ascii="Times New Roman" w:hAnsi="Times New Roman" w:cs="Times New Roman"/>
          <w:sz w:val="20"/>
          <w:szCs w:val="20"/>
        </w:rPr>
        <w:t>. Thus, the current study employs bounds F-statistics test under the ARDL approach framework</w:t>
      </w:r>
      <w:r w:rsidR="0068422A" w:rsidRPr="00F82B5F">
        <w:rPr>
          <w:rFonts w:ascii="Times New Roman" w:hAnsi="Times New Roman" w:cs="Times New Roman"/>
          <w:sz w:val="20"/>
          <w:szCs w:val="20"/>
        </w:rPr>
        <w:t xml:space="preserve"> (s</w:t>
      </w:r>
      <w:r w:rsidR="00060D48" w:rsidRPr="00F82B5F">
        <w:rPr>
          <w:rFonts w:ascii="Times New Roman" w:hAnsi="Times New Roman" w:cs="Times New Roman"/>
          <w:sz w:val="20"/>
          <w:szCs w:val="20"/>
        </w:rPr>
        <w:t>ee Eq. (3))</w:t>
      </w:r>
      <w:r w:rsidR="009B287F" w:rsidRPr="00F82B5F">
        <w:rPr>
          <w:rFonts w:ascii="Times New Roman" w:hAnsi="Times New Roman" w:cs="Times New Roman"/>
          <w:sz w:val="20"/>
          <w:szCs w:val="20"/>
        </w:rPr>
        <w:t>. This approach</w:t>
      </w:r>
      <w:r w:rsidR="00120AC8" w:rsidRPr="00F82B5F">
        <w:rPr>
          <w:rFonts w:ascii="Times New Roman" w:hAnsi="Times New Roman" w:cs="Times New Roman"/>
          <w:sz w:val="20"/>
          <w:szCs w:val="20"/>
        </w:rPr>
        <w:t xml:space="preserve"> has a major advantage over </w:t>
      </w:r>
      <w:r w:rsidR="009B287F" w:rsidRPr="00F82B5F">
        <w:rPr>
          <w:rFonts w:ascii="Times New Roman" w:hAnsi="Times New Roman" w:cs="Times New Roman"/>
          <w:sz w:val="20"/>
          <w:szCs w:val="20"/>
        </w:rPr>
        <w:t xml:space="preserve">conventional co-integration tests </w:t>
      </w:r>
      <w:r w:rsidR="00626996" w:rsidRPr="00F82B5F">
        <w:rPr>
          <w:rFonts w:ascii="Times New Roman" w:hAnsi="Times New Roman" w:cs="Times New Roman"/>
          <w:sz w:val="20"/>
          <w:szCs w:val="20"/>
        </w:rPr>
        <w:t xml:space="preserve">(i.e., Engle and Granger (1987) and Johansen and </w:t>
      </w:r>
      <w:proofErr w:type="spellStart"/>
      <w:r w:rsidR="00626996" w:rsidRPr="00F82B5F">
        <w:rPr>
          <w:rFonts w:ascii="Times New Roman" w:hAnsi="Times New Roman" w:cs="Times New Roman"/>
          <w:sz w:val="20"/>
          <w:szCs w:val="20"/>
        </w:rPr>
        <w:t>Juselius</w:t>
      </w:r>
      <w:proofErr w:type="spellEnd"/>
      <w:r w:rsidR="00626996" w:rsidRPr="00F82B5F">
        <w:rPr>
          <w:rFonts w:ascii="Times New Roman" w:hAnsi="Times New Roman" w:cs="Times New Roman"/>
          <w:sz w:val="20"/>
          <w:szCs w:val="20"/>
        </w:rPr>
        <w:t xml:space="preserve"> (1990)). </w:t>
      </w:r>
      <w:r w:rsidR="00E6569E" w:rsidRPr="00F82B5F">
        <w:rPr>
          <w:rFonts w:ascii="Times New Roman" w:hAnsi="Times New Roman" w:cs="Times New Roman"/>
          <w:sz w:val="20"/>
          <w:szCs w:val="20"/>
        </w:rPr>
        <w:t>That is, it can be applied irrespective of whether the series variables are integrated of order I(1), I(0), or mixed</w:t>
      </w:r>
      <w:r w:rsidR="00206020" w:rsidRPr="00F82B5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F43DFF" w:rsidRPr="00F82B5F">
        <w:rPr>
          <w:rFonts w:ascii="Times New Roman" w:eastAsiaTheme="minorEastAsia" w:hAnsi="Times New Roman" w:cs="Times New Roman"/>
          <w:sz w:val="20"/>
          <w:szCs w:val="20"/>
          <w:lang w:eastAsia="en-MY"/>
        </w:rPr>
        <w:t>Almsafir</w:t>
      </w:r>
      <w:proofErr w:type="spellEnd"/>
      <w:r w:rsidR="001A10A0" w:rsidRPr="00F82B5F">
        <w:rPr>
          <w:rFonts w:ascii="Times New Roman" w:eastAsiaTheme="minorEastAsia" w:hAnsi="Times New Roman" w:cs="Times New Roman"/>
          <w:sz w:val="20"/>
          <w:szCs w:val="20"/>
          <w:lang w:eastAsia="en-MY"/>
        </w:rPr>
        <w:t xml:space="preserve"> et al., 2011</w:t>
      </w:r>
      <w:r w:rsidR="00F43DFF" w:rsidRPr="00F82B5F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206020" w:rsidRPr="00F82B5F">
        <w:rPr>
          <w:rFonts w:ascii="Times New Roman" w:hAnsi="Times New Roman" w:cs="Times New Roman"/>
          <w:sz w:val="20"/>
          <w:szCs w:val="20"/>
        </w:rPr>
        <w:t>Bekhet</w:t>
      </w:r>
      <w:proofErr w:type="spellEnd"/>
      <w:r w:rsidR="00206020" w:rsidRPr="00F82B5F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="00206020" w:rsidRPr="00F82B5F">
        <w:rPr>
          <w:rFonts w:ascii="Times New Roman" w:hAnsi="Times New Roman" w:cs="Times New Roman"/>
          <w:sz w:val="20"/>
          <w:szCs w:val="20"/>
        </w:rPr>
        <w:t>Mugableh</w:t>
      </w:r>
      <w:proofErr w:type="spellEnd"/>
      <w:r w:rsidR="00206020" w:rsidRPr="00F82B5F">
        <w:rPr>
          <w:rFonts w:ascii="Times New Roman" w:hAnsi="Times New Roman" w:cs="Times New Roman"/>
          <w:sz w:val="20"/>
          <w:szCs w:val="20"/>
        </w:rPr>
        <w:t xml:space="preserve">, 2012; </w:t>
      </w:r>
      <w:proofErr w:type="spellStart"/>
      <w:r w:rsidR="000E4DC8" w:rsidRPr="00F82B5F">
        <w:rPr>
          <w:rFonts w:ascii="Times New Roman" w:hAnsi="Times New Roman" w:cs="Times New Roman"/>
          <w:sz w:val="20"/>
          <w:szCs w:val="20"/>
        </w:rPr>
        <w:t>Bekhet</w:t>
      </w:r>
      <w:proofErr w:type="spellEnd"/>
      <w:r w:rsidR="000E4DC8" w:rsidRPr="00F82B5F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="000E4DC8" w:rsidRPr="00F82B5F">
        <w:rPr>
          <w:rFonts w:ascii="Times New Roman" w:hAnsi="Times New Roman" w:cs="Times New Roman"/>
          <w:sz w:val="20"/>
          <w:szCs w:val="20"/>
        </w:rPr>
        <w:t>Mugableh</w:t>
      </w:r>
      <w:proofErr w:type="spellEnd"/>
      <w:r w:rsidR="000E4DC8" w:rsidRPr="00F82B5F">
        <w:rPr>
          <w:rFonts w:ascii="Times New Roman" w:hAnsi="Times New Roman" w:cs="Times New Roman"/>
          <w:sz w:val="20"/>
          <w:szCs w:val="20"/>
        </w:rPr>
        <w:t xml:space="preserve">, 2013; </w:t>
      </w:r>
      <w:proofErr w:type="spellStart"/>
      <w:r w:rsidR="00DC42EB" w:rsidRPr="00F82B5F">
        <w:rPr>
          <w:rFonts w:ascii="Times New Roman" w:hAnsi="Times New Roman" w:cs="Times New Roman"/>
          <w:sz w:val="20"/>
          <w:szCs w:val="20"/>
        </w:rPr>
        <w:t>Mugableh</w:t>
      </w:r>
      <w:proofErr w:type="spellEnd"/>
      <w:r w:rsidR="00DC42EB" w:rsidRPr="00F82B5F">
        <w:rPr>
          <w:rFonts w:ascii="Times New Roman" w:hAnsi="Times New Roman" w:cs="Times New Roman"/>
          <w:sz w:val="20"/>
          <w:szCs w:val="20"/>
        </w:rPr>
        <w:t>, 2015</w:t>
      </w:r>
      <w:r w:rsidR="004C15A7">
        <w:rPr>
          <w:rFonts w:ascii="Times New Roman" w:hAnsi="Times New Roman" w:cs="Times New Roman"/>
          <w:sz w:val="20"/>
          <w:szCs w:val="20"/>
        </w:rPr>
        <w:t>b</w:t>
      </w:r>
      <w:r w:rsidR="00DC42EB" w:rsidRPr="00F82B5F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DC42EB" w:rsidRPr="00F82B5F">
        <w:rPr>
          <w:rFonts w:ascii="Times New Roman" w:hAnsi="Times New Roman" w:cs="Times New Roman"/>
          <w:sz w:val="20"/>
          <w:szCs w:val="20"/>
        </w:rPr>
        <w:t>Mugableh</w:t>
      </w:r>
      <w:proofErr w:type="spellEnd"/>
      <w:r w:rsidR="00DC42EB" w:rsidRPr="00F82B5F">
        <w:rPr>
          <w:rFonts w:ascii="Times New Roman" w:hAnsi="Times New Roman" w:cs="Times New Roman"/>
          <w:sz w:val="20"/>
          <w:szCs w:val="20"/>
        </w:rPr>
        <w:t>, 2015</w:t>
      </w:r>
      <w:r w:rsidR="004C15A7">
        <w:rPr>
          <w:rFonts w:ascii="Times New Roman" w:hAnsi="Times New Roman" w:cs="Times New Roman"/>
          <w:sz w:val="20"/>
          <w:szCs w:val="20"/>
        </w:rPr>
        <w:t>c</w:t>
      </w:r>
      <w:r w:rsidR="00DC42EB" w:rsidRPr="00F82B5F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206020" w:rsidRPr="00F82B5F">
        <w:rPr>
          <w:rFonts w:ascii="Times New Roman" w:hAnsi="Times New Roman" w:cs="Times New Roman"/>
          <w:sz w:val="20"/>
          <w:szCs w:val="20"/>
        </w:rPr>
        <w:t>Mugableh</w:t>
      </w:r>
      <w:proofErr w:type="spellEnd"/>
      <w:r w:rsidR="00206020" w:rsidRPr="00F82B5F">
        <w:rPr>
          <w:rFonts w:ascii="Times New Roman" w:hAnsi="Times New Roman" w:cs="Times New Roman"/>
          <w:sz w:val="20"/>
          <w:szCs w:val="20"/>
        </w:rPr>
        <w:t>, 2013)</w:t>
      </w:r>
      <w:r w:rsidR="00E6569E" w:rsidRPr="00F82B5F">
        <w:rPr>
          <w:rFonts w:ascii="Times New Roman" w:hAnsi="Times New Roman" w:cs="Times New Roman"/>
          <w:sz w:val="20"/>
          <w:szCs w:val="20"/>
        </w:rPr>
        <w:t>. In fact</w:t>
      </w:r>
      <w:r w:rsidR="00010DF4" w:rsidRPr="00F82B5F">
        <w:rPr>
          <w:rFonts w:ascii="Times New Roman" w:hAnsi="Times New Roman" w:cs="Times New Roman"/>
          <w:sz w:val="20"/>
          <w:szCs w:val="20"/>
        </w:rPr>
        <w:t xml:space="preserve">, </w:t>
      </w:r>
      <w:r w:rsidR="00357802" w:rsidRPr="00F82B5F">
        <w:rPr>
          <w:rFonts w:ascii="Times New Roman" w:hAnsi="Times New Roman" w:cs="Times New Roman"/>
          <w:sz w:val="20"/>
          <w:szCs w:val="20"/>
        </w:rPr>
        <w:t xml:space="preserve">if </w:t>
      </w:r>
      <w:r w:rsidR="00010DF4" w:rsidRPr="00F82B5F">
        <w:rPr>
          <w:rFonts w:ascii="Times New Roman" w:hAnsi="Times New Roman" w:cs="Times New Roman"/>
          <w:sz w:val="20"/>
          <w:szCs w:val="20"/>
        </w:rPr>
        <w:t xml:space="preserve">the </w:t>
      </w:r>
      <w:r w:rsidR="00357802" w:rsidRPr="00F82B5F">
        <w:rPr>
          <w:rFonts w:ascii="Times New Roman" w:hAnsi="Times New Roman" w:cs="Times New Roman"/>
          <w:sz w:val="20"/>
          <w:szCs w:val="20"/>
        </w:rPr>
        <w:t xml:space="preserve">variables are </w:t>
      </w:r>
      <w:r w:rsidR="00010DF4" w:rsidRPr="00F82B5F">
        <w:rPr>
          <w:rFonts w:ascii="Times New Roman" w:hAnsi="Times New Roman" w:cs="Times New Roman"/>
          <w:sz w:val="20"/>
          <w:szCs w:val="20"/>
        </w:rPr>
        <w:t xml:space="preserve">stationary at </w:t>
      </w:r>
      <w:proofErr w:type="gramStart"/>
      <w:r w:rsidR="00010DF4" w:rsidRPr="00F82B5F">
        <w:rPr>
          <w:rFonts w:ascii="Times New Roman" w:hAnsi="Times New Roman" w:cs="Times New Roman"/>
          <w:sz w:val="20"/>
          <w:szCs w:val="20"/>
        </w:rPr>
        <w:t>I(</w:t>
      </w:r>
      <w:proofErr w:type="gramEnd"/>
      <w:r w:rsidR="00010DF4" w:rsidRPr="00F82B5F">
        <w:rPr>
          <w:rFonts w:ascii="Times New Roman" w:hAnsi="Times New Roman" w:cs="Times New Roman"/>
          <w:sz w:val="20"/>
          <w:szCs w:val="20"/>
        </w:rPr>
        <w:t xml:space="preserve">0), the regression analysis might yield biased results </w:t>
      </w:r>
      <w:r w:rsidR="00497285" w:rsidRPr="00F82B5F">
        <w:rPr>
          <w:rFonts w:ascii="Times New Roman" w:hAnsi="Times New Roman" w:cs="Times New Roman"/>
          <w:sz w:val="20"/>
          <w:szCs w:val="20"/>
        </w:rPr>
        <w:t xml:space="preserve">when using </w:t>
      </w:r>
      <w:r w:rsidR="00793629" w:rsidRPr="00F82B5F">
        <w:rPr>
          <w:rFonts w:ascii="Times New Roman" w:hAnsi="Times New Roman" w:cs="Times New Roman"/>
          <w:sz w:val="20"/>
          <w:szCs w:val="20"/>
        </w:rPr>
        <w:t xml:space="preserve">Engle and Granger (1987) and Johansen and </w:t>
      </w:r>
      <w:proofErr w:type="spellStart"/>
      <w:r w:rsidR="00793629" w:rsidRPr="00F82B5F">
        <w:rPr>
          <w:rFonts w:ascii="Times New Roman" w:hAnsi="Times New Roman" w:cs="Times New Roman"/>
          <w:sz w:val="20"/>
          <w:szCs w:val="20"/>
        </w:rPr>
        <w:t>Juselius</w:t>
      </w:r>
      <w:proofErr w:type="spellEnd"/>
      <w:r w:rsidR="00793629" w:rsidRPr="00F82B5F">
        <w:rPr>
          <w:rFonts w:ascii="Times New Roman" w:hAnsi="Times New Roman" w:cs="Times New Roman"/>
          <w:sz w:val="20"/>
          <w:szCs w:val="20"/>
        </w:rPr>
        <w:t xml:space="preserve"> (1990) co-integration tests. </w:t>
      </w:r>
      <w:r w:rsidR="00497285" w:rsidRPr="00F82B5F">
        <w:rPr>
          <w:rFonts w:ascii="Times New Roman" w:hAnsi="Times New Roman" w:cs="Times New Roman"/>
          <w:sz w:val="20"/>
          <w:szCs w:val="20"/>
        </w:rPr>
        <w:t>Thes</w:t>
      </w:r>
      <w:r w:rsidR="00D530E7" w:rsidRPr="00F82B5F">
        <w:rPr>
          <w:rFonts w:ascii="Times New Roman" w:hAnsi="Times New Roman" w:cs="Times New Roman"/>
          <w:sz w:val="20"/>
          <w:szCs w:val="20"/>
        </w:rPr>
        <w:t xml:space="preserve">e tests are applicable when variables are stationary at </w:t>
      </w:r>
      <w:r w:rsidR="00497285" w:rsidRPr="00F82B5F">
        <w:rPr>
          <w:rFonts w:ascii="Times New Roman" w:hAnsi="Times New Roman" w:cs="Times New Roman"/>
          <w:sz w:val="20"/>
          <w:szCs w:val="20"/>
        </w:rPr>
        <w:t>same order</w:t>
      </w:r>
      <w:r w:rsidR="00F056A1" w:rsidRPr="00F82B5F">
        <w:rPr>
          <w:rFonts w:ascii="Times New Roman" w:hAnsi="Times New Roman" w:cs="Times New Roman"/>
          <w:sz w:val="20"/>
          <w:szCs w:val="20"/>
        </w:rPr>
        <w:t xml:space="preserve"> of integration (i.e., </w:t>
      </w:r>
      <w:proofErr w:type="gramStart"/>
      <w:r w:rsidR="00F056A1" w:rsidRPr="00F82B5F">
        <w:rPr>
          <w:rFonts w:ascii="Times New Roman" w:hAnsi="Times New Roman" w:cs="Times New Roman"/>
          <w:sz w:val="20"/>
          <w:szCs w:val="20"/>
        </w:rPr>
        <w:t>I(</w:t>
      </w:r>
      <w:proofErr w:type="gramEnd"/>
      <w:r w:rsidR="00F056A1" w:rsidRPr="00F82B5F">
        <w:rPr>
          <w:rFonts w:ascii="Times New Roman" w:hAnsi="Times New Roman" w:cs="Times New Roman"/>
          <w:sz w:val="20"/>
          <w:szCs w:val="20"/>
        </w:rPr>
        <w:t xml:space="preserve">1) or </w:t>
      </w:r>
      <w:r w:rsidR="00497285" w:rsidRPr="00F82B5F">
        <w:rPr>
          <w:rFonts w:ascii="Times New Roman" w:hAnsi="Times New Roman" w:cs="Times New Roman"/>
          <w:sz w:val="20"/>
          <w:szCs w:val="20"/>
        </w:rPr>
        <w:t>I(2)).</w:t>
      </w:r>
      <w:r w:rsidR="005B01EB" w:rsidRPr="00F82B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6A19" w:rsidRDefault="007C4970" w:rsidP="0099761C">
      <w:pPr>
        <w:spacing w:after="80" w:line="240" w:lineRule="exact"/>
        <w:rPr>
          <w:rFonts w:ascii="Times New Roman" w:hAnsi="Times New Roman" w:cs="Times New Roman"/>
          <w:sz w:val="20"/>
          <w:szCs w:val="20"/>
        </w:rPr>
      </w:pPr>
      <w:r w:rsidRPr="007C4970">
        <w:rPr>
          <w:rFonts w:ascii="Times New Roman" w:hAnsi="Times New Roman" w:cs="Times New Roman"/>
          <w:sz w:val="20"/>
          <w:szCs w:val="20"/>
        </w:rPr>
        <w:t>∆</w:t>
      </w:r>
      <w:proofErr w:type="spellStart"/>
      <w:r w:rsidRPr="007C4970">
        <w:rPr>
          <w:rFonts w:ascii="Times New Roman" w:hAnsi="Times New Roman" w:cs="Times New Roman"/>
          <w:sz w:val="20"/>
          <w:szCs w:val="20"/>
        </w:rPr>
        <w:t>LogM</w:t>
      </w:r>
      <w:r w:rsidRPr="007C4970">
        <w:rPr>
          <w:rFonts w:ascii="Times New Roman" w:hAnsi="Times New Roman" w:cs="Times New Roman"/>
          <w:sz w:val="20"/>
          <w:szCs w:val="20"/>
          <w:vertAlign w:val="subscript"/>
        </w:rPr>
        <w:t>t</w:t>
      </w:r>
      <w:proofErr w:type="spellEnd"/>
      <w:r w:rsidRPr="007C4970">
        <w:rPr>
          <w:rFonts w:ascii="Times New Roman" w:hAnsi="Times New Roman" w:cs="Times New Roman"/>
          <w:sz w:val="20"/>
          <w:szCs w:val="20"/>
        </w:rPr>
        <w:t xml:space="preserve"> = α</w:t>
      </w:r>
      <w:r w:rsidRPr="007C4970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Pr="007C4970">
        <w:rPr>
          <w:rFonts w:ascii="Times New Roman" w:hAnsi="Times New Roman" w:cs="Times New Roman"/>
          <w:sz w:val="20"/>
          <w:szCs w:val="20"/>
        </w:rPr>
        <w:t xml:space="preserve"> + α</w:t>
      </w:r>
      <w:r w:rsidRPr="007C4970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7C4970">
        <w:rPr>
          <w:rFonts w:ascii="Times New Roman" w:hAnsi="Times New Roman" w:cs="Times New Roman"/>
          <w:sz w:val="20"/>
          <w:szCs w:val="20"/>
        </w:rPr>
        <w:t>Log M</w:t>
      </w:r>
      <w:r w:rsidRPr="007C4970">
        <w:rPr>
          <w:rFonts w:ascii="Times New Roman" w:hAnsi="Times New Roman" w:cs="Times New Roman"/>
          <w:sz w:val="20"/>
          <w:szCs w:val="20"/>
          <w:vertAlign w:val="subscript"/>
        </w:rPr>
        <w:t>t-1</w:t>
      </w:r>
      <w:r w:rsidRPr="007C4970">
        <w:rPr>
          <w:rFonts w:ascii="Times New Roman" w:hAnsi="Times New Roman" w:cs="Times New Roman"/>
          <w:sz w:val="20"/>
          <w:szCs w:val="20"/>
        </w:rPr>
        <w:t xml:space="preserve"> + α</w:t>
      </w:r>
      <w:r w:rsidRPr="007C497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C4970">
        <w:rPr>
          <w:rFonts w:ascii="Times New Roman" w:hAnsi="Times New Roman" w:cs="Times New Roman"/>
          <w:sz w:val="20"/>
          <w:szCs w:val="20"/>
        </w:rPr>
        <w:t>LogY</w:t>
      </w:r>
      <w:r w:rsidRPr="007C4970">
        <w:rPr>
          <w:rFonts w:ascii="Times New Roman" w:hAnsi="Times New Roman" w:cs="Times New Roman"/>
          <w:sz w:val="20"/>
          <w:szCs w:val="20"/>
          <w:vertAlign w:val="subscript"/>
        </w:rPr>
        <w:t>t-1</w:t>
      </w:r>
      <w:r w:rsidRPr="007C4970">
        <w:rPr>
          <w:rFonts w:ascii="Times New Roman" w:hAnsi="Times New Roman" w:cs="Times New Roman"/>
          <w:sz w:val="20"/>
          <w:szCs w:val="20"/>
        </w:rPr>
        <w:t xml:space="preserve"> + α</w:t>
      </w:r>
      <w:r w:rsidRPr="007C4970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7C4970">
        <w:rPr>
          <w:rFonts w:ascii="Times New Roman" w:hAnsi="Times New Roman" w:cs="Times New Roman"/>
          <w:sz w:val="20"/>
          <w:szCs w:val="20"/>
        </w:rPr>
        <w:t>LogMP</w:t>
      </w:r>
      <w:r w:rsidRPr="007C4970">
        <w:rPr>
          <w:rFonts w:ascii="Times New Roman" w:hAnsi="Times New Roman" w:cs="Times New Roman"/>
          <w:sz w:val="20"/>
          <w:szCs w:val="20"/>
          <w:vertAlign w:val="subscript"/>
        </w:rPr>
        <w:t>t-1</w:t>
      </w:r>
      <w:r>
        <w:rPr>
          <w:rFonts w:ascii="Times New Roman" w:hAnsi="Times New Roman" w:cs="Times New Roman"/>
          <w:sz w:val="20"/>
          <w:szCs w:val="20"/>
        </w:rPr>
        <w:t xml:space="preserve"> + </w:t>
      </w:r>
    </w:p>
    <w:p w:rsidR="007C4970" w:rsidRPr="007C4970" w:rsidRDefault="007C4970" w:rsidP="0099761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C4970">
        <w:rPr>
          <w:rFonts w:ascii="Times New Roman" w:hAnsi="Times New Roman" w:cs="Times New Roman"/>
          <w:position w:val="-22"/>
          <w:sz w:val="20"/>
          <w:szCs w:val="20"/>
        </w:rPr>
        <w:object w:dxaOrig="58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29.25pt" o:ole="">
            <v:imagedata r:id="rId11" o:title=""/>
          </v:shape>
          <o:OLEObject Type="Embed" ProgID="Equation.DSMT4" ShapeID="_x0000_i1025" DrawAspect="Content" ObjectID="_1515699891" r:id="rId12"/>
        </w:objec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(3)</w:t>
      </w:r>
    </w:p>
    <w:p w:rsidR="00485503" w:rsidRPr="008B3934" w:rsidRDefault="001A10A0" w:rsidP="008B3934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B3934">
        <w:rPr>
          <w:rFonts w:ascii="Times New Roman" w:hAnsi="Times New Roman" w:cs="Times New Roman"/>
          <w:sz w:val="20"/>
          <w:szCs w:val="20"/>
        </w:rPr>
        <w:t xml:space="preserve">Where, </w:t>
      </w:r>
      <w:r w:rsidR="00FD0F36" w:rsidRPr="008B3934">
        <w:rPr>
          <w:rFonts w:ascii="Times New Roman" w:hAnsi="Times New Roman" w:cs="Times New Roman"/>
          <w:sz w:val="20"/>
          <w:szCs w:val="20"/>
        </w:rPr>
        <w:t>∆</w:t>
      </w:r>
      <w:r w:rsidR="002D00C7" w:rsidRPr="008B3934">
        <w:rPr>
          <w:rFonts w:ascii="Times New Roman" w:hAnsi="Times New Roman" w:cs="Times New Roman"/>
          <w:sz w:val="20"/>
          <w:szCs w:val="20"/>
        </w:rPr>
        <w:t xml:space="preserve"> signifies </w:t>
      </w:r>
      <w:r w:rsidR="00FD0F36" w:rsidRPr="008B3934">
        <w:rPr>
          <w:rFonts w:ascii="Times New Roman" w:hAnsi="Times New Roman" w:cs="Times New Roman"/>
          <w:sz w:val="20"/>
          <w:szCs w:val="20"/>
        </w:rPr>
        <w:t xml:space="preserve">the first difference operator; </w:t>
      </w:r>
      <w:r w:rsidRPr="008B3934">
        <w:rPr>
          <w:rFonts w:ascii="Times New Roman" w:hAnsi="Times New Roman" w:cs="Times New Roman"/>
          <w:sz w:val="20"/>
          <w:szCs w:val="20"/>
        </w:rPr>
        <w:t>α</w:t>
      </w:r>
      <w:r w:rsidRPr="008B3934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Pr="008B3934">
        <w:rPr>
          <w:rFonts w:ascii="Times New Roman" w:hAnsi="Times New Roman" w:cs="Times New Roman"/>
          <w:sz w:val="20"/>
          <w:szCs w:val="20"/>
        </w:rPr>
        <w:t xml:space="preserve"> is the drift component;</w:t>
      </w:r>
      <w:r w:rsidR="00FD0F36" w:rsidRPr="008B39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D0F36" w:rsidRPr="008B3934">
        <w:rPr>
          <w:rFonts w:ascii="Times New Roman" w:hAnsi="Times New Roman" w:cs="Times New Roman"/>
          <w:sz w:val="20"/>
          <w:szCs w:val="20"/>
        </w:rPr>
        <w:t>ε</w:t>
      </w:r>
      <w:r w:rsidR="00FD0F36" w:rsidRPr="008B3934">
        <w:rPr>
          <w:rFonts w:ascii="Times New Roman" w:hAnsi="Times New Roman" w:cs="Times New Roman"/>
          <w:sz w:val="20"/>
          <w:szCs w:val="20"/>
          <w:vertAlign w:val="subscript"/>
        </w:rPr>
        <w:t>t</w:t>
      </w:r>
      <w:proofErr w:type="spellEnd"/>
      <w:r w:rsidR="00FD0F36" w:rsidRPr="008B3934">
        <w:rPr>
          <w:rFonts w:ascii="Times New Roman" w:hAnsi="Times New Roman" w:cs="Times New Roman"/>
          <w:sz w:val="20"/>
          <w:szCs w:val="20"/>
        </w:rPr>
        <w:t xml:space="preserve"> stands for white noise error term;</w:t>
      </w:r>
      <w:r w:rsidR="002D00C7" w:rsidRPr="008B3934">
        <w:rPr>
          <w:rFonts w:ascii="Times New Roman" w:hAnsi="Times New Roman" w:cs="Times New Roman"/>
          <w:sz w:val="20"/>
          <w:szCs w:val="20"/>
        </w:rPr>
        <w:t xml:space="preserve"> α</w:t>
      </w:r>
      <w:r w:rsidR="002D00C7" w:rsidRPr="008B3934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2D00C7" w:rsidRPr="008B3934">
        <w:rPr>
          <w:rFonts w:ascii="Times New Roman" w:hAnsi="Times New Roman" w:cs="Times New Roman"/>
          <w:sz w:val="20"/>
          <w:szCs w:val="20"/>
        </w:rPr>
        <w:t>, α</w:t>
      </w:r>
      <w:r w:rsidR="002D00C7" w:rsidRPr="008B393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2D00C7" w:rsidRPr="008B3934">
        <w:rPr>
          <w:rFonts w:ascii="Times New Roman" w:hAnsi="Times New Roman" w:cs="Times New Roman"/>
          <w:sz w:val="20"/>
          <w:szCs w:val="20"/>
        </w:rPr>
        <w:t>, and α</w:t>
      </w:r>
      <w:r w:rsidR="002D00C7" w:rsidRPr="008B3934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2D00C7" w:rsidRPr="008B3934">
        <w:rPr>
          <w:rFonts w:ascii="Times New Roman" w:hAnsi="Times New Roman" w:cs="Times New Roman"/>
          <w:sz w:val="20"/>
          <w:szCs w:val="20"/>
        </w:rPr>
        <w:t xml:space="preserve"> represent the long-run coefficients</w:t>
      </w:r>
      <w:r w:rsidR="00AE18B4" w:rsidRPr="008B3934">
        <w:rPr>
          <w:rFonts w:ascii="Times New Roman" w:hAnsi="Times New Roman" w:cs="Times New Roman"/>
          <w:sz w:val="20"/>
          <w:szCs w:val="20"/>
        </w:rPr>
        <w:t xml:space="preserve"> of one lagged variables</w:t>
      </w:r>
      <w:r w:rsidR="002D00C7" w:rsidRPr="008B3934">
        <w:rPr>
          <w:rFonts w:ascii="Times New Roman" w:hAnsi="Times New Roman" w:cs="Times New Roman"/>
          <w:sz w:val="20"/>
          <w:szCs w:val="20"/>
        </w:rPr>
        <w:t>; h is the lag length; α</w:t>
      </w:r>
      <w:r w:rsidR="002D00C7" w:rsidRPr="008B3934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2D00C7" w:rsidRPr="008B3934">
        <w:rPr>
          <w:rFonts w:ascii="Times New Roman" w:hAnsi="Times New Roman" w:cs="Times New Roman"/>
          <w:sz w:val="20"/>
          <w:szCs w:val="20"/>
        </w:rPr>
        <w:t>, α</w:t>
      </w:r>
      <w:r w:rsidR="002D00C7" w:rsidRPr="008B3934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="002D00C7" w:rsidRPr="008B3934">
        <w:rPr>
          <w:rFonts w:ascii="Times New Roman" w:hAnsi="Times New Roman" w:cs="Times New Roman"/>
          <w:sz w:val="20"/>
          <w:szCs w:val="20"/>
        </w:rPr>
        <w:t>, and α</w:t>
      </w:r>
      <w:r w:rsidR="002D00C7" w:rsidRPr="008B3934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="00AE18B4" w:rsidRPr="008B3934">
        <w:rPr>
          <w:rFonts w:ascii="Times New Roman" w:hAnsi="Times New Roman" w:cs="Times New Roman"/>
          <w:sz w:val="20"/>
          <w:szCs w:val="20"/>
        </w:rPr>
        <w:t xml:space="preserve"> are the short-run coefficients of first difference variables.</w:t>
      </w:r>
    </w:p>
    <w:p w:rsidR="00EA03F5" w:rsidRPr="00F82B5F" w:rsidRDefault="0088566A" w:rsidP="006F32AB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Narayan (2005) </w:t>
      </w:r>
      <w:r w:rsidR="00485503" w:rsidRPr="008B3934">
        <w:rPr>
          <w:rFonts w:ascii="Times New Roman" w:hAnsi="Times New Roman" w:cs="Times New Roman"/>
          <w:sz w:val="20"/>
          <w:szCs w:val="20"/>
        </w:rPr>
        <w:t xml:space="preserve">proposed that </w:t>
      </w:r>
      <w:r w:rsidR="00DD0ED6" w:rsidRPr="008B3934">
        <w:rPr>
          <w:rFonts w:ascii="Times New Roman" w:hAnsi="Times New Roman" w:cs="Times New Roman"/>
          <w:sz w:val="20"/>
          <w:szCs w:val="20"/>
        </w:rPr>
        <w:t xml:space="preserve">the bounds test is based on </w:t>
      </w:r>
      <w:r w:rsidR="00485503" w:rsidRPr="008B3934">
        <w:rPr>
          <w:rFonts w:ascii="Times New Roman" w:hAnsi="Times New Roman" w:cs="Times New Roman"/>
          <w:sz w:val="20"/>
          <w:szCs w:val="20"/>
        </w:rPr>
        <w:t xml:space="preserve">Wald or F-statistics for co-integration analysis. </w:t>
      </w:r>
      <w:r w:rsidR="006B0326" w:rsidRPr="008B3934">
        <w:rPr>
          <w:rFonts w:ascii="Times New Roman" w:hAnsi="Times New Roman" w:cs="Times New Roman"/>
          <w:sz w:val="20"/>
          <w:szCs w:val="20"/>
        </w:rPr>
        <w:t>In Eq. (3), t</w:t>
      </w:r>
      <w:r w:rsidR="00485503" w:rsidRPr="008B3934">
        <w:rPr>
          <w:rFonts w:ascii="Times New Roman" w:hAnsi="Times New Roman" w:cs="Times New Roman"/>
          <w:sz w:val="20"/>
          <w:szCs w:val="20"/>
        </w:rPr>
        <w:t>he null Hypothesis (H</w:t>
      </w:r>
      <w:r w:rsidR="00485503" w:rsidRPr="008B3934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="00485503" w:rsidRPr="008B3934">
        <w:rPr>
          <w:rFonts w:ascii="Times New Roman" w:hAnsi="Times New Roman" w:cs="Times New Roman"/>
          <w:sz w:val="20"/>
          <w:szCs w:val="20"/>
        </w:rPr>
        <w:t>) of no co-integration considers the coefficients of one lagged variables (i.e., LogM</w:t>
      </w:r>
      <w:r w:rsidR="00485503" w:rsidRPr="008B3934">
        <w:rPr>
          <w:rFonts w:ascii="Times New Roman" w:hAnsi="Times New Roman" w:cs="Times New Roman"/>
          <w:sz w:val="20"/>
          <w:szCs w:val="20"/>
          <w:vertAlign w:val="subscript"/>
        </w:rPr>
        <w:t>t-1</w:t>
      </w:r>
      <w:r w:rsidR="00485503" w:rsidRPr="008B3934">
        <w:rPr>
          <w:rFonts w:ascii="Times New Roman" w:hAnsi="Times New Roman" w:cs="Times New Roman"/>
          <w:sz w:val="20"/>
          <w:szCs w:val="20"/>
        </w:rPr>
        <w:t>, LogY</w:t>
      </w:r>
      <w:r w:rsidR="00485503" w:rsidRPr="008B3934">
        <w:rPr>
          <w:rFonts w:ascii="Times New Roman" w:hAnsi="Times New Roman" w:cs="Times New Roman"/>
          <w:sz w:val="20"/>
          <w:szCs w:val="20"/>
          <w:vertAlign w:val="subscript"/>
        </w:rPr>
        <w:t>t-1</w:t>
      </w:r>
      <w:r w:rsidR="00485503" w:rsidRPr="008B3934">
        <w:rPr>
          <w:rFonts w:ascii="Times New Roman" w:hAnsi="Times New Roman" w:cs="Times New Roman"/>
          <w:sz w:val="20"/>
          <w:szCs w:val="20"/>
        </w:rPr>
        <w:t>, and LogMP</w:t>
      </w:r>
      <w:r w:rsidR="00485503" w:rsidRPr="008B3934">
        <w:rPr>
          <w:rFonts w:ascii="Times New Roman" w:hAnsi="Times New Roman" w:cs="Times New Roman"/>
          <w:sz w:val="20"/>
          <w:szCs w:val="20"/>
          <w:vertAlign w:val="subscript"/>
        </w:rPr>
        <w:t>t-1</w:t>
      </w:r>
      <w:r w:rsidR="006B0326" w:rsidRPr="008B3934">
        <w:rPr>
          <w:rFonts w:ascii="Times New Roman" w:hAnsi="Times New Roman" w:cs="Times New Roman"/>
          <w:sz w:val="20"/>
          <w:szCs w:val="20"/>
        </w:rPr>
        <w:t xml:space="preserve">). </w:t>
      </w:r>
      <w:r w:rsidR="001120BE" w:rsidRPr="008B3934">
        <w:rPr>
          <w:rFonts w:ascii="Times New Roman" w:hAnsi="Times New Roman" w:cs="Times New Roman"/>
          <w:sz w:val="20"/>
          <w:szCs w:val="20"/>
        </w:rPr>
        <w:t xml:space="preserve">For conventional significance levels of 1%, 5%, and 10%, if the computed F-statistics value is </w:t>
      </w:r>
      <w:r w:rsidR="007F28E9" w:rsidRPr="008B3934">
        <w:rPr>
          <w:rFonts w:ascii="Times New Roman" w:hAnsi="Times New Roman" w:cs="Times New Roman"/>
          <w:sz w:val="20"/>
          <w:szCs w:val="20"/>
        </w:rPr>
        <w:t>lesser</w:t>
      </w:r>
      <w:r w:rsidR="001120BE" w:rsidRPr="008B3934">
        <w:rPr>
          <w:rFonts w:ascii="Times New Roman" w:hAnsi="Times New Roman" w:cs="Times New Roman"/>
          <w:sz w:val="20"/>
          <w:szCs w:val="20"/>
        </w:rPr>
        <w:t xml:space="preserve"> than the F-statistics critical value at level </w:t>
      </w:r>
      <w:proofErr w:type="gramStart"/>
      <w:r w:rsidR="001120BE" w:rsidRPr="008B3934">
        <w:rPr>
          <w:rFonts w:ascii="Times New Roman" w:hAnsi="Times New Roman" w:cs="Times New Roman"/>
          <w:sz w:val="20"/>
          <w:szCs w:val="20"/>
        </w:rPr>
        <w:t>I(</w:t>
      </w:r>
      <w:proofErr w:type="gramEnd"/>
      <w:r w:rsidR="001120BE" w:rsidRPr="008B3934">
        <w:rPr>
          <w:rFonts w:ascii="Times New Roman" w:hAnsi="Times New Roman" w:cs="Times New Roman"/>
          <w:sz w:val="20"/>
          <w:szCs w:val="20"/>
        </w:rPr>
        <w:t xml:space="preserve">0), </w:t>
      </w:r>
      <w:r w:rsidR="00492284" w:rsidRPr="008B3934">
        <w:rPr>
          <w:rFonts w:ascii="Times New Roman" w:hAnsi="Times New Roman" w:cs="Times New Roman"/>
          <w:sz w:val="20"/>
          <w:szCs w:val="20"/>
        </w:rPr>
        <w:t>the H</w:t>
      </w:r>
      <w:r w:rsidR="00492284" w:rsidRPr="008B3934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="00492284" w:rsidRPr="008B3934">
        <w:rPr>
          <w:rFonts w:ascii="Times New Roman" w:hAnsi="Times New Roman" w:cs="Times New Roman"/>
          <w:sz w:val="20"/>
          <w:szCs w:val="20"/>
        </w:rPr>
        <w:t xml:space="preserve"> </w:t>
      </w:r>
      <w:r w:rsidR="00492284" w:rsidRPr="00F82B5F">
        <w:rPr>
          <w:rFonts w:ascii="Times New Roman" w:hAnsi="Times New Roman" w:cs="Times New Roman"/>
          <w:sz w:val="20"/>
          <w:szCs w:val="20"/>
        </w:rPr>
        <w:t xml:space="preserve">would be accepted. In contrast, if the computed F-statistics value is </w:t>
      </w:r>
      <w:r w:rsidR="007F28E9" w:rsidRPr="00F82B5F">
        <w:rPr>
          <w:rFonts w:ascii="Times New Roman" w:hAnsi="Times New Roman" w:cs="Times New Roman"/>
          <w:sz w:val="20"/>
          <w:szCs w:val="20"/>
        </w:rPr>
        <w:t>larger</w:t>
      </w:r>
      <w:r w:rsidR="00492284" w:rsidRPr="00F82B5F">
        <w:rPr>
          <w:rFonts w:ascii="Times New Roman" w:hAnsi="Times New Roman" w:cs="Times New Roman"/>
          <w:sz w:val="20"/>
          <w:szCs w:val="20"/>
        </w:rPr>
        <w:t xml:space="preserve"> than the F-statistics critical value at level </w:t>
      </w:r>
      <w:proofErr w:type="gramStart"/>
      <w:r w:rsidR="00492284" w:rsidRPr="00F82B5F">
        <w:rPr>
          <w:rFonts w:ascii="Times New Roman" w:hAnsi="Times New Roman" w:cs="Times New Roman"/>
          <w:sz w:val="20"/>
          <w:szCs w:val="20"/>
        </w:rPr>
        <w:t>I(</w:t>
      </w:r>
      <w:proofErr w:type="gramEnd"/>
      <w:r w:rsidR="00492284" w:rsidRPr="00F82B5F">
        <w:rPr>
          <w:rFonts w:ascii="Times New Roman" w:hAnsi="Times New Roman" w:cs="Times New Roman"/>
          <w:sz w:val="20"/>
          <w:szCs w:val="20"/>
        </w:rPr>
        <w:t>1), the H</w:t>
      </w:r>
      <w:r w:rsidR="00492284" w:rsidRPr="00F82B5F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="00492284" w:rsidRPr="00F82B5F">
        <w:rPr>
          <w:rFonts w:ascii="Times New Roman" w:hAnsi="Times New Roman" w:cs="Times New Roman"/>
          <w:sz w:val="20"/>
          <w:szCs w:val="20"/>
        </w:rPr>
        <w:t xml:space="preserve"> would be rejected</w:t>
      </w:r>
      <w:r w:rsidR="009841BA" w:rsidRPr="00F82B5F">
        <w:rPr>
          <w:rFonts w:ascii="Times New Roman" w:hAnsi="Times New Roman" w:cs="Times New Roman"/>
          <w:sz w:val="20"/>
          <w:szCs w:val="20"/>
        </w:rPr>
        <w:t xml:space="preserve">, implying the existence of long-run relationships </w:t>
      </w:r>
      <w:r w:rsidR="007F28E9" w:rsidRPr="00F82B5F">
        <w:rPr>
          <w:rFonts w:ascii="Times New Roman" w:hAnsi="Times New Roman" w:cs="Times New Roman"/>
          <w:sz w:val="20"/>
          <w:szCs w:val="20"/>
        </w:rPr>
        <w:t>among</w:t>
      </w:r>
      <w:r w:rsidR="009841BA" w:rsidRPr="00F82B5F">
        <w:rPr>
          <w:rFonts w:ascii="Times New Roman" w:hAnsi="Times New Roman" w:cs="Times New Roman"/>
          <w:sz w:val="20"/>
          <w:szCs w:val="20"/>
        </w:rPr>
        <w:t xml:space="preserve"> variables. From the estimated ARDL approach, the long-run </w:t>
      </w:r>
      <w:proofErr w:type="spellStart"/>
      <w:r w:rsidR="009841BA" w:rsidRPr="00F82B5F">
        <w:rPr>
          <w:rFonts w:ascii="Times New Roman" w:hAnsi="Times New Roman" w:cs="Times New Roman"/>
          <w:sz w:val="20"/>
          <w:szCs w:val="20"/>
        </w:rPr>
        <w:t>elasticities</w:t>
      </w:r>
      <w:proofErr w:type="spellEnd"/>
      <w:r w:rsidR="005A00DE" w:rsidRPr="00F82B5F">
        <w:rPr>
          <w:rFonts w:ascii="Times New Roman" w:hAnsi="Times New Roman" w:cs="Times New Roman"/>
          <w:sz w:val="20"/>
          <w:szCs w:val="20"/>
        </w:rPr>
        <w:t xml:space="preserve"> are the coefficients of </w:t>
      </w:r>
      <w:r w:rsidR="009841BA" w:rsidRPr="00F82B5F">
        <w:rPr>
          <w:rFonts w:ascii="Times New Roman" w:hAnsi="Times New Roman" w:cs="Times New Roman"/>
          <w:sz w:val="20"/>
          <w:szCs w:val="20"/>
        </w:rPr>
        <w:t>one lagged independent variables multiplied by negative signs and divided by</w:t>
      </w:r>
      <w:r w:rsidR="005A00DE" w:rsidRPr="00F82B5F">
        <w:rPr>
          <w:rFonts w:ascii="Times New Roman" w:hAnsi="Times New Roman" w:cs="Times New Roman"/>
          <w:sz w:val="20"/>
          <w:szCs w:val="20"/>
        </w:rPr>
        <w:t xml:space="preserve"> </w:t>
      </w:r>
      <w:r w:rsidR="009841BA" w:rsidRPr="00F82B5F">
        <w:rPr>
          <w:rFonts w:ascii="Times New Roman" w:hAnsi="Times New Roman" w:cs="Times New Roman"/>
          <w:sz w:val="20"/>
          <w:szCs w:val="20"/>
        </w:rPr>
        <w:t>coefficient of one lagged dependent variable</w:t>
      </w:r>
      <w:r w:rsidR="00047E08" w:rsidRPr="00F82B5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047E08" w:rsidRPr="00F82B5F">
        <w:rPr>
          <w:rFonts w:ascii="Times New Roman" w:hAnsi="Times New Roman" w:cs="Times New Roman"/>
          <w:sz w:val="20"/>
          <w:szCs w:val="20"/>
        </w:rPr>
        <w:t>Bardsen</w:t>
      </w:r>
      <w:proofErr w:type="spellEnd"/>
      <w:r w:rsidR="00047E08" w:rsidRPr="00F82B5F">
        <w:rPr>
          <w:rFonts w:ascii="Times New Roman" w:hAnsi="Times New Roman" w:cs="Times New Roman"/>
          <w:sz w:val="20"/>
          <w:szCs w:val="20"/>
        </w:rPr>
        <w:t>, 1989)</w:t>
      </w:r>
      <w:r w:rsidR="009841BA" w:rsidRPr="00F82B5F">
        <w:rPr>
          <w:rFonts w:ascii="Times New Roman" w:hAnsi="Times New Roman" w:cs="Times New Roman"/>
          <w:sz w:val="20"/>
          <w:szCs w:val="20"/>
        </w:rPr>
        <w:t xml:space="preserve">. </w:t>
      </w:r>
      <w:r w:rsidR="00047E08" w:rsidRPr="00F82B5F">
        <w:rPr>
          <w:rFonts w:ascii="Times New Roman" w:hAnsi="Times New Roman" w:cs="Times New Roman"/>
          <w:sz w:val="20"/>
          <w:szCs w:val="20"/>
        </w:rPr>
        <w:t>Therefore, the long-run relative price elasticity and income elasticity are – (α</w:t>
      </w:r>
      <w:r w:rsidR="00047E08" w:rsidRPr="00F82B5F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047E08" w:rsidRPr="00F82B5F">
        <w:rPr>
          <w:rFonts w:ascii="Times New Roman" w:hAnsi="Times New Roman" w:cs="Times New Roman"/>
          <w:sz w:val="20"/>
          <w:szCs w:val="20"/>
        </w:rPr>
        <w:t>/α</w:t>
      </w:r>
      <w:r w:rsidR="00047E08" w:rsidRPr="00F82B5F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047E08" w:rsidRPr="00F82B5F">
        <w:rPr>
          <w:rFonts w:ascii="Times New Roman" w:hAnsi="Times New Roman" w:cs="Times New Roman"/>
          <w:sz w:val="20"/>
          <w:szCs w:val="20"/>
        </w:rPr>
        <w:t>) and – (α</w:t>
      </w:r>
      <w:r w:rsidR="00047E08" w:rsidRPr="00F82B5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047E08" w:rsidRPr="00F82B5F">
        <w:rPr>
          <w:rFonts w:ascii="Times New Roman" w:hAnsi="Times New Roman" w:cs="Times New Roman"/>
          <w:sz w:val="20"/>
          <w:szCs w:val="20"/>
        </w:rPr>
        <w:t>/α</w:t>
      </w:r>
      <w:r w:rsidR="00862990" w:rsidRPr="00F82B5F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862990" w:rsidRPr="00F82B5F">
        <w:rPr>
          <w:rFonts w:ascii="Times New Roman" w:hAnsi="Times New Roman" w:cs="Times New Roman"/>
          <w:sz w:val="20"/>
          <w:szCs w:val="20"/>
        </w:rPr>
        <w:t xml:space="preserve">), respectively. </w:t>
      </w:r>
      <w:r w:rsidR="00CD7BA4" w:rsidRPr="00F82B5F">
        <w:rPr>
          <w:rFonts w:ascii="Times New Roman" w:hAnsi="Times New Roman" w:cs="Times New Roman"/>
          <w:sz w:val="20"/>
          <w:szCs w:val="20"/>
        </w:rPr>
        <w:t>The short-run effects are capt</w:t>
      </w:r>
      <w:r w:rsidR="00EA03F5" w:rsidRPr="00F82B5F">
        <w:rPr>
          <w:rFonts w:ascii="Times New Roman" w:hAnsi="Times New Roman" w:cs="Times New Roman"/>
          <w:sz w:val="20"/>
          <w:szCs w:val="20"/>
        </w:rPr>
        <w:t xml:space="preserve">ured by the coefficients of </w:t>
      </w:r>
      <w:r w:rsidR="00CD7BA4" w:rsidRPr="00F82B5F">
        <w:rPr>
          <w:rFonts w:ascii="Times New Roman" w:hAnsi="Times New Roman" w:cs="Times New Roman"/>
          <w:sz w:val="20"/>
          <w:szCs w:val="20"/>
        </w:rPr>
        <w:t xml:space="preserve">first differenced variables in Eq. (3). </w:t>
      </w:r>
    </w:p>
    <w:p w:rsidR="000009E3" w:rsidRPr="00F82B5F" w:rsidRDefault="000E482F" w:rsidP="007F28E9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82B5F">
        <w:rPr>
          <w:rFonts w:ascii="Times New Roman" w:hAnsi="Times New Roman" w:cs="Times New Roman"/>
          <w:sz w:val="20"/>
          <w:szCs w:val="20"/>
        </w:rPr>
        <w:t xml:space="preserve"> </w:t>
      </w:r>
      <w:r w:rsidR="002527D3" w:rsidRPr="00F82B5F">
        <w:rPr>
          <w:rFonts w:ascii="Times New Roman" w:hAnsi="Times New Roman" w:cs="Times New Roman"/>
          <w:sz w:val="20"/>
          <w:szCs w:val="20"/>
        </w:rPr>
        <w:t>In selecting the lag length (</w:t>
      </w:r>
      <w:r w:rsidR="00EA03F5" w:rsidRPr="00F82B5F">
        <w:rPr>
          <w:rFonts w:ascii="Times New Roman" w:hAnsi="Times New Roman" w:cs="Times New Roman"/>
          <w:sz w:val="20"/>
          <w:szCs w:val="20"/>
        </w:rPr>
        <w:t>h</w:t>
      </w:r>
      <w:r w:rsidR="002527D3" w:rsidRPr="00F82B5F">
        <w:rPr>
          <w:rFonts w:ascii="Times New Roman" w:hAnsi="Times New Roman" w:cs="Times New Roman"/>
          <w:sz w:val="20"/>
          <w:szCs w:val="20"/>
        </w:rPr>
        <w:t>), a set of</w:t>
      </w:r>
      <w:r w:rsidR="00EA03F5" w:rsidRPr="00F82B5F">
        <w:rPr>
          <w:rFonts w:ascii="Times New Roman" w:hAnsi="Times New Roman" w:cs="Times New Roman"/>
          <w:sz w:val="20"/>
          <w:szCs w:val="20"/>
        </w:rPr>
        <w:t xml:space="preserve"> estimations is conducted with h</w:t>
      </w:r>
      <w:r w:rsidR="002527D3" w:rsidRPr="00F82B5F">
        <w:rPr>
          <w:rFonts w:ascii="Times New Roman" w:hAnsi="Times New Roman" w:cs="Times New Roman"/>
          <w:sz w:val="20"/>
          <w:szCs w:val="20"/>
        </w:rPr>
        <w:t xml:space="preserve"> = 1, 2, and 3. Nevertheless, the </w:t>
      </w:r>
      <w:proofErr w:type="spellStart"/>
      <w:r w:rsidR="002527D3" w:rsidRPr="00F82B5F">
        <w:rPr>
          <w:rFonts w:ascii="Times New Roman" w:hAnsi="Times New Roman" w:cs="Times New Roman"/>
          <w:sz w:val="20"/>
          <w:szCs w:val="20"/>
        </w:rPr>
        <w:t>Akaike</w:t>
      </w:r>
      <w:proofErr w:type="spellEnd"/>
      <w:r w:rsidR="002527D3" w:rsidRPr="00F82B5F">
        <w:rPr>
          <w:rFonts w:ascii="Times New Roman" w:hAnsi="Times New Roman" w:cs="Times New Roman"/>
          <w:sz w:val="20"/>
          <w:szCs w:val="20"/>
        </w:rPr>
        <w:t xml:space="preserve"> information criterion (AIC) and Schwartz information criterion (SIC) fail </w:t>
      </w:r>
      <w:r w:rsidR="00EA03F5" w:rsidRPr="00F82B5F">
        <w:rPr>
          <w:rFonts w:ascii="Times New Roman" w:hAnsi="Times New Roman" w:cs="Times New Roman"/>
          <w:sz w:val="20"/>
          <w:szCs w:val="20"/>
        </w:rPr>
        <w:t xml:space="preserve">to give a final decision. The h </w:t>
      </w:r>
      <w:r w:rsidR="002527D3" w:rsidRPr="00F82B5F">
        <w:rPr>
          <w:rFonts w:ascii="Times New Roman" w:hAnsi="Times New Roman" w:cs="Times New Roman"/>
          <w:sz w:val="20"/>
          <w:szCs w:val="20"/>
        </w:rPr>
        <w:t>=</w:t>
      </w:r>
      <w:r w:rsidR="00432AED" w:rsidRPr="00F82B5F">
        <w:rPr>
          <w:rFonts w:ascii="Times New Roman" w:hAnsi="Times New Roman" w:cs="Times New Roman"/>
          <w:sz w:val="20"/>
          <w:szCs w:val="20"/>
        </w:rPr>
        <w:t xml:space="preserve"> </w:t>
      </w:r>
      <w:r w:rsidR="002527D3" w:rsidRPr="00F82B5F">
        <w:rPr>
          <w:rFonts w:ascii="Times New Roman" w:hAnsi="Times New Roman" w:cs="Times New Roman"/>
          <w:sz w:val="20"/>
          <w:szCs w:val="20"/>
        </w:rPr>
        <w:t xml:space="preserve">1 is selected based on AIC and </w:t>
      </w:r>
      <w:r w:rsidR="00EA03F5" w:rsidRPr="00F82B5F">
        <w:rPr>
          <w:rFonts w:ascii="Times New Roman" w:hAnsi="Times New Roman" w:cs="Times New Roman"/>
          <w:sz w:val="20"/>
          <w:szCs w:val="20"/>
        </w:rPr>
        <w:t>h</w:t>
      </w:r>
      <w:r w:rsidR="00432AED" w:rsidRPr="00F82B5F">
        <w:rPr>
          <w:rFonts w:ascii="Times New Roman" w:hAnsi="Times New Roman" w:cs="Times New Roman"/>
          <w:sz w:val="20"/>
          <w:szCs w:val="20"/>
        </w:rPr>
        <w:t xml:space="preserve"> = 2 is selected based on SIC. </w:t>
      </w:r>
      <w:r w:rsidR="004F3284" w:rsidRPr="00F82B5F">
        <w:rPr>
          <w:rFonts w:ascii="Times New Roman" w:hAnsi="Times New Roman" w:cs="Times New Roman"/>
          <w:sz w:val="20"/>
          <w:szCs w:val="20"/>
        </w:rPr>
        <w:t xml:space="preserve">To select the best-fit specification, the Ramsey RESET test with </w:t>
      </w:r>
      <w:r w:rsidR="00EA03F5" w:rsidRPr="00F82B5F">
        <w:rPr>
          <w:rFonts w:ascii="Times New Roman" w:hAnsi="Times New Roman" w:cs="Times New Roman"/>
          <w:sz w:val="20"/>
          <w:szCs w:val="20"/>
        </w:rPr>
        <w:t>h</w:t>
      </w:r>
      <w:r w:rsidR="004F3284" w:rsidRPr="00F82B5F">
        <w:rPr>
          <w:rFonts w:ascii="Times New Roman" w:hAnsi="Times New Roman" w:cs="Times New Roman"/>
          <w:sz w:val="20"/>
          <w:szCs w:val="20"/>
        </w:rPr>
        <w:t xml:space="preserve"> = 2 is chosen. For </w:t>
      </w:r>
      <w:r w:rsidR="00EA03F5" w:rsidRPr="00F82B5F">
        <w:rPr>
          <w:rFonts w:ascii="Times New Roman" w:hAnsi="Times New Roman" w:cs="Times New Roman"/>
          <w:sz w:val="20"/>
          <w:szCs w:val="20"/>
        </w:rPr>
        <w:t>h</w:t>
      </w:r>
      <w:r w:rsidR="004F3284" w:rsidRPr="00F82B5F">
        <w:rPr>
          <w:rFonts w:ascii="Times New Roman" w:hAnsi="Times New Roman" w:cs="Times New Roman"/>
          <w:sz w:val="20"/>
          <w:szCs w:val="20"/>
        </w:rPr>
        <w:t xml:space="preserve"> = 2, the log likelihood </w:t>
      </w:r>
      <w:r w:rsidR="00EA03F5" w:rsidRPr="00F82B5F">
        <w:rPr>
          <w:rFonts w:ascii="Times New Roman" w:hAnsi="Times New Roman" w:cs="Times New Roman"/>
          <w:sz w:val="20"/>
          <w:szCs w:val="20"/>
        </w:rPr>
        <w:t xml:space="preserve">computed </w:t>
      </w:r>
      <w:r w:rsidR="004F3284" w:rsidRPr="00F82B5F">
        <w:rPr>
          <w:rFonts w:ascii="Times New Roman" w:hAnsi="Times New Roman" w:cs="Times New Roman"/>
          <w:sz w:val="20"/>
          <w:szCs w:val="20"/>
        </w:rPr>
        <w:t>value is 0.30 (probability = 0.62), accepting the H</w:t>
      </w:r>
      <w:r w:rsidR="004F3284" w:rsidRPr="00F82B5F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="004F3284" w:rsidRPr="00F82B5F">
        <w:rPr>
          <w:rFonts w:ascii="Times New Roman" w:hAnsi="Times New Roman" w:cs="Times New Roman"/>
          <w:sz w:val="20"/>
          <w:szCs w:val="20"/>
        </w:rPr>
        <w:t xml:space="preserve"> of no misspecification. For </w:t>
      </w:r>
      <w:r w:rsidR="007F28E9">
        <w:rPr>
          <w:rFonts w:ascii="Times New Roman" w:hAnsi="Times New Roman" w:cs="Times New Roman"/>
          <w:sz w:val="20"/>
          <w:szCs w:val="20"/>
        </w:rPr>
        <w:t>s</w:t>
      </w:r>
      <w:r w:rsidR="004F3284" w:rsidRPr="00F82B5F">
        <w:rPr>
          <w:rFonts w:ascii="Times New Roman" w:hAnsi="Times New Roman" w:cs="Times New Roman"/>
          <w:sz w:val="20"/>
          <w:szCs w:val="20"/>
        </w:rPr>
        <w:t xml:space="preserve"> = 1, the Ramsey R</w:t>
      </w:r>
      <w:r w:rsidR="00E4405A" w:rsidRPr="00F82B5F">
        <w:rPr>
          <w:rFonts w:ascii="Times New Roman" w:hAnsi="Times New Roman" w:cs="Times New Roman"/>
          <w:sz w:val="20"/>
          <w:szCs w:val="20"/>
        </w:rPr>
        <w:t>eset</w:t>
      </w:r>
      <w:r w:rsidR="004F3284" w:rsidRPr="00F82B5F">
        <w:rPr>
          <w:rFonts w:ascii="Times New Roman" w:hAnsi="Times New Roman" w:cs="Times New Roman"/>
          <w:sz w:val="20"/>
          <w:szCs w:val="20"/>
        </w:rPr>
        <w:t xml:space="preserve"> test was statistically significant at the 5% level, hence, rejecting the H</w:t>
      </w:r>
      <w:r w:rsidR="004F3284" w:rsidRPr="00F82B5F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="004F3284" w:rsidRPr="00F82B5F">
        <w:rPr>
          <w:rFonts w:ascii="Times New Roman" w:hAnsi="Times New Roman" w:cs="Times New Roman"/>
          <w:sz w:val="20"/>
          <w:szCs w:val="20"/>
        </w:rPr>
        <w:t xml:space="preserve"> of no misspecification.</w:t>
      </w:r>
    </w:p>
    <w:p w:rsidR="007B09CA" w:rsidRDefault="007B09CA" w:rsidP="008B3934">
      <w:pPr>
        <w:spacing w:after="80" w:line="24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E6D93" w:rsidRPr="007B09CA" w:rsidRDefault="008E6D93" w:rsidP="007B09CA">
      <w:pPr>
        <w:spacing w:after="80" w:line="24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7B09CA">
        <w:rPr>
          <w:rFonts w:ascii="Times New Roman" w:hAnsi="Times New Roman" w:cs="Times New Roman"/>
          <w:sz w:val="20"/>
          <w:szCs w:val="20"/>
        </w:rPr>
        <w:lastRenderedPageBreak/>
        <w:t>Table 1</w:t>
      </w:r>
      <w:r w:rsidR="007B09CA" w:rsidRPr="007B09C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B09CA" w:rsidRPr="007B09C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530E7" w:rsidRPr="007B09CA">
        <w:rPr>
          <w:rFonts w:ascii="Times New Roman" w:hAnsi="Times New Roman" w:cs="Times New Roman"/>
          <w:sz w:val="20"/>
          <w:szCs w:val="20"/>
        </w:rPr>
        <w:t>Screening data statistics tests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214"/>
        <w:gridCol w:w="2214"/>
        <w:gridCol w:w="2106"/>
      </w:tblGrid>
      <w:tr w:rsidR="008E6D93" w:rsidRPr="007B09CA" w:rsidTr="000C7095">
        <w:tc>
          <w:tcPr>
            <w:tcW w:w="2106" w:type="dxa"/>
            <w:tcBorders>
              <w:top w:val="single" w:sz="2" w:space="0" w:color="auto"/>
              <w:bottom w:val="single" w:sz="4" w:space="0" w:color="auto"/>
            </w:tcBorders>
          </w:tcPr>
          <w:p w:rsidR="008E6D93" w:rsidRPr="007B09CA" w:rsidRDefault="008E6D93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2" w:space="0" w:color="auto"/>
              <w:bottom w:val="single" w:sz="4" w:space="0" w:color="auto"/>
            </w:tcBorders>
          </w:tcPr>
          <w:p w:rsidR="008E6D93" w:rsidRPr="007B09CA" w:rsidRDefault="00D27DE8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Log</w:t>
            </w:r>
            <w:r w:rsidR="008E6D93" w:rsidRPr="007B09C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E6D93" w:rsidRPr="007B09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</w:p>
        </w:tc>
        <w:tc>
          <w:tcPr>
            <w:tcW w:w="2214" w:type="dxa"/>
            <w:tcBorders>
              <w:top w:val="single" w:sz="2" w:space="0" w:color="auto"/>
              <w:bottom w:val="single" w:sz="4" w:space="0" w:color="auto"/>
            </w:tcBorders>
          </w:tcPr>
          <w:p w:rsidR="008E6D93" w:rsidRPr="007B09CA" w:rsidRDefault="00D27DE8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Log</w:t>
            </w:r>
            <w:r w:rsidR="008E6D93" w:rsidRPr="007B09C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8E6D93" w:rsidRPr="007B09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</w:p>
        </w:tc>
        <w:tc>
          <w:tcPr>
            <w:tcW w:w="2106" w:type="dxa"/>
            <w:tcBorders>
              <w:top w:val="single" w:sz="2" w:space="0" w:color="auto"/>
              <w:bottom w:val="single" w:sz="4" w:space="0" w:color="auto"/>
            </w:tcBorders>
          </w:tcPr>
          <w:p w:rsidR="008E6D93" w:rsidRPr="007B09CA" w:rsidRDefault="00D27DE8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Log</w:t>
            </w:r>
            <w:r w:rsidR="008E6D93" w:rsidRPr="007B09CA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r w:rsidR="008E6D93" w:rsidRPr="007B09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</w:p>
        </w:tc>
      </w:tr>
      <w:tr w:rsidR="008E6D93" w:rsidRPr="007B09CA" w:rsidTr="00A2316A">
        <w:tc>
          <w:tcPr>
            <w:tcW w:w="2106" w:type="dxa"/>
            <w:tcBorders>
              <w:top w:val="single" w:sz="4" w:space="0" w:color="auto"/>
            </w:tcBorders>
          </w:tcPr>
          <w:p w:rsidR="008E6D93" w:rsidRPr="007B09CA" w:rsidRDefault="008E6D93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8E6D93" w:rsidRPr="007B09CA" w:rsidRDefault="00604442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3.71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8E6D93" w:rsidRPr="007B09CA" w:rsidRDefault="00604442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1270.13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8E6D93" w:rsidRPr="007B09CA" w:rsidRDefault="00604442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140.33</w:t>
            </w:r>
          </w:p>
        </w:tc>
      </w:tr>
      <w:tr w:rsidR="00604442" w:rsidRPr="007B09CA" w:rsidTr="00A2316A">
        <w:tc>
          <w:tcPr>
            <w:tcW w:w="2106" w:type="dxa"/>
          </w:tcPr>
          <w:p w:rsidR="00604442" w:rsidRPr="007B09CA" w:rsidRDefault="00604442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Median</w:t>
            </w:r>
          </w:p>
        </w:tc>
        <w:tc>
          <w:tcPr>
            <w:tcW w:w="2214" w:type="dxa"/>
          </w:tcPr>
          <w:p w:rsidR="00604442" w:rsidRPr="007B09CA" w:rsidRDefault="00604442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3.22</w:t>
            </w:r>
          </w:p>
        </w:tc>
        <w:tc>
          <w:tcPr>
            <w:tcW w:w="2214" w:type="dxa"/>
          </w:tcPr>
          <w:p w:rsidR="00604442" w:rsidRPr="007B09CA" w:rsidRDefault="00604442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1245.64</w:t>
            </w:r>
          </w:p>
        </w:tc>
        <w:tc>
          <w:tcPr>
            <w:tcW w:w="2106" w:type="dxa"/>
          </w:tcPr>
          <w:p w:rsidR="00604442" w:rsidRPr="007B09CA" w:rsidRDefault="00604442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80.850</w:t>
            </w:r>
          </w:p>
        </w:tc>
      </w:tr>
      <w:tr w:rsidR="008E6D93" w:rsidRPr="007B09CA" w:rsidTr="00A2316A">
        <w:tc>
          <w:tcPr>
            <w:tcW w:w="2106" w:type="dxa"/>
          </w:tcPr>
          <w:p w:rsidR="008E6D93" w:rsidRPr="007B09CA" w:rsidRDefault="008E6D93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Maximum</w:t>
            </w:r>
          </w:p>
        </w:tc>
        <w:tc>
          <w:tcPr>
            <w:tcW w:w="2214" w:type="dxa"/>
          </w:tcPr>
          <w:p w:rsidR="008E6D93" w:rsidRPr="007B09CA" w:rsidRDefault="00604442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5.92</w:t>
            </w:r>
          </w:p>
        </w:tc>
        <w:tc>
          <w:tcPr>
            <w:tcW w:w="2214" w:type="dxa"/>
          </w:tcPr>
          <w:p w:rsidR="008E6D93" w:rsidRPr="007B09CA" w:rsidRDefault="00604442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1664.35</w:t>
            </w:r>
          </w:p>
        </w:tc>
        <w:tc>
          <w:tcPr>
            <w:tcW w:w="2106" w:type="dxa"/>
          </w:tcPr>
          <w:p w:rsidR="008E6D93" w:rsidRPr="007B09CA" w:rsidRDefault="00604442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450.08</w:t>
            </w:r>
          </w:p>
        </w:tc>
      </w:tr>
      <w:tr w:rsidR="008E6D93" w:rsidRPr="007B09CA" w:rsidTr="00A2316A">
        <w:tc>
          <w:tcPr>
            <w:tcW w:w="2106" w:type="dxa"/>
          </w:tcPr>
          <w:p w:rsidR="008E6D93" w:rsidRPr="007B09CA" w:rsidRDefault="008E6D93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Minimum</w:t>
            </w:r>
          </w:p>
        </w:tc>
        <w:tc>
          <w:tcPr>
            <w:tcW w:w="2214" w:type="dxa"/>
          </w:tcPr>
          <w:p w:rsidR="008E6D93" w:rsidRPr="007B09CA" w:rsidRDefault="00604442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2214" w:type="dxa"/>
          </w:tcPr>
          <w:p w:rsidR="008E6D93" w:rsidRPr="007B09CA" w:rsidRDefault="00604442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943.108</w:t>
            </w:r>
          </w:p>
        </w:tc>
        <w:tc>
          <w:tcPr>
            <w:tcW w:w="2106" w:type="dxa"/>
          </w:tcPr>
          <w:p w:rsidR="008E6D93" w:rsidRPr="007B09CA" w:rsidRDefault="00604442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46.234</w:t>
            </w:r>
          </w:p>
        </w:tc>
      </w:tr>
      <w:tr w:rsidR="008E6D93" w:rsidRPr="007B09CA" w:rsidTr="00A2316A">
        <w:tc>
          <w:tcPr>
            <w:tcW w:w="2106" w:type="dxa"/>
          </w:tcPr>
          <w:p w:rsidR="008E6D93" w:rsidRPr="007B09CA" w:rsidRDefault="008E6D93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Standard deviation</w:t>
            </w:r>
          </w:p>
        </w:tc>
        <w:tc>
          <w:tcPr>
            <w:tcW w:w="2214" w:type="dxa"/>
          </w:tcPr>
          <w:p w:rsidR="008E6D93" w:rsidRPr="007B09CA" w:rsidRDefault="00604442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214" w:type="dxa"/>
          </w:tcPr>
          <w:p w:rsidR="008E6D93" w:rsidRPr="007B09CA" w:rsidRDefault="00604442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204.805</w:t>
            </w:r>
          </w:p>
        </w:tc>
        <w:tc>
          <w:tcPr>
            <w:tcW w:w="2106" w:type="dxa"/>
          </w:tcPr>
          <w:p w:rsidR="008E6D93" w:rsidRPr="007B09CA" w:rsidRDefault="00604442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118.46</w:t>
            </w:r>
          </w:p>
        </w:tc>
      </w:tr>
      <w:tr w:rsidR="008E6D93" w:rsidRPr="007B09CA" w:rsidTr="00A2316A">
        <w:tc>
          <w:tcPr>
            <w:tcW w:w="2106" w:type="dxa"/>
          </w:tcPr>
          <w:p w:rsidR="008E6D93" w:rsidRPr="007B09CA" w:rsidRDefault="008E6D93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Skewness</w:t>
            </w:r>
            <w:proofErr w:type="spellEnd"/>
          </w:p>
        </w:tc>
        <w:tc>
          <w:tcPr>
            <w:tcW w:w="2214" w:type="dxa"/>
          </w:tcPr>
          <w:p w:rsidR="008E6D93" w:rsidRPr="007B09CA" w:rsidRDefault="00604442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2214" w:type="dxa"/>
          </w:tcPr>
          <w:p w:rsidR="008E6D93" w:rsidRPr="007B09CA" w:rsidRDefault="00604442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2106" w:type="dxa"/>
          </w:tcPr>
          <w:p w:rsidR="008E6D93" w:rsidRPr="007B09CA" w:rsidRDefault="00604442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</w:tr>
      <w:tr w:rsidR="008E6D93" w:rsidRPr="007B09CA" w:rsidTr="00A2316A">
        <w:tc>
          <w:tcPr>
            <w:tcW w:w="2106" w:type="dxa"/>
          </w:tcPr>
          <w:p w:rsidR="008E6D93" w:rsidRPr="007B09CA" w:rsidRDefault="008E6D93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Kurtosis</w:t>
            </w:r>
          </w:p>
        </w:tc>
        <w:tc>
          <w:tcPr>
            <w:tcW w:w="2214" w:type="dxa"/>
          </w:tcPr>
          <w:p w:rsidR="008E6D93" w:rsidRPr="007B09CA" w:rsidRDefault="00604442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2214" w:type="dxa"/>
          </w:tcPr>
          <w:p w:rsidR="008E6D93" w:rsidRPr="007B09CA" w:rsidRDefault="00604442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2.42</w:t>
            </w:r>
          </w:p>
        </w:tc>
        <w:tc>
          <w:tcPr>
            <w:tcW w:w="2106" w:type="dxa"/>
          </w:tcPr>
          <w:p w:rsidR="008E6D93" w:rsidRPr="007B09CA" w:rsidRDefault="00604442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3.48</w:t>
            </w:r>
          </w:p>
        </w:tc>
      </w:tr>
      <w:tr w:rsidR="008E6D93" w:rsidRPr="007B09CA" w:rsidTr="00A2316A">
        <w:tc>
          <w:tcPr>
            <w:tcW w:w="2106" w:type="dxa"/>
          </w:tcPr>
          <w:p w:rsidR="008E6D93" w:rsidRPr="007B09CA" w:rsidRDefault="008E6D93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Jarque</w:t>
            </w:r>
            <w:proofErr w:type="spellEnd"/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−Berra</w:t>
            </w:r>
          </w:p>
        </w:tc>
        <w:tc>
          <w:tcPr>
            <w:tcW w:w="2214" w:type="dxa"/>
          </w:tcPr>
          <w:p w:rsidR="008E6D93" w:rsidRPr="007B09CA" w:rsidRDefault="00604442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4.79</w:t>
            </w:r>
          </w:p>
        </w:tc>
        <w:tc>
          <w:tcPr>
            <w:tcW w:w="2214" w:type="dxa"/>
          </w:tcPr>
          <w:p w:rsidR="008E6D93" w:rsidRPr="007B09CA" w:rsidRDefault="00604442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2106" w:type="dxa"/>
          </w:tcPr>
          <w:p w:rsidR="008E6D93" w:rsidRPr="007B09CA" w:rsidRDefault="00604442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</w:tr>
      <w:tr w:rsidR="008E6D93" w:rsidRPr="007B09CA" w:rsidTr="00A2316A">
        <w:tc>
          <w:tcPr>
            <w:tcW w:w="2106" w:type="dxa"/>
          </w:tcPr>
          <w:p w:rsidR="008E6D93" w:rsidRPr="007B09CA" w:rsidRDefault="008E6D93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2214" w:type="dxa"/>
          </w:tcPr>
          <w:p w:rsidR="008E6D93" w:rsidRPr="007B09CA" w:rsidRDefault="00604442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2214" w:type="dxa"/>
          </w:tcPr>
          <w:p w:rsidR="008E6D93" w:rsidRPr="007B09CA" w:rsidRDefault="00604442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2106" w:type="dxa"/>
          </w:tcPr>
          <w:p w:rsidR="008E6D93" w:rsidRPr="007B09CA" w:rsidRDefault="00604442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8E6D93" w:rsidRPr="007B09CA" w:rsidTr="00A2316A">
        <w:tc>
          <w:tcPr>
            <w:tcW w:w="2106" w:type="dxa"/>
          </w:tcPr>
          <w:p w:rsidR="008E6D93" w:rsidRPr="007B09CA" w:rsidRDefault="008E6D93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7B09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14" w:type="dxa"/>
          </w:tcPr>
          <w:p w:rsidR="008E6D93" w:rsidRPr="007B09CA" w:rsidRDefault="00F01E30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2214" w:type="dxa"/>
          </w:tcPr>
          <w:p w:rsidR="008E6D93" w:rsidRPr="007B09CA" w:rsidRDefault="008E6D93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8E6D93" w:rsidRPr="007B09CA" w:rsidRDefault="008E6D93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E30" w:rsidRPr="007B09CA" w:rsidTr="00A2316A">
        <w:tc>
          <w:tcPr>
            <w:tcW w:w="2106" w:type="dxa"/>
          </w:tcPr>
          <w:p w:rsidR="00F01E30" w:rsidRPr="007B09CA" w:rsidRDefault="00F01E30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Adjusted R</w:t>
            </w:r>
            <w:r w:rsidRPr="007B09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4" w:type="dxa"/>
          </w:tcPr>
          <w:p w:rsidR="00F01E30" w:rsidRPr="007B09CA" w:rsidRDefault="00F01E30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2214" w:type="dxa"/>
          </w:tcPr>
          <w:p w:rsidR="00F01E30" w:rsidRPr="007B09CA" w:rsidRDefault="00F01E30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F01E30" w:rsidRPr="007B09CA" w:rsidRDefault="00F01E30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D93" w:rsidRPr="007B09CA" w:rsidTr="00A2316A">
        <w:tc>
          <w:tcPr>
            <w:tcW w:w="86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D93" w:rsidRPr="007B09CA" w:rsidRDefault="008E6D93" w:rsidP="007B09CA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← Correlation matrix →</w:t>
            </w:r>
          </w:p>
          <w:p w:rsidR="008E6D93" w:rsidRPr="007B09CA" w:rsidRDefault="008E6D93" w:rsidP="007B09CA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↓</w:t>
            </w:r>
          </w:p>
        </w:tc>
      </w:tr>
      <w:tr w:rsidR="008E6D93" w:rsidRPr="007B09CA" w:rsidTr="00A2316A">
        <w:tc>
          <w:tcPr>
            <w:tcW w:w="2106" w:type="dxa"/>
            <w:tcBorders>
              <w:top w:val="single" w:sz="4" w:space="0" w:color="auto"/>
            </w:tcBorders>
          </w:tcPr>
          <w:p w:rsidR="008E6D93" w:rsidRPr="007B09CA" w:rsidRDefault="00D27DE8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Log</w:t>
            </w:r>
            <w:r w:rsidR="008E6D93" w:rsidRPr="007B09C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E6D93" w:rsidRPr="007B09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8E6D93" w:rsidRPr="007B09CA" w:rsidRDefault="00A2316A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8E6D93" w:rsidRPr="007B09CA" w:rsidRDefault="008E6D93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8E6D93" w:rsidRPr="007B09CA" w:rsidRDefault="008E6D93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D93" w:rsidRPr="007B09CA" w:rsidTr="00A2316A">
        <w:tc>
          <w:tcPr>
            <w:tcW w:w="2106" w:type="dxa"/>
          </w:tcPr>
          <w:p w:rsidR="008E6D93" w:rsidRPr="007B09CA" w:rsidRDefault="00D27DE8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Log</w:t>
            </w:r>
            <w:r w:rsidR="008E6D93" w:rsidRPr="007B09C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8E6D93" w:rsidRPr="007B09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</w:p>
        </w:tc>
        <w:tc>
          <w:tcPr>
            <w:tcW w:w="2214" w:type="dxa"/>
          </w:tcPr>
          <w:p w:rsidR="008E6D93" w:rsidRPr="007B09CA" w:rsidRDefault="00A2316A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2214" w:type="dxa"/>
          </w:tcPr>
          <w:p w:rsidR="008E6D93" w:rsidRPr="007B09CA" w:rsidRDefault="00A2316A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106" w:type="dxa"/>
          </w:tcPr>
          <w:p w:rsidR="008E6D93" w:rsidRPr="007B09CA" w:rsidRDefault="008E6D93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D93" w:rsidRPr="007B09CA" w:rsidTr="000C7095">
        <w:tc>
          <w:tcPr>
            <w:tcW w:w="2106" w:type="dxa"/>
            <w:tcBorders>
              <w:bottom w:val="single" w:sz="2" w:space="0" w:color="auto"/>
            </w:tcBorders>
          </w:tcPr>
          <w:p w:rsidR="008E6D93" w:rsidRPr="007B09CA" w:rsidRDefault="00D27DE8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Log</w:t>
            </w:r>
            <w:r w:rsidR="008E6D93" w:rsidRPr="007B09CA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r w:rsidR="008E6D93" w:rsidRPr="007B09C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</w:p>
        </w:tc>
        <w:tc>
          <w:tcPr>
            <w:tcW w:w="2214" w:type="dxa"/>
            <w:tcBorders>
              <w:bottom w:val="single" w:sz="2" w:space="0" w:color="auto"/>
            </w:tcBorders>
          </w:tcPr>
          <w:p w:rsidR="008E6D93" w:rsidRPr="007B09CA" w:rsidRDefault="00A2316A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2214" w:type="dxa"/>
            <w:tcBorders>
              <w:bottom w:val="single" w:sz="2" w:space="0" w:color="auto"/>
            </w:tcBorders>
          </w:tcPr>
          <w:p w:rsidR="008E6D93" w:rsidRPr="007B09CA" w:rsidRDefault="00A2316A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2106" w:type="dxa"/>
            <w:tcBorders>
              <w:bottom w:val="single" w:sz="2" w:space="0" w:color="auto"/>
            </w:tcBorders>
          </w:tcPr>
          <w:p w:rsidR="008E6D93" w:rsidRPr="007B09CA" w:rsidRDefault="00A2316A" w:rsidP="007B09CA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CA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</w:tbl>
    <w:p w:rsidR="00AA00F5" w:rsidRPr="007B09CA" w:rsidRDefault="00181509" w:rsidP="007B09CA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81509">
        <w:rPr>
          <w:rFonts w:ascii="Times New Roman" w:hAnsi="Times New Roman" w:cs="Times New Roman"/>
          <w:i/>
          <w:iCs/>
          <w:sz w:val="20"/>
          <w:szCs w:val="20"/>
        </w:rPr>
        <w:t>Note.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00F5" w:rsidRPr="007B09CA">
        <w:rPr>
          <w:rFonts w:ascii="Times New Roman" w:hAnsi="Times New Roman" w:cs="Times New Roman"/>
          <w:sz w:val="20"/>
          <w:szCs w:val="20"/>
        </w:rPr>
        <w:t>R</w:t>
      </w:r>
      <w:r w:rsidR="00AA00F5" w:rsidRPr="007B09C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AA00F5" w:rsidRPr="007B09CA">
        <w:rPr>
          <w:rFonts w:ascii="Times New Roman" w:hAnsi="Times New Roman" w:cs="Times New Roman"/>
          <w:sz w:val="20"/>
          <w:szCs w:val="20"/>
        </w:rPr>
        <w:t xml:space="preserve"> denotes the coefficient of determination. </w:t>
      </w:r>
    </w:p>
    <w:p w:rsidR="00AA00F5" w:rsidRPr="007B09CA" w:rsidRDefault="00A2316A" w:rsidP="007B09CA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B09CA">
        <w:rPr>
          <w:rFonts w:ascii="Times New Roman" w:hAnsi="Times New Roman" w:cs="Times New Roman"/>
          <w:sz w:val="20"/>
          <w:szCs w:val="20"/>
        </w:rPr>
        <w:t>Source: E−Views econometrics software package.</w:t>
      </w:r>
      <w:r w:rsidR="00AA00F5" w:rsidRPr="007B09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00F5" w:rsidRPr="008B3934" w:rsidRDefault="00AA00F5" w:rsidP="008B3934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D20EF" w:rsidRPr="007B09CA" w:rsidRDefault="007D20EF" w:rsidP="007B09CA">
      <w:pPr>
        <w:spacing w:after="80" w:line="24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7B09CA">
        <w:rPr>
          <w:rFonts w:ascii="Times New Roman" w:hAnsi="Times New Roman" w:cs="Times New Roman"/>
          <w:sz w:val="20"/>
          <w:szCs w:val="20"/>
        </w:rPr>
        <w:t>Table 2</w:t>
      </w:r>
      <w:r w:rsidR="007B09CA" w:rsidRPr="007B09C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B09C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253EC" w:rsidRPr="008B3934">
        <w:rPr>
          <w:rFonts w:ascii="Times New Roman" w:hAnsi="Times New Roman" w:cs="Times New Roman"/>
          <w:sz w:val="20"/>
          <w:szCs w:val="20"/>
        </w:rPr>
        <w:t xml:space="preserve">Unit root test </w:t>
      </w:r>
      <w:r w:rsidR="002B2F04" w:rsidRPr="008B3934">
        <w:rPr>
          <w:rFonts w:ascii="Times New Roman" w:hAnsi="Times New Roman" w:cs="Times New Roman"/>
          <w:sz w:val="20"/>
          <w:szCs w:val="20"/>
        </w:rPr>
        <w:t>results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710"/>
        <w:gridCol w:w="2160"/>
        <w:gridCol w:w="1350"/>
        <w:gridCol w:w="1170"/>
        <w:gridCol w:w="1170"/>
      </w:tblGrid>
      <w:tr w:rsidR="007D20EF" w:rsidRPr="008B3934" w:rsidTr="000C7095">
        <w:tc>
          <w:tcPr>
            <w:tcW w:w="1080" w:type="dxa"/>
            <w:vMerge w:val="restar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D20EF" w:rsidRPr="008B3934" w:rsidRDefault="007D20EF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387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D20EF" w:rsidRPr="008B3934" w:rsidRDefault="007D20EF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Adjusted t-statistics computed values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D20EF" w:rsidRPr="008B3934" w:rsidRDefault="007D20EF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Adjusted t-statistics critical values</w:t>
            </w:r>
          </w:p>
        </w:tc>
      </w:tr>
      <w:tr w:rsidR="007D20EF" w:rsidRPr="008B3934" w:rsidTr="000603DD"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0EF" w:rsidRPr="008B3934" w:rsidRDefault="007D20EF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0EF" w:rsidRPr="008B3934" w:rsidRDefault="007D20EF" w:rsidP="008B3934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I(0)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0EF" w:rsidRPr="008B3934" w:rsidRDefault="007D20EF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I(1)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0EF" w:rsidRPr="008B3934" w:rsidRDefault="007D20EF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0EF" w:rsidRPr="008B3934" w:rsidRDefault="007D20EF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0EF" w:rsidRPr="008B3934" w:rsidRDefault="007D20EF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7D20EF" w:rsidRPr="008B3934" w:rsidTr="000603DD"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D20EF" w:rsidRPr="008B3934" w:rsidRDefault="007D20EF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Log M</w:t>
            </w:r>
            <w:r w:rsidRPr="008B393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7D20EF" w:rsidRPr="008B3934" w:rsidRDefault="007D20EF" w:rsidP="008B3934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-1.90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7D20EF" w:rsidRPr="008B3934" w:rsidRDefault="007D20EF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-5.28</w:t>
            </w:r>
            <w:r w:rsidR="000603DD" w:rsidRPr="007B09CA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D20EF" w:rsidRPr="008B3934" w:rsidRDefault="007D20EF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7D20EF" w:rsidRPr="008B3934" w:rsidRDefault="007D20EF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7D20EF" w:rsidRPr="008B3934" w:rsidRDefault="007D20EF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0EF" w:rsidRPr="008B3934" w:rsidTr="000603DD">
        <w:tc>
          <w:tcPr>
            <w:tcW w:w="1080" w:type="dxa"/>
            <w:vAlign w:val="center"/>
          </w:tcPr>
          <w:p w:rsidR="007D20EF" w:rsidRPr="008B3934" w:rsidRDefault="007D20EF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 xml:space="preserve">Log </w:t>
            </w:r>
            <w:proofErr w:type="spellStart"/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B393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</w:p>
        </w:tc>
        <w:tc>
          <w:tcPr>
            <w:tcW w:w="1710" w:type="dxa"/>
            <w:vAlign w:val="center"/>
          </w:tcPr>
          <w:p w:rsidR="007D20EF" w:rsidRPr="008B3934" w:rsidRDefault="007D20EF" w:rsidP="008B3934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-0.81</w:t>
            </w:r>
          </w:p>
        </w:tc>
        <w:tc>
          <w:tcPr>
            <w:tcW w:w="2160" w:type="dxa"/>
            <w:vAlign w:val="center"/>
          </w:tcPr>
          <w:p w:rsidR="007D20EF" w:rsidRPr="008B3934" w:rsidRDefault="007D20EF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-4.15</w:t>
            </w:r>
            <w:r w:rsidR="000603DD" w:rsidRPr="007B09CA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350" w:type="dxa"/>
            <w:vAlign w:val="center"/>
          </w:tcPr>
          <w:p w:rsidR="007D20EF" w:rsidRPr="008B3934" w:rsidRDefault="007D20EF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-4.27</w:t>
            </w:r>
          </w:p>
        </w:tc>
        <w:tc>
          <w:tcPr>
            <w:tcW w:w="1170" w:type="dxa"/>
            <w:vAlign w:val="center"/>
          </w:tcPr>
          <w:p w:rsidR="007D20EF" w:rsidRPr="008B3934" w:rsidRDefault="007D20EF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-3.56</w:t>
            </w:r>
          </w:p>
        </w:tc>
        <w:tc>
          <w:tcPr>
            <w:tcW w:w="1170" w:type="dxa"/>
            <w:vAlign w:val="center"/>
          </w:tcPr>
          <w:p w:rsidR="007D20EF" w:rsidRPr="008B3934" w:rsidRDefault="007D20EF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-3.21</w:t>
            </w:r>
          </w:p>
        </w:tc>
      </w:tr>
      <w:tr w:rsidR="007D20EF" w:rsidRPr="008B3934" w:rsidTr="000C7095"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7D20EF" w:rsidRPr="008B3934" w:rsidRDefault="007D20EF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 xml:space="preserve">Log </w:t>
            </w:r>
            <w:proofErr w:type="spellStart"/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r w:rsidRPr="008B393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</w:p>
        </w:tc>
        <w:tc>
          <w:tcPr>
            <w:tcW w:w="1710" w:type="dxa"/>
            <w:tcBorders>
              <w:bottom w:val="single" w:sz="2" w:space="0" w:color="auto"/>
            </w:tcBorders>
            <w:vAlign w:val="center"/>
          </w:tcPr>
          <w:p w:rsidR="007D20EF" w:rsidRPr="008B3934" w:rsidRDefault="00352544" w:rsidP="008B3934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20EF" w:rsidRPr="008B3934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2160" w:type="dxa"/>
            <w:tcBorders>
              <w:bottom w:val="single" w:sz="2" w:space="0" w:color="auto"/>
            </w:tcBorders>
            <w:vAlign w:val="center"/>
          </w:tcPr>
          <w:p w:rsidR="007D20EF" w:rsidRPr="008B3934" w:rsidRDefault="007D20EF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-5.89</w:t>
            </w:r>
            <w:r w:rsidR="000603DD" w:rsidRPr="007B09C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350" w:type="dxa"/>
            <w:tcBorders>
              <w:bottom w:val="single" w:sz="2" w:space="0" w:color="auto"/>
            </w:tcBorders>
            <w:vAlign w:val="center"/>
          </w:tcPr>
          <w:p w:rsidR="007D20EF" w:rsidRPr="008B3934" w:rsidRDefault="007D20EF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2" w:space="0" w:color="auto"/>
            </w:tcBorders>
            <w:vAlign w:val="center"/>
          </w:tcPr>
          <w:p w:rsidR="007D20EF" w:rsidRPr="008B3934" w:rsidRDefault="007D20EF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2" w:space="0" w:color="auto"/>
            </w:tcBorders>
            <w:vAlign w:val="center"/>
          </w:tcPr>
          <w:p w:rsidR="007D20EF" w:rsidRPr="008B3934" w:rsidRDefault="007D20EF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00F5" w:rsidRPr="008B3934" w:rsidRDefault="00181509" w:rsidP="008B3934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81509">
        <w:rPr>
          <w:rFonts w:ascii="Times New Roman" w:hAnsi="Times New Roman" w:cs="Times New Roman"/>
          <w:i/>
          <w:iCs/>
          <w:sz w:val="20"/>
          <w:szCs w:val="20"/>
        </w:rPr>
        <w:t>Notes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0603DD" w:rsidRPr="008B3934">
        <w:rPr>
          <w:rFonts w:ascii="Times New Roman" w:hAnsi="Times New Roman" w:cs="Times New Roman"/>
          <w:sz w:val="20"/>
          <w:szCs w:val="20"/>
        </w:rPr>
        <w:t xml:space="preserve">(1) </w:t>
      </w:r>
      <w:r w:rsidRPr="008B3934">
        <w:rPr>
          <w:rFonts w:ascii="Times New Roman" w:hAnsi="Times New Roman" w:cs="Times New Roman"/>
          <w:sz w:val="20"/>
          <w:szCs w:val="20"/>
        </w:rPr>
        <w:t>The</w:t>
      </w:r>
      <w:r w:rsidR="000603DD" w:rsidRPr="008B3934">
        <w:rPr>
          <w:rFonts w:ascii="Times New Roman" w:hAnsi="Times New Roman" w:cs="Times New Roman"/>
          <w:sz w:val="20"/>
          <w:szCs w:val="20"/>
        </w:rPr>
        <w:t xml:space="preserve"> estimation has been conducted using intercept and time trend.</w:t>
      </w:r>
    </w:p>
    <w:p w:rsidR="000603DD" w:rsidRPr="008B3934" w:rsidRDefault="000603DD" w:rsidP="008B3934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B3934">
        <w:rPr>
          <w:rFonts w:ascii="Times New Roman" w:hAnsi="Times New Roman" w:cs="Times New Roman"/>
          <w:sz w:val="20"/>
          <w:szCs w:val="20"/>
        </w:rPr>
        <w:t xml:space="preserve">           (2) </w:t>
      </w:r>
      <w:proofErr w:type="spellStart"/>
      <w:r w:rsidRPr="008B3934">
        <w:rPr>
          <w:rFonts w:ascii="Times New Roman" w:hAnsi="Times New Roman" w:cs="Times New Roman"/>
          <w:sz w:val="20"/>
          <w:szCs w:val="20"/>
        </w:rPr>
        <w:t>Parzen</w:t>
      </w:r>
      <w:proofErr w:type="spellEnd"/>
      <w:r w:rsidRPr="008B3934">
        <w:rPr>
          <w:rFonts w:ascii="Times New Roman" w:hAnsi="Times New Roman" w:cs="Times New Roman"/>
          <w:sz w:val="20"/>
          <w:szCs w:val="20"/>
        </w:rPr>
        <w:t xml:space="preserve"> Kernel estimation method has been selected to choose the bandwidth: 2.</w:t>
      </w:r>
    </w:p>
    <w:p w:rsidR="00F225DE" w:rsidRPr="008B3934" w:rsidRDefault="00F225DE" w:rsidP="00181509">
      <w:pPr>
        <w:spacing w:after="80" w:line="240" w:lineRule="exact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8B393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B09CA">
        <w:rPr>
          <w:rFonts w:ascii="Times New Roman" w:hAnsi="Times New Roman" w:cs="Times New Roman"/>
          <w:sz w:val="20"/>
          <w:szCs w:val="20"/>
        </w:rPr>
        <w:t xml:space="preserve"> </w:t>
      </w:r>
      <w:r w:rsidRPr="008B3934">
        <w:rPr>
          <w:rFonts w:ascii="Times New Roman" w:hAnsi="Times New Roman" w:cs="Times New Roman"/>
          <w:sz w:val="20"/>
          <w:szCs w:val="20"/>
        </w:rPr>
        <w:t xml:space="preserve">(3) </w:t>
      </w:r>
      <w:r w:rsidRPr="007B09CA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***, **, *</w:t>
      </w:r>
      <w:r w:rsidRPr="008B393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B3934">
        <w:rPr>
          <w:rFonts w:ascii="Times New Roman" w:hAnsi="Times New Roman" w:cs="Times New Roman"/>
          <w:sz w:val="20"/>
          <w:szCs w:val="20"/>
        </w:rPr>
        <w:t>denote the significance at 1%, 5</w:t>
      </w:r>
      <w:r w:rsidR="000052D8" w:rsidRPr="008B3934">
        <w:rPr>
          <w:rFonts w:ascii="Times New Roman" w:hAnsi="Times New Roman" w:cs="Times New Roman"/>
          <w:sz w:val="20"/>
          <w:szCs w:val="20"/>
        </w:rPr>
        <w:t xml:space="preserve">%, and 10% levels, respectively based on Mackinnon (1996) one sides p-values. </w:t>
      </w:r>
      <w:r w:rsidRPr="008B393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449CB" w:rsidRDefault="000603DD" w:rsidP="008B3934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B3934">
        <w:rPr>
          <w:rFonts w:ascii="Times New Roman" w:hAnsi="Times New Roman" w:cs="Times New Roman"/>
          <w:sz w:val="20"/>
          <w:szCs w:val="20"/>
        </w:rPr>
        <w:t>Source: E−Views econometrics software package.</w:t>
      </w:r>
    </w:p>
    <w:p w:rsidR="00181509" w:rsidRPr="008B3934" w:rsidRDefault="00181509" w:rsidP="008B3934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B09CA" w:rsidRDefault="00D449CB" w:rsidP="007A0462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B3934">
        <w:rPr>
          <w:rFonts w:ascii="Times New Roman" w:hAnsi="Times New Roman" w:cs="Times New Roman"/>
          <w:sz w:val="20"/>
          <w:szCs w:val="20"/>
        </w:rPr>
        <w:t xml:space="preserve">       The estimated long-run and short-run </w:t>
      </w:r>
      <w:proofErr w:type="spellStart"/>
      <w:r w:rsidRPr="008B3934">
        <w:rPr>
          <w:rFonts w:ascii="Times New Roman" w:hAnsi="Times New Roman" w:cs="Times New Roman"/>
          <w:sz w:val="20"/>
          <w:szCs w:val="20"/>
        </w:rPr>
        <w:t>elasticities</w:t>
      </w:r>
      <w:proofErr w:type="spellEnd"/>
      <w:r w:rsidRPr="008B3934">
        <w:rPr>
          <w:rFonts w:ascii="Times New Roman" w:hAnsi="Times New Roman" w:cs="Times New Roman"/>
          <w:sz w:val="20"/>
          <w:szCs w:val="20"/>
        </w:rPr>
        <w:t xml:space="preserve"> results are reported in Table 3. The estimated long-run income elasticity and relative price elasticity are 1.16 and -1.03, respectively. These results are found to be closer with the previous study</w:t>
      </w:r>
      <w:r w:rsidR="007A0462">
        <w:rPr>
          <w:rFonts w:ascii="Times New Roman" w:hAnsi="Times New Roman" w:cs="Times New Roman"/>
          <w:sz w:val="20"/>
          <w:szCs w:val="20"/>
        </w:rPr>
        <w:t>’s</w:t>
      </w:r>
      <w:r w:rsidRPr="008B3934">
        <w:rPr>
          <w:rFonts w:ascii="Times New Roman" w:hAnsi="Times New Roman" w:cs="Times New Roman"/>
          <w:sz w:val="20"/>
          <w:szCs w:val="20"/>
        </w:rPr>
        <w:t xml:space="preserve"> </w:t>
      </w:r>
      <w:r w:rsidR="007A0462">
        <w:rPr>
          <w:rFonts w:ascii="Times New Roman" w:hAnsi="Times New Roman" w:cs="Times New Roman"/>
          <w:sz w:val="20"/>
          <w:szCs w:val="20"/>
        </w:rPr>
        <w:t xml:space="preserve">results </w:t>
      </w:r>
      <w:r w:rsidRPr="008B3934">
        <w:rPr>
          <w:rFonts w:ascii="Times New Roman" w:hAnsi="Times New Roman" w:cs="Times New Roman"/>
          <w:sz w:val="20"/>
          <w:szCs w:val="20"/>
        </w:rPr>
        <w:t>of Tang and Nair (2002) in Malaysia. They found that the long-run income elasticity and relative price elasticity are 1.55 and -1.30, respectively. The coefficient of EcM</w:t>
      </w:r>
      <w:r w:rsidRPr="008B3934">
        <w:rPr>
          <w:rFonts w:ascii="Times New Roman" w:hAnsi="Times New Roman" w:cs="Times New Roman"/>
          <w:sz w:val="20"/>
          <w:szCs w:val="20"/>
          <w:vertAlign w:val="subscript"/>
        </w:rPr>
        <w:t>t-1</w:t>
      </w:r>
      <w:r w:rsidRPr="008B3934">
        <w:rPr>
          <w:rFonts w:ascii="Times New Roman" w:hAnsi="Times New Roman" w:cs="Times New Roman"/>
          <w:sz w:val="20"/>
          <w:szCs w:val="20"/>
        </w:rPr>
        <w:t xml:space="preserve"> (-0.67) is negative and is statistically significant, </w:t>
      </w:r>
      <w:r w:rsidR="007A0462">
        <w:rPr>
          <w:rFonts w:ascii="Times New Roman" w:hAnsi="Times New Roman" w:cs="Times New Roman"/>
          <w:sz w:val="20"/>
          <w:szCs w:val="20"/>
        </w:rPr>
        <w:t xml:space="preserve">confirming </w:t>
      </w:r>
      <w:r w:rsidRPr="008B3934">
        <w:rPr>
          <w:rFonts w:ascii="Times New Roman" w:hAnsi="Times New Roman" w:cs="Times New Roman"/>
          <w:sz w:val="20"/>
          <w:szCs w:val="20"/>
        </w:rPr>
        <w:t xml:space="preserve">that the series is non-explosive and that long-run equilibrium is satisfied. </w:t>
      </w:r>
    </w:p>
    <w:p w:rsidR="007B09CA" w:rsidRDefault="007B09CA" w:rsidP="008B3934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D3BA3" w:rsidRDefault="009D3BA3" w:rsidP="008B3934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B09CA" w:rsidRDefault="007B09CA" w:rsidP="008B3934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679B0" w:rsidRPr="007B09CA" w:rsidRDefault="00B679B0" w:rsidP="007B09CA">
      <w:pPr>
        <w:spacing w:after="80" w:line="24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7B09CA">
        <w:rPr>
          <w:rFonts w:ascii="Times New Roman" w:hAnsi="Times New Roman" w:cs="Times New Roman"/>
          <w:sz w:val="20"/>
          <w:szCs w:val="20"/>
        </w:rPr>
        <w:lastRenderedPageBreak/>
        <w:t>Table 3</w:t>
      </w:r>
      <w:r w:rsidR="007B09CA" w:rsidRPr="007B09C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B09C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B3934">
        <w:rPr>
          <w:rFonts w:ascii="Times New Roman" w:hAnsi="Times New Roman" w:cs="Times New Roman"/>
          <w:sz w:val="20"/>
          <w:szCs w:val="20"/>
        </w:rPr>
        <w:t>The estimated ARDL approach for Jordanian import demand function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2268"/>
      </w:tblGrid>
      <w:tr w:rsidR="0098181C" w:rsidRPr="008B3934" w:rsidTr="00B13292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81C" w:rsidRPr="008B3934" w:rsidRDefault="0098181C" w:rsidP="008A03F3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81C" w:rsidRPr="008B3934" w:rsidRDefault="0098181C" w:rsidP="008A03F3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Coefficient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181C" w:rsidRPr="008B3934" w:rsidRDefault="0098181C" w:rsidP="008A03F3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t-statistics</w:t>
            </w:r>
          </w:p>
        </w:tc>
      </w:tr>
      <w:tr w:rsidR="0098181C" w:rsidRPr="008B3934" w:rsidTr="00003D88"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98181C" w:rsidRPr="008B3934" w:rsidRDefault="0098181C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8181C" w:rsidRPr="008B3934" w:rsidRDefault="000233D4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 w:rsidR="00B679B0" w:rsidRPr="003256AF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8181C" w:rsidRPr="008B3934" w:rsidRDefault="00CA2D9A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</w:p>
        </w:tc>
      </w:tr>
      <w:tr w:rsidR="00CA2D9A" w:rsidRPr="008B3934" w:rsidTr="00003D88">
        <w:tc>
          <w:tcPr>
            <w:tcW w:w="2977" w:type="dxa"/>
            <w:vAlign w:val="center"/>
          </w:tcPr>
          <w:p w:rsidR="00CA2D9A" w:rsidRPr="008B3934" w:rsidRDefault="00CA2D9A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C2E1C" w:rsidRPr="008B3934">
              <w:rPr>
                <w:rFonts w:ascii="Times New Roman" w:hAnsi="Times New Roman" w:cs="Times New Roman"/>
                <w:sz w:val="20"/>
                <w:szCs w:val="20"/>
              </w:rPr>
              <w:t>og</w:t>
            </w: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B393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t-1</w:t>
            </w:r>
          </w:p>
        </w:tc>
        <w:tc>
          <w:tcPr>
            <w:tcW w:w="3402" w:type="dxa"/>
            <w:vAlign w:val="center"/>
          </w:tcPr>
          <w:p w:rsidR="00CA2D9A" w:rsidRPr="008B3934" w:rsidRDefault="00CA2D9A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  <w:r w:rsidRPr="003256AF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vAlign w:val="center"/>
          </w:tcPr>
          <w:p w:rsidR="00CA2D9A" w:rsidRPr="008B3934" w:rsidRDefault="00CA2D9A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</w:tr>
      <w:tr w:rsidR="0098181C" w:rsidRPr="008B3934" w:rsidTr="00003D88">
        <w:tc>
          <w:tcPr>
            <w:tcW w:w="2977" w:type="dxa"/>
            <w:vAlign w:val="center"/>
          </w:tcPr>
          <w:p w:rsidR="0098181C" w:rsidRPr="008B3934" w:rsidRDefault="00B679B0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LogY</w:t>
            </w:r>
            <w:r w:rsidRPr="008B393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t-1</w:t>
            </w:r>
          </w:p>
        </w:tc>
        <w:tc>
          <w:tcPr>
            <w:tcW w:w="3402" w:type="dxa"/>
            <w:vAlign w:val="center"/>
          </w:tcPr>
          <w:p w:rsidR="0098181C" w:rsidRPr="008B3934" w:rsidRDefault="00E41A0E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2268" w:type="dxa"/>
            <w:vAlign w:val="center"/>
          </w:tcPr>
          <w:p w:rsidR="0098181C" w:rsidRPr="008B3934" w:rsidRDefault="00E41A0E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</w:tr>
      <w:tr w:rsidR="0098181C" w:rsidRPr="008B3934" w:rsidTr="00003D88">
        <w:tc>
          <w:tcPr>
            <w:tcW w:w="2977" w:type="dxa"/>
            <w:vAlign w:val="center"/>
          </w:tcPr>
          <w:p w:rsidR="0098181C" w:rsidRPr="008B3934" w:rsidRDefault="00B679B0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LogMP</w:t>
            </w:r>
            <w:r w:rsidRPr="008B393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t-1</w:t>
            </w:r>
          </w:p>
        </w:tc>
        <w:tc>
          <w:tcPr>
            <w:tcW w:w="3402" w:type="dxa"/>
            <w:vAlign w:val="center"/>
          </w:tcPr>
          <w:p w:rsidR="0098181C" w:rsidRPr="008B3934" w:rsidRDefault="008B2E07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233D4" w:rsidRPr="008B3934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="00E41A0E" w:rsidRPr="008B39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41A0E" w:rsidRPr="003256AF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vAlign w:val="center"/>
          </w:tcPr>
          <w:p w:rsidR="0098181C" w:rsidRPr="008B3934" w:rsidRDefault="00E41A0E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-1.74</w:t>
            </w:r>
          </w:p>
        </w:tc>
      </w:tr>
      <w:tr w:rsidR="00B679B0" w:rsidRPr="008B3934" w:rsidTr="00003D88">
        <w:tc>
          <w:tcPr>
            <w:tcW w:w="2977" w:type="dxa"/>
            <w:vAlign w:val="center"/>
          </w:tcPr>
          <w:p w:rsidR="00B679B0" w:rsidRPr="008B3934" w:rsidRDefault="003E24C8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∆</w:t>
            </w:r>
            <w:proofErr w:type="spellStart"/>
            <w:r w:rsidR="00EF4769" w:rsidRPr="008B3934">
              <w:rPr>
                <w:rFonts w:ascii="Times New Roman" w:hAnsi="Times New Roman" w:cs="Times New Roman"/>
                <w:sz w:val="20"/>
                <w:szCs w:val="20"/>
              </w:rPr>
              <w:t>Log</w:t>
            </w: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B393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</w:p>
        </w:tc>
        <w:tc>
          <w:tcPr>
            <w:tcW w:w="3402" w:type="dxa"/>
            <w:vAlign w:val="center"/>
          </w:tcPr>
          <w:p w:rsidR="00B679B0" w:rsidRPr="008B3934" w:rsidRDefault="003E24C8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2268" w:type="dxa"/>
            <w:vAlign w:val="center"/>
          </w:tcPr>
          <w:p w:rsidR="00B679B0" w:rsidRPr="008B3934" w:rsidRDefault="003E24C8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</w:tr>
      <w:tr w:rsidR="00B679B0" w:rsidRPr="008B3934" w:rsidTr="00003D88">
        <w:tc>
          <w:tcPr>
            <w:tcW w:w="2977" w:type="dxa"/>
            <w:vAlign w:val="center"/>
          </w:tcPr>
          <w:p w:rsidR="00B679B0" w:rsidRPr="008B3934" w:rsidRDefault="003E24C8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∆</w:t>
            </w:r>
            <w:proofErr w:type="spellStart"/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LogMP</w:t>
            </w:r>
            <w:r w:rsidRPr="008B393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</w:p>
        </w:tc>
        <w:tc>
          <w:tcPr>
            <w:tcW w:w="3402" w:type="dxa"/>
            <w:vAlign w:val="center"/>
          </w:tcPr>
          <w:p w:rsidR="00B679B0" w:rsidRPr="008B3934" w:rsidRDefault="008B2E07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24C8" w:rsidRPr="008B3934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  <w:r w:rsidR="003E24C8" w:rsidRPr="003256AF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268" w:type="dxa"/>
            <w:vAlign w:val="center"/>
          </w:tcPr>
          <w:p w:rsidR="00B679B0" w:rsidRPr="008B3934" w:rsidRDefault="006E6B33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24C8" w:rsidRPr="008B3934">
              <w:rPr>
                <w:rFonts w:ascii="Times New Roman" w:hAnsi="Times New Roman" w:cs="Times New Roman"/>
                <w:sz w:val="20"/>
                <w:szCs w:val="20"/>
              </w:rPr>
              <w:t>3.81</w:t>
            </w:r>
          </w:p>
        </w:tc>
      </w:tr>
      <w:tr w:rsidR="00B679B0" w:rsidRPr="008B3934" w:rsidTr="00B13292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679B0" w:rsidRPr="008B3934" w:rsidRDefault="003E24C8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EcM</w:t>
            </w:r>
            <w:r w:rsidRPr="008B393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t-1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679B0" w:rsidRPr="008B3934" w:rsidRDefault="003E24C8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-0.67</w:t>
            </w:r>
            <w:r w:rsidRPr="003256AF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679B0" w:rsidRPr="008B3934" w:rsidRDefault="003E24C8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-4.20</w:t>
            </w:r>
          </w:p>
        </w:tc>
      </w:tr>
    </w:tbl>
    <w:p w:rsidR="00790ED6" w:rsidRPr="008B3934" w:rsidRDefault="00790ED6" w:rsidP="008B3934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81509">
        <w:rPr>
          <w:rFonts w:ascii="Times New Roman" w:hAnsi="Times New Roman" w:cs="Times New Roman"/>
          <w:i/>
          <w:iCs/>
          <w:sz w:val="20"/>
          <w:szCs w:val="20"/>
        </w:rPr>
        <w:t>Notes:</w:t>
      </w:r>
      <w:r w:rsidRPr="008B3934">
        <w:rPr>
          <w:rFonts w:ascii="Times New Roman" w:hAnsi="Times New Roman" w:cs="Times New Roman"/>
          <w:sz w:val="20"/>
          <w:szCs w:val="20"/>
        </w:rPr>
        <w:t xml:space="preserve"> (1) </w:t>
      </w:r>
      <w:r w:rsidRPr="003256AF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***</w:t>
      </w:r>
      <w:r w:rsidR="00463D4E" w:rsidRPr="003256AF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,*</w:t>
      </w:r>
      <w:r w:rsidRPr="008B3934">
        <w:rPr>
          <w:rFonts w:ascii="Times New Roman" w:hAnsi="Times New Roman" w:cs="Times New Roman"/>
          <w:sz w:val="20"/>
          <w:szCs w:val="20"/>
        </w:rPr>
        <w:t xml:space="preserve"> denote the significance at 1% </w:t>
      </w:r>
      <w:r w:rsidR="00463D4E" w:rsidRPr="008B3934">
        <w:rPr>
          <w:rFonts w:ascii="Times New Roman" w:hAnsi="Times New Roman" w:cs="Times New Roman"/>
          <w:sz w:val="20"/>
          <w:szCs w:val="20"/>
        </w:rPr>
        <w:t xml:space="preserve">and 5% </w:t>
      </w:r>
      <w:r w:rsidRPr="008B3934">
        <w:rPr>
          <w:rFonts w:ascii="Times New Roman" w:hAnsi="Times New Roman" w:cs="Times New Roman"/>
          <w:sz w:val="20"/>
          <w:szCs w:val="20"/>
        </w:rPr>
        <w:t>level</w:t>
      </w:r>
      <w:r w:rsidR="00463D4E" w:rsidRPr="008B3934">
        <w:rPr>
          <w:rFonts w:ascii="Times New Roman" w:hAnsi="Times New Roman" w:cs="Times New Roman"/>
          <w:sz w:val="20"/>
          <w:szCs w:val="20"/>
        </w:rPr>
        <w:t xml:space="preserve">s, respectively. </w:t>
      </w:r>
    </w:p>
    <w:p w:rsidR="000603DD" w:rsidRPr="008B3934" w:rsidRDefault="00790ED6" w:rsidP="008B3934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B3934">
        <w:rPr>
          <w:rFonts w:ascii="Times New Roman" w:hAnsi="Times New Roman" w:cs="Times New Roman"/>
          <w:sz w:val="20"/>
          <w:szCs w:val="20"/>
        </w:rPr>
        <w:t xml:space="preserve">           (2) The dependent variable is ∆</w:t>
      </w:r>
      <w:proofErr w:type="spellStart"/>
      <w:r w:rsidRPr="008B3934">
        <w:rPr>
          <w:rFonts w:ascii="Times New Roman" w:hAnsi="Times New Roman" w:cs="Times New Roman"/>
          <w:sz w:val="20"/>
          <w:szCs w:val="20"/>
        </w:rPr>
        <w:t>LogM</w:t>
      </w:r>
      <w:r w:rsidRPr="008B3934">
        <w:rPr>
          <w:rFonts w:ascii="Times New Roman" w:hAnsi="Times New Roman" w:cs="Times New Roman"/>
          <w:sz w:val="20"/>
          <w:szCs w:val="20"/>
          <w:vertAlign w:val="subscript"/>
        </w:rPr>
        <w:t>t</w:t>
      </w:r>
      <w:proofErr w:type="spellEnd"/>
      <w:r w:rsidRPr="008B3934">
        <w:rPr>
          <w:rFonts w:ascii="Times New Roman" w:hAnsi="Times New Roman" w:cs="Times New Roman"/>
          <w:sz w:val="20"/>
          <w:szCs w:val="20"/>
        </w:rPr>
        <w:t>.</w:t>
      </w:r>
    </w:p>
    <w:p w:rsidR="00790ED6" w:rsidRPr="008B3934" w:rsidRDefault="00790ED6" w:rsidP="008B3934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B3934">
        <w:rPr>
          <w:rFonts w:ascii="Times New Roman" w:hAnsi="Times New Roman" w:cs="Times New Roman"/>
          <w:sz w:val="20"/>
          <w:szCs w:val="20"/>
        </w:rPr>
        <w:t xml:space="preserve">           (3) Sample: 1980−2012 included 33 observations.</w:t>
      </w:r>
    </w:p>
    <w:p w:rsidR="00790ED6" w:rsidRPr="008B3934" w:rsidRDefault="00790ED6" w:rsidP="008B3934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B3934">
        <w:rPr>
          <w:rFonts w:ascii="Times New Roman" w:hAnsi="Times New Roman" w:cs="Times New Roman"/>
          <w:sz w:val="20"/>
          <w:szCs w:val="20"/>
        </w:rPr>
        <w:t xml:space="preserve">           (4) Durbin-Watson statistics value: 1.57</w:t>
      </w:r>
    </w:p>
    <w:p w:rsidR="00790ED6" w:rsidRPr="008B3934" w:rsidRDefault="00790ED6" w:rsidP="008B3BE5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B3934">
        <w:rPr>
          <w:rFonts w:ascii="Times New Roman" w:hAnsi="Times New Roman" w:cs="Times New Roman"/>
          <w:sz w:val="20"/>
          <w:szCs w:val="20"/>
        </w:rPr>
        <w:t xml:space="preserve">           (5) F-statistics value: 6.17 (</w:t>
      </w:r>
      <w:r w:rsidR="008B3BE5">
        <w:rPr>
          <w:rFonts w:ascii="Times New Roman" w:hAnsi="Times New Roman" w:cs="Times New Roman"/>
          <w:sz w:val="20"/>
          <w:szCs w:val="20"/>
        </w:rPr>
        <w:t>p</w:t>
      </w:r>
      <w:r w:rsidRPr="008B3934">
        <w:rPr>
          <w:rFonts w:ascii="Times New Roman" w:hAnsi="Times New Roman" w:cs="Times New Roman"/>
          <w:sz w:val="20"/>
          <w:szCs w:val="20"/>
        </w:rPr>
        <w:t>-value: 0.00).</w:t>
      </w:r>
    </w:p>
    <w:p w:rsidR="0070289F" w:rsidRDefault="0070289F" w:rsidP="008B3934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B3934">
        <w:rPr>
          <w:rFonts w:ascii="Times New Roman" w:hAnsi="Times New Roman" w:cs="Times New Roman"/>
          <w:sz w:val="20"/>
          <w:szCs w:val="20"/>
        </w:rPr>
        <w:t xml:space="preserve">Source: Micro-Fit econometrics software package. </w:t>
      </w:r>
    </w:p>
    <w:p w:rsidR="007B09CA" w:rsidRPr="008B3934" w:rsidRDefault="007B09CA" w:rsidP="008B3934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A03F3" w:rsidRDefault="007C2122" w:rsidP="008B3934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B3934">
        <w:rPr>
          <w:rFonts w:ascii="Times New Roman" w:hAnsi="Times New Roman" w:cs="Times New Roman"/>
          <w:sz w:val="20"/>
          <w:szCs w:val="20"/>
        </w:rPr>
        <w:t xml:space="preserve">To ascertain the existence of a long-run relationship or co-integration among the variables, the bounds F-statistics test is employed under the ARDL approach framework. However, the results of the bounds F-statistics test </w:t>
      </w:r>
      <w:r w:rsidR="00C45840">
        <w:rPr>
          <w:rFonts w:ascii="Times New Roman" w:hAnsi="Times New Roman" w:cs="Times New Roman"/>
          <w:sz w:val="20"/>
          <w:szCs w:val="20"/>
        </w:rPr>
        <w:t xml:space="preserve">(Table 4) </w:t>
      </w:r>
      <w:r w:rsidRPr="008B3934">
        <w:rPr>
          <w:rFonts w:ascii="Times New Roman" w:hAnsi="Times New Roman" w:cs="Times New Roman"/>
          <w:sz w:val="20"/>
          <w:szCs w:val="20"/>
        </w:rPr>
        <w:t>show that the computed F-statistics value (</w:t>
      </w:r>
      <w:r w:rsidR="00162840" w:rsidRPr="008B3934">
        <w:rPr>
          <w:rFonts w:ascii="Times New Roman" w:hAnsi="Times New Roman" w:cs="Times New Roman"/>
          <w:sz w:val="20"/>
          <w:szCs w:val="20"/>
        </w:rPr>
        <w:t>6.55</w:t>
      </w:r>
      <w:r w:rsidRPr="008B3934">
        <w:rPr>
          <w:rFonts w:ascii="Times New Roman" w:hAnsi="Times New Roman" w:cs="Times New Roman"/>
          <w:sz w:val="20"/>
          <w:szCs w:val="20"/>
        </w:rPr>
        <w:t>) exceeds the bounds F-statistics critical value (</w:t>
      </w:r>
      <w:r w:rsidR="00162840" w:rsidRPr="008B3934">
        <w:rPr>
          <w:rFonts w:ascii="Times New Roman" w:hAnsi="Times New Roman" w:cs="Times New Roman"/>
          <w:sz w:val="20"/>
          <w:szCs w:val="20"/>
        </w:rPr>
        <w:t>5.82</w:t>
      </w:r>
      <w:r w:rsidR="00CD20C6">
        <w:rPr>
          <w:rFonts w:ascii="Times New Roman" w:hAnsi="Times New Roman" w:cs="Times New Roman"/>
          <w:sz w:val="20"/>
          <w:szCs w:val="20"/>
        </w:rPr>
        <w:t xml:space="preserve">) at the 1% </w:t>
      </w:r>
      <w:r w:rsidR="00162840" w:rsidRPr="008B3934">
        <w:rPr>
          <w:rFonts w:ascii="Times New Roman" w:hAnsi="Times New Roman" w:cs="Times New Roman"/>
          <w:sz w:val="20"/>
          <w:szCs w:val="20"/>
        </w:rPr>
        <w:t>significance level. This implies that volume of imports and its determinants (i.e., national income and relative price) are co-integrated or co-moving.</w:t>
      </w:r>
    </w:p>
    <w:p w:rsidR="007C2122" w:rsidRPr="008B3934" w:rsidRDefault="00162840" w:rsidP="008B3934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B393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D6C57" w:rsidRPr="008B3934" w:rsidRDefault="005D6C57" w:rsidP="00C45840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B3934">
        <w:rPr>
          <w:rFonts w:ascii="Times New Roman" w:hAnsi="Times New Roman" w:cs="Times New Roman"/>
          <w:sz w:val="20"/>
          <w:szCs w:val="20"/>
        </w:rPr>
        <w:t xml:space="preserve">Table </w:t>
      </w:r>
      <w:r w:rsidR="00C45840">
        <w:rPr>
          <w:rFonts w:ascii="Times New Roman" w:hAnsi="Times New Roman" w:cs="Times New Roman"/>
          <w:sz w:val="20"/>
          <w:szCs w:val="20"/>
        </w:rPr>
        <w:t>4</w:t>
      </w:r>
      <w:r w:rsidRPr="008B393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B3934">
        <w:rPr>
          <w:rFonts w:ascii="Times New Roman" w:hAnsi="Times New Roman" w:cs="Times New Roman"/>
          <w:sz w:val="20"/>
          <w:szCs w:val="20"/>
        </w:rPr>
        <w:t xml:space="preserve"> Co-integration test results</w:t>
      </w: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2508"/>
        <w:gridCol w:w="646"/>
        <w:gridCol w:w="646"/>
        <w:gridCol w:w="646"/>
        <w:gridCol w:w="646"/>
        <w:gridCol w:w="645"/>
        <w:gridCol w:w="646"/>
      </w:tblGrid>
      <w:tr w:rsidR="005D6C57" w:rsidRPr="008B3934" w:rsidTr="00B13292">
        <w:trPr>
          <w:trHeight w:val="253"/>
          <w:jc w:val="center"/>
        </w:trPr>
        <w:tc>
          <w:tcPr>
            <w:tcW w:w="2645" w:type="dxa"/>
            <w:tcBorders>
              <w:top w:val="single" w:sz="4" w:space="0" w:color="auto"/>
              <w:bottom w:val="single" w:sz="2" w:space="0" w:color="auto"/>
            </w:tcBorders>
          </w:tcPr>
          <w:p w:rsidR="005D6C57" w:rsidRPr="008B3934" w:rsidRDefault="005D6C57" w:rsidP="008B3934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Function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D6C57" w:rsidRPr="008B3934" w:rsidRDefault="005D6C57" w:rsidP="008B3934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Computed F-statistics value</w:t>
            </w:r>
          </w:p>
        </w:tc>
        <w:tc>
          <w:tcPr>
            <w:tcW w:w="3966" w:type="dxa"/>
            <w:gridSpan w:val="6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D6C57" w:rsidRPr="008B3934" w:rsidRDefault="005D6C57" w:rsidP="008B3934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Tabulated F-statistics values</w:t>
            </w:r>
          </w:p>
        </w:tc>
      </w:tr>
      <w:tr w:rsidR="001F4ACC" w:rsidRPr="008B3934" w:rsidTr="0063212F">
        <w:trPr>
          <w:trHeight w:val="253"/>
          <w:jc w:val="center"/>
        </w:trPr>
        <w:tc>
          <w:tcPr>
            <w:tcW w:w="2645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C57" w:rsidRPr="008B3934" w:rsidRDefault="005D6C57" w:rsidP="008B3934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LogM</w:t>
            </w:r>
            <w:r w:rsidRPr="008B393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t-1</w:t>
            </w:r>
            <w:r w:rsidRPr="008B3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ƒ (</w:t>
            </w: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LogY</w:t>
            </w:r>
            <w:r w:rsidRPr="008B393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t-1</w:t>
            </w:r>
            <w:r w:rsidRPr="008B3934">
              <w:rPr>
                <w:rFonts w:ascii="Times New Roman" w:hAnsi="Times New Roman" w:cs="Times New Roman"/>
                <w:sz w:val="20"/>
                <w:szCs w:val="20"/>
              </w:rPr>
              <w:t>, LogMP</w:t>
            </w:r>
            <w:r w:rsidRPr="008B393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t-1</w:t>
            </w:r>
            <w:r w:rsidRPr="008B3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</w:p>
        </w:tc>
        <w:tc>
          <w:tcPr>
            <w:tcW w:w="2791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C57" w:rsidRPr="008B3934" w:rsidRDefault="005D6C57" w:rsidP="008B3934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6.55</w:t>
            </w:r>
            <w:r w:rsidRPr="008B3934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val="en-US"/>
              </w:rPr>
              <w:t>*</w:t>
            </w:r>
          </w:p>
          <w:p w:rsidR="00784178" w:rsidRPr="008B3934" w:rsidRDefault="00784178" w:rsidP="008B3934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(Lag structure, h = 2)</w:t>
            </w:r>
          </w:p>
        </w:tc>
        <w:tc>
          <w:tcPr>
            <w:tcW w:w="132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C57" w:rsidRPr="008B3934" w:rsidRDefault="005D6C57" w:rsidP="008B3934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1%</w:t>
            </w:r>
          </w:p>
        </w:tc>
        <w:tc>
          <w:tcPr>
            <w:tcW w:w="132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C57" w:rsidRPr="008B3934" w:rsidRDefault="005D6C57" w:rsidP="008B3934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132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6C57" w:rsidRPr="008B3934" w:rsidRDefault="005D6C57" w:rsidP="008B3934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10%</w:t>
            </w:r>
          </w:p>
        </w:tc>
      </w:tr>
      <w:tr w:rsidR="001F4ACC" w:rsidRPr="008B3934" w:rsidTr="0063212F">
        <w:trPr>
          <w:trHeight w:val="162"/>
          <w:jc w:val="center"/>
        </w:trPr>
        <w:tc>
          <w:tcPr>
            <w:tcW w:w="2645" w:type="dxa"/>
            <w:vMerge/>
            <w:tcBorders>
              <w:bottom w:val="single" w:sz="2" w:space="0" w:color="auto"/>
            </w:tcBorders>
          </w:tcPr>
          <w:p w:rsidR="005D6C57" w:rsidRPr="008B3934" w:rsidRDefault="005D6C57" w:rsidP="008B3934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91" w:type="dxa"/>
            <w:vMerge/>
            <w:tcBorders>
              <w:bottom w:val="single" w:sz="2" w:space="0" w:color="auto"/>
            </w:tcBorders>
          </w:tcPr>
          <w:p w:rsidR="005D6C57" w:rsidRPr="008B3934" w:rsidRDefault="005D6C57" w:rsidP="008B3934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</w:tcBorders>
          </w:tcPr>
          <w:p w:rsidR="005D6C57" w:rsidRPr="008B3934" w:rsidRDefault="005D6C57" w:rsidP="008B3934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I(1)</w:t>
            </w: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</w:tcBorders>
          </w:tcPr>
          <w:p w:rsidR="005D6C57" w:rsidRPr="008B3934" w:rsidRDefault="005D6C57" w:rsidP="008B3934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I(0)</w:t>
            </w: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</w:tcBorders>
          </w:tcPr>
          <w:p w:rsidR="005D6C57" w:rsidRPr="008B3934" w:rsidRDefault="005D6C57" w:rsidP="008B3934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I(1)</w:t>
            </w: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</w:tcBorders>
          </w:tcPr>
          <w:p w:rsidR="005D6C57" w:rsidRPr="008B3934" w:rsidRDefault="005D6C57" w:rsidP="008B3934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I(0)</w:t>
            </w:r>
          </w:p>
        </w:tc>
        <w:tc>
          <w:tcPr>
            <w:tcW w:w="660" w:type="dxa"/>
            <w:tcBorders>
              <w:top w:val="single" w:sz="2" w:space="0" w:color="auto"/>
              <w:bottom w:val="single" w:sz="2" w:space="0" w:color="auto"/>
            </w:tcBorders>
          </w:tcPr>
          <w:p w:rsidR="005D6C57" w:rsidRPr="008B3934" w:rsidRDefault="005D6C57" w:rsidP="008B3934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I(1)</w:t>
            </w:r>
          </w:p>
        </w:tc>
        <w:tc>
          <w:tcPr>
            <w:tcW w:w="661" w:type="dxa"/>
            <w:tcBorders>
              <w:top w:val="single" w:sz="2" w:space="0" w:color="auto"/>
              <w:bottom w:val="single" w:sz="2" w:space="0" w:color="auto"/>
            </w:tcBorders>
          </w:tcPr>
          <w:p w:rsidR="005D6C57" w:rsidRPr="008B3934" w:rsidRDefault="005D6C57" w:rsidP="008B3934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I(0)</w:t>
            </w:r>
          </w:p>
        </w:tc>
      </w:tr>
      <w:tr w:rsidR="001F4ACC" w:rsidRPr="008B3934" w:rsidTr="00B13292">
        <w:trPr>
          <w:trHeight w:val="162"/>
          <w:jc w:val="center"/>
        </w:trPr>
        <w:tc>
          <w:tcPr>
            <w:tcW w:w="2645" w:type="dxa"/>
            <w:vMerge/>
            <w:tcBorders>
              <w:bottom w:val="single" w:sz="4" w:space="0" w:color="auto"/>
            </w:tcBorders>
          </w:tcPr>
          <w:p w:rsidR="005D6C57" w:rsidRPr="008B3934" w:rsidRDefault="005D6C57" w:rsidP="008B3934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91" w:type="dxa"/>
            <w:vMerge/>
            <w:tcBorders>
              <w:bottom w:val="single" w:sz="4" w:space="0" w:color="auto"/>
            </w:tcBorders>
          </w:tcPr>
          <w:p w:rsidR="005D6C57" w:rsidRPr="008B3934" w:rsidRDefault="005D6C57" w:rsidP="008B3934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" w:type="dxa"/>
            <w:tcBorders>
              <w:top w:val="single" w:sz="2" w:space="0" w:color="auto"/>
              <w:bottom w:val="single" w:sz="4" w:space="0" w:color="auto"/>
            </w:tcBorders>
          </w:tcPr>
          <w:p w:rsidR="005D6C57" w:rsidRPr="008B3934" w:rsidRDefault="001F4ACC" w:rsidP="008B3934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5.82</w:t>
            </w:r>
          </w:p>
        </w:tc>
        <w:tc>
          <w:tcPr>
            <w:tcW w:w="661" w:type="dxa"/>
            <w:tcBorders>
              <w:top w:val="single" w:sz="2" w:space="0" w:color="auto"/>
              <w:bottom w:val="single" w:sz="4" w:space="0" w:color="auto"/>
            </w:tcBorders>
          </w:tcPr>
          <w:p w:rsidR="005D6C57" w:rsidRPr="008B3934" w:rsidRDefault="001F4ACC" w:rsidP="008B3934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4.43</w:t>
            </w:r>
          </w:p>
        </w:tc>
        <w:tc>
          <w:tcPr>
            <w:tcW w:w="661" w:type="dxa"/>
            <w:tcBorders>
              <w:top w:val="single" w:sz="2" w:space="0" w:color="auto"/>
              <w:bottom w:val="single" w:sz="4" w:space="0" w:color="auto"/>
            </w:tcBorders>
          </w:tcPr>
          <w:p w:rsidR="005D6C57" w:rsidRPr="008B3934" w:rsidRDefault="001F4ACC" w:rsidP="008B3934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4.19</w:t>
            </w:r>
          </w:p>
        </w:tc>
        <w:tc>
          <w:tcPr>
            <w:tcW w:w="661" w:type="dxa"/>
            <w:tcBorders>
              <w:top w:val="single" w:sz="2" w:space="0" w:color="auto"/>
              <w:bottom w:val="single" w:sz="4" w:space="0" w:color="auto"/>
            </w:tcBorders>
          </w:tcPr>
          <w:p w:rsidR="005D6C57" w:rsidRPr="008B3934" w:rsidRDefault="001F4ACC" w:rsidP="008B3934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3.16</w:t>
            </w:r>
          </w:p>
        </w:tc>
        <w:tc>
          <w:tcPr>
            <w:tcW w:w="660" w:type="dxa"/>
            <w:tcBorders>
              <w:top w:val="single" w:sz="2" w:space="0" w:color="auto"/>
              <w:bottom w:val="single" w:sz="4" w:space="0" w:color="auto"/>
            </w:tcBorders>
          </w:tcPr>
          <w:p w:rsidR="005D6C57" w:rsidRPr="008B3934" w:rsidRDefault="001F4ACC" w:rsidP="008B3934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3.53</w:t>
            </w:r>
          </w:p>
        </w:tc>
        <w:tc>
          <w:tcPr>
            <w:tcW w:w="661" w:type="dxa"/>
            <w:tcBorders>
              <w:top w:val="single" w:sz="2" w:space="0" w:color="auto"/>
              <w:bottom w:val="single" w:sz="4" w:space="0" w:color="auto"/>
            </w:tcBorders>
          </w:tcPr>
          <w:p w:rsidR="005D6C57" w:rsidRPr="008B3934" w:rsidRDefault="001F4ACC" w:rsidP="008B3934">
            <w:pPr>
              <w:spacing w:after="8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3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2.62</w:t>
            </w:r>
          </w:p>
        </w:tc>
      </w:tr>
    </w:tbl>
    <w:p w:rsidR="005D6C57" w:rsidRPr="008B3934" w:rsidRDefault="005D6C57" w:rsidP="008B3934">
      <w:pPr>
        <w:spacing w:after="80" w:line="240" w:lineRule="exact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8B3934">
        <w:rPr>
          <w:rFonts w:ascii="Times New Roman" w:hAnsi="Times New Roman" w:cs="Times New Roman"/>
          <w:i/>
          <w:iCs/>
          <w:sz w:val="20"/>
          <w:szCs w:val="20"/>
        </w:rPr>
        <w:t>Notes</w:t>
      </w:r>
      <w:r w:rsidRPr="008B3934">
        <w:rPr>
          <w:rFonts w:ascii="Times New Roman" w:hAnsi="Times New Roman" w:cs="Times New Roman"/>
          <w:sz w:val="20"/>
          <w:szCs w:val="20"/>
        </w:rPr>
        <w:t>: (1) The tabulated F-statistics values were retrieved from Narayan (2005, Case II: restricted intercept and no trend, p. 1987).</w:t>
      </w:r>
    </w:p>
    <w:p w:rsidR="005D6C57" w:rsidRPr="008B3934" w:rsidRDefault="005D6C57" w:rsidP="008B3934">
      <w:pPr>
        <w:spacing w:after="80" w:line="240" w:lineRule="exact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8B3934">
        <w:rPr>
          <w:rFonts w:ascii="Times New Roman" w:hAnsi="Times New Roman" w:cs="Times New Roman"/>
          <w:sz w:val="20"/>
          <w:szCs w:val="20"/>
        </w:rPr>
        <w:t xml:space="preserve">            (2) </w:t>
      </w:r>
      <w:r w:rsidRPr="008B3934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*</w:t>
      </w:r>
      <w:r w:rsidRPr="008B3934">
        <w:rPr>
          <w:rFonts w:ascii="Times New Roman" w:hAnsi="Times New Roman" w:cs="Times New Roman"/>
          <w:sz w:val="20"/>
          <w:szCs w:val="20"/>
        </w:rPr>
        <w:t xml:space="preserve"> denotes the significance at 1% level.  </w:t>
      </w:r>
    </w:p>
    <w:p w:rsidR="005D6C57" w:rsidRPr="008B3934" w:rsidRDefault="005D6C57" w:rsidP="008B3934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81509">
        <w:rPr>
          <w:rFonts w:ascii="Times New Roman" w:hAnsi="Times New Roman" w:cs="Times New Roman"/>
          <w:sz w:val="20"/>
          <w:szCs w:val="20"/>
        </w:rPr>
        <w:t>Source:</w:t>
      </w:r>
      <w:r w:rsidRPr="008B3934">
        <w:rPr>
          <w:rFonts w:ascii="Times New Roman" w:hAnsi="Times New Roman" w:cs="Times New Roman"/>
          <w:sz w:val="20"/>
          <w:szCs w:val="20"/>
        </w:rPr>
        <w:t xml:space="preserve"> The computed F-statistic value was obtained from Micro−Fit software package (version 5.1).</w:t>
      </w:r>
    </w:p>
    <w:p w:rsidR="007C2122" w:rsidRPr="008B3934" w:rsidRDefault="007C2122" w:rsidP="008B3934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009E3" w:rsidRPr="008B3934" w:rsidRDefault="00CA658C" w:rsidP="008B3934">
      <w:pPr>
        <w:spacing w:after="80" w:line="24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3934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0009E3" w:rsidRPr="008B3934">
        <w:rPr>
          <w:rFonts w:ascii="Times New Roman" w:hAnsi="Times New Roman" w:cs="Times New Roman"/>
          <w:b/>
          <w:bCs/>
          <w:sz w:val="20"/>
          <w:szCs w:val="20"/>
        </w:rPr>
        <w:t>Concluding comments</w:t>
      </w:r>
    </w:p>
    <w:p w:rsidR="00F90D07" w:rsidRPr="008B3934" w:rsidRDefault="0030450B" w:rsidP="00AA1BBF">
      <w:pPr>
        <w:spacing w:after="8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B3934">
        <w:rPr>
          <w:rFonts w:ascii="Times New Roman" w:hAnsi="Times New Roman" w:cs="Times New Roman"/>
          <w:sz w:val="20"/>
          <w:szCs w:val="20"/>
        </w:rPr>
        <w:t xml:space="preserve">The </w:t>
      </w:r>
      <w:r w:rsidR="00AA1BBF">
        <w:rPr>
          <w:rFonts w:ascii="Times New Roman" w:hAnsi="Times New Roman" w:cs="Times New Roman"/>
          <w:sz w:val="20"/>
          <w:szCs w:val="20"/>
        </w:rPr>
        <w:t xml:space="preserve">main objective </w:t>
      </w:r>
      <w:r w:rsidRPr="008B3934">
        <w:rPr>
          <w:rFonts w:ascii="Times New Roman" w:hAnsi="Times New Roman" w:cs="Times New Roman"/>
          <w:sz w:val="20"/>
          <w:szCs w:val="20"/>
        </w:rPr>
        <w:t>of this article is to reexamine the Jordanian import demand function over the (1980−2012) period using a more robust estimation m</w:t>
      </w:r>
      <w:r w:rsidR="007804C8" w:rsidRPr="008B3934">
        <w:rPr>
          <w:rFonts w:ascii="Times New Roman" w:hAnsi="Times New Roman" w:cs="Times New Roman"/>
          <w:sz w:val="20"/>
          <w:szCs w:val="20"/>
        </w:rPr>
        <w:t xml:space="preserve">odel, namely the ARDL approach. The results of bounds F-statistics test </w:t>
      </w:r>
      <w:r w:rsidR="00DA6979" w:rsidRPr="008B3934">
        <w:rPr>
          <w:rFonts w:ascii="Times New Roman" w:hAnsi="Times New Roman" w:cs="Times New Roman"/>
          <w:sz w:val="20"/>
          <w:szCs w:val="20"/>
        </w:rPr>
        <w:t>disclose</w:t>
      </w:r>
      <w:r w:rsidR="007804C8" w:rsidRPr="008B3934">
        <w:rPr>
          <w:rFonts w:ascii="Times New Roman" w:hAnsi="Times New Roman" w:cs="Times New Roman"/>
          <w:sz w:val="20"/>
          <w:szCs w:val="20"/>
        </w:rPr>
        <w:t xml:space="preserve"> that the import volume and its determinants</w:t>
      </w:r>
      <w:r w:rsidR="00A81CA4">
        <w:rPr>
          <w:rFonts w:ascii="Times New Roman" w:hAnsi="Times New Roman" w:cs="Times New Roman"/>
          <w:sz w:val="20"/>
          <w:szCs w:val="20"/>
        </w:rPr>
        <w:t xml:space="preserve"> are co-integrated. The findings </w:t>
      </w:r>
      <w:r w:rsidR="007804C8" w:rsidRPr="008B3934">
        <w:rPr>
          <w:rFonts w:ascii="Times New Roman" w:hAnsi="Times New Roman" w:cs="Times New Roman"/>
          <w:sz w:val="20"/>
          <w:szCs w:val="20"/>
        </w:rPr>
        <w:t xml:space="preserve">of estimated long-run </w:t>
      </w:r>
      <w:r w:rsidR="00E53F3C" w:rsidRPr="008B3934">
        <w:rPr>
          <w:rFonts w:ascii="Times New Roman" w:hAnsi="Times New Roman" w:cs="Times New Roman"/>
          <w:sz w:val="20"/>
          <w:szCs w:val="20"/>
        </w:rPr>
        <w:t>elasticity</w:t>
      </w:r>
      <w:r w:rsidR="007804C8" w:rsidRPr="008B3934">
        <w:rPr>
          <w:rFonts w:ascii="Times New Roman" w:hAnsi="Times New Roman" w:cs="Times New Roman"/>
          <w:sz w:val="20"/>
          <w:szCs w:val="20"/>
        </w:rPr>
        <w:t xml:space="preserve"> for income and relative prices are </w:t>
      </w:r>
      <w:r w:rsidR="00E53F3C" w:rsidRPr="008B3934">
        <w:rPr>
          <w:rFonts w:ascii="Times New Roman" w:hAnsi="Times New Roman" w:cs="Times New Roman"/>
          <w:sz w:val="20"/>
          <w:szCs w:val="20"/>
        </w:rPr>
        <w:t>1.16 and -1.03</w:t>
      </w:r>
      <w:r w:rsidR="007804C8" w:rsidRPr="008B3934">
        <w:rPr>
          <w:rFonts w:ascii="Times New Roman" w:hAnsi="Times New Roman" w:cs="Times New Roman"/>
          <w:sz w:val="20"/>
          <w:szCs w:val="20"/>
        </w:rPr>
        <w:t>, respectively. From the above conclusions, two</w:t>
      </w:r>
      <w:r w:rsidR="00E53F3C" w:rsidRPr="008B3934">
        <w:rPr>
          <w:rFonts w:ascii="Times New Roman" w:hAnsi="Times New Roman" w:cs="Times New Roman"/>
          <w:sz w:val="20"/>
          <w:szCs w:val="20"/>
        </w:rPr>
        <w:t xml:space="preserve"> poli</w:t>
      </w:r>
      <w:r w:rsidR="00D24762">
        <w:rPr>
          <w:rFonts w:ascii="Times New Roman" w:hAnsi="Times New Roman" w:cs="Times New Roman"/>
          <w:sz w:val="20"/>
          <w:szCs w:val="20"/>
        </w:rPr>
        <w:t>cy implications could be briefed</w:t>
      </w:r>
      <w:r w:rsidR="00E53F3C" w:rsidRPr="008B3934">
        <w:rPr>
          <w:rFonts w:ascii="Times New Roman" w:hAnsi="Times New Roman" w:cs="Times New Roman"/>
          <w:sz w:val="20"/>
          <w:szCs w:val="20"/>
        </w:rPr>
        <w:t xml:space="preserve">. First, the Marshall-Lerner condition is satisfied. That is, </w:t>
      </w:r>
      <w:r w:rsidR="00096B16" w:rsidRPr="008B3934">
        <w:rPr>
          <w:rFonts w:ascii="Times New Roman" w:hAnsi="Times New Roman" w:cs="Times New Roman"/>
          <w:sz w:val="20"/>
          <w:szCs w:val="20"/>
        </w:rPr>
        <w:t xml:space="preserve">Salvatore (1995, p.485) argued that </w:t>
      </w:r>
      <w:r w:rsidR="00E53F3C" w:rsidRPr="008B3934">
        <w:rPr>
          <w:rFonts w:ascii="Times New Roman" w:hAnsi="Times New Roman" w:cs="Times New Roman"/>
          <w:sz w:val="20"/>
          <w:szCs w:val="20"/>
        </w:rPr>
        <w:t xml:space="preserve">a stable foreign exchange market exists if the sum of price </w:t>
      </w:r>
      <w:proofErr w:type="spellStart"/>
      <w:r w:rsidR="00E53F3C" w:rsidRPr="008B3934">
        <w:rPr>
          <w:rFonts w:ascii="Times New Roman" w:hAnsi="Times New Roman" w:cs="Times New Roman"/>
          <w:sz w:val="20"/>
          <w:szCs w:val="20"/>
        </w:rPr>
        <w:t>elasticities</w:t>
      </w:r>
      <w:proofErr w:type="spellEnd"/>
      <w:r w:rsidR="00E53F3C" w:rsidRPr="008B3934">
        <w:rPr>
          <w:rFonts w:ascii="Times New Roman" w:hAnsi="Times New Roman" w:cs="Times New Roman"/>
          <w:sz w:val="20"/>
          <w:szCs w:val="20"/>
        </w:rPr>
        <w:t xml:space="preserve"> of demand for imports and exports, in absolute value</w:t>
      </w:r>
      <w:r w:rsidR="00096B16" w:rsidRPr="008B3934">
        <w:rPr>
          <w:rFonts w:ascii="Times New Roman" w:hAnsi="Times New Roman" w:cs="Times New Roman"/>
          <w:sz w:val="20"/>
          <w:szCs w:val="20"/>
        </w:rPr>
        <w:t xml:space="preserve">, is </w:t>
      </w:r>
      <w:r w:rsidR="0080323C" w:rsidRPr="008B3934">
        <w:rPr>
          <w:rFonts w:ascii="Times New Roman" w:hAnsi="Times New Roman" w:cs="Times New Roman"/>
          <w:sz w:val="20"/>
          <w:szCs w:val="20"/>
        </w:rPr>
        <w:t>larger</w:t>
      </w:r>
      <w:r w:rsidR="00096B16" w:rsidRPr="008B3934">
        <w:rPr>
          <w:rFonts w:ascii="Times New Roman" w:hAnsi="Times New Roman" w:cs="Times New Roman"/>
          <w:sz w:val="20"/>
          <w:szCs w:val="20"/>
        </w:rPr>
        <w:t xml:space="preserve"> than one. Second, based on the estimated relative price elasticity, the import volume is sensitive to the increases in domestic price levels. Therefore, any increase in domestic</w:t>
      </w:r>
      <w:r w:rsidR="000F3166" w:rsidRPr="008B3934">
        <w:rPr>
          <w:rFonts w:ascii="Times New Roman" w:hAnsi="Times New Roman" w:cs="Times New Roman"/>
          <w:sz w:val="20"/>
          <w:szCs w:val="20"/>
        </w:rPr>
        <w:t xml:space="preserve"> inflation rates would </w:t>
      </w:r>
      <w:r w:rsidR="0080323C" w:rsidRPr="008B3934">
        <w:rPr>
          <w:rFonts w:ascii="Times New Roman" w:hAnsi="Times New Roman" w:cs="Times New Roman"/>
          <w:sz w:val="20"/>
          <w:szCs w:val="20"/>
        </w:rPr>
        <w:t>generate</w:t>
      </w:r>
      <w:r w:rsidR="000F3166" w:rsidRPr="008B3934">
        <w:rPr>
          <w:rFonts w:ascii="Times New Roman" w:hAnsi="Times New Roman" w:cs="Times New Roman"/>
          <w:sz w:val="20"/>
          <w:szCs w:val="20"/>
        </w:rPr>
        <w:t xml:space="preserve"> a higher volume of imports. In this manner, the</w:t>
      </w:r>
      <w:r w:rsidR="0080323C">
        <w:rPr>
          <w:rFonts w:ascii="Times New Roman" w:hAnsi="Times New Roman" w:cs="Times New Roman"/>
          <w:sz w:val="20"/>
          <w:szCs w:val="20"/>
        </w:rPr>
        <w:t xml:space="preserve"> Jordanian policy makers ought to </w:t>
      </w:r>
      <w:r w:rsidR="000F3166" w:rsidRPr="008B3934">
        <w:rPr>
          <w:rFonts w:ascii="Times New Roman" w:hAnsi="Times New Roman" w:cs="Times New Roman"/>
          <w:sz w:val="20"/>
          <w:szCs w:val="20"/>
        </w:rPr>
        <w:t xml:space="preserve">employ </w:t>
      </w:r>
      <w:r w:rsidR="0080323C">
        <w:rPr>
          <w:rFonts w:ascii="Times New Roman" w:hAnsi="Times New Roman" w:cs="Times New Roman"/>
          <w:sz w:val="20"/>
          <w:szCs w:val="20"/>
        </w:rPr>
        <w:t xml:space="preserve">severe </w:t>
      </w:r>
      <w:r w:rsidR="000F3166" w:rsidRPr="008B3934">
        <w:rPr>
          <w:rFonts w:ascii="Times New Roman" w:hAnsi="Times New Roman" w:cs="Times New Roman"/>
          <w:sz w:val="20"/>
          <w:szCs w:val="20"/>
        </w:rPr>
        <w:t xml:space="preserve">fiscal and monetary policies to keep inflation at reasonable rates.  </w:t>
      </w:r>
      <w:r w:rsidR="00096B16" w:rsidRPr="008B3934">
        <w:rPr>
          <w:rFonts w:ascii="Times New Roman" w:hAnsi="Times New Roman" w:cs="Times New Roman"/>
          <w:sz w:val="20"/>
          <w:szCs w:val="20"/>
        </w:rPr>
        <w:t xml:space="preserve">  </w:t>
      </w:r>
      <w:r w:rsidR="00E53F3C" w:rsidRPr="008B3934">
        <w:rPr>
          <w:rFonts w:ascii="Times New Roman" w:hAnsi="Times New Roman" w:cs="Times New Roman"/>
          <w:sz w:val="20"/>
          <w:szCs w:val="20"/>
        </w:rPr>
        <w:t xml:space="preserve">  </w:t>
      </w:r>
      <w:r w:rsidR="007804C8" w:rsidRPr="008B393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6793B" w:rsidRPr="008B3934" w:rsidRDefault="0066793B" w:rsidP="008B3934">
      <w:pPr>
        <w:spacing w:after="80" w:line="24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3934">
        <w:rPr>
          <w:rFonts w:ascii="Times New Roman" w:hAnsi="Times New Roman" w:cs="Times New Roman"/>
          <w:b/>
          <w:bCs/>
          <w:sz w:val="20"/>
          <w:szCs w:val="20"/>
        </w:rPr>
        <w:lastRenderedPageBreak/>
        <w:t>References</w:t>
      </w:r>
    </w:p>
    <w:p w:rsidR="005C3515" w:rsidRPr="00F82B5F" w:rsidRDefault="005C3515" w:rsidP="008B3934">
      <w:pPr>
        <w:spacing w:after="80" w:line="240" w:lineRule="exact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82B5F">
        <w:rPr>
          <w:rFonts w:ascii="Times New Roman" w:hAnsi="Times New Roman" w:cs="Times New Roman"/>
          <w:sz w:val="20"/>
          <w:szCs w:val="20"/>
        </w:rPr>
        <w:t>Alam</w:t>
      </w:r>
      <w:proofErr w:type="spellEnd"/>
      <w:r w:rsidRPr="00F82B5F">
        <w:rPr>
          <w:rFonts w:ascii="Times New Roman" w:hAnsi="Times New Roman" w:cs="Times New Roman"/>
          <w:sz w:val="20"/>
          <w:szCs w:val="20"/>
        </w:rPr>
        <w:t>, S., &amp; Ahmed, Q.</w:t>
      </w:r>
      <w:r w:rsidR="00F82B5F" w:rsidRPr="00F82B5F">
        <w:rPr>
          <w:rFonts w:ascii="Times New Roman" w:hAnsi="Times New Roman" w:cs="Times New Roman"/>
          <w:sz w:val="20"/>
          <w:szCs w:val="20"/>
        </w:rPr>
        <w:t xml:space="preserve"> </w:t>
      </w:r>
      <w:r w:rsidRPr="00F82B5F">
        <w:rPr>
          <w:rFonts w:ascii="Times New Roman" w:hAnsi="Times New Roman" w:cs="Times New Roman"/>
          <w:sz w:val="20"/>
          <w:szCs w:val="20"/>
        </w:rPr>
        <w:t>M. (2010).</w:t>
      </w:r>
      <w:proofErr w:type="gramEnd"/>
      <w:r w:rsidRPr="00F82B5F">
        <w:rPr>
          <w:rFonts w:ascii="Times New Roman" w:hAnsi="Times New Roman" w:cs="Times New Roman"/>
          <w:sz w:val="20"/>
          <w:szCs w:val="20"/>
        </w:rPr>
        <w:t xml:space="preserve"> Exchange rate volatility and Pakistan’s import demand: An application of autoregressive distributed lag model. </w:t>
      </w:r>
      <w:r w:rsidRPr="00F82B5F">
        <w:rPr>
          <w:rFonts w:ascii="Times New Roman" w:hAnsi="Times New Roman" w:cs="Times New Roman"/>
          <w:i/>
          <w:iCs/>
          <w:sz w:val="20"/>
          <w:szCs w:val="20"/>
        </w:rPr>
        <w:t>International Research Journal of Finance and Economics, 48</w:t>
      </w:r>
      <w:r w:rsidRPr="00F82B5F">
        <w:rPr>
          <w:rFonts w:ascii="Times New Roman" w:hAnsi="Times New Roman" w:cs="Times New Roman"/>
          <w:sz w:val="20"/>
          <w:szCs w:val="20"/>
        </w:rPr>
        <w:t>, 7-23.</w:t>
      </w:r>
      <w:r w:rsidR="00A2086A">
        <w:rPr>
          <w:rFonts w:ascii="Times New Roman" w:hAnsi="Times New Roman" w:cs="Times New Roman"/>
          <w:sz w:val="20"/>
          <w:szCs w:val="20"/>
        </w:rPr>
        <w:t xml:space="preserve"> </w:t>
      </w:r>
      <w:r w:rsidR="00A2086A" w:rsidRPr="00A2086A">
        <w:rPr>
          <w:rFonts w:ascii="Times New Roman" w:hAnsi="Times New Roman" w:cs="Times New Roman"/>
          <w:sz w:val="20"/>
          <w:szCs w:val="20"/>
        </w:rPr>
        <w:t>https://www.researchgate.net/profile/Dr_Shaista_Alam/publication/216021234_5._Exchange_rate_volatility_and_Pakistans_Import_demand_An_Application_of_Autoregressive_Distributed_Lag_model/links/02bfe511016b5c2602000000.pdf</w:t>
      </w:r>
    </w:p>
    <w:p w:rsidR="005C3515" w:rsidRPr="00F82B5F" w:rsidRDefault="005C3515" w:rsidP="008B3934">
      <w:pPr>
        <w:tabs>
          <w:tab w:val="left" w:pos="-426"/>
          <w:tab w:val="left" w:pos="9360"/>
        </w:tabs>
        <w:spacing w:after="80" w:line="240" w:lineRule="exact"/>
        <w:ind w:left="1134" w:hanging="1134"/>
        <w:jc w:val="both"/>
        <w:rPr>
          <w:rFonts w:ascii="Times New Roman" w:eastAsiaTheme="minorEastAsia" w:hAnsi="Times New Roman" w:cs="Times New Roman"/>
          <w:sz w:val="20"/>
          <w:szCs w:val="20"/>
          <w:lang w:eastAsia="en-MY"/>
        </w:rPr>
      </w:pPr>
      <w:proofErr w:type="spellStart"/>
      <w:proofErr w:type="gramStart"/>
      <w:r w:rsidRPr="00F82B5F">
        <w:rPr>
          <w:rFonts w:ascii="Times New Roman" w:eastAsiaTheme="minorEastAsia" w:hAnsi="Times New Roman" w:cs="Times New Roman"/>
          <w:sz w:val="20"/>
          <w:szCs w:val="20"/>
          <w:lang w:eastAsia="en-MY"/>
        </w:rPr>
        <w:t>Almsafir</w:t>
      </w:r>
      <w:proofErr w:type="spellEnd"/>
      <w:r w:rsidRPr="00F82B5F">
        <w:rPr>
          <w:rFonts w:ascii="Times New Roman" w:eastAsiaTheme="minorEastAsia" w:hAnsi="Times New Roman" w:cs="Times New Roman"/>
          <w:sz w:val="20"/>
          <w:szCs w:val="20"/>
          <w:lang w:eastAsia="en-MY"/>
        </w:rPr>
        <w:t xml:space="preserve">, M. K., </w:t>
      </w:r>
      <w:r w:rsidRPr="00F82B5F">
        <w:rPr>
          <w:rFonts w:ascii="Times New Roman" w:hAnsi="Times New Roman" w:cs="Times New Roman"/>
          <w:sz w:val="20"/>
          <w:szCs w:val="20"/>
          <w:lang w:eastAsia="en-MY"/>
        </w:rPr>
        <w:t xml:space="preserve">Abdul </w:t>
      </w:r>
      <w:proofErr w:type="spellStart"/>
      <w:r w:rsidRPr="00F82B5F">
        <w:rPr>
          <w:rFonts w:ascii="Times New Roman" w:hAnsi="Times New Roman" w:cs="Times New Roman"/>
          <w:sz w:val="20"/>
          <w:szCs w:val="20"/>
          <w:lang w:eastAsia="en-MY"/>
        </w:rPr>
        <w:t>Latif</w:t>
      </w:r>
      <w:proofErr w:type="spellEnd"/>
      <w:r w:rsidRPr="00F82B5F">
        <w:rPr>
          <w:rFonts w:ascii="Times New Roman" w:hAnsi="Times New Roman" w:cs="Times New Roman"/>
          <w:sz w:val="20"/>
          <w:szCs w:val="20"/>
          <w:lang w:eastAsia="en-MY"/>
        </w:rPr>
        <w:t xml:space="preserve">, N. W. B., &amp; </w:t>
      </w:r>
      <w:proofErr w:type="spellStart"/>
      <w:r w:rsidRPr="00F82B5F">
        <w:rPr>
          <w:rFonts w:ascii="Times New Roman" w:hAnsi="Times New Roman" w:cs="Times New Roman"/>
          <w:sz w:val="20"/>
          <w:szCs w:val="20"/>
          <w:lang w:eastAsia="en-MY"/>
        </w:rPr>
        <w:t>Bekhet</w:t>
      </w:r>
      <w:proofErr w:type="spellEnd"/>
      <w:r w:rsidRPr="00F82B5F">
        <w:rPr>
          <w:rFonts w:ascii="Times New Roman" w:hAnsi="Times New Roman" w:cs="Times New Roman"/>
          <w:sz w:val="20"/>
          <w:szCs w:val="20"/>
          <w:lang w:eastAsia="en-MY"/>
        </w:rPr>
        <w:t>, H. A.</w:t>
      </w:r>
      <w:r w:rsidRPr="00F82B5F">
        <w:rPr>
          <w:rFonts w:ascii="Times New Roman" w:eastAsiaTheme="minorEastAsia" w:hAnsi="Times New Roman" w:cs="Times New Roman"/>
          <w:sz w:val="20"/>
          <w:szCs w:val="20"/>
          <w:lang w:eastAsia="en-MY"/>
        </w:rPr>
        <w:t xml:space="preserve"> (2011).</w:t>
      </w:r>
      <w:proofErr w:type="gramEnd"/>
      <w:r w:rsidRPr="00F82B5F">
        <w:rPr>
          <w:rFonts w:ascii="Times New Roman" w:eastAsiaTheme="minorEastAsia" w:hAnsi="Times New Roman" w:cs="Times New Roman"/>
          <w:sz w:val="20"/>
          <w:szCs w:val="20"/>
          <w:lang w:eastAsia="en-MY"/>
        </w:rPr>
        <w:t xml:space="preserve"> Analyzing the green field investment in Malaysia from 1970-2009: A bound testing approach. </w:t>
      </w:r>
      <w:r w:rsidRPr="00F82B5F">
        <w:rPr>
          <w:rFonts w:ascii="Times New Roman" w:eastAsiaTheme="minorEastAsia" w:hAnsi="Times New Roman" w:cs="Times New Roman"/>
          <w:i/>
          <w:iCs/>
          <w:sz w:val="20"/>
          <w:szCs w:val="20"/>
          <w:lang w:eastAsia="en-MY"/>
        </w:rPr>
        <w:t>Australian Journal of Basic and Applied Sciences, 5</w:t>
      </w:r>
      <w:r w:rsidRPr="00F82B5F">
        <w:rPr>
          <w:rFonts w:ascii="Times New Roman" w:eastAsiaTheme="minorEastAsia" w:hAnsi="Times New Roman" w:cs="Times New Roman"/>
          <w:sz w:val="20"/>
          <w:szCs w:val="20"/>
          <w:lang w:eastAsia="en-MY"/>
        </w:rPr>
        <w:t>(3), 561-570.</w:t>
      </w:r>
      <w:r w:rsidR="00A2086A">
        <w:rPr>
          <w:rFonts w:ascii="Times New Roman" w:eastAsiaTheme="minorEastAsia" w:hAnsi="Times New Roman" w:cs="Times New Roman"/>
          <w:sz w:val="20"/>
          <w:szCs w:val="20"/>
          <w:lang w:eastAsia="en-MY"/>
        </w:rPr>
        <w:t xml:space="preserve"> </w:t>
      </w:r>
      <w:r w:rsidR="00A2086A" w:rsidRPr="00A2086A">
        <w:rPr>
          <w:rFonts w:ascii="Times New Roman" w:eastAsiaTheme="minorEastAsia" w:hAnsi="Times New Roman" w:cs="Times New Roman"/>
          <w:sz w:val="20"/>
          <w:szCs w:val="20"/>
          <w:lang w:eastAsia="en-MY"/>
        </w:rPr>
        <w:t>https://www.researchgate.net/publication/250305291_Analyzing_the_Green_Field_Investment_in_Malaysia_From_1970_to_2009_a_Bound_Testing_Approach</w:t>
      </w:r>
    </w:p>
    <w:p w:rsidR="005C3515" w:rsidRPr="00F82B5F" w:rsidRDefault="005C3515" w:rsidP="008B3934">
      <w:pPr>
        <w:spacing w:after="80" w:line="240" w:lineRule="exact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82B5F">
        <w:rPr>
          <w:rFonts w:ascii="Times New Roman" w:hAnsi="Times New Roman" w:cs="Times New Roman"/>
          <w:sz w:val="20"/>
          <w:szCs w:val="20"/>
        </w:rPr>
        <w:t>Awang</w:t>
      </w:r>
      <w:proofErr w:type="spellEnd"/>
      <w:r w:rsidRPr="00F82B5F">
        <w:rPr>
          <w:rFonts w:ascii="Times New Roman" w:hAnsi="Times New Roman" w:cs="Times New Roman"/>
          <w:sz w:val="20"/>
          <w:szCs w:val="20"/>
        </w:rPr>
        <w:t xml:space="preserve">, A. H. (1988). </w:t>
      </w:r>
      <w:proofErr w:type="gramStart"/>
      <w:r w:rsidRPr="00F82B5F">
        <w:rPr>
          <w:rFonts w:ascii="Times New Roman" w:hAnsi="Times New Roman" w:cs="Times New Roman"/>
          <w:sz w:val="20"/>
          <w:szCs w:val="20"/>
        </w:rPr>
        <w:t>An evaluation of the structural adjustment policies in Malaysia.</w:t>
      </w:r>
      <w:proofErr w:type="gramEnd"/>
      <w:r w:rsidRPr="00F82B5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82B5F">
        <w:rPr>
          <w:rFonts w:ascii="Times New Roman" w:hAnsi="Times New Roman" w:cs="Times New Roman"/>
          <w:i/>
          <w:iCs/>
          <w:sz w:val="20"/>
          <w:szCs w:val="20"/>
        </w:rPr>
        <w:t>In Proceeding of the Eight Pacific Basin Central Bank Conference on Economic Modelling, Bank Negara Malaysia, Kuala Lumpur, November 11-15</w:t>
      </w:r>
      <w:r w:rsidRPr="00F82B5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82B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3515" w:rsidRPr="00F82B5F" w:rsidRDefault="005C3515" w:rsidP="008B3934">
      <w:pPr>
        <w:spacing w:after="80" w:line="240" w:lineRule="exact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82B5F">
        <w:rPr>
          <w:rFonts w:ascii="Times New Roman" w:hAnsi="Times New Roman" w:cs="Times New Roman"/>
          <w:sz w:val="20"/>
          <w:szCs w:val="20"/>
        </w:rPr>
        <w:t>Babatunde</w:t>
      </w:r>
      <w:proofErr w:type="spellEnd"/>
      <w:r w:rsidRPr="00F82B5F">
        <w:rPr>
          <w:rFonts w:ascii="Times New Roman" w:hAnsi="Times New Roman" w:cs="Times New Roman"/>
          <w:sz w:val="20"/>
          <w:szCs w:val="20"/>
        </w:rPr>
        <w:t xml:space="preserve">, M. A., &amp; </w:t>
      </w:r>
      <w:proofErr w:type="spellStart"/>
      <w:r w:rsidRPr="00F82B5F">
        <w:rPr>
          <w:rFonts w:ascii="Times New Roman" w:hAnsi="Times New Roman" w:cs="Times New Roman"/>
          <w:sz w:val="20"/>
          <w:szCs w:val="20"/>
        </w:rPr>
        <w:t>Egwaikhide</w:t>
      </w:r>
      <w:proofErr w:type="spellEnd"/>
      <w:r w:rsidRPr="00F82B5F">
        <w:rPr>
          <w:rFonts w:ascii="Times New Roman" w:hAnsi="Times New Roman" w:cs="Times New Roman"/>
          <w:sz w:val="20"/>
          <w:szCs w:val="20"/>
        </w:rPr>
        <w:t>, F.</w:t>
      </w:r>
      <w:r w:rsidR="001B4D82">
        <w:rPr>
          <w:rFonts w:ascii="Times New Roman" w:hAnsi="Times New Roman" w:cs="Times New Roman"/>
          <w:sz w:val="20"/>
          <w:szCs w:val="20"/>
        </w:rPr>
        <w:t xml:space="preserve"> </w:t>
      </w:r>
      <w:r w:rsidRPr="00F82B5F">
        <w:rPr>
          <w:rFonts w:ascii="Times New Roman" w:hAnsi="Times New Roman" w:cs="Times New Roman"/>
          <w:sz w:val="20"/>
          <w:szCs w:val="20"/>
        </w:rPr>
        <w:t>O. (2010).</w:t>
      </w:r>
      <w:proofErr w:type="gramEnd"/>
      <w:r w:rsidRPr="00F82B5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82B5F">
        <w:rPr>
          <w:rFonts w:ascii="Times New Roman" w:hAnsi="Times New Roman" w:cs="Times New Roman"/>
          <w:sz w:val="20"/>
          <w:szCs w:val="20"/>
        </w:rPr>
        <w:t>Explaining Nigeria’s import demand behavior: a bounds testing approach.</w:t>
      </w:r>
      <w:proofErr w:type="gramEnd"/>
      <w:r w:rsidRPr="00F82B5F">
        <w:rPr>
          <w:rFonts w:ascii="Times New Roman" w:hAnsi="Times New Roman" w:cs="Times New Roman"/>
          <w:sz w:val="20"/>
          <w:szCs w:val="20"/>
        </w:rPr>
        <w:t xml:space="preserve"> </w:t>
      </w:r>
      <w:r w:rsidRPr="00F82B5F">
        <w:rPr>
          <w:rFonts w:ascii="Times New Roman" w:hAnsi="Times New Roman" w:cs="Times New Roman"/>
          <w:i/>
          <w:iCs/>
          <w:sz w:val="20"/>
          <w:szCs w:val="20"/>
        </w:rPr>
        <w:t>International Journal of Development Issues, 9</w:t>
      </w:r>
      <w:r w:rsidRPr="00F82B5F">
        <w:rPr>
          <w:rFonts w:ascii="Times New Roman" w:hAnsi="Times New Roman" w:cs="Times New Roman"/>
          <w:sz w:val="20"/>
          <w:szCs w:val="20"/>
        </w:rPr>
        <w:t>(2), 167-187.</w:t>
      </w:r>
      <w:r w:rsidR="00A2086A">
        <w:rPr>
          <w:rFonts w:ascii="Times New Roman" w:hAnsi="Times New Roman" w:cs="Times New Roman"/>
          <w:sz w:val="20"/>
          <w:szCs w:val="20"/>
        </w:rPr>
        <w:t xml:space="preserve"> </w:t>
      </w:r>
      <w:r w:rsidR="00A2086A" w:rsidRPr="00A2086A">
        <w:rPr>
          <w:rFonts w:ascii="Times New Roman" w:hAnsi="Times New Roman" w:cs="Times New Roman"/>
          <w:sz w:val="20"/>
          <w:szCs w:val="20"/>
        </w:rPr>
        <w:t>https://www.researchgate.net/publication/227429251_Explaining_Nigeria's_import_demand_behaviour_a_bound_testing_approach</w:t>
      </w:r>
    </w:p>
    <w:p w:rsidR="005C3515" w:rsidRPr="00F82B5F" w:rsidRDefault="005C3515" w:rsidP="008B3934">
      <w:pPr>
        <w:spacing w:after="80" w:line="240" w:lineRule="exact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82B5F">
        <w:rPr>
          <w:rFonts w:ascii="Times New Roman" w:hAnsi="Times New Roman" w:cs="Times New Roman"/>
          <w:sz w:val="20"/>
          <w:szCs w:val="20"/>
        </w:rPr>
        <w:t>Bardsen</w:t>
      </w:r>
      <w:proofErr w:type="spellEnd"/>
      <w:r w:rsidRPr="00F82B5F">
        <w:rPr>
          <w:rFonts w:ascii="Times New Roman" w:hAnsi="Times New Roman" w:cs="Times New Roman"/>
          <w:sz w:val="20"/>
          <w:szCs w:val="20"/>
        </w:rPr>
        <w:t xml:space="preserve">, G. (1989). </w:t>
      </w:r>
      <w:proofErr w:type="gramStart"/>
      <w:r w:rsidRPr="00F82B5F">
        <w:rPr>
          <w:rFonts w:ascii="Times New Roman" w:hAnsi="Times New Roman" w:cs="Times New Roman"/>
          <w:sz w:val="20"/>
          <w:szCs w:val="20"/>
        </w:rPr>
        <w:t>Estimation of long-run coefficients in error correction models.</w:t>
      </w:r>
      <w:proofErr w:type="gramEnd"/>
      <w:r w:rsidRPr="00F82B5F">
        <w:rPr>
          <w:rFonts w:ascii="Times New Roman" w:hAnsi="Times New Roman" w:cs="Times New Roman"/>
          <w:sz w:val="20"/>
          <w:szCs w:val="20"/>
        </w:rPr>
        <w:t xml:space="preserve"> </w:t>
      </w:r>
      <w:r w:rsidRPr="00F82B5F">
        <w:rPr>
          <w:rFonts w:ascii="Times New Roman" w:hAnsi="Times New Roman" w:cs="Times New Roman"/>
          <w:i/>
          <w:iCs/>
          <w:sz w:val="20"/>
          <w:szCs w:val="20"/>
        </w:rPr>
        <w:t>Oxford Bulletin of Economics and Statistics, 51</w:t>
      </w:r>
      <w:r w:rsidRPr="00F82B5F">
        <w:rPr>
          <w:rFonts w:ascii="Times New Roman" w:hAnsi="Times New Roman" w:cs="Times New Roman"/>
          <w:sz w:val="20"/>
          <w:szCs w:val="20"/>
        </w:rPr>
        <w:t xml:space="preserve">, 345-350. </w:t>
      </w:r>
      <w:r w:rsidR="00A2086A" w:rsidRPr="00A2086A">
        <w:rPr>
          <w:rFonts w:ascii="Times New Roman" w:hAnsi="Times New Roman" w:cs="Times New Roman"/>
          <w:sz w:val="20"/>
          <w:szCs w:val="20"/>
        </w:rPr>
        <w:t>http://onlinelibrary.wiley.com/doi/10.1111/j.1468-0084.1989.mp51003008.x/abstract</w:t>
      </w:r>
      <w:r w:rsidRPr="00F82B5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C3515" w:rsidRPr="00F82B5F" w:rsidRDefault="005C3515" w:rsidP="008B3934">
      <w:pPr>
        <w:spacing w:after="80" w:line="240" w:lineRule="exact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82B5F">
        <w:rPr>
          <w:rFonts w:ascii="Times New Roman" w:hAnsi="Times New Roman" w:cs="Times New Roman"/>
          <w:sz w:val="20"/>
          <w:szCs w:val="20"/>
        </w:rPr>
        <w:t>Bekhet</w:t>
      </w:r>
      <w:proofErr w:type="spellEnd"/>
      <w:r w:rsidRPr="00F82B5F">
        <w:rPr>
          <w:rFonts w:ascii="Times New Roman" w:hAnsi="Times New Roman" w:cs="Times New Roman"/>
          <w:sz w:val="20"/>
          <w:szCs w:val="20"/>
        </w:rPr>
        <w:t xml:space="preserve">, H. A., &amp; </w:t>
      </w:r>
      <w:proofErr w:type="spellStart"/>
      <w:r w:rsidRPr="00F82B5F">
        <w:rPr>
          <w:rFonts w:ascii="Times New Roman" w:hAnsi="Times New Roman" w:cs="Times New Roman"/>
          <w:sz w:val="20"/>
          <w:szCs w:val="20"/>
        </w:rPr>
        <w:t>Mugableh</w:t>
      </w:r>
      <w:proofErr w:type="spellEnd"/>
      <w:r w:rsidRPr="00F82B5F">
        <w:rPr>
          <w:rFonts w:ascii="Times New Roman" w:hAnsi="Times New Roman" w:cs="Times New Roman"/>
          <w:sz w:val="20"/>
          <w:szCs w:val="20"/>
        </w:rPr>
        <w:t>, M. I. (2012).</w:t>
      </w:r>
      <w:proofErr w:type="gramEnd"/>
      <w:r w:rsidRPr="00F82B5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82B5F">
        <w:rPr>
          <w:rFonts w:ascii="Times New Roman" w:hAnsi="Times New Roman" w:cs="Times New Roman"/>
          <w:sz w:val="20"/>
          <w:szCs w:val="20"/>
        </w:rPr>
        <w:t>Investigating equilibrium relationships between macroeconomic variables and Malaysian stock market index through bounds tests approach.</w:t>
      </w:r>
      <w:proofErr w:type="gramEnd"/>
      <w:r w:rsidRPr="00F82B5F">
        <w:rPr>
          <w:rFonts w:ascii="Times New Roman" w:hAnsi="Times New Roman" w:cs="Times New Roman"/>
          <w:sz w:val="20"/>
          <w:szCs w:val="20"/>
        </w:rPr>
        <w:t xml:space="preserve"> </w:t>
      </w:r>
      <w:r w:rsidRPr="00F82B5F">
        <w:rPr>
          <w:rFonts w:ascii="Times New Roman" w:hAnsi="Times New Roman" w:cs="Times New Roman"/>
          <w:i/>
          <w:iCs/>
          <w:sz w:val="20"/>
          <w:szCs w:val="20"/>
        </w:rPr>
        <w:t>International Journal of Economics and Finance, 4</w:t>
      </w:r>
      <w:r w:rsidRPr="00F82B5F">
        <w:rPr>
          <w:rFonts w:ascii="Times New Roman" w:hAnsi="Times New Roman" w:cs="Times New Roman"/>
          <w:sz w:val="20"/>
          <w:szCs w:val="20"/>
        </w:rPr>
        <w:t>(10), 69-81.</w:t>
      </w:r>
      <w:r w:rsidR="005E4829">
        <w:rPr>
          <w:rFonts w:ascii="Times New Roman" w:hAnsi="Times New Roman" w:cs="Times New Roman"/>
          <w:sz w:val="20"/>
          <w:szCs w:val="20"/>
        </w:rPr>
        <w:t xml:space="preserve"> </w:t>
      </w:r>
      <w:r w:rsidR="005E4829" w:rsidRPr="005E4829">
        <w:rPr>
          <w:rFonts w:ascii="Times New Roman" w:hAnsi="Times New Roman" w:cs="Times New Roman"/>
          <w:sz w:val="20"/>
          <w:szCs w:val="20"/>
        </w:rPr>
        <w:t>http://www.ccsenet.org/journal/index.php/ijef/article/view/20316</w:t>
      </w:r>
    </w:p>
    <w:p w:rsidR="005C3515" w:rsidRPr="00F82B5F" w:rsidRDefault="005C3515" w:rsidP="005E4829">
      <w:pPr>
        <w:spacing w:after="80" w:line="240" w:lineRule="exact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82B5F">
        <w:rPr>
          <w:rFonts w:ascii="Times New Roman" w:hAnsi="Times New Roman" w:cs="Times New Roman"/>
          <w:sz w:val="20"/>
          <w:szCs w:val="20"/>
        </w:rPr>
        <w:t>Bekhet</w:t>
      </w:r>
      <w:proofErr w:type="spellEnd"/>
      <w:r w:rsidRPr="00F82B5F">
        <w:rPr>
          <w:rFonts w:ascii="Times New Roman" w:hAnsi="Times New Roman" w:cs="Times New Roman"/>
          <w:sz w:val="20"/>
          <w:szCs w:val="20"/>
        </w:rPr>
        <w:t xml:space="preserve">, H. A., &amp; </w:t>
      </w:r>
      <w:proofErr w:type="spellStart"/>
      <w:r w:rsidRPr="00F82B5F">
        <w:rPr>
          <w:rFonts w:ascii="Times New Roman" w:hAnsi="Times New Roman" w:cs="Times New Roman"/>
          <w:sz w:val="20"/>
          <w:szCs w:val="20"/>
        </w:rPr>
        <w:t>Mugableh</w:t>
      </w:r>
      <w:proofErr w:type="spellEnd"/>
      <w:r w:rsidRPr="00F82B5F">
        <w:rPr>
          <w:rFonts w:ascii="Times New Roman" w:hAnsi="Times New Roman" w:cs="Times New Roman"/>
          <w:sz w:val="20"/>
          <w:szCs w:val="20"/>
        </w:rPr>
        <w:t>, M. I. (2013).</w:t>
      </w:r>
      <w:proofErr w:type="gramEnd"/>
      <w:r w:rsidRPr="00F82B5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82B5F">
        <w:rPr>
          <w:rFonts w:ascii="Times New Roman" w:hAnsi="Times New Roman" w:cs="Times New Roman"/>
          <w:sz w:val="20"/>
          <w:szCs w:val="20"/>
        </w:rPr>
        <w:t>Examining the equilibrium relationships between foreign direct investment inflows and employment in manufacturing and services sectors: evidence from Malaysia.</w:t>
      </w:r>
      <w:proofErr w:type="gramEnd"/>
      <w:r w:rsidRPr="00F82B5F">
        <w:rPr>
          <w:rFonts w:ascii="Times New Roman" w:hAnsi="Times New Roman" w:cs="Times New Roman"/>
          <w:sz w:val="20"/>
          <w:szCs w:val="20"/>
        </w:rPr>
        <w:t xml:space="preserve"> </w:t>
      </w:r>
      <w:r w:rsidRPr="00F82B5F">
        <w:rPr>
          <w:rFonts w:ascii="Times New Roman" w:hAnsi="Times New Roman" w:cs="Times New Roman"/>
          <w:i/>
          <w:iCs/>
          <w:sz w:val="20"/>
          <w:szCs w:val="20"/>
        </w:rPr>
        <w:t>Journal of Social and Development Sciences, 4</w:t>
      </w:r>
      <w:r w:rsidRPr="00F82B5F">
        <w:rPr>
          <w:rFonts w:ascii="Times New Roman" w:hAnsi="Times New Roman" w:cs="Times New Roman"/>
          <w:sz w:val="20"/>
          <w:szCs w:val="20"/>
        </w:rPr>
        <w:t xml:space="preserve">(1), 32-38. </w:t>
      </w:r>
      <w:r w:rsidR="005E4829" w:rsidRPr="005E4829">
        <w:rPr>
          <w:rFonts w:ascii="Times New Roman" w:hAnsi="Times New Roman" w:cs="Times New Roman"/>
          <w:sz w:val="20"/>
          <w:szCs w:val="20"/>
        </w:rPr>
        <w:t>https://www.researchgate.net/publication/253330028_Examining_the_Equilibrium_Relationships_between_Foreign_Direct_Investment_Inflows_and_Employment_in_Manufacturing_and_Services_Sectors_Evidence_from_Malaysia</w:t>
      </w:r>
    </w:p>
    <w:p w:rsidR="005C3515" w:rsidRPr="00F82B5F" w:rsidRDefault="005C3515" w:rsidP="008B3934">
      <w:pPr>
        <w:tabs>
          <w:tab w:val="left" w:pos="450"/>
        </w:tabs>
        <w:spacing w:after="80" w:line="240" w:lineRule="exact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82B5F">
        <w:rPr>
          <w:rFonts w:ascii="Times New Roman" w:hAnsi="Times New Roman" w:cs="Times New Roman"/>
          <w:sz w:val="20"/>
          <w:szCs w:val="20"/>
        </w:rPr>
        <w:t>Engle, R. F., &amp; Granger, C. W. J. (1987).</w:t>
      </w:r>
      <w:proofErr w:type="gramEnd"/>
      <w:r w:rsidRPr="00F82B5F">
        <w:rPr>
          <w:rFonts w:ascii="Times New Roman" w:hAnsi="Times New Roman" w:cs="Times New Roman"/>
          <w:sz w:val="20"/>
          <w:szCs w:val="20"/>
        </w:rPr>
        <w:t xml:space="preserve"> Co-integration and error correction: Representation estimation and testing. </w:t>
      </w:r>
      <w:proofErr w:type="spellStart"/>
      <w:r w:rsidRPr="00F82B5F">
        <w:rPr>
          <w:rFonts w:ascii="Times New Roman" w:hAnsi="Times New Roman" w:cs="Times New Roman"/>
          <w:i/>
          <w:iCs/>
          <w:sz w:val="20"/>
          <w:szCs w:val="20"/>
        </w:rPr>
        <w:t>Econometrica</w:t>
      </w:r>
      <w:proofErr w:type="spellEnd"/>
      <w:r w:rsidRPr="00F82B5F">
        <w:rPr>
          <w:rFonts w:ascii="Times New Roman" w:hAnsi="Times New Roman" w:cs="Times New Roman"/>
          <w:i/>
          <w:iCs/>
          <w:sz w:val="20"/>
          <w:szCs w:val="20"/>
        </w:rPr>
        <w:t>, 55</w:t>
      </w:r>
      <w:r w:rsidRPr="00F82B5F">
        <w:rPr>
          <w:rFonts w:ascii="Times New Roman" w:hAnsi="Times New Roman" w:cs="Times New Roman"/>
          <w:sz w:val="20"/>
          <w:szCs w:val="20"/>
        </w:rPr>
        <w:t>(2), 251-276.</w:t>
      </w:r>
      <w:r w:rsidR="005E4829">
        <w:rPr>
          <w:rFonts w:ascii="Times New Roman" w:hAnsi="Times New Roman" w:cs="Times New Roman"/>
          <w:sz w:val="20"/>
          <w:szCs w:val="20"/>
        </w:rPr>
        <w:t xml:space="preserve"> </w:t>
      </w:r>
      <w:r w:rsidR="005E4829" w:rsidRPr="005E4829">
        <w:rPr>
          <w:rFonts w:ascii="Times New Roman" w:hAnsi="Times New Roman" w:cs="Times New Roman"/>
          <w:sz w:val="20"/>
          <w:szCs w:val="20"/>
        </w:rPr>
        <w:t>http://www.ntuzov.com/Nik_Site/Niks_files/Research/papers/stat_arb/EG_1987.pdf</w:t>
      </w:r>
    </w:p>
    <w:p w:rsidR="005C3515" w:rsidRPr="00F82B5F" w:rsidRDefault="005C3515" w:rsidP="008B3934">
      <w:pPr>
        <w:spacing w:after="80" w:line="240" w:lineRule="exact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F82B5F">
        <w:rPr>
          <w:rFonts w:ascii="Times New Roman" w:hAnsi="Times New Roman" w:cs="Times New Roman"/>
          <w:sz w:val="20"/>
          <w:szCs w:val="20"/>
        </w:rPr>
        <w:t xml:space="preserve">Harris, R. I. D. (1995). </w:t>
      </w:r>
      <w:r w:rsidRPr="00F82B5F">
        <w:rPr>
          <w:rFonts w:ascii="Times New Roman" w:hAnsi="Times New Roman" w:cs="Times New Roman"/>
          <w:i/>
          <w:iCs/>
          <w:sz w:val="20"/>
          <w:szCs w:val="20"/>
        </w:rPr>
        <w:t>Using co-integration analysis in econometric modeling (1</w:t>
      </w:r>
      <w:r w:rsidRPr="00F82B5F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st</w:t>
      </w:r>
      <w:r w:rsidRPr="00F82B5F">
        <w:rPr>
          <w:rFonts w:ascii="Times New Roman" w:hAnsi="Times New Roman" w:cs="Times New Roman"/>
          <w:i/>
          <w:iCs/>
          <w:sz w:val="20"/>
          <w:szCs w:val="20"/>
        </w:rPr>
        <w:t>ed.)</w:t>
      </w:r>
      <w:r w:rsidRPr="00F82B5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F82B5F">
        <w:rPr>
          <w:rFonts w:ascii="Times New Roman" w:hAnsi="Times New Roman" w:cs="Times New Roman"/>
          <w:sz w:val="20"/>
          <w:szCs w:val="20"/>
        </w:rPr>
        <w:t>A Pearson Education Company Publisher.</w:t>
      </w:r>
      <w:proofErr w:type="gramEnd"/>
      <w:r w:rsidRPr="00F82B5F">
        <w:rPr>
          <w:rFonts w:ascii="Times New Roman" w:hAnsi="Times New Roman" w:cs="Times New Roman"/>
          <w:sz w:val="20"/>
          <w:szCs w:val="20"/>
        </w:rPr>
        <w:t xml:space="preserve"> England: London.</w:t>
      </w:r>
      <w:r w:rsidR="00AF7C79">
        <w:rPr>
          <w:rFonts w:ascii="Times New Roman" w:hAnsi="Times New Roman" w:cs="Times New Roman"/>
          <w:sz w:val="20"/>
          <w:szCs w:val="20"/>
        </w:rPr>
        <w:t xml:space="preserve"> </w:t>
      </w:r>
      <w:r w:rsidR="00AF7C79" w:rsidRPr="00AF7C79">
        <w:rPr>
          <w:rFonts w:ascii="Times New Roman" w:hAnsi="Times New Roman" w:cs="Times New Roman"/>
          <w:sz w:val="20"/>
          <w:szCs w:val="20"/>
        </w:rPr>
        <w:t>http://www.tandfonline.com/doi/abs/10.1080/00779959609544252?journalCode=rnzp20#.VZ7M0vmqqko</w:t>
      </w:r>
    </w:p>
    <w:p w:rsidR="005C3515" w:rsidRPr="00F82B5F" w:rsidRDefault="005C3515" w:rsidP="008B3934">
      <w:pPr>
        <w:tabs>
          <w:tab w:val="left" w:pos="720"/>
        </w:tabs>
        <w:spacing w:after="80" w:line="240" w:lineRule="exact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82B5F">
        <w:rPr>
          <w:rFonts w:ascii="Times New Roman" w:hAnsi="Times New Roman" w:cs="Times New Roman"/>
          <w:sz w:val="20"/>
          <w:szCs w:val="20"/>
        </w:rPr>
        <w:t xml:space="preserve">Johansen, S., &amp; </w:t>
      </w:r>
      <w:proofErr w:type="spellStart"/>
      <w:r w:rsidRPr="00F82B5F">
        <w:rPr>
          <w:rFonts w:ascii="Times New Roman" w:hAnsi="Times New Roman" w:cs="Times New Roman"/>
          <w:sz w:val="20"/>
          <w:szCs w:val="20"/>
        </w:rPr>
        <w:t>Juselius</w:t>
      </w:r>
      <w:proofErr w:type="spellEnd"/>
      <w:r w:rsidRPr="00F82B5F">
        <w:rPr>
          <w:rFonts w:ascii="Times New Roman" w:hAnsi="Times New Roman" w:cs="Times New Roman"/>
          <w:sz w:val="20"/>
          <w:szCs w:val="20"/>
        </w:rPr>
        <w:t>, K. (1990).</w:t>
      </w:r>
      <w:proofErr w:type="gramEnd"/>
      <w:r w:rsidRPr="00F82B5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82B5F">
        <w:rPr>
          <w:rFonts w:ascii="Times New Roman" w:hAnsi="Times New Roman" w:cs="Times New Roman"/>
          <w:sz w:val="20"/>
          <w:szCs w:val="20"/>
        </w:rPr>
        <w:t>Maximum likelihood estimation and inference on co-integration-with applications to the demand for money.</w:t>
      </w:r>
      <w:proofErr w:type="gramEnd"/>
      <w:r w:rsidRPr="00F82B5F">
        <w:rPr>
          <w:rFonts w:ascii="Times New Roman" w:hAnsi="Times New Roman" w:cs="Times New Roman"/>
          <w:sz w:val="20"/>
          <w:szCs w:val="20"/>
        </w:rPr>
        <w:t xml:space="preserve"> </w:t>
      </w:r>
      <w:r w:rsidRPr="00F82B5F">
        <w:rPr>
          <w:rFonts w:ascii="Times New Roman" w:hAnsi="Times New Roman" w:cs="Times New Roman"/>
          <w:i/>
          <w:iCs/>
          <w:sz w:val="20"/>
          <w:szCs w:val="20"/>
        </w:rPr>
        <w:t>Oxford Bulletin of Economics and Statistics, 52</w:t>
      </w:r>
      <w:r w:rsidRPr="00F82B5F">
        <w:rPr>
          <w:rFonts w:ascii="Times New Roman" w:hAnsi="Times New Roman" w:cs="Times New Roman"/>
          <w:sz w:val="20"/>
          <w:szCs w:val="20"/>
        </w:rPr>
        <w:t>, 169-210.</w:t>
      </w:r>
      <w:r w:rsidR="00AF7C79">
        <w:rPr>
          <w:rFonts w:ascii="Times New Roman" w:hAnsi="Times New Roman" w:cs="Times New Roman"/>
          <w:sz w:val="20"/>
          <w:szCs w:val="20"/>
        </w:rPr>
        <w:t xml:space="preserve"> </w:t>
      </w:r>
      <w:r w:rsidR="00AF7C79" w:rsidRPr="00AF7C79">
        <w:rPr>
          <w:rFonts w:ascii="Times New Roman" w:hAnsi="Times New Roman" w:cs="Times New Roman"/>
          <w:sz w:val="20"/>
          <w:szCs w:val="20"/>
        </w:rPr>
        <w:t>http://down.cenet.org.cn/upfile/58/20081012135145190.pdf</w:t>
      </w:r>
    </w:p>
    <w:p w:rsidR="005C3515" w:rsidRPr="00F82B5F" w:rsidRDefault="005C3515" w:rsidP="008B3934">
      <w:pPr>
        <w:spacing w:after="80" w:line="240" w:lineRule="exact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82B5F">
        <w:rPr>
          <w:rFonts w:ascii="Times New Roman" w:hAnsi="Times New Roman" w:cs="Times New Roman"/>
          <w:sz w:val="20"/>
          <w:szCs w:val="20"/>
        </w:rPr>
        <w:t>Kreishan</w:t>
      </w:r>
      <w:proofErr w:type="spellEnd"/>
      <w:r w:rsidRPr="00F82B5F">
        <w:rPr>
          <w:rFonts w:ascii="Times New Roman" w:hAnsi="Times New Roman" w:cs="Times New Roman"/>
          <w:sz w:val="20"/>
          <w:szCs w:val="20"/>
        </w:rPr>
        <w:t>, F. (2007).</w:t>
      </w:r>
      <w:proofErr w:type="gramEnd"/>
      <w:r w:rsidRPr="00F82B5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82B5F">
        <w:rPr>
          <w:rFonts w:ascii="Times New Roman" w:hAnsi="Times New Roman" w:cs="Times New Roman"/>
          <w:sz w:val="20"/>
          <w:szCs w:val="20"/>
        </w:rPr>
        <w:t>Estimating an import function for Jordan: a co-integration analysis.</w:t>
      </w:r>
      <w:proofErr w:type="gramEnd"/>
      <w:r w:rsidRPr="00F82B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2B5F">
        <w:rPr>
          <w:rFonts w:ascii="Times New Roman" w:hAnsi="Times New Roman" w:cs="Times New Roman"/>
          <w:i/>
          <w:iCs/>
          <w:sz w:val="20"/>
          <w:szCs w:val="20"/>
        </w:rPr>
        <w:t>Dirasat</w:t>
      </w:r>
      <w:proofErr w:type="spellEnd"/>
      <w:r w:rsidRPr="00F82B5F">
        <w:rPr>
          <w:rFonts w:ascii="Times New Roman" w:hAnsi="Times New Roman" w:cs="Times New Roman"/>
          <w:i/>
          <w:iCs/>
          <w:sz w:val="20"/>
          <w:szCs w:val="20"/>
        </w:rPr>
        <w:t>, Administrative Sciences, 34</w:t>
      </w:r>
      <w:r w:rsidRPr="00F82B5F">
        <w:rPr>
          <w:rFonts w:ascii="Times New Roman" w:hAnsi="Times New Roman" w:cs="Times New Roman"/>
          <w:sz w:val="20"/>
          <w:szCs w:val="20"/>
        </w:rPr>
        <w:t xml:space="preserve">, 2, 407-415. </w:t>
      </w:r>
      <w:r w:rsidR="00AF7C79" w:rsidRPr="00AF7C79">
        <w:rPr>
          <w:rFonts w:ascii="Times New Roman" w:hAnsi="Times New Roman" w:cs="Times New Roman"/>
          <w:sz w:val="20"/>
          <w:szCs w:val="20"/>
        </w:rPr>
        <w:t>http://dspace.ju.edu.jo/xmlui/handle/123456789/162450</w:t>
      </w:r>
      <w:r w:rsidRPr="00F82B5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C3515" w:rsidRPr="00F82B5F" w:rsidRDefault="005C3515" w:rsidP="008B3934">
      <w:pPr>
        <w:spacing w:after="80" w:line="240" w:lineRule="exact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82B5F">
        <w:rPr>
          <w:rFonts w:ascii="Times New Roman" w:hAnsi="Times New Roman" w:cs="Times New Roman"/>
          <w:sz w:val="20"/>
          <w:szCs w:val="20"/>
        </w:rPr>
        <w:t>Mah</w:t>
      </w:r>
      <w:proofErr w:type="spellEnd"/>
      <w:r w:rsidRPr="00F82B5F">
        <w:rPr>
          <w:rFonts w:ascii="Times New Roman" w:hAnsi="Times New Roman" w:cs="Times New Roman"/>
          <w:sz w:val="20"/>
          <w:szCs w:val="20"/>
        </w:rPr>
        <w:t>, J.</w:t>
      </w:r>
      <w:r w:rsidR="00396B8B">
        <w:rPr>
          <w:rFonts w:ascii="Times New Roman" w:hAnsi="Times New Roman" w:cs="Times New Roman"/>
          <w:sz w:val="20"/>
          <w:szCs w:val="20"/>
        </w:rPr>
        <w:t xml:space="preserve"> </w:t>
      </w:r>
      <w:r w:rsidRPr="00F82B5F">
        <w:rPr>
          <w:rFonts w:ascii="Times New Roman" w:hAnsi="Times New Roman" w:cs="Times New Roman"/>
          <w:sz w:val="20"/>
          <w:szCs w:val="20"/>
        </w:rPr>
        <w:t xml:space="preserve">S. (2000). </w:t>
      </w:r>
      <w:proofErr w:type="gramStart"/>
      <w:r w:rsidRPr="00F82B5F">
        <w:rPr>
          <w:rFonts w:ascii="Times New Roman" w:hAnsi="Times New Roman" w:cs="Times New Roman"/>
          <w:sz w:val="20"/>
          <w:szCs w:val="20"/>
        </w:rPr>
        <w:t>An empirical examination of the disaggregated import demand for Korea – the case of information technology products.</w:t>
      </w:r>
      <w:proofErr w:type="gramEnd"/>
      <w:r w:rsidRPr="00F82B5F">
        <w:rPr>
          <w:rFonts w:ascii="Times New Roman" w:hAnsi="Times New Roman" w:cs="Times New Roman"/>
          <w:sz w:val="20"/>
          <w:szCs w:val="20"/>
        </w:rPr>
        <w:t xml:space="preserve"> </w:t>
      </w:r>
      <w:r w:rsidRPr="00F82B5F">
        <w:rPr>
          <w:rFonts w:ascii="Times New Roman" w:hAnsi="Times New Roman" w:cs="Times New Roman"/>
          <w:i/>
          <w:iCs/>
          <w:sz w:val="20"/>
          <w:szCs w:val="20"/>
        </w:rPr>
        <w:t>Journal of Asian Economics, 11</w:t>
      </w:r>
      <w:r w:rsidRPr="00F82B5F">
        <w:rPr>
          <w:rFonts w:ascii="Times New Roman" w:hAnsi="Times New Roman" w:cs="Times New Roman"/>
          <w:sz w:val="20"/>
          <w:szCs w:val="20"/>
        </w:rPr>
        <w:t>, 237-244.</w:t>
      </w:r>
      <w:r w:rsidR="00AF7C79">
        <w:rPr>
          <w:rFonts w:ascii="Times New Roman" w:hAnsi="Times New Roman" w:cs="Times New Roman"/>
          <w:sz w:val="20"/>
          <w:szCs w:val="20"/>
        </w:rPr>
        <w:t xml:space="preserve"> </w:t>
      </w:r>
      <w:r w:rsidRPr="00F82B5F">
        <w:rPr>
          <w:rFonts w:ascii="Times New Roman" w:hAnsi="Times New Roman" w:cs="Times New Roman"/>
          <w:sz w:val="20"/>
          <w:szCs w:val="20"/>
        </w:rPr>
        <w:t xml:space="preserve"> </w:t>
      </w:r>
      <w:r w:rsidR="00AF7C79" w:rsidRPr="00AF7C79">
        <w:rPr>
          <w:rFonts w:ascii="Times New Roman" w:hAnsi="Times New Roman" w:cs="Times New Roman"/>
          <w:sz w:val="20"/>
          <w:szCs w:val="20"/>
        </w:rPr>
        <w:t>http://www.sciencedirect.com/science/article/pii/S1049007800000531</w:t>
      </w:r>
      <w:r w:rsidRPr="00F82B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3515" w:rsidRPr="00F82B5F" w:rsidRDefault="005C3515" w:rsidP="008B3934">
      <w:pPr>
        <w:spacing w:after="80" w:line="240" w:lineRule="exact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82B5F">
        <w:rPr>
          <w:rFonts w:ascii="Times New Roman" w:hAnsi="Times New Roman" w:cs="Times New Roman"/>
          <w:sz w:val="20"/>
          <w:szCs w:val="20"/>
        </w:rPr>
        <w:lastRenderedPageBreak/>
        <w:t>Majeed</w:t>
      </w:r>
      <w:proofErr w:type="spellEnd"/>
      <w:r w:rsidRPr="00F82B5F">
        <w:rPr>
          <w:rFonts w:ascii="Times New Roman" w:hAnsi="Times New Roman" w:cs="Times New Roman"/>
          <w:sz w:val="20"/>
          <w:szCs w:val="20"/>
        </w:rPr>
        <w:t>, H. (2007). Estimating lo</w:t>
      </w:r>
      <w:bookmarkStart w:id="0" w:name="_GoBack"/>
      <w:bookmarkEnd w:id="0"/>
      <w:r w:rsidRPr="00F82B5F">
        <w:rPr>
          <w:rFonts w:ascii="Times New Roman" w:hAnsi="Times New Roman" w:cs="Times New Roman"/>
          <w:sz w:val="20"/>
          <w:szCs w:val="20"/>
        </w:rPr>
        <w:t xml:space="preserve">ng-run </w:t>
      </w:r>
      <w:proofErr w:type="spellStart"/>
      <w:r w:rsidRPr="00F82B5F">
        <w:rPr>
          <w:rFonts w:ascii="Times New Roman" w:hAnsi="Times New Roman" w:cs="Times New Roman"/>
          <w:sz w:val="20"/>
          <w:szCs w:val="20"/>
        </w:rPr>
        <w:t>elasticities</w:t>
      </w:r>
      <w:proofErr w:type="spellEnd"/>
      <w:r w:rsidRPr="00F82B5F">
        <w:rPr>
          <w:rFonts w:ascii="Times New Roman" w:hAnsi="Times New Roman" w:cs="Times New Roman"/>
          <w:sz w:val="20"/>
          <w:szCs w:val="20"/>
        </w:rPr>
        <w:t xml:space="preserve"> of Jordanian import demand function: 1980−2004 an application of dynamic OLS. </w:t>
      </w:r>
      <w:r w:rsidRPr="00F82B5F">
        <w:rPr>
          <w:rFonts w:ascii="Times New Roman" w:hAnsi="Times New Roman" w:cs="Times New Roman"/>
          <w:i/>
          <w:iCs/>
          <w:sz w:val="20"/>
          <w:szCs w:val="20"/>
        </w:rPr>
        <w:t>Applied Economics and International Development, 7-2</w:t>
      </w:r>
      <w:r w:rsidRPr="00F82B5F">
        <w:rPr>
          <w:rFonts w:ascii="Times New Roman" w:hAnsi="Times New Roman" w:cs="Times New Roman"/>
          <w:sz w:val="20"/>
          <w:szCs w:val="20"/>
        </w:rPr>
        <w:t>, 171-182.</w:t>
      </w:r>
      <w:r w:rsidR="00AF7C79">
        <w:rPr>
          <w:rFonts w:ascii="Times New Roman" w:hAnsi="Times New Roman" w:cs="Times New Roman"/>
          <w:sz w:val="20"/>
          <w:szCs w:val="20"/>
        </w:rPr>
        <w:t xml:space="preserve"> </w:t>
      </w:r>
      <w:r w:rsidR="00AF7C79" w:rsidRPr="00AF7C79">
        <w:rPr>
          <w:rFonts w:ascii="Times New Roman" w:hAnsi="Times New Roman" w:cs="Times New Roman"/>
          <w:sz w:val="20"/>
          <w:szCs w:val="20"/>
        </w:rPr>
        <w:t>http://papers.ssrn.com/sol3/papers.cfm?abstract_id=1305892</w:t>
      </w:r>
    </w:p>
    <w:p w:rsidR="005C3515" w:rsidRPr="00F82B5F" w:rsidRDefault="005C3515" w:rsidP="008B3934">
      <w:pPr>
        <w:tabs>
          <w:tab w:val="left" w:pos="9498"/>
        </w:tabs>
        <w:spacing w:after="80" w:line="240" w:lineRule="exact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82B5F">
        <w:rPr>
          <w:rFonts w:ascii="Times New Roman" w:hAnsi="Times New Roman" w:cs="Times New Roman"/>
          <w:sz w:val="20"/>
          <w:szCs w:val="20"/>
        </w:rPr>
        <w:t>Mugableh</w:t>
      </w:r>
      <w:proofErr w:type="spellEnd"/>
      <w:r w:rsidRPr="00F82B5F">
        <w:rPr>
          <w:rFonts w:ascii="Times New Roman" w:hAnsi="Times New Roman" w:cs="Times New Roman"/>
          <w:sz w:val="20"/>
          <w:szCs w:val="20"/>
        </w:rPr>
        <w:t xml:space="preserve">, M. I. (2013). </w:t>
      </w:r>
      <w:proofErr w:type="spellStart"/>
      <w:proofErr w:type="gramStart"/>
      <w:r w:rsidRPr="00F82B5F">
        <w:rPr>
          <w:rFonts w:ascii="Times New Roman" w:hAnsi="Times New Roman" w:cs="Times New Roman"/>
          <w:sz w:val="20"/>
          <w:szCs w:val="20"/>
        </w:rPr>
        <w:t>Analysing</w:t>
      </w:r>
      <w:proofErr w:type="spellEnd"/>
      <w:r w:rsidRPr="00F82B5F">
        <w:rPr>
          <w:rFonts w:ascii="Times New Roman" w:hAnsi="Times New Roman" w:cs="Times New Roman"/>
          <w:sz w:val="20"/>
          <w:szCs w:val="20"/>
        </w:rPr>
        <w:t xml:space="preserve"> the CO</w:t>
      </w:r>
      <w:r w:rsidRPr="00F82B5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82B5F">
        <w:rPr>
          <w:rFonts w:ascii="Times New Roman" w:hAnsi="Times New Roman" w:cs="Times New Roman"/>
          <w:sz w:val="20"/>
          <w:szCs w:val="20"/>
        </w:rPr>
        <w:t xml:space="preserve"> emissions function in Malaysia: Autoregressive distributed lag approach.</w:t>
      </w:r>
      <w:proofErr w:type="gramEnd"/>
      <w:r w:rsidRPr="00F82B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2B5F">
        <w:rPr>
          <w:rFonts w:ascii="Times New Roman" w:hAnsi="Times New Roman" w:cs="Times New Roman"/>
          <w:i/>
          <w:iCs/>
          <w:sz w:val="20"/>
          <w:szCs w:val="20"/>
        </w:rPr>
        <w:t>Procedia</w:t>
      </w:r>
      <w:proofErr w:type="spellEnd"/>
      <w:r w:rsidRPr="00F82B5F">
        <w:rPr>
          <w:rFonts w:ascii="Times New Roman" w:hAnsi="Times New Roman" w:cs="Times New Roman"/>
          <w:i/>
          <w:iCs/>
          <w:sz w:val="20"/>
          <w:szCs w:val="20"/>
        </w:rPr>
        <w:t xml:space="preserve"> Economics and Finance,</w:t>
      </w:r>
      <w:r w:rsidRPr="00F82B5F">
        <w:rPr>
          <w:rFonts w:ascii="Times New Roman" w:hAnsi="Times New Roman" w:cs="Times New Roman"/>
          <w:sz w:val="20"/>
          <w:szCs w:val="20"/>
        </w:rPr>
        <w:t xml:space="preserve"> </w:t>
      </w:r>
      <w:r w:rsidRPr="00F82B5F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Pr="00F82B5F">
        <w:rPr>
          <w:rFonts w:ascii="Times New Roman" w:hAnsi="Times New Roman" w:cs="Times New Roman"/>
          <w:sz w:val="20"/>
          <w:szCs w:val="20"/>
        </w:rPr>
        <w:t>, 571-580.</w:t>
      </w:r>
      <w:r w:rsidR="00AF7C79">
        <w:rPr>
          <w:rFonts w:ascii="Times New Roman" w:hAnsi="Times New Roman" w:cs="Times New Roman"/>
          <w:sz w:val="20"/>
          <w:szCs w:val="20"/>
        </w:rPr>
        <w:t xml:space="preserve"> </w:t>
      </w:r>
      <w:r w:rsidR="00AF7C79" w:rsidRPr="00AF7C79">
        <w:rPr>
          <w:rFonts w:ascii="Times New Roman" w:hAnsi="Times New Roman" w:cs="Times New Roman"/>
          <w:sz w:val="20"/>
          <w:szCs w:val="20"/>
        </w:rPr>
        <w:t>http://www.sciencedirect.com/science/article/pii/S2212567113000671</w:t>
      </w:r>
    </w:p>
    <w:p w:rsidR="005C3515" w:rsidRPr="00F82B5F" w:rsidRDefault="005C3515" w:rsidP="008B3934">
      <w:pPr>
        <w:tabs>
          <w:tab w:val="left" w:pos="-426"/>
        </w:tabs>
        <w:spacing w:after="80" w:line="240" w:lineRule="exact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82B5F">
        <w:rPr>
          <w:rFonts w:ascii="Times New Roman" w:hAnsi="Times New Roman" w:cs="Times New Roman"/>
          <w:sz w:val="20"/>
          <w:szCs w:val="20"/>
        </w:rPr>
        <w:t>Mugableh</w:t>
      </w:r>
      <w:proofErr w:type="spellEnd"/>
      <w:r w:rsidRPr="00F82B5F">
        <w:rPr>
          <w:rFonts w:ascii="Times New Roman" w:hAnsi="Times New Roman" w:cs="Times New Roman"/>
          <w:sz w:val="20"/>
          <w:szCs w:val="20"/>
        </w:rPr>
        <w:t xml:space="preserve">, M. I. (2015a). </w:t>
      </w:r>
      <w:proofErr w:type="gramStart"/>
      <w:r w:rsidRPr="00F82B5F">
        <w:rPr>
          <w:rFonts w:ascii="Times New Roman" w:hAnsi="Times New Roman" w:cs="Times New Roman"/>
          <w:sz w:val="20"/>
          <w:szCs w:val="20"/>
        </w:rPr>
        <w:t>Time series analysis of inward foreign direct investment function in Malaysia.</w:t>
      </w:r>
      <w:proofErr w:type="gramEnd"/>
      <w:r w:rsidRPr="00F82B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2B5F">
        <w:rPr>
          <w:rFonts w:ascii="Times New Roman" w:hAnsi="Times New Roman" w:cs="Times New Roman"/>
          <w:i/>
          <w:iCs/>
          <w:sz w:val="20"/>
          <w:szCs w:val="20"/>
        </w:rPr>
        <w:t>Procedia</w:t>
      </w:r>
      <w:proofErr w:type="spellEnd"/>
      <w:r w:rsidRPr="00F82B5F">
        <w:rPr>
          <w:rFonts w:ascii="Times New Roman" w:hAnsi="Times New Roman" w:cs="Times New Roman"/>
          <w:i/>
          <w:iCs/>
          <w:sz w:val="20"/>
          <w:szCs w:val="20"/>
        </w:rPr>
        <w:t xml:space="preserve"> – Social and Behavioral Sciences, 172</w:t>
      </w:r>
      <w:r w:rsidRPr="00F82B5F">
        <w:rPr>
          <w:rFonts w:ascii="Times New Roman" w:hAnsi="Times New Roman" w:cs="Times New Roman"/>
          <w:sz w:val="20"/>
          <w:szCs w:val="20"/>
        </w:rPr>
        <w:t xml:space="preserve">, 679-685. </w:t>
      </w:r>
      <w:r w:rsidR="00AF7C79" w:rsidRPr="00AF7C79">
        <w:rPr>
          <w:rFonts w:ascii="Times New Roman" w:hAnsi="Times New Roman" w:cs="Times New Roman"/>
          <w:sz w:val="20"/>
          <w:szCs w:val="20"/>
        </w:rPr>
        <w:t>http://www.sciencedirect.com/science/article/pii/S1877042815004565</w:t>
      </w:r>
    </w:p>
    <w:p w:rsidR="005C3515" w:rsidRPr="00F82B5F" w:rsidRDefault="005C3515" w:rsidP="008B3934">
      <w:pPr>
        <w:tabs>
          <w:tab w:val="left" w:pos="-426"/>
        </w:tabs>
        <w:spacing w:after="80" w:line="240" w:lineRule="exact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82B5F">
        <w:rPr>
          <w:rFonts w:ascii="Times New Roman" w:hAnsi="Times New Roman" w:cs="Times New Roman"/>
          <w:sz w:val="20"/>
          <w:szCs w:val="20"/>
        </w:rPr>
        <w:t>Mugableh</w:t>
      </w:r>
      <w:proofErr w:type="spellEnd"/>
      <w:r w:rsidRPr="00F82B5F">
        <w:rPr>
          <w:rFonts w:ascii="Times New Roman" w:hAnsi="Times New Roman" w:cs="Times New Roman"/>
          <w:sz w:val="20"/>
          <w:szCs w:val="20"/>
        </w:rPr>
        <w:t>, M. I. (2015b). Economic growth, CO</w:t>
      </w:r>
      <w:r w:rsidRPr="00F82B5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F82B5F">
        <w:rPr>
          <w:rFonts w:ascii="Times New Roman" w:hAnsi="Times New Roman" w:cs="Times New Roman"/>
          <w:sz w:val="20"/>
          <w:szCs w:val="20"/>
        </w:rPr>
        <w:t xml:space="preserve"> emissions, and financial development in Jordan: Equilibrium and dynamic causality analysis. </w:t>
      </w:r>
      <w:r w:rsidRPr="00F82B5F">
        <w:rPr>
          <w:rFonts w:ascii="Times New Roman" w:hAnsi="Times New Roman" w:cs="Times New Roman"/>
          <w:i/>
          <w:iCs/>
          <w:sz w:val="20"/>
          <w:szCs w:val="20"/>
        </w:rPr>
        <w:t>International Journal of Economics and Finance, 7</w:t>
      </w:r>
      <w:r w:rsidRPr="00F82B5F">
        <w:rPr>
          <w:rFonts w:ascii="Times New Roman" w:hAnsi="Times New Roman" w:cs="Times New Roman"/>
          <w:sz w:val="20"/>
          <w:szCs w:val="20"/>
        </w:rPr>
        <w:t>(7), 98-105.</w:t>
      </w:r>
      <w:r w:rsidR="00AF7C79">
        <w:rPr>
          <w:rFonts w:ascii="Times New Roman" w:hAnsi="Times New Roman" w:cs="Times New Roman"/>
          <w:sz w:val="20"/>
          <w:szCs w:val="20"/>
        </w:rPr>
        <w:t xml:space="preserve"> </w:t>
      </w:r>
      <w:r w:rsidR="00AF7C79" w:rsidRPr="00AF7C79">
        <w:rPr>
          <w:rFonts w:ascii="Times New Roman" w:hAnsi="Times New Roman" w:cs="Times New Roman"/>
          <w:sz w:val="20"/>
          <w:szCs w:val="20"/>
        </w:rPr>
        <w:t>http://www.ccsenet.org/journal/index.php/ijef/article/view/47887</w:t>
      </w:r>
      <w:r w:rsidRPr="00F82B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3D89" w:rsidRDefault="00BF3D89" w:rsidP="008B3934">
      <w:pPr>
        <w:tabs>
          <w:tab w:val="left" w:pos="720"/>
        </w:tabs>
        <w:spacing w:after="80" w:line="240" w:lineRule="exact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Mugableh</w:t>
      </w:r>
      <w:proofErr w:type="spellEnd"/>
      <w:r>
        <w:rPr>
          <w:rFonts w:ascii="Times New Roman" w:hAnsi="Times New Roman" w:cs="Times New Roman"/>
          <w:sz w:val="20"/>
          <w:szCs w:val="20"/>
        </w:rPr>
        <w:t>, M. I. (2015c</w:t>
      </w:r>
      <w:r w:rsidRPr="00F82B5F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5824">
        <w:rPr>
          <w:rFonts w:ascii="Times New Roman" w:hAnsi="Times New Roman" w:cs="Times New Roman"/>
          <w:i/>
          <w:iCs/>
          <w:sz w:val="20"/>
          <w:szCs w:val="20"/>
        </w:rPr>
        <w:t>Equilibrium models of the Malaysian stock market and macro economy (1</w:t>
      </w:r>
      <w:r w:rsidRPr="00A15824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st</w:t>
      </w:r>
      <w:r w:rsidRPr="00A15824">
        <w:rPr>
          <w:rFonts w:ascii="Times New Roman" w:hAnsi="Times New Roman" w:cs="Times New Roman"/>
          <w:i/>
          <w:iCs/>
          <w:sz w:val="20"/>
          <w:szCs w:val="20"/>
        </w:rPr>
        <w:t>ed)</w:t>
      </w:r>
      <w:r>
        <w:rPr>
          <w:rFonts w:ascii="Times New Roman" w:hAnsi="Times New Roman" w:cs="Times New Roman"/>
          <w:sz w:val="20"/>
          <w:szCs w:val="20"/>
        </w:rPr>
        <w:t xml:space="preserve">, LAP LAMBERT Academic Publishing, </w:t>
      </w:r>
      <w:r w:rsidR="00A15824">
        <w:rPr>
          <w:rFonts w:ascii="Times New Roman" w:hAnsi="Times New Roman" w:cs="Times New Roman"/>
          <w:sz w:val="20"/>
          <w:szCs w:val="20"/>
        </w:rPr>
        <w:t>Germany.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3515" w:rsidRPr="00F82B5F" w:rsidRDefault="005C3515" w:rsidP="008B3934">
      <w:pPr>
        <w:tabs>
          <w:tab w:val="left" w:pos="720"/>
        </w:tabs>
        <w:spacing w:after="80" w:line="240" w:lineRule="exact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82B5F">
        <w:rPr>
          <w:rFonts w:ascii="Times New Roman" w:hAnsi="Times New Roman" w:cs="Times New Roman"/>
          <w:sz w:val="20"/>
          <w:szCs w:val="20"/>
        </w:rPr>
        <w:t>Pesaran</w:t>
      </w:r>
      <w:proofErr w:type="spellEnd"/>
      <w:r w:rsidRPr="00F82B5F">
        <w:rPr>
          <w:rFonts w:ascii="Times New Roman" w:hAnsi="Times New Roman" w:cs="Times New Roman"/>
          <w:sz w:val="20"/>
          <w:szCs w:val="20"/>
        </w:rPr>
        <w:t>, M. H., Shin, Y., &amp; Smith, R. J. (2001).</w:t>
      </w:r>
      <w:proofErr w:type="gramEnd"/>
      <w:r w:rsidRPr="00F82B5F">
        <w:rPr>
          <w:rFonts w:ascii="Times New Roman" w:hAnsi="Times New Roman" w:cs="Times New Roman"/>
          <w:sz w:val="20"/>
          <w:szCs w:val="20"/>
        </w:rPr>
        <w:t xml:space="preserve"> Bounds testing approach to the analysis of level relationships. </w:t>
      </w:r>
      <w:r w:rsidRPr="00F82B5F">
        <w:rPr>
          <w:rFonts w:ascii="Times New Roman" w:hAnsi="Times New Roman" w:cs="Times New Roman"/>
          <w:i/>
          <w:iCs/>
          <w:sz w:val="20"/>
          <w:szCs w:val="20"/>
        </w:rPr>
        <w:t>Journal of Applied Econometrics, 16</w:t>
      </w:r>
      <w:r w:rsidRPr="00F82B5F">
        <w:rPr>
          <w:rFonts w:ascii="Times New Roman" w:hAnsi="Times New Roman" w:cs="Times New Roman"/>
          <w:sz w:val="20"/>
          <w:szCs w:val="20"/>
        </w:rPr>
        <w:t>, 289-326.</w:t>
      </w:r>
      <w:r w:rsidR="00AF7C79">
        <w:rPr>
          <w:rFonts w:ascii="Times New Roman" w:hAnsi="Times New Roman" w:cs="Times New Roman"/>
          <w:sz w:val="20"/>
          <w:szCs w:val="20"/>
        </w:rPr>
        <w:t xml:space="preserve"> </w:t>
      </w:r>
      <w:r w:rsidR="00AF7C79" w:rsidRPr="00AF7C79">
        <w:rPr>
          <w:rFonts w:ascii="Times New Roman" w:hAnsi="Times New Roman" w:cs="Times New Roman"/>
          <w:sz w:val="20"/>
          <w:szCs w:val="20"/>
        </w:rPr>
        <w:t>http://onlinelibrary.wiley.com/doi/10.1002/jae.616/full</w:t>
      </w:r>
    </w:p>
    <w:p w:rsidR="005C3515" w:rsidRPr="00F82B5F" w:rsidRDefault="005C3515" w:rsidP="008B3934">
      <w:pPr>
        <w:tabs>
          <w:tab w:val="left" w:pos="90"/>
          <w:tab w:val="left" w:pos="720"/>
        </w:tabs>
        <w:spacing w:after="80" w:line="240" w:lineRule="exact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82B5F">
        <w:rPr>
          <w:rFonts w:ascii="Times New Roman" w:hAnsi="Times New Roman" w:cs="Times New Roman"/>
          <w:sz w:val="20"/>
          <w:szCs w:val="20"/>
        </w:rPr>
        <w:t xml:space="preserve">Phillips, P. C. B., &amp; </w:t>
      </w:r>
      <w:proofErr w:type="spellStart"/>
      <w:r w:rsidRPr="00F82B5F">
        <w:rPr>
          <w:rFonts w:ascii="Times New Roman" w:hAnsi="Times New Roman" w:cs="Times New Roman"/>
          <w:sz w:val="20"/>
          <w:szCs w:val="20"/>
        </w:rPr>
        <w:t>Perron</w:t>
      </w:r>
      <w:proofErr w:type="spellEnd"/>
      <w:r w:rsidRPr="00F82B5F">
        <w:rPr>
          <w:rFonts w:ascii="Times New Roman" w:hAnsi="Times New Roman" w:cs="Times New Roman"/>
          <w:sz w:val="20"/>
          <w:szCs w:val="20"/>
        </w:rPr>
        <w:t>, P. (1988).</w:t>
      </w:r>
      <w:proofErr w:type="gramEnd"/>
      <w:r w:rsidRPr="00F82B5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82B5F">
        <w:rPr>
          <w:rFonts w:ascii="Times New Roman" w:hAnsi="Times New Roman" w:cs="Times New Roman"/>
          <w:sz w:val="20"/>
          <w:szCs w:val="20"/>
        </w:rPr>
        <w:t>Testing for a unit root in time series regression.</w:t>
      </w:r>
      <w:proofErr w:type="gramEnd"/>
      <w:r w:rsidRPr="00F82B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F82B5F">
        <w:rPr>
          <w:rFonts w:ascii="Times New Roman" w:hAnsi="Times New Roman" w:cs="Times New Roman"/>
          <w:i/>
          <w:iCs/>
          <w:sz w:val="20"/>
          <w:szCs w:val="20"/>
        </w:rPr>
        <w:t>Biometrika</w:t>
      </w:r>
      <w:proofErr w:type="spellEnd"/>
      <w:r w:rsidRPr="00F82B5F">
        <w:rPr>
          <w:rFonts w:ascii="Times New Roman" w:hAnsi="Times New Roman" w:cs="Times New Roman"/>
          <w:i/>
          <w:iCs/>
          <w:sz w:val="20"/>
          <w:szCs w:val="20"/>
        </w:rPr>
        <w:t>, 75</w:t>
      </w:r>
      <w:r w:rsidRPr="00F82B5F">
        <w:rPr>
          <w:rFonts w:ascii="Times New Roman" w:hAnsi="Times New Roman" w:cs="Times New Roman"/>
          <w:sz w:val="20"/>
          <w:szCs w:val="20"/>
        </w:rPr>
        <w:t>, 335-46.</w:t>
      </w:r>
      <w:proofErr w:type="gramEnd"/>
      <w:r w:rsidR="00AF7C79">
        <w:rPr>
          <w:rFonts w:ascii="Times New Roman" w:hAnsi="Times New Roman" w:cs="Times New Roman"/>
          <w:sz w:val="20"/>
          <w:szCs w:val="20"/>
        </w:rPr>
        <w:t xml:space="preserve"> </w:t>
      </w:r>
      <w:r w:rsidR="00AF7C79" w:rsidRPr="00AF7C79">
        <w:rPr>
          <w:rFonts w:ascii="Times New Roman" w:hAnsi="Times New Roman" w:cs="Times New Roman"/>
          <w:sz w:val="20"/>
          <w:szCs w:val="20"/>
        </w:rPr>
        <w:t>http://www.ssc.wisc.edu/~bhansen/718/PhillipsPerron1988.pdf</w:t>
      </w:r>
    </w:p>
    <w:p w:rsidR="005C3515" w:rsidRPr="00F82B5F" w:rsidRDefault="005C3515" w:rsidP="00AF7C79">
      <w:pPr>
        <w:spacing w:after="80" w:line="240" w:lineRule="exact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F82B5F">
        <w:rPr>
          <w:rFonts w:ascii="Times New Roman" w:hAnsi="Times New Roman" w:cs="Times New Roman"/>
          <w:sz w:val="20"/>
          <w:szCs w:val="20"/>
        </w:rPr>
        <w:t xml:space="preserve">Salvatore, D. (1995). </w:t>
      </w:r>
      <w:r w:rsidRPr="00F82B5F">
        <w:rPr>
          <w:rFonts w:ascii="Times New Roman" w:hAnsi="Times New Roman" w:cs="Times New Roman"/>
          <w:i/>
          <w:iCs/>
          <w:sz w:val="20"/>
          <w:szCs w:val="20"/>
        </w:rPr>
        <w:t>International Economics</w:t>
      </w:r>
      <w:r w:rsidR="00AF7C79">
        <w:rPr>
          <w:rFonts w:ascii="Times New Roman" w:hAnsi="Times New Roman" w:cs="Times New Roman"/>
          <w:sz w:val="20"/>
          <w:szCs w:val="20"/>
        </w:rPr>
        <w:t xml:space="preserve"> (5</w:t>
      </w:r>
      <w:r w:rsidR="00AF7C79" w:rsidRPr="00AF7C7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F7C79">
        <w:rPr>
          <w:rFonts w:ascii="Times New Roman" w:hAnsi="Times New Roman" w:cs="Times New Roman"/>
          <w:sz w:val="20"/>
          <w:szCs w:val="20"/>
        </w:rPr>
        <w:t>ed)</w:t>
      </w:r>
      <w:r w:rsidRPr="00F82B5F">
        <w:rPr>
          <w:rFonts w:ascii="Times New Roman" w:hAnsi="Times New Roman" w:cs="Times New Roman"/>
          <w:sz w:val="20"/>
          <w:szCs w:val="20"/>
        </w:rPr>
        <w:t>, Macmillan, New York, USA.</w:t>
      </w:r>
    </w:p>
    <w:p w:rsidR="005C3515" w:rsidRPr="00F82B5F" w:rsidRDefault="005C3515" w:rsidP="008B3934">
      <w:pPr>
        <w:spacing w:after="80" w:line="240" w:lineRule="exact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F82B5F">
        <w:rPr>
          <w:rFonts w:ascii="Times New Roman" w:hAnsi="Times New Roman" w:cs="Times New Roman"/>
          <w:sz w:val="20"/>
          <w:szCs w:val="20"/>
        </w:rPr>
        <w:t xml:space="preserve">Tang, T. C. (2002). Aggregate import demand behavior for Indonesia: evidence from bounds testing approach. </w:t>
      </w:r>
      <w:r w:rsidRPr="00F82B5F">
        <w:rPr>
          <w:rFonts w:ascii="Times New Roman" w:hAnsi="Times New Roman" w:cs="Times New Roman"/>
          <w:i/>
          <w:iCs/>
          <w:sz w:val="20"/>
          <w:szCs w:val="20"/>
        </w:rPr>
        <w:t>IIUM Journal of Economics and Management, 10</w:t>
      </w:r>
      <w:r w:rsidRPr="00F82B5F">
        <w:rPr>
          <w:rFonts w:ascii="Times New Roman" w:hAnsi="Times New Roman" w:cs="Times New Roman"/>
          <w:sz w:val="20"/>
          <w:szCs w:val="20"/>
        </w:rPr>
        <w:t>(2), 1-21.</w:t>
      </w:r>
      <w:r w:rsidR="00AF7C79">
        <w:rPr>
          <w:rFonts w:ascii="Times New Roman" w:hAnsi="Times New Roman" w:cs="Times New Roman"/>
          <w:sz w:val="20"/>
          <w:szCs w:val="20"/>
        </w:rPr>
        <w:t xml:space="preserve"> </w:t>
      </w:r>
      <w:r w:rsidR="00AF7C79" w:rsidRPr="00AF7C79">
        <w:rPr>
          <w:rFonts w:ascii="Times New Roman" w:hAnsi="Times New Roman" w:cs="Times New Roman"/>
          <w:sz w:val="20"/>
          <w:szCs w:val="20"/>
        </w:rPr>
        <w:t>https://ideas.repec.org/a/ije/journl/v10y2002i2p179-199.html</w:t>
      </w:r>
    </w:p>
    <w:p w:rsidR="005C3515" w:rsidRPr="00F82B5F" w:rsidRDefault="005C3515" w:rsidP="008B3934">
      <w:pPr>
        <w:spacing w:after="80" w:line="240" w:lineRule="exact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82B5F">
        <w:rPr>
          <w:rFonts w:ascii="Times New Roman" w:hAnsi="Times New Roman" w:cs="Times New Roman"/>
          <w:sz w:val="20"/>
          <w:szCs w:val="20"/>
        </w:rPr>
        <w:t>Tang, T. C., &amp; Mohammad, H.A. (2000).</w:t>
      </w:r>
      <w:proofErr w:type="gramEnd"/>
      <w:r w:rsidRPr="00F82B5F">
        <w:rPr>
          <w:rFonts w:ascii="Times New Roman" w:hAnsi="Times New Roman" w:cs="Times New Roman"/>
          <w:sz w:val="20"/>
          <w:szCs w:val="20"/>
        </w:rPr>
        <w:t xml:space="preserve"> An aggregate import demand function for Malaysia: a co-integration and error correction analysis. </w:t>
      </w:r>
      <w:r w:rsidRPr="00F82B5F">
        <w:rPr>
          <w:rFonts w:ascii="Times New Roman" w:hAnsi="Times New Roman" w:cs="Times New Roman"/>
          <w:i/>
          <w:iCs/>
          <w:sz w:val="20"/>
          <w:szCs w:val="20"/>
        </w:rPr>
        <w:t>Utara Management Review, 1</w:t>
      </w:r>
      <w:r w:rsidRPr="00F82B5F">
        <w:rPr>
          <w:rFonts w:ascii="Times New Roman" w:hAnsi="Times New Roman" w:cs="Times New Roman"/>
          <w:sz w:val="20"/>
          <w:szCs w:val="20"/>
        </w:rPr>
        <w:t>, 43-57.</w:t>
      </w:r>
      <w:r w:rsidR="00AF7C79">
        <w:rPr>
          <w:rFonts w:ascii="Times New Roman" w:hAnsi="Times New Roman" w:cs="Times New Roman"/>
          <w:sz w:val="20"/>
          <w:szCs w:val="20"/>
        </w:rPr>
        <w:t xml:space="preserve"> </w:t>
      </w:r>
      <w:r w:rsidR="00AF7C79" w:rsidRPr="00AF7C79">
        <w:rPr>
          <w:rFonts w:ascii="Times New Roman" w:hAnsi="Times New Roman" w:cs="Times New Roman"/>
          <w:sz w:val="20"/>
          <w:szCs w:val="20"/>
        </w:rPr>
        <w:t>http://repo.uum.edu.my/496/</w:t>
      </w:r>
    </w:p>
    <w:p w:rsidR="005C3515" w:rsidRPr="00F82B5F" w:rsidRDefault="005C3515" w:rsidP="008B3934">
      <w:pPr>
        <w:spacing w:after="80" w:line="240" w:lineRule="exact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82B5F">
        <w:rPr>
          <w:rFonts w:ascii="Times New Roman" w:hAnsi="Times New Roman" w:cs="Times New Roman"/>
          <w:sz w:val="20"/>
          <w:szCs w:val="20"/>
        </w:rPr>
        <w:t>Tang, T. C., &amp; Nair, M. (2002).</w:t>
      </w:r>
      <w:proofErr w:type="gramEnd"/>
      <w:r w:rsidRPr="00F82B5F">
        <w:rPr>
          <w:rFonts w:ascii="Times New Roman" w:hAnsi="Times New Roman" w:cs="Times New Roman"/>
          <w:sz w:val="20"/>
          <w:szCs w:val="20"/>
        </w:rPr>
        <w:t xml:space="preserve"> A co-integration analysis of Malaysian import demand function: reassessment from the bounds test. </w:t>
      </w:r>
      <w:proofErr w:type="gramStart"/>
      <w:r w:rsidRPr="00F82B5F">
        <w:rPr>
          <w:rFonts w:ascii="Times New Roman" w:hAnsi="Times New Roman" w:cs="Times New Roman"/>
          <w:i/>
          <w:iCs/>
          <w:sz w:val="20"/>
          <w:szCs w:val="20"/>
        </w:rPr>
        <w:t>Applied Economic Letters, 9</w:t>
      </w:r>
      <w:r w:rsidRPr="00F82B5F">
        <w:rPr>
          <w:rFonts w:ascii="Times New Roman" w:hAnsi="Times New Roman" w:cs="Times New Roman"/>
          <w:sz w:val="20"/>
          <w:szCs w:val="20"/>
        </w:rPr>
        <w:t>, 293-296.</w:t>
      </w:r>
      <w:proofErr w:type="gramEnd"/>
      <w:r w:rsidR="00AF7C79">
        <w:rPr>
          <w:rFonts w:ascii="Times New Roman" w:hAnsi="Times New Roman" w:cs="Times New Roman"/>
          <w:sz w:val="20"/>
          <w:szCs w:val="20"/>
        </w:rPr>
        <w:t xml:space="preserve"> </w:t>
      </w:r>
      <w:r w:rsidR="00AF7C79" w:rsidRPr="00AF7C79">
        <w:rPr>
          <w:rFonts w:ascii="Times New Roman" w:hAnsi="Times New Roman" w:cs="Times New Roman"/>
          <w:sz w:val="20"/>
          <w:szCs w:val="20"/>
        </w:rPr>
        <w:t>http://www.tandfonline.com/doi/abs/10.1080/13504850110073471?journalCode=rael20#.VZ7POvmqqko</w:t>
      </w:r>
    </w:p>
    <w:p w:rsidR="005C3515" w:rsidRPr="008B3934" w:rsidRDefault="005C3515" w:rsidP="008B3934">
      <w:pPr>
        <w:spacing w:after="80" w:line="240" w:lineRule="exact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B3934">
        <w:rPr>
          <w:rFonts w:ascii="Times New Roman" w:hAnsi="Times New Roman" w:cs="Times New Roman"/>
          <w:sz w:val="20"/>
          <w:szCs w:val="20"/>
        </w:rPr>
        <w:t>World Bank, Development Indicators Databases (2014).</w:t>
      </w:r>
      <w:proofErr w:type="gramEnd"/>
      <w:r w:rsidRPr="008B3934">
        <w:rPr>
          <w:rFonts w:ascii="Times New Roman" w:hAnsi="Times New Roman" w:cs="Times New Roman"/>
          <w:sz w:val="20"/>
          <w:szCs w:val="20"/>
        </w:rPr>
        <w:t xml:space="preserve"> Available on line at:  </w:t>
      </w:r>
      <w:hyperlink r:id="rId13" w:history="1">
        <w:r w:rsidRPr="008B3934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http://databank.worldbank.org/data/views/variableSelection/selectvariables.aspx?source=world-development-indicators</w:t>
        </w:r>
      </w:hyperlink>
      <w:r w:rsidRPr="008B3934">
        <w:rPr>
          <w:rFonts w:ascii="Times New Roman" w:hAnsi="Times New Roman" w:cs="Times New Roman"/>
          <w:sz w:val="20"/>
          <w:szCs w:val="20"/>
        </w:rPr>
        <w:t>, accessed on August 2015.</w:t>
      </w:r>
    </w:p>
    <w:sectPr w:rsidR="005C3515" w:rsidRPr="008B3934"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96" w:rsidRDefault="004E6D96" w:rsidP="00CA658C">
      <w:pPr>
        <w:spacing w:after="0" w:line="240" w:lineRule="auto"/>
      </w:pPr>
      <w:r>
        <w:separator/>
      </w:r>
    </w:p>
  </w:endnote>
  <w:endnote w:type="continuationSeparator" w:id="0">
    <w:p w:rsidR="004E6D96" w:rsidRDefault="004E6D96" w:rsidP="00CA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5521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A658C" w:rsidRPr="00AE18B4" w:rsidRDefault="00CA658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18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8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8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592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E18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A658C" w:rsidRDefault="00CA6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96" w:rsidRDefault="004E6D96" w:rsidP="00CA658C">
      <w:pPr>
        <w:spacing w:after="0" w:line="240" w:lineRule="auto"/>
      </w:pPr>
      <w:r>
        <w:separator/>
      </w:r>
    </w:p>
  </w:footnote>
  <w:footnote w:type="continuationSeparator" w:id="0">
    <w:p w:rsidR="004E6D96" w:rsidRDefault="004E6D96" w:rsidP="00CA6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423E"/>
    <w:multiLevelType w:val="hybridMultilevel"/>
    <w:tmpl w:val="ED6CC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DC"/>
    <w:rsid w:val="000009E3"/>
    <w:rsid w:val="00003686"/>
    <w:rsid w:val="00003D88"/>
    <w:rsid w:val="00004E40"/>
    <w:rsid w:val="000052D8"/>
    <w:rsid w:val="00010DF4"/>
    <w:rsid w:val="000233D4"/>
    <w:rsid w:val="00047E08"/>
    <w:rsid w:val="000603DD"/>
    <w:rsid w:val="00060D48"/>
    <w:rsid w:val="00062D4F"/>
    <w:rsid w:val="00075E32"/>
    <w:rsid w:val="00083090"/>
    <w:rsid w:val="00083A7C"/>
    <w:rsid w:val="00085925"/>
    <w:rsid w:val="00096B16"/>
    <w:rsid w:val="000A2A37"/>
    <w:rsid w:val="000B7C1E"/>
    <w:rsid w:val="000C7095"/>
    <w:rsid w:val="000D688C"/>
    <w:rsid w:val="000D69A7"/>
    <w:rsid w:val="000E3CD5"/>
    <w:rsid w:val="000E482F"/>
    <w:rsid w:val="000E4DC8"/>
    <w:rsid w:val="000E54BF"/>
    <w:rsid w:val="000F3166"/>
    <w:rsid w:val="001071D1"/>
    <w:rsid w:val="001120BE"/>
    <w:rsid w:val="00113C06"/>
    <w:rsid w:val="00120AC8"/>
    <w:rsid w:val="001253EC"/>
    <w:rsid w:val="0013530D"/>
    <w:rsid w:val="00140496"/>
    <w:rsid w:val="00161134"/>
    <w:rsid w:val="00162840"/>
    <w:rsid w:val="001756DC"/>
    <w:rsid w:val="0018082D"/>
    <w:rsid w:val="00181509"/>
    <w:rsid w:val="00186408"/>
    <w:rsid w:val="0019065A"/>
    <w:rsid w:val="00193E2C"/>
    <w:rsid w:val="001A05C0"/>
    <w:rsid w:val="001A10A0"/>
    <w:rsid w:val="001A2BFA"/>
    <w:rsid w:val="001B4D82"/>
    <w:rsid w:val="001E4229"/>
    <w:rsid w:val="001E4912"/>
    <w:rsid w:val="001F4ACC"/>
    <w:rsid w:val="00201979"/>
    <w:rsid w:val="002059DB"/>
    <w:rsid w:val="00206020"/>
    <w:rsid w:val="00211021"/>
    <w:rsid w:val="00231645"/>
    <w:rsid w:val="00231F7A"/>
    <w:rsid w:val="00236E26"/>
    <w:rsid w:val="00242853"/>
    <w:rsid w:val="002527D3"/>
    <w:rsid w:val="00265C58"/>
    <w:rsid w:val="00285319"/>
    <w:rsid w:val="002A01EC"/>
    <w:rsid w:val="002B2F04"/>
    <w:rsid w:val="002B60EC"/>
    <w:rsid w:val="002C43DA"/>
    <w:rsid w:val="002D00C7"/>
    <w:rsid w:val="002D20A7"/>
    <w:rsid w:val="002D432F"/>
    <w:rsid w:val="002E53AA"/>
    <w:rsid w:val="0030450B"/>
    <w:rsid w:val="003076B9"/>
    <w:rsid w:val="00311E6C"/>
    <w:rsid w:val="0032377F"/>
    <w:rsid w:val="003256AF"/>
    <w:rsid w:val="00341A61"/>
    <w:rsid w:val="00341E5E"/>
    <w:rsid w:val="003509AF"/>
    <w:rsid w:val="00352544"/>
    <w:rsid w:val="00353E01"/>
    <w:rsid w:val="00357802"/>
    <w:rsid w:val="00360B8D"/>
    <w:rsid w:val="00366DDD"/>
    <w:rsid w:val="0039388A"/>
    <w:rsid w:val="00396B8B"/>
    <w:rsid w:val="003B6F10"/>
    <w:rsid w:val="003C0DA5"/>
    <w:rsid w:val="003C2E7B"/>
    <w:rsid w:val="003D2712"/>
    <w:rsid w:val="003D5BF5"/>
    <w:rsid w:val="003E24C8"/>
    <w:rsid w:val="003E42E1"/>
    <w:rsid w:val="003E490B"/>
    <w:rsid w:val="003F0A65"/>
    <w:rsid w:val="00422000"/>
    <w:rsid w:val="00431D17"/>
    <w:rsid w:val="00432AED"/>
    <w:rsid w:val="00452361"/>
    <w:rsid w:val="00463D4E"/>
    <w:rsid w:val="00465ECD"/>
    <w:rsid w:val="00471D56"/>
    <w:rsid w:val="00475FCA"/>
    <w:rsid w:val="004815CC"/>
    <w:rsid w:val="00485503"/>
    <w:rsid w:val="00492284"/>
    <w:rsid w:val="00497285"/>
    <w:rsid w:val="004A1E0C"/>
    <w:rsid w:val="004A3797"/>
    <w:rsid w:val="004A64BB"/>
    <w:rsid w:val="004C15A7"/>
    <w:rsid w:val="004E6D96"/>
    <w:rsid w:val="004F3284"/>
    <w:rsid w:val="004F491E"/>
    <w:rsid w:val="004F5912"/>
    <w:rsid w:val="004F5BBB"/>
    <w:rsid w:val="004F6C6B"/>
    <w:rsid w:val="004F6F39"/>
    <w:rsid w:val="00504282"/>
    <w:rsid w:val="0051384B"/>
    <w:rsid w:val="00517D8D"/>
    <w:rsid w:val="005341E3"/>
    <w:rsid w:val="00563111"/>
    <w:rsid w:val="00564D5F"/>
    <w:rsid w:val="005A00DE"/>
    <w:rsid w:val="005B01EB"/>
    <w:rsid w:val="005C3515"/>
    <w:rsid w:val="005C7293"/>
    <w:rsid w:val="005D6C57"/>
    <w:rsid w:val="005E4829"/>
    <w:rsid w:val="005F109D"/>
    <w:rsid w:val="00604442"/>
    <w:rsid w:val="006058EB"/>
    <w:rsid w:val="0061274E"/>
    <w:rsid w:val="00625338"/>
    <w:rsid w:val="00626996"/>
    <w:rsid w:val="00626C96"/>
    <w:rsid w:val="00627924"/>
    <w:rsid w:val="006529CE"/>
    <w:rsid w:val="00661F8A"/>
    <w:rsid w:val="0066793B"/>
    <w:rsid w:val="00677D6D"/>
    <w:rsid w:val="0068422A"/>
    <w:rsid w:val="00684A7D"/>
    <w:rsid w:val="006855A2"/>
    <w:rsid w:val="00687E92"/>
    <w:rsid w:val="006A14E9"/>
    <w:rsid w:val="006B0326"/>
    <w:rsid w:val="006C2B86"/>
    <w:rsid w:val="006C5ACF"/>
    <w:rsid w:val="006D0B75"/>
    <w:rsid w:val="006D3A1A"/>
    <w:rsid w:val="006D54A7"/>
    <w:rsid w:val="006E166D"/>
    <w:rsid w:val="006E6B29"/>
    <w:rsid w:val="006E6B33"/>
    <w:rsid w:val="006F32AB"/>
    <w:rsid w:val="0070289F"/>
    <w:rsid w:val="00705C00"/>
    <w:rsid w:val="00707BE6"/>
    <w:rsid w:val="00711FB6"/>
    <w:rsid w:val="00720E87"/>
    <w:rsid w:val="00736439"/>
    <w:rsid w:val="0075532F"/>
    <w:rsid w:val="00762B34"/>
    <w:rsid w:val="007804C8"/>
    <w:rsid w:val="007816EB"/>
    <w:rsid w:val="00784178"/>
    <w:rsid w:val="00790ED6"/>
    <w:rsid w:val="00793629"/>
    <w:rsid w:val="00797C92"/>
    <w:rsid w:val="007A0462"/>
    <w:rsid w:val="007A1B22"/>
    <w:rsid w:val="007B09CA"/>
    <w:rsid w:val="007B4D74"/>
    <w:rsid w:val="007C2122"/>
    <w:rsid w:val="007C4970"/>
    <w:rsid w:val="007D20EF"/>
    <w:rsid w:val="007D2B1D"/>
    <w:rsid w:val="007D4D11"/>
    <w:rsid w:val="007D56CE"/>
    <w:rsid w:val="007E25AD"/>
    <w:rsid w:val="007F28E9"/>
    <w:rsid w:val="007F3ED7"/>
    <w:rsid w:val="0080323C"/>
    <w:rsid w:val="00806F80"/>
    <w:rsid w:val="0083280E"/>
    <w:rsid w:val="00837514"/>
    <w:rsid w:val="00840EDB"/>
    <w:rsid w:val="00843731"/>
    <w:rsid w:val="00854075"/>
    <w:rsid w:val="00855A1A"/>
    <w:rsid w:val="00862953"/>
    <w:rsid w:val="00862990"/>
    <w:rsid w:val="0088566A"/>
    <w:rsid w:val="0088670A"/>
    <w:rsid w:val="00887395"/>
    <w:rsid w:val="008A03F3"/>
    <w:rsid w:val="008A45CA"/>
    <w:rsid w:val="008B2E07"/>
    <w:rsid w:val="008B315E"/>
    <w:rsid w:val="008B3934"/>
    <w:rsid w:val="008B3BE5"/>
    <w:rsid w:val="008E0C01"/>
    <w:rsid w:val="008E6D93"/>
    <w:rsid w:val="008E7F7C"/>
    <w:rsid w:val="008F0F49"/>
    <w:rsid w:val="008F37EC"/>
    <w:rsid w:val="00900C5D"/>
    <w:rsid w:val="00911763"/>
    <w:rsid w:val="00920781"/>
    <w:rsid w:val="00927EAD"/>
    <w:rsid w:val="00937AB9"/>
    <w:rsid w:val="00941B5C"/>
    <w:rsid w:val="009428A4"/>
    <w:rsid w:val="00954167"/>
    <w:rsid w:val="00961B1E"/>
    <w:rsid w:val="00963CFD"/>
    <w:rsid w:val="00980925"/>
    <w:rsid w:val="0098181C"/>
    <w:rsid w:val="009841BA"/>
    <w:rsid w:val="0099761C"/>
    <w:rsid w:val="00997D33"/>
    <w:rsid w:val="009A6A1E"/>
    <w:rsid w:val="009B287F"/>
    <w:rsid w:val="009D3BA3"/>
    <w:rsid w:val="009E7A14"/>
    <w:rsid w:val="009E7A90"/>
    <w:rsid w:val="00A009B7"/>
    <w:rsid w:val="00A15824"/>
    <w:rsid w:val="00A2086A"/>
    <w:rsid w:val="00A2316A"/>
    <w:rsid w:val="00A34E9B"/>
    <w:rsid w:val="00A43275"/>
    <w:rsid w:val="00A43CAF"/>
    <w:rsid w:val="00A45FBC"/>
    <w:rsid w:val="00A81CA4"/>
    <w:rsid w:val="00A92AA1"/>
    <w:rsid w:val="00AA00F5"/>
    <w:rsid w:val="00AA1BBF"/>
    <w:rsid w:val="00AA5922"/>
    <w:rsid w:val="00AC53D3"/>
    <w:rsid w:val="00AC6A0E"/>
    <w:rsid w:val="00AC6BFA"/>
    <w:rsid w:val="00AE18B4"/>
    <w:rsid w:val="00AE40B5"/>
    <w:rsid w:val="00AE44EF"/>
    <w:rsid w:val="00AF7C79"/>
    <w:rsid w:val="00B011DE"/>
    <w:rsid w:val="00B13292"/>
    <w:rsid w:val="00B132A5"/>
    <w:rsid w:val="00B37A4D"/>
    <w:rsid w:val="00B679B0"/>
    <w:rsid w:val="00B811A3"/>
    <w:rsid w:val="00B873BB"/>
    <w:rsid w:val="00B954BC"/>
    <w:rsid w:val="00BA6599"/>
    <w:rsid w:val="00BB3BB5"/>
    <w:rsid w:val="00BD0E28"/>
    <w:rsid w:val="00BD1C3D"/>
    <w:rsid w:val="00BE0AD2"/>
    <w:rsid w:val="00BE4AFB"/>
    <w:rsid w:val="00BF3D89"/>
    <w:rsid w:val="00C029A1"/>
    <w:rsid w:val="00C07F49"/>
    <w:rsid w:val="00C148F6"/>
    <w:rsid w:val="00C14F14"/>
    <w:rsid w:val="00C157C4"/>
    <w:rsid w:val="00C45840"/>
    <w:rsid w:val="00C56CC7"/>
    <w:rsid w:val="00C6013F"/>
    <w:rsid w:val="00C6563B"/>
    <w:rsid w:val="00C66024"/>
    <w:rsid w:val="00C81AB0"/>
    <w:rsid w:val="00CA0E4C"/>
    <w:rsid w:val="00CA2B43"/>
    <w:rsid w:val="00CA2D9A"/>
    <w:rsid w:val="00CA658C"/>
    <w:rsid w:val="00CB37F4"/>
    <w:rsid w:val="00CC4060"/>
    <w:rsid w:val="00CC67CB"/>
    <w:rsid w:val="00CC7F2F"/>
    <w:rsid w:val="00CD0009"/>
    <w:rsid w:val="00CD20C6"/>
    <w:rsid w:val="00CD62B0"/>
    <w:rsid w:val="00CD6563"/>
    <w:rsid w:val="00CD7BA4"/>
    <w:rsid w:val="00CE40A1"/>
    <w:rsid w:val="00CE5FA7"/>
    <w:rsid w:val="00CF096A"/>
    <w:rsid w:val="00CF55B3"/>
    <w:rsid w:val="00CF73EC"/>
    <w:rsid w:val="00CF7DD2"/>
    <w:rsid w:val="00D01912"/>
    <w:rsid w:val="00D070BA"/>
    <w:rsid w:val="00D110DB"/>
    <w:rsid w:val="00D17E6C"/>
    <w:rsid w:val="00D2246B"/>
    <w:rsid w:val="00D228F4"/>
    <w:rsid w:val="00D23C48"/>
    <w:rsid w:val="00D24762"/>
    <w:rsid w:val="00D24ADA"/>
    <w:rsid w:val="00D27DE8"/>
    <w:rsid w:val="00D40BFC"/>
    <w:rsid w:val="00D42DED"/>
    <w:rsid w:val="00D449CB"/>
    <w:rsid w:val="00D530E7"/>
    <w:rsid w:val="00D82C95"/>
    <w:rsid w:val="00D94938"/>
    <w:rsid w:val="00DA5868"/>
    <w:rsid w:val="00DA6979"/>
    <w:rsid w:val="00DB7650"/>
    <w:rsid w:val="00DC42EB"/>
    <w:rsid w:val="00DC4E4D"/>
    <w:rsid w:val="00DC5C56"/>
    <w:rsid w:val="00DD0ED6"/>
    <w:rsid w:val="00DD5F8B"/>
    <w:rsid w:val="00DF5D2F"/>
    <w:rsid w:val="00DF6C0B"/>
    <w:rsid w:val="00E053B7"/>
    <w:rsid w:val="00E153C4"/>
    <w:rsid w:val="00E16D07"/>
    <w:rsid w:val="00E33A9B"/>
    <w:rsid w:val="00E33C45"/>
    <w:rsid w:val="00E361FA"/>
    <w:rsid w:val="00E366F4"/>
    <w:rsid w:val="00E3699E"/>
    <w:rsid w:val="00E41A0E"/>
    <w:rsid w:val="00E4405A"/>
    <w:rsid w:val="00E46DB6"/>
    <w:rsid w:val="00E53F3C"/>
    <w:rsid w:val="00E54326"/>
    <w:rsid w:val="00E577F9"/>
    <w:rsid w:val="00E63821"/>
    <w:rsid w:val="00E6569E"/>
    <w:rsid w:val="00E765A8"/>
    <w:rsid w:val="00E8459E"/>
    <w:rsid w:val="00E93C47"/>
    <w:rsid w:val="00EA03F5"/>
    <w:rsid w:val="00EA20E9"/>
    <w:rsid w:val="00EA35B5"/>
    <w:rsid w:val="00EC2E1C"/>
    <w:rsid w:val="00EE26DA"/>
    <w:rsid w:val="00EE4F44"/>
    <w:rsid w:val="00EE54B6"/>
    <w:rsid w:val="00EF4769"/>
    <w:rsid w:val="00F016EB"/>
    <w:rsid w:val="00F01E30"/>
    <w:rsid w:val="00F056A1"/>
    <w:rsid w:val="00F12597"/>
    <w:rsid w:val="00F126FE"/>
    <w:rsid w:val="00F225DE"/>
    <w:rsid w:val="00F26A19"/>
    <w:rsid w:val="00F3213E"/>
    <w:rsid w:val="00F41D1D"/>
    <w:rsid w:val="00F43DFF"/>
    <w:rsid w:val="00F51758"/>
    <w:rsid w:val="00F7166D"/>
    <w:rsid w:val="00F74FD1"/>
    <w:rsid w:val="00F82B5F"/>
    <w:rsid w:val="00F86D67"/>
    <w:rsid w:val="00F90D07"/>
    <w:rsid w:val="00F9511D"/>
    <w:rsid w:val="00FD0F36"/>
    <w:rsid w:val="00FD479F"/>
    <w:rsid w:val="00FD75A6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4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408"/>
    <w:pPr>
      <w:tabs>
        <w:tab w:val="center" w:pos="4513"/>
        <w:tab w:val="right" w:pos="9026"/>
      </w:tabs>
      <w:spacing w:after="0" w:line="240" w:lineRule="auto"/>
    </w:pPr>
    <w:rPr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186408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186408"/>
    <w:pPr>
      <w:tabs>
        <w:tab w:val="center" w:pos="4513"/>
        <w:tab w:val="right" w:pos="9026"/>
      </w:tabs>
      <w:spacing w:after="0" w:line="240" w:lineRule="auto"/>
    </w:pPr>
    <w:rPr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186408"/>
    <w:rPr>
      <w:lang w:val="en-MY"/>
    </w:rPr>
  </w:style>
  <w:style w:type="table" w:styleId="TableGrid">
    <w:name w:val="Table Grid"/>
    <w:basedOn w:val="TableNormal"/>
    <w:uiPriority w:val="59"/>
    <w:rsid w:val="00186408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4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408"/>
    <w:pPr>
      <w:tabs>
        <w:tab w:val="center" w:pos="4513"/>
        <w:tab w:val="right" w:pos="9026"/>
      </w:tabs>
      <w:spacing w:after="0" w:line="240" w:lineRule="auto"/>
    </w:pPr>
    <w:rPr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186408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186408"/>
    <w:pPr>
      <w:tabs>
        <w:tab w:val="center" w:pos="4513"/>
        <w:tab w:val="right" w:pos="9026"/>
      </w:tabs>
      <w:spacing w:after="0" w:line="240" w:lineRule="auto"/>
    </w:pPr>
    <w:rPr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186408"/>
    <w:rPr>
      <w:lang w:val="en-MY"/>
    </w:rPr>
  </w:style>
  <w:style w:type="table" w:styleId="TableGrid">
    <w:name w:val="Table Grid"/>
    <w:basedOn w:val="TableNormal"/>
    <w:uiPriority w:val="59"/>
    <w:rsid w:val="00186408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gableh83@yahoo.com" TargetMode="External"/><Relationship Id="rId13" Type="http://schemas.openxmlformats.org/officeDocument/2006/relationships/hyperlink" Target="http://databank.worldbank.org/data/views/variableSelection/selectvariables.aspx?source=world-development-indicato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x.doi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gableh83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2016-01-26T22:49:00Z</dcterms:created>
  <dcterms:modified xsi:type="dcterms:W3CDTF">2016-01-30T20:58:00Z</dcterms:modified>
</cp:coreProperties>
</file>