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E3" w:rsidRPr="003513AE" w:rsidRDefault="0017477A" w:rsidP="00B87BE3">
      <w:pPr>
        <w:jc w:val="center"/>
        <w:rPr>
          <w:sz w:val="28"/>
          <w:szCs w:val="28"/>
        </w:rPr>
      </w:pPr>
      <w:r w:rsidRPr="0017477A">
        <w:rPr>
          <w:rFonts w:eastAsia="標楷體"/>
          <w:sz w:val="28"/>
          <w:szCs w:val="28"/>
        </w:rPr>
        <w:t>Applications of a “Carry-Over”-Enhanced DSBM Intertemporal Technical Efficiency Model on the Taiwanese 5G Industry</w:t>
      </w:r>
    </w:p>
    <w:p w:rsidR="00B87BE3" w:rsidRPr="003513AE" w:rsidRDefault="00B87BE3" w:rsidP="00B87BE3">
      <w:pPr>
        <w:adjustRightInd w:val="0"/>
        <w:snapToGrid w:val="0"/>
      </w:pPr>
    </w:p>
    <w:p w:rsidR="00B87BE3" w:rsidRPr="003513AE" w:rsidRDefault="00B87BE3" w:rsidP="00B87BE3">
      <w:pPr>
        <w:autoSpaceDE w:val="0"/>
        <w:autoSpaceDN w:val="0"/>
        <w:adjustRightInd w:val="0"/>
        <w:snapToGrid w:val="0"/>
        <w:rPr>
          <w:b/>
        </w:rPr>
      </w:pPr>
      <w:r w:rsidRPr="003513AE">
        <w:rPr>
          <w:b/>
        </w:rPr>
        <w:t>Day-Yang Liu</w:t>
      </w:r>
    </w:p>
    <w:p w:rsidR="00B87BE3" w:rsidRPr="003513AE" w:rsidRDefault="00B87BE3" w:rsidP="00B87BE3">
      <w:pPr>
        <w:autoSpaceDE w:val="0"/>
        <w:autoSpaceDN w:val="0"/>
        <w:adjustRightInd w:val="0"/>
        <w:snapToGrid w:val="0"/>
      </w:pPr>
      <w:r w:rsidRPr="003513AE">
        <w:t xml:space="preserve">Graduate Institute of Finance </w:t>
      </w:r>
    </w:p>
    <w:p w:rsidR="00B87BE3" w:rsidRPr="003513AE" w:rsidRDefault="00B87BE3" w:rsidP="00B87BE3">
      <w:pPr>
        <w:autoSpaceDE w:val="0"/>
        <w:autoSpaceDN w:val="0"/>
        <w:adjustRightInd w:val="0"/>
        <w:snapToGrid w:val="0"/>
      </w:pPr>
      <w:r w:rsidRPr="003513AE">
        <w:t xml:space="preserve">National Taiwan University of Science and Technology </w:t>
      </w:r>
    </w:p>
    <w:p w:rsidR="00B87BE3" w:rsidRPr="003513AE" w:rsidRDefault="00B87BE3" w:rsidP="00B87BE3">
      <w:pPr>
        <w:autoSpaceDE w:val="0"/>
        <w:autoSpaceDN w:val="0"/>
        <w:adjustRightInd w:val="0"/>
        <w:snapToGrid w:val="0"/>
      </w:pPr>
      <w:r w:rsidRPr="003513AE">
        <w:t>No. 43, Sec. 4, Keelung Rd., Taipei, 106, Taiwan.</w:t>
      </w:r>
    </w:p>
    <w:p w:rsidR="00B87BE3" w:rsidRPr="003513AE" w:rsidRDefault="00B87BE3" w:rsidP="00B87BE3">
      <w:pPr>
        <w:autoSpaceDE w:val="0"/>
        <w:autoSpaceDN w:val="0"/>
        <w:adjustRightInd w:val="0"/>
        <w:snapToGrid w:val="0"/>
      </w:pPr>
      <w:r w:rsidRPr="003513AE">
        <w:t>E-mail: liudy@mail.ntust.edu.tw</w:t>
      </w:r>
    </w:p>
    <w:p w:rsidR="00B87BE3" w:rsidRPr="003513AE" w:rsidRDefault="00B87BE3" w:rsidP="00B87BE3">
      <w:pPr>
        <w:rPr>
          <w:sz w:val="28"/>
          <w:szCs w:val="28"/>
        </w:rPr>
      </w:pPr>
    </w:p>
    <w:p w:rsidR="00B87BE3" w:rsidRPr="003513AE" w:rsidRDefault="00B87BE3" w:rsidP="00B87BE3">
      <w:pPr>
        <w:rPr>
          <w:sz w:val="28"/>
          <w:szCs w:val="28"/>
        </w:rPr>
      </w:pPr>
    </w:p>
    <w:p w:rsidR="00B87BE3" w:rsidRPr="000813D1" w:rsidRDefault="00B87BE3" w:rsidP="00B87BE3">
      <w:pPr>
        <w:autoSpaceDE w:val="0"/>
        <w:autoSpaceDN w:val="0"/>
        <w:adjustRightInd w:val="0"/>
        <w:snapToGrid w:val="0"/>
        <w:rPr>
          <w:b/>
        </w:rPr>
      </w:pPr>
      <w:r w:rsidRPr="000813D1">
        <w:rPr>
          <w:b/>
        </w:rPr>
        <w:t>Hui-Chien Fan</w:t>
      </w:r>
    </w:p>
    <w:p w:rsidR="00B87BE3" w:rsidRPr="000813D1" w:rsidRDefault="00B87BE3" w:rsidP="00B87BE3">
      <w:pPr>
        <w:autoSpaceDE w:val="0"/>
        <w:autoSpaceDN w:val="0"/>
        <w:adjustRightInd w:val="0"/>
        <w:snapToGrid w:val="0"/>
      </w:pPr>
      <w:r w:rsidRPr="000813D1">
        <w:t>School of Management</w:t>
      </w:r>
    </w:p>
    <w:p w:rsidR="00B87BE3" w:rsidRPr="000813D1" w:rsidRDefault="00B87BE3" w:rsidP="00B87BE3">
      <w:pPr>
        <w:autoSpaceDE w:val="0"/>
        <w:autoSpaceDN w:val="0"/>
        <w:adjustRightInd w:val="0"/>
        <w:snapToGrid w:val="0"/>
      </w:pPr>
      <w:r w:rsidRPr="000813D1">
        <w:t xml:space="preserve">National Taiwan University of Science and Technology </w:t>
      </w:r>
    </w:p>
    <w:p w:rsidR="00B87BE3" w:rsidRPr="000813D1" w:rsidRDefault="00B87BE3" w:rsidP="00B87BE3">
      <w:pPr>
        <w:autoSpaceDE w:val="0"/>
        <w:autoSpaceDN w:val="0"/>
        <w:adjustRightInd w:val="0"/>
        <w:snapToGrid w:val="0"/>
      </w:pPr>
      <w:r w:rsidRPr="000813D1">
        <w:t>No. 43, Sec. 4, Keelung Rd., Taipei, 106, Taiwan.</w:t>
      </w:r>
    </w:p>
    <w:p w:rsidR="00B87BE3" w:rsidRPr="000813D1" w:rsidRDefault="00B87BE3" w:rsidP="00B87BE3">
      <w:pPr>
        <w:autoSpaceDE w:val="0"/>
        <w:autoSpaceDN w:val="0"/>
        <w:adjustRightInd w:val="0"/>
        <w:snapToGrid w:val="0"/>
      </w:pPr>
      <w:r w:rsidRPr="000813D1">
        <w:t xml:space="preserve">E-mail: </w:t>
      </w:r>
      <w:r w:rsidR="0062088E" w:rsidRPr="000813D1">
        <w:t>david@edit.com.tw</w:t>
      </w:r>
    </w:p>
    <w:p w:rsidR="00B87BE3" w:rsidRPr="00300DBD" w:rsidRDefault="00B87BE3" w:rsidP="00B87BE3">
      <w:pPr>
        <w:autoSpaceDE w:val="0"/>
        <w:autoSpaceDN w:val="0"/>
        <w:adjustRightInd w:val="0"/>
        <w:snapToGrid w:val="0"/>
        <w:rPr>
          <w:color w:val="FF0000"/>
        </w:rPr>
      </w:pPr>
    </w:p>
    <w:p w:rsidR="00B87BE3" w:rsidRDefault="00B87BE3" w:rsidP="00B87BE3">
      <w:pPr>
        <w:autoSpaceDE w:val="0"/>
        <w:autoSpaceDN w:val="0"/>
        <w:adjustRightInd w:val="0"/>
        <w:snapToGrid w:val="0"/>
      </w:pPr>
    </w:p>
    <w:p w:rsidR="00B87BE3" w:rsidRPr="003513AE" w:rsidRDefault="00B87BE3" w:rsidP="00B87BE3">
      <w:pPr>
        <w:autoSpaceDE w:val="0"/>
        <w:autoSpaceDN w:val="0"/>
        <w:adjustRightInd w:val="0"/>
        <w:snapToGrid w:val="0"/>
        <w:rPr>
          <w:b/>
        </w:rPr>
      </w:pPr>
      <w:r w:rsidRPr="00B87BE3">
        <w:rPr>
          <w:b/>
        </w:rPr>
        <w:t>Joseph C.P. Shieh</w:t>
      </w:r>
    </w:p>
    <w:p w:rsidR="00B87BE3" w:rsidRPr="0016200D" w:rsidRDefault="00B87BE3" w:rsidP="00B87BE3">
      <w:pPr>
        <w:autoSpaceDE w:val="0"/>
        <w:autoSpaceDN w:val="0"/>
        <w:adjustRightInd w:val="0"/>
        <w:snapToGrid w:val="0"/>
      </w:pPr>
      <w:r w:rsidRPr="0016200D">
        <w:t xml:space="preserve">Graduate Institute of Finance </w:t>
      </w:r>
    </w:p>
    <w:p w:rsidR="00B87BE3" w:rsidRPr="0016200D" w:rsidRDefault="00B87BE3" w:rsidP="00B87BE3">
      <w:pPr>
        <w:autoSpaceDE w:val="0"/>
        <w:autoSpaceDN w:val="0"/>
        <w:adjustRightInd w:val="0"/>
        <w:snapToGrid w:val="0"/>
      </w:pPr>
      <w:r w:rsidRPr="0016200D">
        <w:t xml:space="preserve">National Taiwan University of Science and Technology </w:t>
      </w:r>
    </w:p>
    <w:p w:rsidR="00B87BE3" w:rsidRPr="0016200D" w:rsidRDefault="00B87BE3" w:rsidP="00B87BE3">
      <w:pPr>
        <w:autoSpaceDE w:val="0"/>
        <w:autoSpaceDN w:val="0"/>
        <w:adjustRightInd w:val="0"/>
        <w:snapToGrid w:val="0"/>
      </w:pPr>
      <w:r w:rsidRPr="0016200D">
        <w:t>No. 43, Sec. 4, Keelung Rd., Taipei, 106, Taiwan.</w:t>
      </w:r>
    </w:p>
    <w:p w:rsidR="00B87BE3" w:rsidRPr="0016200D" w:rsidRDefault="00B87BE3" w:rsidP="00B87BE3">
      <w:pPr>
        <w:autoSpaceDE w:val="0"/>
        <w:autoSpaceDN w:val="0"/>
        <w:adjustRightInd w:val="0"/>
        <w:snapToGrid w:val="0"/>
      </w:pPr>
      <w:r w:rsidRPr="0016200D">
        <w:t xml:space="preserve">E-mail: </w:t>
      </w:r>
      <w:hyperlink r:id="rId8" w:history="1">
        <w:r w:rsidR="00735663" w:rsidRPr="0016200D">
          <w:rPr>
            <w:rStyle w:val="af6"/>
            <w:color w:val="auto"/>
            <w:u w:val="none"/>
          </w:rPr>
          <w:t>jshieh@mail.ntust.edu.tw</w:t>
        </w:r>
      </w:hyperlink>
    </w:p>
    <w:p w:rsidR="00735663" w:rsidRDefault="00735663" w:rsidP="00B87BE3">
      <w:pPr>
        <w:autoSpaceDE w:val="0"/>
        <w:autoSpaceDN w:val="0"/>
        <w:adjustRightInd w:val="0"/>
        <w:snapToGrid w:val="0"/>
      </w:pPr>
    </w:p>
    <w:p w:rsidR="00735663" w:rsidRPr="0016200D" w:rsidRDefault="00735663" w:rsidP="00B87BE3">
      <w:pPr>
        <w:autoSpaceDE w:val="0"/>
        <w:autoSpaceDN w:val="0"/>
        <w:adjustRightInd w:val="0"/>
        <w:snapToGrid w:val="0"/>
        <w:rPr>
          <w:rFonts w:eastAsiaTheme="minorEastAsia"/>
          <w:b/>
          <w:lang w:eastAsia="zh-TW"/>
        </w:rPr>
      </w:pPr>
      <w:r w:rsidRPr="0016200D">
        <w:rPr>
          <w:b/>
        </w:rPr>
        <w:t>Cheng-</w:t>
      </w:r>
      <w:r w:rsidRPr="0016200D">
        <w:rPr>
          <w:rFonts w:eastAsiaTheme="minorEastAsia" w:hint="eastAsia"/>
          <w:b/>
          <w:lang w:eastAsia="zh-TW"/>
        </w:rPr>
        <w:t>H</w:t>
      </w:r>
      <w:r w:rsidR="00646D96">
        <w:rPr>
          <w:rFonts w:eastAsiaTheme="minorEastAsia"/>
          <w:b/>
          <w:lang w:eastAsia="zh-TW"/>
        </w:rPr>
        <w:t>sien</w:t>
      </w:r>
      <w:r w:rsidRPr="0016200D">
        <w:rPr>
          <w:rFonts w:eastAsiaTheme="minorEastAsia"/>
          <w:b/>
          <w:lang w:eastAsia="zh-TW"/>
        </w:rPr>
        <w:t xml:space="preserve"> </w:t>
      </w:r>
      <w:r w:rsidRPr="0016200D">
        <w:rPr>
          <w:rFonts w:eastAsiaTheme="minorEastAsia" w:hint="eastAsia"/>
          <w:b/>
          <w:lang w:eastAsia="zh-TW"/>
        </w:rPr>
        <w:t>L</w:t>
      </w:r>
      <w:r w:rsidRPr="0016200D">
        <w:rPr>
          <w:rFonts w:eastAsiaTheme="minorEastAsia"/>
          <w:b/>
          <w:lang w:eastAsia="zh-TW"/>
        </w:rPr>
        <w:t>in</w:t>
      </w:r>
    </w:p>
    <w:p w:rsidR="00735663" w:rsidRDefault="00735663" w:rsidP="00B87BE3">
      <w:pPr>
        <w:autoSpaceDE w:val="0"/>
        <w:autoSpaceDN w:val="0"/>
        <w:adjustRightInd w:val="0"/>
        <w:snapToGrid w:val="0"/>
        <w:rPr>
          <w:rFonts w:eastAsiaTheme="minorEastAsia"/>
          <w:lang w:eastAsia="zh-TW"/>
        </w:rPr>
      </w:pPr>
      <w:r>
        <w:rPr>
          <w:rFonts w:eastAsiaTheme="minorEastAsia" w:hint="eastAsia"/>
          <w:lang w:eastAsia="zh-TW"/>
        </w:rPr>
        <w:t>D</w:t>
      </w:r>
      <w:r>
        <w:rPr>
          <w:rFonts w:eastAsiaTheme="minorEastAsia"/>
          <w:lang w:eastAsia="zh-TW"/>
        </w:rPr>
        <w:t>epartment of Financial Management</w:t>
      </w:r>
    </w:p>
    <w:p w:rsidR="00735663" w:rsidRDefault="00735663" w:rsidP="00B87BE3">
      <w:pPr>
        <w:autoSpaceDE w:val="0"/>
        <w:autoSpaceDN w:val="0"/>
        <w:adjustRightInd w:val="0"/>
        <w:snapToGrid w:val="0"/>
        <w:rPr>
          <w:rFonts w:eastAsiaTheme="minorEastAsia"/>
          <w:lang w:eastAsia="zh-TW"/>
        </w:rPr>
      </w:pPr>
      <w:r>
        <w:rPr>
          <w:rFonts w:eastAsiaTheme="minorEastAsia"/>
          <w:lang w:eastAsia="zh-TW"/>
        </w:rPr>
        <w:t xml:space="preserve">National </w:t>
      </w:r>
      <w:r>
        <w:rPr>
          <w:rFonts w:eastAsiaTheme="minorEastAsia" w:hint="eastAsia"/>
          <w:lang w:eastAsia="zh-TW"/>
        </w:rPr>
        <w:t>D</w:t>
      </w:r>
      <w:r>
        <w:rPr>
          <w:rFonts w:eastAsiaTheme="minorEastAsia"/>
          <w:lang w:eastAsia="zh-TW"/>
        </w:rPr>
        <w:t>efense University</w:t>
      </w:r>
    </w:p>
    <w:p w:rsidR="00735663" w:rsidRDefault="00735663" w:rsidP="00B87BE3">
      <w:pPr>
        <w:autoSpaceDE w:val="0"/>
        <w:autoSpaceDN w:val="0"/>
        <w:adjustRightInd w:val="0"/>
        <w:snapToGrid w:val="0"/>
        <w:rPr>
          <w:rFonts w:eastAsiaTheme="minorEastAsia"/>
          <w:lang w:eastAsia="zh-TW"/>
        </w:rPr>
      </w:pPr>
      <w:r>
        <w:rPr>
          <w:rFonts w:eastAsiaTheme="minorEastAsia"/>
          <w:lang w:eastAsia="zh-TW"/>
        </w:rPr>
        <w:t>N</w:t>
      </w:r>
      <w:r w:rsidR="00E8667D">
        <w:rPr>
          <w:rFonts w:eastAsiaTheme="minorEastAsia"/>
          <w:lang w:eastAsia="zh-TW"/>
        </w:rPr>
        <w:t>o</w:t>
      </w:r>
      <w:r>
        <w:rPr>
          <w:rFonts w:eastAsiaTheme="minorEastAsia"/>
          <w:lang w:eastAsia="zh-TW"/>
        </w:rPr>
        <w:t>. 70,</w:t>
      </w:r>
      <w:r>
        <w:rPr>
          <w:rFonts w:eastAsiaTheme="minorEastAsia" w:hint="eastAsia"/>
          <w:lang w:eastAsia="zh-TW"/>
        </w:rPr>
        <w:t xml:space="preserve"> </w:t>
      </w:r>
      <w:r w:rsidR="00E8667D">
        <w:rPr>
          <w:rFonts w:eastAsiaTheme="minorEastAsia"/>
          <w:lang w:eastAsia="zh-TW"/>
        </w:rPr>
        <w:t>Sec.</w:t>
      </w:r>
      <w:r>
        <w:rPr>
          <w:rFonts w:eastAsiaTheme="minorEastAsia"/>
          <w:lang w:eastAsia="zh-TW"/>
        </w:rPr>
        <w:t xml:space="preserve"> 2, Zhongyang North Rd</w:t>
      </w:r>
      <w:r w:rsidR="00E8667D">
        <w:rPr>
          <w:rFonts w:eastAsiaTheme="minorEastAsia"/>
          <w:lang w:eastAsia="zh-TW"/>
        </w:rPr>
        <w:t>.</w:t>
      </w:r>
      <w:r>
        <w:rPr>
          <w:rFonts w:eastAsiaTheme="minorEastAsia"/>
          <w:lang w:eastAsia="zh-TW"/>
        </w:rPr>
        <w:t xml:space="preserve">, Beitou, </w:t>
      </w:r>
      <w:r>
        <w:rPr>
          <w:rFonts w:eastAsiaTheme="minorEastAsia" w:hint="eastAsia"/>
          <w:lang w:eastAsia="zh-TW"/>
        </w:rPr>
        <w:t>T</w:t>
      </w:r>
      <w:r>
        <w:rPr>
          <w:rFonts w:eastAsiaTheme="minorEastAsia"/>
          <w:lang w:eastAsia="zh-TW"/>
        </w:rPr>
        <w:t>aipei 112,</w:t>
      </w:r>
      <w:r>
        <w:rPr>
          <w:rFonts w:eastAsiaTheme="minorEastAsia" w:hint="eastAsia"/>
          <w:lang w:eastAsia="zh-TW"/>
        </w:rPr>
        <w:t xml:space="preserve"> </w:t>
      </w:r>
      <w:r>
        <w:rPr>
          <w:rFonts w:eastAsiaTheme="minorEastAsia"/>
          <w:lang w:eastAsia="zh-TW"/>
        </w:rPr>
        <w:t>Taiwan</w:t>
      </w:r>
    </w:p>
    <w:p w:rsidR="00735663" w:rsidRDefault="00D6415B" w:rsidP="00B87BE3">
      <w:pPr>
        <w:autoSpaceDE w:val="0"/>
        <w:autoSpaceDN w:val="0"/>
        <w:adjustRightInd w:val="0"/>
        <w:snapToGrid w:val="0"/>
        <w:rPr>
          <w:rFonts w:eastAsiaTheme="minorEastAsia"/>
          <w:lang w:eastAsia="zh-TW"/>
        </w:rPr>
      </w:pPr>
      <w:r>
        <w:rPr>
          <w:rFonts w:eastAsiaTheme="minorEastAsia"/>
          <w:lang w:eastAsia="zh-TW"/>
        </w:rPr>
        <w:t>E-mail: cheng-hsie</w:t>
      </w:r>
      <w:r>
        <w:rPr>
          <w:rFonts w:eastAsiaTheme="minorEastAsia" w:hint="eastAsia"/>
          <w:lang w:eastAsia="zh-TW"/>
        </w:rPr>
        <w:t>n</w:t>
      </w:r>
      <w:r w:rsidR="00735663">
        <w:rPr>
          <w:rFonts w:eastAsiaTheme="minorEastAsia"/>
          <w:lang w:eastAsia="zh-TW"/>
        </w:rPr>
        <w:t>.lin@gmail.com</w:t>
      </w:r>
    </w:p>
    <w:p w:rsidR="00735663" w:rsidRPr="00735663" w:rsidRDefault="00735663" w:rsidP="00B87BE3">
      <w:pPr>
        <w:autoSpaceDE w:val="0"/>
        <w:autoSpaceDN w:val="0"/>
        <w:adjustRightInd w:val="0"/>
        <w:snapToGrid w:val="0"/>
        <w:rPr>
          <w:rFonts w:eastAsiaTheme="minorEastAsia"/>
          <w:lang w:eastAsia="zh-TW"/>
        </w:rPr>
      </w:pPr>
    </w:p>
    <w:p w:rsidR="00B87BE3" w:rsidRDefault="00B87BE3" w:rsidP="00B87BE3">
      <w:pPr>
        <w:autoSpaceDE w:val="0"/>
        <w:autoSpaceDN w:val="0"/>
        <w:adjustRightInd w:val="0"/>
        <w:snapToGrid w:val="0"/>
      </w:pPr>
    </w:p>
    <w:p w:rsidR="00B87BE3" w:rsidRDefault="00B87BE3" w:rsidP="00B87BE3">
      <w:pPr>
        <w:autoSpaceDE w:val="0"/>
        <w:autoSpaceDN w:val="0"/>
        <w:adjustRightInd w:val="0"/>
        <w:snapToGrid w:val="0"/>
      </w:pPr>
    </w:p>
    <w:p w:rsidR="000D0197" w:rsidRDefault="000D0197">
      <w:pPr>
        <w:widowControl/>
        <w:jc w:val="left"/>
        <w:rPr>
          <w:rFonts w:eastAsia="標楷體"/>
          <w:sz w:val="28"/>
          <w:szCs w:val="28"/>
        </w:rPr>
      </w:pPr>
      <w:r>
        <w:rPr>
          <w:rFonts w:eastAsia="標楷體"/>
          <w:sz w:val="28"/>
          <w:szCs w:val="28"/>
        </w:rPr>
        <w:br w:type="page"/>
      </w:r>
    </w:p>
    <w:p w:rsidR="009B2021" w:rsidRPr="00263A65" w:rsidRDefault="009B2021" w:rsidP="00B17117">
      <w:pPr>
        <w:widowControl/>
        <w:jc w:val="left"/>
        <w:rPr>
          <w:rFonts w:eastAsia="DengXian"/>
          <w:sz w:val="28"/>
          <w:szCs w:val="28"/>
        </w:rPr>
      </w:pPr>
    </w:p>
    <w:p w:rsidR="009B2021" w:rsidRDefault="00263A65" w:rsidP="00263A65">
      <w:pPr>
        <w:pStyle w:val="affe"/>
        <w:widowControl/>
        <w:ind w:leftChars="0" w:left="360"/>
        <w:jc w:val="left"/>
        <w:rPr>
          <w:rFonts w:eastAsia="DengXian"/>
          <w:sz w:val="28"/>
          <w:szCs w:val="28"/>
        </w:rPr>
      </w:pPr>
      <w:r>
        <w:rPr>
          <w:rFonts w:eastAsia="DengXian"/>
          <w:sz w:val="28"/>
          <w:szCs w:val="28"/>
        </w:rPr>
        <w:t>A</w:t>
      </w:r>
      <w:r w:rsidR="009B2021">
        <w:rPr>
          <w:rFonts w:eastAsia="DengXian"/>
          <w:sz w:val="28"/>
          <w:szCs w:val="28"/>
        </w:rPr>
        <w:t xml:space="preserve">pplications of a “Carry-Over”-Enhanced </w:t>
      </w:r>
      <w:r w:rsidR="009B2021" w:rsidRPr="009B2021">
        <w:rPr>
          <w:rFonts w:eastAsia="DengXian"/>
          <w:sz w:val="28"/>
          <w:szCs w:val="28"/>
        </w:rPr>
        <w:t>DSBM Intertemporal Technical Efficiency Model on the Taiwanese 5G Industry</w:t>
      </w:r>
    </w:p>
    <w:p w:rsidR="000D2B6E" w:rsidRPr="00C236D3" w:rsidRDefault="000D2B6E" w:rsidP="00526252">
      <w:pPr>
        <w:pBdr>
          <w:bottom w:val="single" w:sz="4" w:space="1" w:color="auto"/>
        </w:pBdr>
        <w:snapToGrid w:val="0"/>
        <w:spacing w:after="80" w:line="480" w:lineRule="auto"/>
        <w:outlineLvl w:val="0"/>
        <w:rPr>
          <w:rFonts w:eastAsia="標楷體"/>
          <w:b/>
          <w:bCs/>
          <w:sz w:val="24"/>
          <w:lang w:eastAsia="zh-TW"/>
        </w:rPr>
      </w:pPr>
      <w:bookmarkStart w:id="0" w:name="_GoBack"/>
      <w:bookmarkEnd w:id="0"/>
    </w:p>
    <w:p w:rsidR="00B17117" w:rsidRDefault="00B17117" w:rsidP="00526252">
      <w:pPr>
        <w:snapToGrid w:val="0"/>
        <w:spacing w:after="80" w:line="480" w:lineRule="auto"/>
        <w:jc w:val="center"/>
        <w:outlineLvl w:val="0"/>
        <w:rPr>
          <w:rFonts w:eastAsia="標楷體"/>
          <w:b/>
          <w:bCs/>
          <w:sz w:val="24"/>
        </w:rPr>
      </w:pPr>
    </w:p>
    <w:p w:rsidR="000D2B6E" w:rsidRPr="00C236D3" w:rsidRDefault="000D2B6E" w:rsidP="00526252">
      <w:pPr>
        <w:snapToGrid w:val="0"/>
        <w:spacing w:after="80" w:line="480" w:lineRule="auto"/>
        <w:jc w:val="center"/>
        <w:outlineLvl w:val="0"/>
        <w:rPr>
          <w:rFonts w:eastAsia="標楷體"/>
          <w:b/>
          <w:bCs/>
          <w:sz w:val="24"/>
        </w:rPr>
      </w:pPr>
      <w:r w:rsidRPr="00C236D3">
        <w:rPr>
          <w:rFonts w:eastAsia="標楷體"/>
          <w:b/>
          <w:bCs/>
          <w:sz w:val="24"/>
        </w:rPr>
        <w:t>Abstract</w:t>
      </w:r>
    </w:p>
    <w:p w:rsidR="002E18C1" w:rsidRDefault="002E18C1" w:rsidP="00526252">
      <w:pPr>
        <w:snapToGrid w:val="0"/>
        <w:spacing w:after="80" w:line="480" w:lineRule="auto"/>
        <w:rPr>
          <w:sz w:val="24"/>
        </w:rPr>
      </w:pPr>
      <w:r w:rsidRPr="002E18C1">
        <w:rPr>
          <w:sz w:val="24"/>
        </w:rPr>
        <w:t>Taiwan has</w:t>
      </w:r>
      <w:r>
        <w:rPr>
          <w:sz w:val="24"/>
        </w:rPr>
        <w:t xml:space="preserve"> proven </w:t>
      </w:r>
      <w:r w:rsidR="003C7A95">
        <w:rPr>
          <w:sz w:val="24"/>
        </w:rPr>
        <w:t xml:space="preserve">itself </w:t>
      </w:r>
      <w:r>
        <w:rPr>
          <w:sz w:val="24"/>
        </w:rPr>
        <w:t>successful</w:t>
      </w:r>
      <w:r w:rsidR="005447A8">
        <w:rPr>
          <w:sz w:val="24"/>
        </w:rPr>
        <w:t xml:space="preserve"> at</w:t>
      </w:r>
      <w:r>
        <w:rPr>
          <w:sz w:val="24"/>
        </w:rPr>
        <w:t xml:space="preserve"> </w:t>
      </w:r>
      <w:r w:rsidR="00E8667D">
        <w:rPr>
          <w:sz w:val="24"/>
        </w:rPr>
        <w:t xml:space="preserve">both </w:t>
      </w:r>
      <w:r>
        <w:rPr>
          <w:sz w:val="24"/>
        </w:rPr>
        <w:t>inventing</w:t>
      </w:r>
      <w:r w:rsidR="00087AA0">
        <w:rPr>
          <w:sz w:val="24"/>
        </w:rPr>
        <w:t xml:space="preserve"> </w:t>
      </w:r>
      <w:r w:rsidR="009B2021">
        <w:rPr>
          <w:sz w:val="24"/>
        </w:rPr>
        <w:t xml:space="preserve">the </w:t>
      </w:r>
      <w:r w:rsidRPr="002E18C1">
        <w:rPr>
          <w:sz w:val="24"/>
        </w:rPr>
        <w:t xml:space="preserve">key technologies </w:t>
      </w:r>
      <w:r w:rsidR="00EA7A24">
        <w:rPr>
          <w:sz w:val="24"/>
        </w:rPr>
        <w:t xml:space="preserve">leading </w:t>
      </w:r>
      <w:r>
        <w:rPr>
          <w:sz w:val="24"/>
        </w:rPr>
        <w:t>to</w:t>
      </w:r>
      <w:r w:rsidRPr="002E18C1">
        <w:rPr>
          <w:sz w:val="24"/>
        </w:rPr>
        <w:t xml:space="preserve"> the development of 5G</w:t>
      </w:r>
      <w:r w:rsidR="00546647">
        <w:rPr>
          <w:sz w:val="24"/>
        </w:rPr>
        <w:t xml:space="preserve"> </w:t>
      </w:r>
      <w:r w:rsidRPr="002E18C1">
        <w:rPr>
          <w:sz w:val="24"/>
        </w:rPr>
        <w:t>(fifth generation wireless technology)</w:t>
      </w:r>
      <w:r w:rsidR="00E8667D">
        <w:rPr>
          <w:sz w:val="24"/>
        </w:rPr>
        <w:t>-</w:t>
      </w:r>
      <w:r w:rsidRPr="002E18C1">
        <w:rPr>
          <w:sz w:val="24"/>
        </w:rPr>
        <w:t>related industries</w:t>
      </w:r>
      <w:r w:rsidR="00E8667D">
        <w:rPr>
          <w:sz w:val="24"/>
        </w:rPr>
        <w:t xml:space="preserve"> and serving</w:t>
      </w:r>
      <w:r w:rsidR="00EA7A24">
        <w:rPr>
          <w:sz w:val="24"/>
        </w:rPr>
        <w:t xml:space="preserve"> </w:t>
      </w:r>
      <w:r w:rsidR="00E8667D">
        <w:rPr>
          <w:sz w:val="24"/>
        </w:rPr>
        <w:t xml:space="preserve">as </w:t>
      </w:r>
      <w:r w:rsidR="009B2021">
        <w:rPr>
          <w:sz w:val="24"/>
        </w:rPr>
        <w:t xml:space="preserve">an </w:t>
      </w:r>
      <w:r w:rsidR="00E8667D">
        <w:rPr>
          <w:sz w:val="24"/>
        </w:rPr>
        <w:t xml:space="preserve">indispensable link in the </w:t>
      </w:r>
      <w:r w:rsidR="00EA7A24">
        <w:rPr>
          <w:sz w:val="24"/>
        </w:rPr>
        <w:t>burgeoning</w:t>
      </w:r>
      <w:r>
        <w:rPr>
          <w:sz w:val="24"/>
        </w:rPr>
        <w:t xml:space="preserve"> </w:t>
      </w:r>
      <w:r w:rsidR="009674CE" w:rsidRPr="002E18C1">
        <w:rPr>
          <w:sz w:val="24"/>
        </w:rPr>
        <w:t>5G</w:t>
      </w:r>
      <w:r w:rsidR="009674CE">
        <w:rPr>
          <w:sz w:val="24"/>
        </w:rPr>
        <w:t>-</w:t>
      </w:r>
      <w:r w:rsidR="009674CE" w:rsidRPr="002E18C1">
        <w:rPr>
          <w:sz w:val="24"/>
        </w:rPr>
        <w:t>industr</w:t>
      </w:r>
      <w:r w:rsidR="00D012A0">
        <w:rPr>
          <w:sz w:val="24"/>
        </w:rPr>
        <w:t xml:space="preserve">ial </w:t>
      </w:r>
      <w:r w:rsidRPr="002E18C1">
        <w:rPr>
          <w:sz w:val="24"/>
        </w:rPr>
        <w:t>global supply chain. Th</w:t>
      </w:r>
      <w:r w:rsidR="00EA7A24">
        <w:rPr>
          <w:sz w:val="24"/>
        </w:rPr>
        <w:t>is</w:t>
      </w:r>
      <w:r w:rsidR="00087AA0">
        <w:rPr>
          <w:sz w:val="24"/>
        </w:rPr>
        <w:t xml:space="preserve"> </w:t>
      </w:r>
      <w:r w:rsidRPr="002E18C1">
        <w:rPr>
          <w:sz w:val="24"/>
        </w:rPr>
        <w:t xml:space="preserve">study </w:t>
      </w:r>
      <w:r>
        <w:rPr>
          <w:sz w:val="24"/>
        </w:rPr>
        <w:t>analyze</w:t>
      </w:r>
      <w:r w:rsidR="00087AA0">
        <w:rPr>
          <w:sz w:val="24"/>
        </w:rPr>
        <w:t>s</w:t>
      </w:r>
      <w:r w:rsidR="0055531A">
        <w:rPr>
          <w:sz w:val="24"/>
        </w:rPr>
        <w:t xml:space="preserve"> </w:t>
      </w:r>
      <w:r w:rsidR="00EA7A24">
        <w:rPr>
          <w:sz w:val="24"/>
        </w:rPr>
        <w:t xml:space="preserve">the current state of </w:t>
      </w:r>
      <w:r w:rsidRPr="002E18C1">
        <w:rPr>
          <w:sz w:val="24"/>
        </w:rPr>
        <w:t>Taiwan’s 5G industry</w:t>
      </w:r>
      <w:r w:rsidR="00EA7A24">
        <w:rPr>
          <w:sz w:val="24"/>
        </w:rPr>
        <w:t xml:space="preserve"> via the utilization </w:t>
      </w:r>
      <w:r w:rsidR="00B123E7" w:rsidRPr="00BA0B5E">
        <w:rPr>
          <w:sz w:val="24"/>
        </w:rPr>
        <w:t>the purpose of this study is to</w:t>
      </w:r>
      <w:r w:rsidR="00EA7A24" w:rsidRPr="00BA0B5E">
        <w:rPr>
          <w:sz w:val="24"/>
        </w:rPr>
        <w:t xml:space="preserve"> </w:t>
      </w:r>
      <w:r>
        <w:rPr>
          <w:sz w:val="24"/>
        </w:rPr>
        <w:t xml:space="preserve">the </w:t>
      </w:r>
      <w:r w:rsidRPr="002E18C1">
        <w:rPr>
          <w:sz w:val="24"/>
        </w:rPr>
        <w:t xml:space="preserve">Dynamic Slacks-Based Measure (DSBM). </w:t>
      </w:r>
      <w:r w:rsidR="009B2021">
        <w:rPr>
          <w:sz w:val="24"/>
        </w:rPr>
        <w:t xml:space="preserve">To achieve </w:t>
      </w:r>
      <w:r w:rsidR="00E8667D">
        <w:rPr>
          <w:sz w:val="24"/>
        </w:rPr>
        <w:t>this purpose</w:t>
      </w:r>
      <w:r>
        <w:rPr>
          <w:sz w:val="24"/>
        </w:rPr>
        <w:t xml:space="preserve">, </w:t>
      </w:r>
      <w:r w:rsidR="009B2021">
        <w:rPr>
          <w:sz w:val="24"/>
        </w:rPr>
        <w:t>a</w:t>
      </w:r>
      <w:r w:rsidRPr="002E18C1">
        <w:rPr>
          <w:sz w:val="24"/>
        </w:rPr>
        <w:t xml:space="preserve"> dynamic</w:t>
      </w:r>
      <w:r w:rsidR="00087AA0">
        <w:rPr>
          <w:sz w:val="24"/>
        </w:rPr>
        <w:t xml:space="preserve">-data </w:t>
      </w:r>
      <w:r w:rsidRPr="002E18C1">
        <w:rPr>
          <w:sz w:val="24"/>
        </w:rPr>
        <w:t xml:space="preserve">production process </w:t>
      </w:r>
      <w:r w:rsidR="009B2021">
        <w:rPr>
          <w:sz w:val="24"/>
        </w:rPr>
        <w:t xml:space="preserve">model was developed </w:t>
      </w:r>
      <w:r w:rsidRPr="002E18C1">
        <w:rPr>
          <w:sz w:val="24"/>
        </w:rPr>
        <w:t xml:space="preserve">to </w:t>
      </w:r>
      <w:r w:rsidR="00087AA0">
        <w:rPr>
          <w:sz w:val="24"/>
        </w:rPr>
        <w:t xml:space="preserve">analyze the 5G industry’s overall </w:t>
      </w:r>
      <w:r w:rsidR="00087AA0" w:rsidRPr="002E18C1">
        <w:rPr>
          <w:sz w:val="24"/>
        </w:rPr>
        <w:t>relative efficienc</w:t>
      </w:r>
      <w:r w:rsidR="00087AA0">
        <w:rPr>
          <w:sz w:val="24"/>
        </w:rPr>
        <w:t>y</w:t>
      </w:r>
      <w:r w:rsidRPr="002E18C1">
        <w:rPr>
          <w:sz w:val="24"/>
        </w:rPr>
        <w:t xml:space="preserve">. </w:t>
      </w:r>
      <w:r w:rsidR="005E37BD">
        <w:rPr>
          <w:sz w:val="24"/>
        </w:rPr>
        <w:t xml:space="preserve">Results indicate that </w:t>
      </w:r>
      <w:r w:rsidRPr="002E18C1">
        <w:rPr>
          <w:sz w:val="24"/>
        </w:rPr>
        <w:t xml:space="preserve">(1) </w:t>
      </w:r>
      <w:r w:rsidR="005E37BD" w:rsidRPr="002E18C1">
        <w:rPr>
          <w:sz w:val="24"/>
        </w:rPr>
        <w:t>key chip</w:t>
      </w:r>
      <w:r w:rsidR="005E37BD">
        <w:rPr>
          <w:sz w:val="24"/>
        </w:rPr>
        <w:t>-producing</w:t>
      </w:r>
      <w:r w:rsidR="005E37BD" w:rsidRPr="002E18C1">
        <w:rPr>
          <w:sz w:val="24"/>
        </w:rPr>
        <w:t xml:space="preserve"> </w:t>
      </w:r>
      <w:r w:rsidR="005E37BD">
        <w:rPr>
          <w:sz w:val="24"/>
        </w:rPr>
        <w:t xml:space="preserve">companies </w:t>
      </w:r>
      <w:r w:rsidR="002C4EC8">
        <w:rPr>
          <w:sz w:val="24"/>
        </w:rPr>
        <w:t>typically</w:t>
      </w:r>
      <w:r w:rsidR="005E37BD" w:rsidRPr="002E18C1">
        <w:rPr>
          <w:sz w:val="24"/>
        </w:rPr>
        <w:t xml:space="preserve"> </w:t>
      </w:r>
      <w:r w:rsidR="00E8667D">
        <w:rPr>
          <w:sz w:val="24"/>
        </w:rPr>
        <w:t>experience</w:t>
      </w:r>
      <w:r w:rsidR="005E37BD">
        <w:rPr>
          <w:sz w:val="24"/>
        </w:rPr>
        <w:t xml:space="preserve"> increased </w:t>
      </w:r>
      <w:r w:rsidR="005E37BD" w:rsidRPr="002E18C1">
        <w:rPr>
          <w:sz w:val="24"/>
        </w:rPr>
        <w:t>eff</w:t>
      </w:r>
      <w:r w:rsidR="005E37BD">
        <w:rPr>
          <w:sz w:val="24"/>
        </w:rPr>
        <w:t>icien</w:t>
      </w:r>
      <w:r w:rsidR="005E37BD" w:rsidRPr="002E18C1">
        <w:rPr>
          <w:sz w:val="24"/>
        </w:rPr>
        <w:t xml:space="preserve">cy </w:t>
      </w:r>
      <w:r w:rsidR="005E37BD">
        <w:rPr>
          <w:sz w:val="24"/>
        </w:rPr>
        <w:t xml:space="preserve">following </w:t>
      </w:r>
      <w:r w:rsidRPr="002E18C1">
        <w:rPr>
          <w:sz w:val="24"/>
        </w:rPr>
        <w:t>5G R&amp;D industry development</w:t>
      </w:r>
      <w:r w:rsidR="00087AA0" w:rsidRPr="00087AA0">
        <w:rPr>
          <w:sz w:val="24"/>
        </w:rPr>
        <w:t xml:space="preserve"> </w:t>
      </w:r>
      <w:r w:rsidR="00087AA0">
        <w:rPr>
          <w:sz w:val="24"/>
        </w:rPr>
        <w:t>investment</w:t>
      </w:r>
      <w:r w:rsidR="002C4EC8">
        <w:rPr>
          <w:sz w:val="24"/>
        </w:rPr>
        <w:t>,</w:t>
      </w:r>
      <w:r w:rsidR="005447A8">
        <w:rPr>
          <w:sz w:val="24"/>
        </w:rPr>
        <w:t xml:space="preserve"> </w:t>
      </w:r>
      <w:r w:rsidR="005E37BD">
        <w:rPr>
          <w:sz w:val="24"/>
        </w:rPr>
        <w:t>and</w:t>
      </w:r>
      <w:r w:rsidR="00087AA0">
        <w:rPr>
          <w:sz w:val="24"/>
        </w:rPr>
        <w:t xml:space="preserve"> </w:t>
      </w:r>
      <w:r w:rsidR="00E8667D">
        <w:rPr>
          <w:sz w:val="24"/>
        </w:rPr>
        <w:t xml:space="preserve">that said </w:t>
      </w:r>
      <w:r w:rsidR="00087AA0">
        <w:rPr>
          <w:sz w:val="24"/>
        </w:rPr>
        <w:t xml:space="preserve">companies’ </w:t>
      </w:r>
      <w:r w:rsidRPr="002E18C1">
        <w:rPr>
          <w:sz w:val="24"/>
        </w:rPr>
        <w:t>relative efficiency is</w:t>
      </w:r>
      <w:r w:rsidR="005E37BD">
        <w:rPr>
          <w:sz w:val="24"/>
        </w:rPr>
        <w:t>,</w:t>
      </w:r>
      <w:r w:rsidRPr="002E18C1">
        <w:rPr>
          <w:sz w:val="24"/>
        </w:rPr>
        <w:t xml:space="preserve"> indeed</w:t>
      </w:r>
      <w:r w:rsidR="005E37BD">
        <w:rPr>
          <w:sz w:val="24"/>
        </w:rPr>
        <w:t>,</w:t>
      </w:r>
      <w:r w:rsidRPr="002E18C1">
        <w:rPr>
          <w:sz w:val="24"/>
        </w:rPr>
        <w:t xml:space="preserve"> affected </w:t>
      </w:r>
      <w:r w:rsidR="00087AA0">
        <w:rPr>
          <w:sz w:val="24"/>
        </w:rPr>
        <w:t xml:space="preserve">positively </w:t>
      </w:r>
      <w:r w:rsidRPr="002E18C1">
        <w:rPr>
          <w:sz w:val="24"/>
        </w:rPr>
        <w:t xml:space="preserve">by R&amp;D investment; </w:t>
      </w:r>
      <w:r w:rsidR="009B2021">
        <w:rPr>
          <w:sz w:val="24"/>
        </w:rPr>
        <w:t xml:space="preserve">and </w:t>
      </w:r>
      <w:r w:rsidRPr="002E18C1">
        <w:rPr>
          <w:sz w:val="24"/>
        </w:rPr>
        <w:t>(2)</w:t>
      </w:r>
      <w:r w:rsidR="005E37BD">
        <w:rPr>
          <w:sz w:val="24"/>
        </w:rPr>
        <w:t xml:space="preserve"> </w:t>
      </w:r>
      <w:r w:rsidRPr="002E18C1">
        <w:rPr>
          <w:sz w:val="24"/>
        </w:rPr>
        <w:t>key chip companies</w:t>
      </w:r>
      <w:r w:rsidR="009B2021">
        <w:rPr>
          <w:sz w:val="24"/>
        </w:rPr>
        <w:t>’</w:t>
      </w:r>
      <w:r w:rsidRPr="002E18C1">
        <w:rPr>
          <w:sz w:val="24"/>
        </w:rPr>
        <w:t xml:space="preserve"> </w:t>
      </w:r>
      <w:r w:rsidR="00E8667D" w:rsidRPr="002E18C1">
        <w:rPr>
          <w:sz w:val="24"/>
        </w:rPr>
        <w:t>relative increase</w:t>
      </w:r>
      <w:r w:rsidR="00E8667D">
        <w:rPr>
          <w:sz w:val="24"/>
        </w:rPr>
        <w:t>s</w:t>
      </w:r>
      <w:r w:rsidR="00E8667D" w:rsidRPr="002E18C1">
        <w:rPr>
          <w:sz w:val="24"/>
        </w:rPr>
        <w:t xml:space="preserve"> of efficiency</w:t>
      </w:r>
      <w:r w:rsidR="00E8667D">
        <w:rPr>
          <w:sz w:val="24"/>
        </w:rPr>
        <w:t xml:space="preserve"> </w:t>
      </w:r>
      <w:r w:rsidR="009B2021">
        <w:rPr>
          <w:sz w:val="24"/>
        </w:rPr>
        <w:t xml:space="preserve">were </w:t>
      </w:r>
      <w:r w:rsidRPr="002E18C1">
        <w:rPr>
          <w:sz w:val="24"/>
        </w:rPr>
        <w:t>higher than th</w:t>
      </w:r>
      <w:r w:rsidR="009B2021">
        <w:rPr>
          <w:sz w:val="24"/>
        </w:rPr>
        <w:t>ose</w:t>
      </w:r>
      <w:r w:rsidRPr="002E18C1">
        <w:rPr>
          <w:sz w:val="24"/>
        </w:rPr>
        <w:t xml:space="preserve"> of brand terminal and downstream</w:t>
      </w:r>
      <w:r w:rsidR="00BD1D7F">
        <w:rPr>
          <w:sz w:val="24"/>
        </w:rPr>
        <w:t>-</w:t>
      </w:r>
      <w:r w:rsidRPr="002E18C1">
        <w:rPr>
          <w:sz w:val="24"/>
        </w:rPr>
        <w:t>industr</w:t>
      </w:r>
      <w:r w:rsidR="00E8667D">
        <w:rPr>
          <w:sz w:val="24"/>
        </w:rPr>
        <w:t>y</w:t>
      </w:r>
      <w:r w:rsidR="00BD1D7F">
        <w:rPr>
          <w:sz w:val="24"/>
        </w:rPr>
        <w:t>-</w:t>
      </w:r>
      <w:r w:rsidRPr="002E18C1">
        <w:rPr>
          <w:sz w:val="24"/>
        </w:rPr>
        <w:t>category companies</w:t>
      </w:r>
      <w:r w:rsidR="0055531A">
        <w:rPr>
          <w:sz w:val="24"/>
        </w:rPr>
        <w:t xml:space="preserve">, </w:t>
      </w:r>
      <w:r w:rsidR="009B2021">
        <w:rPr>
          <w:sz w:val="24"/>
        </w:rPr>
        <w:t>while</w:t>
      </w:r>
      <w:r w:rsidR="0055531A">
        <w:rPr>
          <w:sz w:val="24"/>
        </w:rPr>
        <w:t xml:space="preserve"> </w:t>
      </w:r>
      <w:r w:rsidRPr="002E18C1">
        <w:rPr>
          <w:sz w:val="24"/>
        </w:rPr>
        <w:t xml:space="preserve">companies with higher levels of R&amp;D investment </w:t>
      </w:r>
      <w:r w:rsidR="0055531A">
        <w:rPr>
          <w:sz w:val="24"/>
        </w:rPr>
        <w:t>exhibit</w:t>
      </w:r>
      <w:r w:rsidR="00E8667D">
        <w:rPr>
          <w:sz w:val="24"/>
        </w:rPr>
        <w:t>ed</w:t>
      </w:r>
      <w:r w:rsidR="0055531A">
        <w:rPr>
          <w:sz w:val="24"/>
        </w:rPr>
        <w:t xml:space="preserve"> </w:t>
      </w:r>
      <w:r w:rsidRPr="002E18C1">
        <w:rPr>
          <w:sz w:val="24"/>
        </w:rPr>
        <w:t xml:space="preserve">relatively </w:t>
      </w:r>
      <w:r w:rsidR="002C4EC8" w:rsidRPr="002E18C1">
        <w:rPr>
          <w:sz w:val="24"/>
        </w:rPr>
        <w:t>higher</w:t>
      </w:r>
      <w:r w:rsidR="002C4EC8">
        <w:rPr>
          <w:sz w:val="24"/>
        </w:rPr>
        <w:t xml:space="preserve"> and </w:t>
      </w:r>
      <w:r w:rsidR="00BD1D7F">
        <w:rPr>
          <w:sz w:val="24"/>
        </w:rPr>
        <w:t xml:space="preserve">more </w:t>
      </w:r>
      <w:r w:rsidR="002C4EC8" w:rsidRPr="002E18C1">
        <w:rPr>
          <w:sz w:val="24"/>
        </w:rPr>
        <w:t>significant</w:t>
      </w:r>
      <w:r w:rsidR="00087AA0">
        <w:rPr>
          <w:sz w:val="24"/>
        </w:rPr>
        <w:t xml:space="preserve"> </w:t>
      </w:r>
      <w:r w:rsidR="009B2021">
        <w:rPr>
          <w:sz w:val="24"/>
        </w:rPr>
        <w:t xml:space="preserve">levels of </w:t>
      </w:r>
      <w:r w:rsidRPr="002E18C1">
        <w:rPr>
          <w:sz w:val="24"/>
        </w:rPr>
        <w:t>efficien</w:t>
      </w:r>
      <w:r w:rsidR="002C4EC8">
        <w:rPr>
          <w:sz w:val="24"/>
        </w:rPr>
        <w:t>cy.</w:t>
      </w:r>
      <w:r w:rsidRPr="004F5B31">
        <w:rPr>
          <w:sz w:val="24"/>
        </w:rPr>
        <w:t xml:space="preserve"> </w:t>
      </w:r>
      <w:r w:rsidR="00087AA0" w:rsidRPr="004F5B31">
        <w:rPr>
          <w:sz w:val="24"/>
        </w:rPr>
        <w:t>Finally, it was discovered</w:t>
      </w:r>
      <w:r w:rsidR="005447A8" w:rsidRPr="004F5B31">
        <w:rPr>
          <w:sz w:val="24"/>
        </w:rPr>
        <w:t xml:space="preserve"> that </w:t>
      </w:r>
      <w:r w:rsidRPr="004F5B31">
        <w:rPr>
          <w:sz w:val="24"/>
        </w:rPr>
        <w:t>the relative efficiency of Taiwan's 5G</w:t>
      </w:r>
      <w:r w:rsidR="00EA7A24" w:rsidRPr="004F5B31">
        <w:rPr>
          <w:sz w:val="24"/>
        </w:rPr>
        <w:t xml:space="preserve">-related industries’ </w:t>
      </w:r>
      <w:r w:rsidRPr="004F5B31">
        <w:rPr>
          <w:sz w:val="24"/>
        </w:rPr>
        <w:t xml:space="preserve">R&amp;D investment </w:t>
      </w:r>
      <w:r w:rsidR="00A2440B" w:rsidRPr="004F5B31">
        <w:rPr>
          <w:sz w:val="24"/>
        </w:rPr>
        <w:t>was</w:t>
      </w:r>
      <w:r w:rsidR="00263A65" w:rsidRPr="004F5B31">
        <w:rPr>
          <w:sz w:val="24"/>
        </w:rPr>
        <w:t>, indeed,</w:t>
      </w:r>
      <w:r w:rsidR="00A2440B" w:rsidRPr="004F5B31">
        <w:rPr>
          <w:sz w:val="24"/>
        </w:rPr>
        <w:t xml:space="preserve"> </w:t>
      </w:r>
      <w:r w:rsidR="00263A65" w:rsidRPr="004F5B31">
        <w:rPr>
          <w:sz w:val="24"/>
        </w:rPr>
        <w:t xml:space="preserve">statistically </w:t>
      </w:r>
      <w:r w:rsidR="00A2440B" w:rsidRPr="004F5B31">
        <w:rPr>
          <w:sz w:val="24"/>
        </w:rPr>
        <w:t>significant</w:t>
      </w:r>
      <w:r w:rsidR="00087AA0" w:rsidRPr="004F5B31">
        <w:rPr>
          <w:sz w:val="24"/>
        </w:rPr>
        <w:t xml:space="preserve"> </w:t>
      </w:r>
      <w:r w:rsidR="00263A65" w:rsidRPr="004F5B31">
        <w:rPr>
          <w:sz w:val="24"/>
        </w:rPr>
        <w:t xml:space="preserve">in terms of the </w:t>
      </w:r>
      <w:r w:rsidR="005447A8" w:rsidRPr="004F5B31">
        <w:rPr>
          <w:sz w:val="24"/>
        </w:rPr>
        <w:t xml:space="preserve">Taiwanese </w:t>
      </w:r>
      <w:r w:rsidRPr="004F5B31">
        <w:rPr>
          <w:sz w:val="24"/>
        </w:rPr>
        <w:t>government</w:t>
      </w:r>
      <w:r w:rsidR="00263A65" w:rsidRPr="004F5B31">
        <w:rPr>
          <w:sz w:val="24"/>
        </w:rPr>
        <w:t xml:space="preserve">’s industrial policies regarding 5G R&amp;D investment. </w:t>
      </w:r>
    </w:p>
    <w:p w:rsidR="0016200D" w:rsidRDefault="0016200D" w:rsidP="0016200D">
      <w:pPr>
        <w:snapToGrid w:val="0"/>
        <w:spacing w:after="80" w:line="480" w:lineRule="auto"/>
        <w:rPr>
          <w:rFonts w:eastAsia="標楷體"/>
          <w:sz w:val="24"/>
        </w:rPr>
      </w:pPr>
      <w:r w:rsidRPr="00C236D3">
        <w:rPr>
          <w:rFonts w:eastAsia="標楷體"/>
          <w:b/>
          <w:sz w:val="24"/>
        </w:rPr>
        <w:t>Keywords:</w:t>
      </w:r>
      <w:r w:rsidRPr="00C236D3">
        <w:rPr>
          <w:rFonts w:eastAsia="標楷體"/>
          <w:sz w:val="24"/>
        </w:rPr>
        <w:t xml:space="preserve"> </w:t>
      </w:r>
      <w:r w:rsidRPr="008B0226">
        <w:rPr>
          <w:rFonts w:eastAsia="標楷體"/>
          <w:sz w:val="24"/>
        </w:rPr>
        <w:t>Dynamic Slacks-Based Measure</w:t>
      </w:r>
      <w:r>
        <w:rPr>
          <w:rFonts w:eastAsia="標楷體"/>
          <w:sz w:val="24"/>
        </w:rPr>
        <w:t xml:space="preserve"> (DSBM)</w:t>
      </w:r>
      <w:r w:rsidRPr="00C236D3">
        <w:rPr>
          <w:rFonts w:eastAsia="標楷體"/>
          <w:sz w:val="24"/>
        </w:rPr>
        <w:t>, 5G Industry</w:t>
      </w:r>
      <w:r>
        <w:rPr>
          <w:rFonts w:eastAsia="標楷體"/>
          <w:sz w:val="24"/>
        </w:rPr>
        <w:t>,</w:t>
      </w:r>
      <w:r>
        <w:rPr>
          <w:rFonts w:eastAsia="標楷體" w:hint="eastAsia"/>
          <w:sz w:val="24"/>
          <w:lang w:eastAsia="zh-TW"/>
        </w:rPr>
        <w:t xml:space="preserve"> </w:t>
      </w:r>
      <w:r>
        <w:rPr>
          <w:rFonts w:eastAsia="標楷體"/>
          <w:sz w:val="24"/>
        </w:rPr>
        <w:t>R&amp;D inputs</w:t>
      </w:r>
    </w:p>
    <w:p w:rsidR="0016200D" w:rsidRPr="0016200D" w:rsidRDefault="0016200D" w:rsidP="00526252">
      <w:pPr>
        <w:snapToGrid w:val="0"/>
        <w:spacing w:after="80" w:line="480" w:lineRule="auto"/>
        <w:rPr>
          <w:sz w:val="24"/>
          <w:highlight w:val="yellow"/>
        </w:rPr>
      </w:pPr>
    </w:p>
    <w:p w:rsidR="000D2B6E" w:rsidRPr="00C236D3" w:rsidRDefault="000D2B6E">
      <w:pPr>
        <w:widowControl/>
        <w:jc w:val="left"/>
        <w:rPr>
          <w:rFonts w:eastAsia="標楷體"/>
          <w:sz w:val="24"/>
        </w:rPr>
      </w:pPr>
      <w:r w:rsidRPr="00C236D3">
        <w:rPr>
          <w:rFonts w:eastAsia="標楷體"/>
          <w:sz w:val="24"/>
        </w:rPr>
        <w:br w:type="page"/>
      </w:r>
    </w:p>
    <w:p w:rsidR="000D2B6E" w:rsidRPr="00C236D3" w:rsidRDefault="000D2B6E" w:rsidP="00526252">
      <w:pPr>
        <w:adjustRightInd w:val="0"/>
        <w:snapToGrid w:val="0"/>
        <w:spacing w:line="480" w:lineRule="auto"/>
        <w:outlineLvl w:val="0"/>
        <w:rPr>
          <w:rFonts w:eastAsia="標楷體"/>
          <w:b/>
          <w:bCs/>
          <w:sz w:val="24"/>
        </w:rPr>
      </w:pPr>
      <w:r w:rsidRPr="00C236D3">
        <w:rPr>
          <w:rFonts w:eastAsia="標楷體"/>
          <w:b/>
          <w:bCs/>
          <w:sz w:val="24"/>
        </w:rPr>
        <w:t>1. Introduction</w:t>
      </w:r>
    </w:p>
    <w:p w:rsidR="005E37BD" w:rsidRPr="009A46AC" w:rsidRDefault="00A2440B" w:rsidP="00526252">
      <w:pPr>
        <w:adjustRightInd w:val="0"/>
        <w:snapToGrid w:val="0"/>
        <w:spacing w:before="100" w:beforeAutospacing="1" w:line="480" w:lineRule="auto"/>
        <w:ind w:firstLineChars="200" w:firstLine="480"/>
        <w:rPr>
          <w:rFonts w:eastAsia="標楷體"/>
          <w:sz w:val="24"/>
          <w:lang w:eastAsia="zh-TW"/>
        </w:rPr>
      </w:pPr>
      <w:r>
        <w:rPr>
          <w:rFonts w:eastAsia="標楷體"/>
          <w:sz w:val="24"/>
          <w:lang w:eastAsia="zh-TW"/>
        </w:rPr>
        <w:t xml:space="preserve">Recent advances in the </w:t>
      </w:r>
      <w:r w:rsidR="005E37BD" w:rsidRPr="005E37BD">
        <w:rPr>
          <w:rFonts w:eastAsia="標楷體"/>
          <w:sz w:val="24"/>
          <w:lang w:eastAsia="zh-TW"/>
        </w:rPr>
        <w:t xml:space="preserve">development of new-generation mobile communication networks such as 3G, 4G, and 5G (hereafter referred to as "new-generation networks") </w:t>
      </w:r>
      <w:r w:rsidR="005E37BD">
        <w:rPr>
          <w:rFonts w:eastAsia="標楷體"/>
          <w:sz w:val="24"/>
          <w:lang w:eastAsia="zh-TW"/>
        </w:rPr>
        <w:t>ha</w:t>
      </w:r>
      <w:r>
        <w:rPr>
          <w:rFonts w:eastAsia="標楷體"/>
          <w:sz w:val="24"/>
          <w:lang w:eastAsia="zh-TW"/>
        </w:rPr>
        <w:t xml:space="preserve">ve </w:t>
      </w:r>
      <w:r w:rsidR="005E37BD">
        <w:rPr>
          <w:rFonts w:eastAsia="標楷體"/>
          <w:sz w:val="24"/>
          <w:lang w:eastAsia="zh-TW"/>
        </w:rPr>
        <w:t xml:space="preserve">been </w:t>
      </w:r>
      <w:r w:rsidR="002C4EC8">
        <w:rPr>
          <w:rFonts w:eastAsia="標楷體"/>
          <w:sz w:val="24"/>
          <w:lang w:eastAsia="zh-TW"/>
        </w:rPr>
        <w:t>critical factor</w:t>
      </w:r>
      <w:r>
        <w:rPr>
          <w:rFonts w:eastAsia="標楷體"/>
          <w:sz w:val="24"/>
          <w:lang w:eastAsia="zh-TW"/>
        </w:rPr>
        <w:t>s</w:t>
      </w:r>
      <w:r w:rsidR="002C4EC8">
        <w:rPr>
          <w:rFonts w:eastAsia="標楷體"/>
          <w:sz w:val="24"/>
          <w:lang w:eastAsia="zh-TW"/>
        </w:rPr>
        <w:t xml:space="preserve"> in the</w:t>
      </w:r>
      <w:r w:rsidR="005E37BD" w:rsidRPr="005E37BD">
        <w:rPr>
          <w:rFonts w:eastAsia="標楷體"/>
          <w:sz w:val="24"/>
          <w:lang w:eastAsia="zh-TW"/>
        </w:rPr>
        <w:t xml:space="preserve"> </w:t>
      </w:r>
      <w:r>
        <w:rPr>
          <w:rFonts w:eastAsia="標楷體"/>
          <w:sz w:val="24"/>
          <w:lang w:eastAsia="zh-TW"/>
        </w:rPr>
        <w:t xml:space="preserve">creation </w:t>
      </w:r>
      <w:r w:rsidR="005E37BD" w:rsidRPr="005E37BD">
        <w:rPr>
          <w:rFonts w:eastAsia="標楷體"/>
          <w:sz w:val="24"/>
          <w:lang w:eastAsia="zh-TW"/>
        </w:rPr>
        <w:t xml:space="preserve">of the mobile Internet (Jia, 2016). </w:t>
      </w:r>
      <w:r>
        <w:rPr>
          <w:rFonts w:eastAsia="標楷體"/>
          <w:sz w:val="24"/>
          <w:lang w:eastAsia="zh-TW"/>
        </w:rPr>
        <w:t>This n</w:t>
      </w:r>
      <w:r w:rsidR="005E37BD" w:rsidRPr="005E37BD">
        <w:rPr>
          <w:rFonts w:eastAsia="標楷體"/>
          <w:sz w:val="24"/>
          <w:lang w:eastAsia="zh-TW"/>
        </w:rPr>
        <w:t>ew generation of networks</w:t>
      </w:r>
      <w:r w:rsidR="009B2021">
        <w:rPr>
          <w:rFonts w:eastAsia="標楷體"/>
          <w:sz w:val="24"/>
          <w:lang w:eastAsia="zh-TW"/>
        </w:rPr>
        <w:t xml:space="preserve"> </w:t>
      </w:r>
      <w:r w:rsidR="009B2021">
        <w:rPr>
          <w:sz w:val="24"/>
        </w:rPr>
        <w:t>-</w:t>
      </w:r>
      <w:r w:rsidR="00BD1D7F">
        <w:rPr>
          <w:rFonts w:eastAsia="標楷體"/>
          <w:sz w:val="24"/>
          <w:lang w:eastAsia="zh-TW"/>
        </w:rPr>
        <w:t xml:space="preserve"> particularly </w:t>
      </w:r>
      <w:r w:rsidR="005E37BD" w:rsidRPr="005E37BD">
        <w:rPr>
          <w:rFonts w:eastAsia="標楷體"/>
          <w:sz w:val="24"/>
          <w:lang w:eastAsia="zh-TW"/>
        </w:rPr>
        <w:t>5G</w:t>
      </w:r>
      <w:r w:rsidR="009B2021">
        <w:rPr>
          <w:rFonts w:eastAsia="標楷體"/>
          <w:sz w:val="24"/>
          <w:lang w:eastAsia="zh-TW"/>
        </w:rPr>
        <w:t xml:space="preserve"> </w:t>
      </w:r>
      <w:r w:rsidR="009B2021">
        <w:rPr>
          <w:sz w:val="24"/>
        </w:rPr>
        <w:t>-</w:t>
      </w:r>
      <w:r w:rsidR="005E37BD" w:rsidRPr="005E37BD">
        <w:rPr>
          <w:rFonts w:eastAsia="標楷體"/>
          <w:sz w:val="24"/>
          <w:lang w:eastAsia="zh-TW"/>
        </w:rPr>
        <w:t xml:space="preserve">has </w:t>
      </w:r>
      <w:r>
        <w:rPr>
          <w:rFonts w:eastAsia="標楷體"/>
          <w:sz w:val="24"/>
          <w:lang w:eastAsia="zh-TW"/>
        </w:rPr>
        <w:t>forced all players in t</w:t>
      </w:r>
      <w:r w:rsidR="005E37BD" w:rsidRPr="005E37BD">
        <w:rPr>
          <w:rFonts w:eastAsia="標楷體"/>
          <w:sz w:val="24"/>
          <w:lang w:eastAsia="zh-TW"/>
        </w:rPr>
        <w:t xml:space="preserve">he communications industry to </w:t>
      </w:r>
      <w:r w:rsidR="00D012A0">
        <w:rPr>
          <w:rFonts w:eastAsia="標楷體"/>
          <w:sz w:val="24"/>
          <w:lang w:eastAsia="zh-TW"/>
        </w:rPr>
        <w:t xml:space="preserve">not only </w:t>
      </w:r>
      <w:r w:rsidR="005E37BD" w:rsidRPr="005E37BD">
        <w:rPr>
          <w:rFonts w:eastAsia="標楷體"/>
          <w:sz w:val="24"/>
          <w:lang w:eastAsia="zh-TW"/>
        </w:rPr>
        <w:t xml:space="preserve">pay close attention to the </w:t>
      </w:r>
      <w:r w:rsidR="002C4EC8">
        <w:rPr>
          <w:rFonts w:eastAsia="標楷體"/>
          <w:sz w:val="24"/>
          <w:lang w:eastAsia="zh-TW"/>
        </w:rPr>
        <w:t xml:space="preserve">value </w:t>
      </w:r>
      <w:r w:rsidR="009B2021">
        <w:rPr>
          <w:rFonts w:eastAsia="標楷體"/>
          <w:sz w:val="24"/>
          <w:lang w:eastAsia="zh-TW"/>
        </w:rPr>
        <w:t>but also the</w:t>
      </w:r>
      <w:r w:rsidR="002C4EC8">
        <w:rPr>
          <w:rFonts w:eastAsia="標楷體"/>
          <w:sz w:val="24"/>
          <w:lang w:eastAsia="zh-TW"/>
        </w:rPr>
        <w:t xml:space="preserve"> </w:t>
      </w:r>
      <w:r w:rsidR="005E37BD" w:rsidRPr="005E37BD">
        <w:rPr>
          <w:rFonts w:eastAsia="標楷體"/>
          <w:sz w:val="24"/>
          <w:lang w:eastAsia="zh-TW"/>
        </w:rPr>
        <w:t xml:space="preserve">performance of </w:t>
      </w:r>
      <w:r w:rsidR="001F1809">
        <w:rPr>
          <w:rFonts w:eastAsia="標楷體" w:hint="eastAsia"/>
          <w:sz w:val="24"/>
          <w:lang w:eastAsia="zh-TW"/>
        </w:rPr>
        <w:t>t</w:t>
      </w:r>
      <w:r w:rsidR="001F1809">
        <w:rPr>
          <w:rFonts w:eastAsia="標楷體"/>
          <w:sz w:val="24"/>
          <w:lang w:eastAsia="zh-TW"/>
        </w:rPr>
        <w:t xml:space="preserve">heir </w:t>
      </w:r>
      <w:r w:rsidR="005E37BD" w:rsidRPr="005E37BD">
        <w:rPr>
          <w:rFonts w:eastAsia="標楷體"/>
          <w:sz w:val="24"/>
          <w:lang w:eastAsia="zh-TW"/>
        </w:rPr>
        <w:t>network investment</w:t>
      </w:r>
      <w:r w:rsidR="001F1809">
        <w:rPr>
          <w:rFonts w:eastAsia="標楷體"/>
          <w:sz w:val="24"/>
          <w:lang w:eastAsia="zh-TW"/>
        </w:rPr>
        <w:t>s</w:t>
      </w:r>
      <w:r w:rsidR="005E37BD" w:rsidRPr="005E37BD">
        <w:rPr>
          <w:rFonts w:eastAsia="標楷體"/>
          <w:sz w:val="24"/>
          <w:lang w:eastAsia="zh-TW"/>
        </w:rPr>
        <w:t xml:space="preserve">. </w:t>
      </w:r>
      <w:r w:rsidR="00BD1D7F">
        <w:rPr>
          <w:rFonts w:eastAsia="標楷體"/>
          <w:sz w:val="24"/>
          <w:lang w:eastAsia="zh-TW"/>
        </w:rPr>
        <w:t>The effective implementation of</w:t>
      </w:r>
      <w:r w:rsidR="005E37BD" w:rsidRPr="005E37BD">
        <w:rPr>
          <w:rFonts w:eastAsia="標楷體"/>
          <w:sz w:val="24"/>
          <w:lang w:eastAsia="zh-TW"/>
        </w:rPr>
        <w:t xml:space="preserve"> new mobile digital services (hereafter referred to as "new services") </w:t>
      </w:r>
      <w:r w:rsidR="00D012A0">
        <w:rPr>
          <w:rFonts w:eastAsia="標楷體"/>
          <w:sz w:val="24"/>
          <w:lang w:eastAsia="zh-TW"/>
        </w:rPr>
        <w:t xml:space="preserve">is critical to a company’s success </w:t>
      </w:r>
      <w:r w:rsidR="00D012A0" w:rsidRPr="005E37BD">
        <w:rPr>
          <w:rFonts w:eastAsia="標楷體"/>
          <w:sz w:val="24"/>
          <w:lang w:eastAsia="zh-TW"/>
        </w:rPr>
        <w:t>(Harb, 2017)</w:t>
      </w:r>
      <w:r w:rsidR="00D012A0">
        <w:rPr>
          <w:rFonts w:eastAsia="標楷體"/>
          <w:sz w:val="24"/>
          <w:lang w:eastAsia="zh-TW"/>
        </w:rPr>
        <w:t xml:space="preserve">. While the </w:t>
      </w:r>
      <w:r w:rsidR="00BD1D7F">
        <w:rPr>
          <w:rFonts w:eastAsia="標楷體"/>
          <w:sz w:val="24"/>
          <w:lang w:eastAsia="zh-TW"/>
        </w:rPr>
        <w:t>various</w:t>
      </w:r>
      <w:r w:rsidR="005E37BD" w:rsidRPr="005E37BD">
        <w:rPr>
          <w:rFonts w:eastAsia="標楷體"/>
          <w:sz w:val="24"/>
          <w:lang w:eastAsia="zh-TW"/>
        </w:rPr>
        <w:t xml:space="preserve"> </w:t>
      </w:r>
      <w:r w:rsidR="002C4EC8" w:rsidRPr="005E37BD">
        <w:rPr>
          <w:rFonts w:eastAsia="標楷體"/>
          <w:sz w:val="24"/>
          <w:lang w:eastAsia="zh-TW"/>
        </w:rPr>
        <w:t>test method</w:t>
      </w:r>
      <w:r w:rsidR="002C4EC8">
        <w:rPr>
          <w:rFonts w:eastAsia="標楷體"/>
          <w:sz w:val="24"/>
          <w:lang w:eastAsia="zh-TW"/>
        </w:rPr>
        <w:t xml:space="preserve">s used to gauge the </w:t>
      </w:r>
      <w:r w:rsidR="005E37BD">
        <w:rPr>
          <w:rFonts w:eastAsia="標楷體"/>
          <w:sz w:val="24"/>
          <w:lang w:eastAsia="zh-TW"/>
        </w:rPr>
        <w:t xml:space="preserve">communications industry’s </w:t>
      </w:r>
      <w:r w:rsidR="005E37BD" w:rsidRPr="005E37BD">
        <w:rPr>
          <w:rFonts w:eastAsia="標楷體"/>
          <w:sz w:val="24"/>
          <w:lang w:eastAsia="zh-TW"/>
        </w:rPr>
        <w:t xml:space="preserve">performance </w:t>
      </w:r>
      <w:r w:rsidR="00D012A0">
        <w:rPr>
          <w:rFonts w:eastAsia="標楷體"/>
          <w:sz w:val="24"/>
          <w:lang w:eastAsia="zh-TW"/>
        </w:rPr>
        <w:t xml:space="preserve">are becoming </w:t>
      </w:r>
      <w:r w:rsidR="002C4EC8">
        <w:rPr>
          <w:rFonts w:eastAsia="標楷體"/>
          <w:sz w:val="24"/>
          <w:lang w:eastAsia="zh-TW"/>
        </w:rPr>
        <w:t xml:space="preserve">increasingly </w:t>
      </w:r>
      <w:r w:rsidR="005E37BD" w:rsidRPr="005E37BD">
        <w:rPr>
          <w:rFonts w:eastAsia="標楷體"/>
          <w:sz w:val="24"/>
          <w:lang w:eastAsia="zh-TW"/>
        </w:rPr>
        <w:t>mature</w:t>
      </w:r>
      <w:r w:rsidR="00D012A0">
        <w:rPr>
          <w:rFonts w:eastAsia="標楷體"/>
          <w:sz w:val="24"/>
          <w:lang w:eastAsia="zh-TW"/>
        </w:rPr>
        <w:t>, e</w:t>
      </w:r>
      <w:r w:rsidR="005E37BD" w:rsidRPr="005E37BD">
        <w:rPr>
          <w:rFonts w:eastAsia="標楷體"/>
          <w:sz w:val="24"/>
          <w:lang w:eastAsia="zh-TW"/>
        </w:rPr>
        <w:t>xploratory factor analysis and</w:t>
      </w:r>
      <w:r w:rsidR="005E37BD">
        <w:rPr>
          <w:rFonts w:eastAsia="標楷體"/>
          <w:sz w:val="24"/>
          <w:lang w:eastAsia="zh-TW"/>
        </w:rPr>
        <w:t xml:space="preserve"> </w:t>
      </w:r>
      <w:r w:rsidR="005E37BD" w:rsidRPr="005E37BD">
        <w:rPr>
          <w:rFonts w:eastAsia="標楷體"/>
          <w:sz w:val="24"/>
          <w:lang w:eastAsia="zh-TW"/>
        </w:rPr>
        <w:t>principal factor analysi</w:t>
      </w:r>
      <w:r w:rsidR="005E37BD">
        <w:rPr>
          <w:rFonts w:eastAsia="標楷體"/>
          <w:sz w:val="24"/>
          <w:lang w:eastAsia="zh-TW"/>
        </w:rPr>
        <w:t>s</w:t>
      </w:r>
      <w:r>
        <w:rPr>
          <w:rFonts w:eastAsia="標楷體"/>
          <w:sz w:val="24"/>
          <w:lang w:eastAsia="zh-TW"/>
        </w:rPr>
        <w:t xml:space="preserve"> </w:t>
      </w:r>
      <w:r w:rsidR="005E37BD">
        <w:rPr>
          <w:rFonts w:eastAsia="標楷體"/>
          <w:sz w:val="24"/>
          <w:lang w:eastAsia="zh-TW"/>
        </w:rPr>
        <w:t xml:space="preserve">are </w:t>
      </w:r>
      <w:r w:rsidR="00D012A0">
        <w:rPr>
          <w:rFonts w:eastAsia="標楷體"/>
          <w:sz w:val="24"/>
          <w:lang w:eastAsia="zh-TW"/>
        </w:rPr>
        <w:t>still currently</w:t>
      </w:r>
      <w:r w:rsidR="005E37BD" w:rsidRPr="005E37BD">
        <w:rPr>
          <w:rFonts w:eastAsia="標楷體"/>
          <w:sz w:val="24"/>
          <w:lang w:eastAsia="zh-TW"/>
        </w:rPr>
        <w:t xml:space="preserve"> used </w:t>
      </w:r>
      <w:r w:rsidR="009B2021">
        <w:rPr>
          <w:rFonts w:eastAsia="標楷體"/>
          <w:sz w:val="24"/>
          <w:lang w:eastAsia="zh-TW"/>
        </w:rPr>
        <w:t xml:space="preserve">to measure and evaluate </w:t>
      </w:r>
      <w:r w:rsidR="00D012A0">
        <w:rPr>
          <w:rFonts w:eastAsia="標楷體"/>
          <w:sz w:val="24"/>
          <w:lang w:eastAsia="zh-TW"/>
        </w:rPr>
        <w:t xml:space="preserve">its </w:t>
      </w:r>
      <w:r w:rsidR="005E37BD" w:rsidRPr="005E37BD">
        <w:rPr>
          <w:rFonts w:eastAsia="標楷體"/>
          <w:sz w:val="24"/>
          <w:lang w:eastAsia="zh-TW"/>
        </w:rPr>
        <w:t>performance.</w:t>
      </w:r>
      <w:r w:rsidR="00D012A0">
        <w:rPr>
          <w:rFonts w:eastAsia="標楷體"/>
          <w:sz w:val="24"/>
          <w:lang w:eastAsia="zh-TW"/>
        </w:rPr>
        <w:t xml:space="preserve"> </w:t>
      </w:r>
      <w:r w:rsidR="002302A2">
        <w:rPr>
          <w:rFonts w:eastAsia="標楷體"/>
          <w:sz w:val="24"/>
          <w:lang w:eastAsia="zh-TW"/>
        </w:rPr>
        <w:t xml:space="preserve">While </w:t>
      </w:r>
      <w:r w:rsidR="005E37BD" w:rsidRPr="005E37BD">
        <w:rPr>
          <w:rFonts w:eastAsia="標楷體"/>
          <w:sz w:val="24"/>
          <w:lang w:eastAsia="zh-TW"/>
        </w:rPr>
        <w:t>Structural Equation Modelling (SEM)</w:t>
      </w:r>
      <w:r w:rsidR="002302A2">
        <w:rPr>
          <w:rFonts w:eastAsia="標楷體"/>
          <w:sz w:val="24"/>
          <w:lang w:eastAsia="zh-TW"/>
        </w:rPr>
        <w:t>, for example,</w:t>
      </w:r>
      <w:r w:rsidR="005E37BD" w:rsidRPr="005E37BD">
        <w:rPr>
          <w:rFonts w:eastAsia="標楷體"/>
          <w:sz w:val="24"/>
          <w:lang w:eastAsia="zh-TW"/>
        </w:rPr>
        <w:t xml:space="preserve"> </w:t>
      </w:r>
      <w:r w:rsidR="005E37BD">
        <w:rPr>
          <w:rFonts w:eastAsia="標楷體"/>
          <w:sz w:val="24"/>
          <w:lang w:eastAsia="zh-TW"/>
        </w:rPr>
        <w:t>remains</w:t>
      </w:r>
      <w:r w:rsidR="005E37BD" w:rsidRPr="005E37BD">
        <w:rPr>
          <w:rFonts w:eastAsia="標楷體"/>
          <w:sz w:val="24"/>
          <w:lang w:eastAsia="zh-TW"/>
        </w:rPr>
        <w:t xml:space="preserve"> a commonly</w:t>
      </w:r>
      <w:r w:rsidR="005E37BD">
        <w:rPr>
          <w:rFonts w:eastAsia="標楷體"/>
          <w:sz w:val="24"/>
          <w:lang w:eastAsia="zh-TW"/>
        </w:rPr>
        <w:t xml:space="preserve">-employed </w:t>
      </w:r>
      <w:r w:rsidR="00D012A0">
        <w:rPr>
          <w:rFonts w:eastAsia="標楷體"/>
          <w:sz w:val="24"/>
          <w:lang w:eastAsia="zh-TW"/>
        </w:rPr>
        <w:t xml:space="preserve">such </w:t>
      </w:r>
      <w:r w:rsidR="005E37BD" w:rsidRPr="005E37BD">
        <w:rPr>
          <w:rFonts w:eastAsia="標楷體"/>
          <w:sz w:val="24"/>
          <w:lang w:eastAsia="zh-TW"/>
        </w:rPr>
        <w:t xml:space="preserve">performance measurement method </w:t>
      </w:r>
      <w:r w:rsidR="002302A2">
        <w:rPr>
          <w:rFonts w:eastAsia="標楷體"/>
          <w:sz w:val="24"/>
          <w:lang w:eastAsia="zh-TW"/>
        </w:rPr>
        <w:t xml:space="preserve">for the </w:t>
      </w:r>
      <w:r w:rsidR="005E37BD" w:rsidRPr="005E37BD">
        <w:rPr>
          <w:rFonts w:eastAsia="標楷體"/>
          <w:sz w:val="24"/>
          <w:lang w:eastAsia="zh-TW"/>
        </w:rPr>
        <w:t xml:space="preserve">communications industry, </w:t>
      </w:r>
      <w:r w:rsidR="00D012A0">
        <w:rPr>
          <w:rFonts w:eastAsia="標楷體"/>
          <w:sz w:val="24"/>
          <w:lang w:eastAsia="zh-TW"/>
        </w:rPr>
        <w:t xml:space="preserve">its </w:t>
      </w:r>
      <w:r w:rsidR="00875218">
        <w:rPr>
          <w:rFonts w:eastAsia="標楷體"/>
          <w:sz w:val="24"/>
          <w:lang w:eastAsia="zh-TW"/>
        </w:rPr>
        <w:t>lack</w:t>
      </w:r>
      <w:r w:rsidR="00D012A0">
        <w:rPr>
          <w:rFonts w:eastAsia="標楷體"/>
          <w:sz w:val="24"/>
          <w:lang w:eastAsia="zh-TW"/>
        </w:rPr>
        <w:t xml:space="preserve"> of </w:t>
      </w:r>
      <w:r w:rsidR="005E37BD" w:rsidRPr="005E37BD">
        <w:rPr>
          <w:rFonts w:eastAsia="標楷體"/>
          <w:sz w:val="24"/>
          <w:lang w:eastAsia="zh-TW"/>
        </w:rPr>
        <w:t xml:space="preserve">sufficient theoretical support for </w:t>
      </w:r>
      <w:r>
        <w:rPr>
          <w:rFonts w:eastAsia="標楷體"/>
          <w:sz w:val="24"/>
          <w:lang w:eastAsia="zh-TW"/>
        </w:rPr>
        <w:t>explaining the relationships</w:t>
      </w:r>
      <w:r w:rsidR="00BD1D7F">
        <w:rPr>
          <w:rFonts w:eastAsia="標楷體"/>
          <w:sz w:val="24"/>
          <w:lang w:eastAsia="zh-TW"/>
        </w:rPr>
        <w:t xml:space="preserve"> </w:t>
      </w:r>
      <w:r w:rsidR="005E37BD" w:rsidRPr="005E37BD">
        <w:rPr>
          <w:rFonts w:eastAsia="標楷體"/>
          <w:sz w:val="24"/>
          <w:lang w:eastAsia="zh-TW"/>
        </w:rPr>
        <w:t>between the model</w:t>
      </w:r>
      <w:r w:rsidR="00875218">
        <w:rPr>
          <w:rFonts w:eastAsia="標楷體"/>
          <w:sz w:val="24"/>
          <w:lang w:eastAsia="zh-TW"/>
        </w:rPr>
        <w:t>s’</w:t>
      </w:r>
      <w:r w:rsidR="005E37BD" w:rsidRPr="005E37BD">
        <w:rPr>
          <w:rFonts w:eastAsia="標楷體"/>
          <w:sz w:val="24"/>
          <w:lang w:eastAsia="zh-TW"/>
        </w:rPr>
        <w:t xml:space="preserve"> facets</w:t>
      </w:r>
      <w:r w:rsidR="00D012A0">
        <w:rPr>
          <w:rFonts w:eastAsia="標楷體"/>
          <w:sz w:val="24"/>
          <w:lang w:eastAsia="zh-TW"/>
        </w:rPr>
        <w:t xml:space="preserve"> </w:t>
      </w:r>
      <w:r w:rsidR="002302A2">
        <w:rPr>
          <w:rFonts w:eastAsia="標楷體"/>
          <w:sz w:val="24"/>
          <w:lang w:eastAsia="zh-TW"/>
        </w:rPr>
        <w:t>has been pointed out as its</w:t>
      </w:r>
      <w:r w:rsidR="00D012A0">
        <w:rPr>
          <w:rFonts w:eastAsia="標楷體"/>
          <w:sz w:val="24"/>
          <w:lang w:eastAsia="zh-TW"/>
        </w:rPr>
        <w:t xml:space="preserve"> princip</w:t>
      </w:r>
      <w:r w:rsidR="002302A2">
        <w:rPr>
          <w:rFonts w:eastAsia="標楷體"/>
          <w:sz w:val="24"/>
          <w:lang w:eastAsia="zh-TW"/>
        </w:rPr>
        <w:t xml:space="preserve">al </w:t>
      </w:r>
      <w:r w:rsidR="00D012A0">
        <w:rPr>
          <w:rFonts w:eastAsia="標楷體"/>
          <w:sz w:val="24"/>
          <w:lang w:eastAsia="zh-TW"/>
        </w:rPr>
        <w:t>shortcoming</w:t>
      </w:r>
      <w:r w:rsidR="005E37BD" w:rsidRPr="005E37BD">
        <w:rPr>
          <w:rFonts w:eastAsia="標楷體"/>
          <w:sz w:val="24"/>
          <w:lang w:eastAsia="zh-TW"/>
        </w:rPr>
        <w:t xml:space="preserve"> (Gerpott &amp; Ahmadi, 2015).</w:t>
      </w:r>
    </w:p>
    <w:p w:rsidR="00674223" w:rsidRPr="00674223" w:rsidRDefault="00A2440B" w:rsidP="00674223">
      <w:pPr>
        <w:adjustRightInd w:val="0"/>
        <w:snapToGrid w:val="0"/>
        <w:spacing w:before="100" w:beforeAutospacing="1" w:line="480" w:lineRule="auto"/>
        <w:ind w:firstLineChars="200" w:firstLine="480"/>
        <w:rPr>
          <w:rFonts w:eastAsia="標楷體"/>
          <w:sz w:val="24"/>
          <w:lang w:eastAsia="zh-TW"/>
        </w:rPr>
      </w:pPr>
      <w:r>
        <w:rPr>
          <w:rFonts w:eastAsia="標楷體"/>
          <w:sz w:val="24"/>
          <w:lang w:eastAsia="zh-TW"/>
        </w:rPr>
        <w:t>The authors</w:t>
      </w:r>
      <w:r w:rsidR="00875218">
        <w:rPr>
          <w:rFonts w:eastAsia="標楷體"/>
          <w:sz w:val="24"/>
          <w:lang w:eastAsia="zh-TW"/>
        </w:rPr>
        <w:t xml:space="preserve"> </w:t>
      </w:r>
      <w:r>
        <w:rPr>
          <w:rFonts w:eastAsia="標楷體"/>
          <w:sz w:val="24"/>
          <w:lang w:eastAsia="zh-TW"/>
        </w:rPr>
        <w:t xml:space="preserve">opted to employ </w:t>
      </w:r>
      <w:r w:rsidR="00674223" w:rsidRPr="00674223">
        <w:rPr>
          <w:rFonts w:eastAsia="標楷體"/>
          <w:sz w:val="24"/>
          <w:lang w:eastAsia="zh-TW"/>
        </w:rPr>
        <w:t xml:space="preserve">SEM research methods to analyze </w:t>
      </w:r>
      <w:r w:rsidR="002C4EC8">
        <w:rPr>
          <w:rFonts w:eastAsia="標楷體"/>
          <w:sz w:val="24"/>
          <w:lang w:eastAsia="zh-TW"/>
        </w:rPr>
        <w:t>th</w:t>
      </w:r>
      <w:r w:rsidR="003D1ADB">
        <w:rPr>
          <w:rFonts w:eastAsia="標楷體"/>
          <w:sz w:val="24"/>
          <w:lang w:eastAsia="zh-TW"/>
        </w:rPr>
        <w:t xml:space="preserve">e </w:t>
      </w:r>
      <w:r w:rsidR="0067362F" w:rsidRPr="00674223">
        <w:rPr>
          <w:rFonts w:eastAsia="標楷體"/>
          <w:sz w:val="24"/>
          <w:lang w:eastAsia="zh-TW"/>
        </w:rPr>
        <w:t>stati</w:t>
      </w:r>
      <w:r w:rsidR="0067362F">
        <w:rPr>
          <w:rFonts w:eastAsia="標楷體"/>
          <w:sz w:val="24"/>
          <w:lang w:eastAsia="zh-TW"/>
        </w:rPr>
        <w:t>st</w:t>
      </w:r>
      <w:r w:rsidR="0067362F" w:rsidRPr="00674223">
        <w:rPr>
          <w:rFonts w:eastAsia="標楷體"/>
          <w:sz w:val="24"/>
          <w:lang w:eastAsia="zh-TW"/>
        </w:rPr>
        <w:t>i</w:t>
      </w:r>
      <w:r w:rsidR="0067362F">
        <w:rPr>
          <w:rFonts w:eastAsia="標楷體"/>
          <w:sz w:val="24"/>
          <w:lang w:eastAsia="zh-TW"/>
        </w:rPr>
        <w:t>cal</w:t>
      </w:r>
      <w:r w:rsidR="0067362F" w:rsidRPr="00674223">
        <w:rPr>
          <w:rFonts w:eastAsia="標楷體"/>
          <w:sz w:val="24"/>
          <w:lang w:eastAsia="zh-TW"/>
        </w:rPr>
        <w:t xml:space="preserve"> data</w:t>
      </w:r>
      <w:r w:rsidR="0067362F">
        <w:rPr>
          <w:rFonts w:eastAsia="標楷體"/>
          <w:sz w:val="24"/>
          <w:lang w:eastAsia="zh-TW"/>
        </w:rPr>
        <w:t xml:space="preserve"> derived </w:t>
      </w:r>
      <w:r>
        <w:rPr>
          <w:rFonts w:eastAsia="標楷體"/>
          <w:sz w:val="24"/>
          <w:lang w:eastAsia="zh-TW"/>
        </w:rPr>
        <w:t xml:space="preserve">in this study </w:t>
      </w:r>
      <w:r w:rsidR="00875218" w:rsidRPr="00674223">
        <w:rPr>
          <w:rFonts w:eastAsia="標楷體"/>
          <w:sz w:val="24"/>
          <w:lang w:eastAsia="zh-TW"/>
        </w:rPr>
        <w:t>to measure the relative efficiency of the overall communications industry</w:t>
      </w:r>
      <w:r w:rsidR="00875218">
        <w:rPr>
          <w:rFonts w:eastAsia="標楷體"/>
          <w:sz w:val="24"/>
          <w:lang w:eastAsia="zh-TW"/>
        </w:rPr>
        <w:t xml:space="preserve"> </w:t>
      </w:r>
      <w:r>
        <w:rPr>
          <w:rFonts w:eastAsia="標楷體"/>
          <w:sz w:val="24"/>
          <w:lang w:eastAsia="zh-TW"/>
        </w:rPr>
        <w:t xml:space="preserve">because </w:t>
      </w:r>
      <w:r w:rsidR="00674223" w:rsidRPr="00674223">
        <w:rPr>
          <w:rFonts w:eastAsia="標楷體"/>
          <w:sz w:val="24"/>
          <w:lang w:eastAsia="zh-TW"/>
        </w:rPr>
        <w:t xml:space="preserve">the Data Envelopment Analysis (DEA) model </w:t>
      </w:r>
      <w:r w:rsidR="00875218">
        <w:rPr>
          <w:rFonts w:eastAsia="標楷體"/>
          <w:sz w:val="24"/>
          <w:lang w:eastAsia="zh-TW"/>
        </w:rPr>
        <w:t xml:space="preserve">is considered </w:t>
      </w:r>
      <w:r>
        <w:rPr>
          <w:rFonts w:eastAsia="標楷體"/>
          <w:sz w:val="24"/>
          <w:lang w:eastAsia="zh-TW"/>
        </w:rPr>
        <w:t>superior to</w:t>
      </w:r>
      <w:r w:rsidR="00674223" w:rsidRPr="00674223">
        <w:rPr>
          <w:rFonts w:eastAsia="標楷體"/>
          <w:sz w:val="24"/>
          <w:lang w:eastAsia="zh-TW"/>
        </w:rPr>
        <w:t xml:space="preserve"> other performance measurement methods (Kumar, Shankar</w:t>
      </w:r>
      <w:r w:rsidR="00131375">
        <w:rPr>
          <w:rFonts w:eastAsia="標楷體"/>
          <w:sz w:val="24"/>
          <w:lang w:eastAsia="zh-TW"/>
        </w:rPr>
        <w:t xml:space="preserve"> </w:t>
      </w:r>
      <w:r w:rsidR="00674223" w:rsidRPr="00674223">
        <w:rPr>
          <w:rFonts w:eastAsia="標楷體"/>
          <w:sz w:val="24"/>
          <w:lang w:eastAsia="zh-TW"/>
        </w:rPr>
        <w:t>&amp; Debnath, 2015).</w:t>
      </w:r>
      <w:r w:rsidR="00875218">
        <w:rPr>
          <w:rFonts w:eastAsia="標楷體"/>
          <w:sz w:val="24"/>
          <w:lang w:eastAsia="zh-TW"/>
        </w:rPr>
        <w:t xml:space="preserve"> I</w:t>
      </w:r>
      <w:r>
        <w:rPr>
          <w:rFonts w:eastAsia="標楷體"/>
          <w:sz w:val="24"/>
          <w:lang w:eastAsia="zh-TW"/>
        </w:rPr>
        <w:t>n doing so</w:t>
      </w:r>
      <w:r w:rsidR="00131375">
        <w:rPr>
          <w:rFonts w:eastAsia="標楷體"/>
          <w:sz w:val="24"/>
          <w:lang w:eastAsia="zh-TW"/>
        </w:rPr>
        <w:t xml:space="preserve">, </w:t>
      </w:r>
      <w:r w:rsidR="00674223" w:rsidRPr="00674223">
        <w:rPr>
          <w:rFonts w:eastAsia="標楷體"/>
          <w:sz w:val="24"/>
          <w:lang w:eastAsia="zh-TW"/>
        </w:rPr>
        <w:t xml:space="preserve">a set of input-output indicators </w:t>
      </w:r>
      <w:r>
        <w:rPr>
          <w:rFonts w:eastAsia="標楷體"/>
          <w:sz w:val="24"/>
          <w:lang w:eastAsia="zh-TW"/>
        </w:rPr>
        <w:t>were inserted into a</w:t>
      </w:r>
      <w:r w:rsidR="00674223" w:rsidRPr="00674223">
        <w:rPr>
          <w:rFonts w:eastAsia="標楷體"/>
          <w:sz w:val="24"/>
          <w:lang w:eastAsia="zh-TW"/>
        </w:rPr>
        <w:t xml:space="preserve"> complete DEA model system to measure and compare </w:t>
      </w:r>
      <w:r w:rsidR="00875218" w:rsidRPr="00674223">
        <w:rPr>
          <w:rFonts w:eastAsia="標楷體"/>
          <w:sz w:val="24"/>
          <w:lang w:eastAsia="zh-TW"/>
        </w:rPr>
        <w:t>more effectively</w:t>
      </w:r>
      <w:r w:rsidR="00875218">
        <w:rPr>
          <w:rFonts w:eastAsia="標楷體"/>
          <w:sz w:val="24"/>
          <w:lang w:eastAsia="zh-TW"/>
        </w:rPr>
        <w:t xml:space="preserve"> the factors leading to </w:t>
      </w:r>
      <w:r w:rsidR="00674223" w:rsidRPr="00674223">
        <w:rPr>
          <w:rFonts w:eastAsia="標楷體"/>
          <w:sz w:val="24"/>
          <w:lang w:eastAsia="zh-TW"/>
        </w:rPr>
        <w:t xml:space="preserve">relative efficiency. </w:t>
      </w:r>
      <w:r w:rsidR="0067362F">
        <w:rPr>
          <w:rFonts w:eastAsia="標楷體"/>
          <w:sz w:val="24"/>
          <w:lang w:eastAsia="zh-TW"/>
        </w:rPr>
        <w:t>E</w:t>
      </w:r>
      <w:r w:rsidR="00674223" w:rsidRPr="00674223">
        <w:rPr>
          <w:rFonts w:eastAsia="標楷體"/>
          <w:sz w:val="24"/>
          <w:lang w:eastAsia="zh-TW"/>
        </w:rPr>
        <w:t xml:space="preserve">mpirical research </w:t>
      </w:r>
      <w:r w:rsidR="00131375">
        <w:rPr>
          <w:rFonts w:eastAsia="標楷體"/>
          <w:sz w:val="24"/>
          <w:lang w:eastAsia="zh-TW"/>
        </w:rPr>
        <w:t xml:space="preserve">was used to analyze </w:t>
      </w:r>
      <w:r w:rsidR="00674223" w:rsidRPr="00674223">
        <w:rPr>
          <w:rFonts w:eastAsia="標楷體"/>
          <w:sz w:val="24"/>
          <w:lang w:eastAsia="zh-TW"/>
        </w:rPr>
        <w:t xml:space="preserve">dynamically the difference in </w:t>
      </w:r>
      <w:r w:rsidR="00BD1D7F">
        <w:rPr>
          <w:rFonts w:eastAsia="標楷體"/>
          <w:sz w:val="24"/>
          <w:lang w:eastAsia="zh-TW"/>
        </w:rPr>
        <w:t>the r</w:t>
      </w:r>
      <w:r w:rsidR="00674223" w:rsidRPr="00674223">
        <w:rPr>
          <w:rFonts w:eastAsia="標楷體"/>
          <w:sz w:val="24"/>
          <w:lang w:eastAsia="zh-TW"/>
        </w:rPr>
        <w:t xml:space="preserve">elative efficiency of Taiwan's 5G industry </w:t>
      </w:r>
      <w:r w:rsidR="00BD1D7F">
        <w:rPr>
          <w:rFonts w:eastAsia="標楷體"/>
          <w:sz w:val="24"/>
          <w:lang w:eastAsia="zh-TW"/>
        </w:rPr>
        <w:t xml:space="preserve">prior to </w:t>
      </w:r>
      <w:r w:rsidR="00674223" w:rsidRPr="00674223">
        <w:rPr>
          <w:rFonts w:eastAsia="標楷體"/>
          <w:sz w:val="24"/>
          <w:lang w:eastAsia="zh-TW"/>
        </w:rPr>
        <w:t xml:space="preserve">and </w:t>
      </w:r>
      <w:r w:rsidR="0071429A">
        <w:rPr>
          <w:rFonts w:eastAsia="標楷體"/>
          <w:sz w:val="24"/>
          <w:lang w:eastAsia="zh-TW"/>
        </w:rPr>
        <w:t xml:space="preserve">following </w:t>
      </w:r>
      <w:r w:rsidR="00674223" w:rsidRPr="00674223">
        <w:rPr>
          <w:rFonts w:eastAsia="標楷體"/>
          <w:sz w:val="24"/>
          <w:lang w:eastAsia="zh-TW"/>
        </w:rPr>
        <w:t>network upgrade period</w:t>
      </w:r>
      <w:r w:rsidR="00BD1D7F">
        <w:rPr>
          <w:rFonts w:eastAsia="標楷體"/>
          <w:sz w:val="24"/>
          <w:lang w:eastAsia="zh-TW"/>
        </w:rPr>
        <w:t>s</w:t>
      </w:r>
      <w:r w:rsidR="00674223" w:rsidRPr="00674223">
        <w:rPr>
          <w:rFonts w:eastAsia="標楷體"/>
          <w:sz w:val="24"/>
          <w:lang w:eastAsia="zh-TW"/>
        </w:rPr>
        <w:t xml:space="preserve">, </w:t>
      </w:r>
      <w:r w:rsidR="00131375">
        <w:rPr>
          <w:rFonts w:eastAsia="標楷體"/>
          <w:sz w:val="24"/>
          <w:lang w:eastAsia="zh-TW"/>
        </w:rPr>
        <w:t>as well as</w:t>
      </w:r>
      <w:r w:rsidR="002302A2">
        <w:rPr>
          <w:rFonts w:eastAsia="標楷體"/>
          <w:sz w:val="24"/>
          <w:lang w:eastAsia="zh-TW"/>
        </w:rPr>
        <w:t xml:space="preserve"> to</w:t>
      </w:r>
      <w:r w:rsidR="00674223" w:rsidRPr="00674223">
        <w:rPr>
          <w:rFonts w:eastAsia="標楷體"/>
          <w:sz w:val="24"/>
          <w:lang w:eastAsia="zh-TW"/>
        </w:rPr>
        <w:t xml:space="preserve"> provide guidance </w:t>
      </w:r>
      <w:r w:rsidR="00875218">
        <w:rPr>
          <w:rFonts w:eastAsia="標楷體"/>
          <w:sz w:val="24"/>
          <w:lang w:eastAsia="zh-TW"/>
        </w:rPr>
        <w:t xml:space="preserve">for </w:t>
      </w:r>
      <w:r w:rsidR="0067362F">
        <w:rPr>
          <w:rFonts w:eastAsia="標楷體"/>
          <w:sz w:val="24"/>
          <w:lang w:eastAsia="zh-TW"/>
        </w:rPr>
        <w:t xml:space="preserve">and offer suggestions </w:t>
      </w:r>
      <w:r w:rsidR="00875218">
        <w:rPr>
          <w:rFonts w:eastAsia="標楷體"/>
          <w:sz w:val="24"/>
          <w:lang w:eastAsia="zh-TW"/>
        </w:rPr>
        <w:t>to</w:t>
      </w:r>
      <w:r w:rsidR="00674223" w:rsidRPr="00674223">
        <w:rPr>
          <w:rFonts w:eastAsia="標楷體"/>
          <w:sz w:val="24"/>
          <w:lang w:eastAsia="zh-TW"/>
        </w:rPr>
        <w:t xml:space="preserve"> companies</w:t>
      </w:r>
      <w:r w:rsidR="00DC725C">
        <w:rPr>
          <w:rFonts w:eastAsia="標楷體"/>
          <w:sz w:val="24"/>
          <w:lang w:eastAsia="zh-TW"/>
        </w:rPr>
        <w:t xml:space="preserve"> planning to invest</w:t>
      </w:r>
      <w:r w:rsidR="00BD1D7F">
        <w:rPr>
          <w:rFonts w:eastAsia="標楷體"/>
          <w:sz w:val="24"/>
          <w:lang w:eastAsia="zh-TW"/>
        </w:rPr>
        <w:t xml:space="preserve"> in 5G</w:t>
      </w:r>
      <w:r w:rsidR="00674223" w:rsidRPr="00674223">
        <w:rPr>
          <w:rFonts w:eastAsia="標楷體"/>
          <w:sz w:val="24"/>
          <w:lang w:eastAsia="zh-TW"/>
        </w:rPr>
        <w:t xml:space="preserve"> development and </w:t>
      </w:r>
      <w:r w:rsidR="00BD1D7F">
        <w:rPr>
          <w:rFonts w:eastAsia="標楷體"/>
          <w:sz w:val="24"/>
          <w:lang w:eastAsia="zh-TW"/>
        </w:rPr>
        <w:t>subsequent</w:t>
      </w:r>
      <w:r w:rsidR="00131375">
        <w:rPr>
          <w:rFonts w:eastAsia="標楷體"/>
          <w:sz w:val="24"/>
          <w:lang w:eastAsia="zh-TW"/>
        </w:rPr>
        <w:t xml:space="preserve"> </w:t>
      </w:r>
      <w:r w:rsidR="00674223" w:rsidRPr="00674223">
        <w:rPr>
          <w:rFonts w:eastAsia="標楷體"/>
          <w:sz w:val="24"/>
          <w:lang w:eastAsia="zh-TW"/>
        </w:rPr>
        <w:t>new-generation networks.</w:t>
      </w:r>
    </w:p>
    <w:p w:rsidR="00674223" w:rsidRPr="00674223" w:rsidRDefault="00674223" w:rsidP="00674223">
      <w:pPr>
        <w:adjustRightInd w:val="0"/>
        <w:snapToGrid w:val="0"/>
        <w:spacing w:before="100" w:beforeAutospacing="1" w:line="480" w:lineRule="auto"/>
        <w:ind w:firstLineChars="200" w:firstLine="480"/>
        <w:rPr>
          <w:rFonts w:eastAsia="標楷體"/>
          <w:sz w:val="24"/>
          <w:lang w:eastAsia="zh-TW"/>
        </w:rPr>
      </w:pPr>
      <w:r w:rsidRPr="00674223">
        <w:rPr>
          <w:rFonts w:eastAsia="標楷體"/>
          <w:sz w:val="24"/>
          <w:lang w:eastAsia="zh-TW"/>
        </w:rPr>
        <w:t>The highly</w:t>
      </w:r>
      <w:r w:rsidR="00DC725C">
        <w:rPr>
          <w:rFonts w:eastAsia="標楷體"/>
          <w:sz w:val="24"/>
          <w:lang w:eastAsia="zh-TW"/>
        </w:rPr>
        <w:t>-</w:t>
      </w:r>
      <w:r w:rsidRPr="00674223">
        <w:rPr>
          <w:rFonts w:eastAsia="標楷體"/>
          <w:sz w:val="24"/>
          <w:lang w:eastAsia="zh-TW"/>
        </w:rPr>
        <w:t xml:space="preserve">anticipated </w:t>
      </w:r>
      <w:r w:rsidR="0071429A">
        <w:rPr>
          <w:rFonts w:eastAsia="標楷體"/>
          <w:sz w:val="24"/>
          <w:lang w:eastAsia="zh-TW"/>
        </w:rPr>
        <w:t xml:space="preserve">emergence of the </w:t>
      </w:r>
      <w:r w:rsidRPr="00674223">
        <w:rPr>
          <w:rFonts w:eastAsia="標楷體"/>
          <w:sz w:val="24"/>
          <w:lang w:eastAsia="zh-TW"/>
        </w:rPr>
        <w:t xml:space="preserve">5G mobile network </w:t>
      </w:r>
      <w:r w:rsidR="0067362F">
        <w:rPr>
          <w:rFonts w:eastAsia="標楷體"/>
          <w:sz w:val="24"/>
          <w:lang w:eastAsia="zh-TW"/>
        </w:rPr>
        <w:t xml:space="preserve">has been the </w:t>
      </w:r>
      <w:r w:rsidR="00131375">
        <w:rPr>
          <w:rFonts w:eastAsia="標楷體"/>
          <w:sz w:val="24"/>
          <w:lang w:eastAsia="zh-TW"/>
        </w:rPr>
        <w:t>focus of much</w:t>
      </w:r>
      <w:r w:rsidRPr="00674223">
        <w:rPr>
          <w:rFonts w:eastAsia="標楷體"/>
          <w:sz w:val="24"/>
          <w:lang w:eastAsia="zh-TW"/>
        </w:rPr>
        <w:t xml:space="preserve"> research and development </w:t>
      </w:r>
      <w:r w:rsidR="0067362F">
        <w:rPr>
          <w:rFonts w:eastAsia="標楷體"/>
          <w:sz w:val="24"/>
          <w:lang w:eastAsia="zh-TW"/>
        </w:rPr>
        <w:t xml:space="preserve">since </w:t>
      </w:r>
      <w:r w:rsidRPr="00674223">
        <w:rPr>
          <w:rFonts w:eastAsia="標楷體"/>
          <w:sz w:val="24"/>
          <w:lang w:eastAsia="zh-TW"/>
        </w:rPr>
        <w:t>2019</w:t>
      </w:r>
      <w:r w:rsidR="00131375">
        <w:rPr>
          <w:rFonts w:eastAsia="標楷體"/>
          <w:sz w:val="24"/>
          <w:lang w:eastAsia="zh-TW"/>
        </w:rPr>
        <w:t xml:space="preserve">, </w:t>
      </w:r>
      <w:r w:rsidR="001F1809">
        <w:rPr>
          <w:rFonts w:eastAsia="標楷體"/>
          <w:sz w:val="24"/>
          <w:lang w:eastAsia="zh-TW"/>
        </w:rPr>
        <w:t xml:space="preserve">with </w:t>
      </w:r>
      <w:r w:rsidRPr="00674223">
        <w:rPr>
          <w:rFonts w:eastAsia="標楷體"/>
          <w:sz w:val="24"/>
          <w:lang w:eastAsia="zh-TW"/>
        </w:rPr>
        <w:t>nearly 100 countries invest</w:t>
      </w:r>
      <w:r w:rsidR="001F1809">
        <w:rPr>
          <w:rFonts w:eastAsia="標楷體"/>
          <w:sz w:val="24"/>
          <w:lang w:eastAsia="zh-TW"/>
        </w:rPr>
        <w:t>ing</w:t>
      </w:r>
      <w:r w:rsidRPr="00674223">
        <w:rPr>
          <w:rFonts w:eastAsia="標楷體"/>
          <w:sz w:val="24"/>
          <w:lang w:eastAsia="zh-TW"/>
        </w:rPr>
        <w:t xml:space="preserve"> in </w:t>
      </w:r>
      <w:r w:rsidR="001F1809">
        <w:rPr>
          <w:rFonts w:eastAsia="標楷體"/>
          <w:sz w:val="24"/>
          <w:lang w:eastAsia="zh-TW"/>
        </w:rPr>
        <w:t xml:space="preserve">their </w:t>
      </w:r>
      <w:r w:rsidRPr="00674223">
        <w:rPr>
          <w:rFonts w:eastAsia="標楷體"/>
          <w:sz w:val="24"/>
          <w:lang w:eastAsia="zh-TW"/>
        </w:rPr>
        <w:t>5G communication infrastructure</w:t>
      </w:r>
      <w:r w:rsidR="001F1809">
        <w:rPr>
          <w:rFonts w:eastAsia="標楷體"/>
          <w:sz w:val="24"/>
          <w:lang w:eastAsia="zh-TW"/>
        </w:rPr>
        <w:t>s</w:t>
      </w:r>
      <w:r w:rsidR="00131375">
        <w:rPr>
          <w:rFonts w:eastAsia="標楷體"/>
          <w:sz w:val="24"/>
          <w:lang w:eastAsia="zh-TW"/>
        </w:rPr>
        <w:t xml:space="preserve"> in 2020</w:t>
      </w:r>
      <w:r w:rsidRPr="00674223">
        <w:rPr>
          <w:rFonts w:eastAsia="標楷體"/>
          <w:sz w:val="24"/>
          <w:lang w:eastAsia="zh-TW"/>
        </w:rPr>
        <w:t xml:space="preserve">. According to the </w:t>
      </w:r>
      <w:r w:rsidR="00875218">
        <w:rPr>
          <w:rFonts w:eastAsia="標楷體"/>
          <w:sz w:val="24"/>
          <w:lang w:eastAsia="zh-TW"/>
        </w:rPr>
        <w:t>IHS</w:t>
      </w:r>
      <w:r w:rsidR="001F1809">
        <w:rPr>
          <w:rFonts w:eastAsia="標楷體"/>
          <w:sz w:val="24"/>
          <w:lang w:eastAsia="zh-TW"/>
        </w:rPr>
        <w:t>’</w:t>
      </w:r>
      <w:r w:rsidR="001F1809" w:rsidRPr="00674223">
        <w:rPr>
          <w:rFonts w:eastAsia="標楷體"/>
          <w:sz w:val="24"/>
          <w:lang w:eastAsia="zh-TW"/>
        </w:rPr>
        <w:t xml:space="preserve"> (Information Handling Services)</w:t>
      </w:r>
      <w:r w:rsidR="001F1809">
        <w:rPr>
          <w:rFonts w:eastAsia="標楷體"/>
          <w:sz w:val="24"/>
          <w:lang w:eastAsia="zh-TW"/>
        </w:rPr>
        <w:t xml:space="preserve"> </w:t>
      </w:r>
      <w:r w:rsidR="00131375" w:rsidRPr="00674223">
        <w:rPr>
          <w:rFonts w:eastAsia="標楷體"/>
          <w:sz w:val="24"/>
          <w:lang w:eastAsia="zh-TW"/>
        </w:rPr>
        <w:t xml:space="preserve">5G Economy </w:t>
      </w:r>
      <w:r w:rsidR="00131375">
        <w:rPr>
          <w:rFonts w:eastAsia="標楷體"/>
          <w:sz w:val="24"/>
          <w:lang w:eastAsia="zh-TW"/>
        </w:rPr>
        <w:t>R</w:t>
      </w:r>
      <w:r w:rsidR="00131375" w:rsidRPr="00674223">
        <w:rPr>
          <w:rFonts w:eastAsia="標楷體"/>
          <w:sz w:val="24"/>
          <w:lang w:eastAsia="zh-TW"/>
        </w:rPr>
        <w:t xml:space="preserve">esearch </w:t>
      </w:r>
      <w:r w:rsidR="00131375">
        <w:rPr>
          <w:rFonts w:eastAsia="標楷體"/>
          <w:sz w:val="24"/>
          <w:lang w:eastAsia="zh-TW"/>
        </w:rPr>
        <w:t>R</w:t>
      </w:r>
      <w:r w:rsidR="00131375" w:rsidRPr="00674223">
        <w:rPr>
          <w:rFonts w:eastAsia="標楷體"/>
          <w:sz w:val="24"/>
          <w:lang w:eastAsia="zh-TW"/>
        </w:rPr>
        <w:t>eport</w:t>
      </w:r>
      <w:r w:rsidR="001F1809">
        <w:rPr>
          <w:rFonts w:eastAsia="標楷體"/>
          <w:sz w:val="24"/>
          <w:lang w:eastAsia="zh-TW"/>
        </w:rPr>
        <w:t xml:space="preserve">, </w:t>
      </w:r>
      <w:r w:rsidRPr="00674223">
        <w:rPr>
          <w:rFonts w:eastAsia="標楷體"/>
          <w:sz w:val="24"/>
          <w:lang w:eastAsia="zh-TW"/>
        </w:rPr>
        <w:t xml:space="preserve">5G will </w:t>
      </w:r>
      <w:r w:rsidR="0067362F">
        <w:rPr>
          <w:rFonts w:eastAsia="標楷體"/>
          <w:sz w:val="24"/>
          <w:lang w:eastAsia="zh-TW"/>
        </w:rPr>
        <w:t xml:space="preserve">generate </w:t>
      </w:r>
      <w:r w:rsidRPr="00674223">
        <w:rPr>
          <w:rFonts w:eastAsia="標楷體"/>
          <w:sz w:val="24"/>
          <w:lang w:eastAsia="zh-TW"/>
        </w:rPr>
        <w:t xml:space="preserve">more than </w:t>
      </w:r>
      <w:r w:rsidR="00875218">
        <w:rPr>
          <w:rFonts w:eastAsia="標楷體"/>
          <w:sz w:val="24"/>
          <w:lang w:eastAsia="zh-TW"/>
        </w:rPr>
        <w:t>US$3</w:t>
      </w:r>
      <w:r w:rsidRPr="00674223">
        <w:rPr>
          <w:rFonts w:eastAsia="標楷體"/>
          <w:sz w:val="24"/>
          <w:lang w:eastAsia="zh-TW"/>
        </w:rPr>
        <w:t xml:space="preserve"> trillion </w:t>
      </w:r>
      <w:r w:rsidR="0067362F">
        <w:rPr>
          <w:rFonts w:eastAsia="標楷體"/>
          <w:sz w:val="24"/>
          <w:lang w:eastAsia="zh-TW"/>
        </w:rPr>
        <w:t>worldwide</w:t>
      </w:r>
      <w:r w:rsidR="001F1809">
        <w:rPr>
          <w:rFonts w:eastAsia="標楷體"/>
          <w:sz w:val="24"/>
          <w:lang w:eastAsia="zh-TW"/>
        </w:rPr>
        <w:t xml:space="preserve">, </w:t>
      </w:r>
      <w:r w:rsidRPr="00674223">
        <w:rPr>
          <w:rFonts w:eastAsia="標楷體"/>
          <w:sz w:val="24"/>
          <w:lang w:eastAsia="zh-TW"/>
        </w:rPr>
        <w:t xml:space="preserve">create more than 22 million </w:t>
      </w:r>
      <w:r w:rsidR="00DC725C">
        <w:rPr>
          <w:rFonts w:eastAsia="標楷體"/>
          <w:sz w:val="24"/>
          <w:lang w:eastAsia="zh-TW"/>
        </w:rPr>
        <w:t>employment</w:t>
      </w:r>
      <w:r w:rsidRPr="00674223">
        <w:rPr>
          <w:rFonts w:eastAsia="標楷體"/>
          <w:sz w:val="24"/>
          <w:lang w:eastAsia="zh-TW"/>
        </w:rPr>
        <w:t xml:space="preserve"> opportunities</w:t>
      </w:r>
      <w:r w:rsidR="0071429A">
        <w:rPr>
          <w:rFonts w:eastAsia="標楷體"/>
          <w:sz w:val="24"/>
          <w:lang w:eastAsia="zh-TW"/>
        </w:rPr>
        <w:t>,</w:t>
      </w:r>
      <w:r w:rsidR="001F1809">
        <w:rPr>
          <w:rFonts w:eastAsia="標楷體"/>
          <w:sz w:val="24"/>
          <w:lang w:eastAsia="zh-TW"/>
        </w:rPr>
        <w:t xml:space="preserve"> and </w:t>
      </w:r>
      <w:r w:rsidR="00875218">
        <w:rPr>
          <w:rFonts w:eastAsia="標楷體"/>
          <w:sz w:val="24"/>
          <w:lang w:eastAsia="zh-TW"/>
        </w:rPr>
        <w:t xml:space="preserve">continue to </w:t>
      </w:r>
      <w:r w:rsidR="001F1809">
        <w:rPr>
          <w:rFonts w:eastAsia="標楷體"/>
          <w:sz w:val="24"/>
          <w:lang w:eastAsia="zh-TW"/>
        </w:rPr>
        <w:t xml:space="preserve">be </w:t>
      </w:r>
      <w:r w:rsidRPr="00674223">
        <w:rPr>
          <w:rFonts w:eastAsia="標楷體"/>
          <w:sz w:val="24"/>
          <w:lang w:eastAsia="zh-TW"/>
        </w:rPr>
        <w:t>used in AR/VR (Augmented Reality and Virtual Reality), industrial automation and other related applications. Th</w:t>
      </w:r>
      <w:r w:rsidR="0071429A">
        <w:rPr>
          <w:rFonts w:eastAsia="標楷體"/>
          <w:sz w:val="24"/>
          <w:lang w:eastAsia="zh-TW"/>
        </w:rPr>
        <w:t xml:space="preserve">e </w:t>
      </w:r>
      <w:r w:rsidRPr="00674223">
        <w:rPr>
          <w:rFonts w:eastAsia="標楷體"/>
          <w:sz w:val="24"/>
          <w:lang w:eastAsia="zh-TW"/>
        </w:rPr>
        <w:t xml:space="preserve">vigorous development of </w:t>
      </w:r>
      <w:r w:rsidR="00131375">
        <w:rPr>
          <w:rFonts w:eastAsia="標楷體"/>
          <w:sz w:val="24"/>
          <w:lang w:eastAsia="zh-TW"/>
        </w:rPr>
        <w:t xml:space="preserve">5G-related </w:t>
      </w:r>
      <w:r w:rsidRPr="00674223">
        <w:rPr>
          <w:rFonts w:eastAsia="標楷體"/>
          <w:sz w:val="24"/>
          <w:lang w:eastAsia="zh-TW"/>
        </w:rPr>
        <w:t xml:space="preserve">services </w:t>
      </w:r>
      <w:r w:rsidR="00131375">
        <w:rPr>
          <w:rFonts w:eastAsia="標楷體"/>
          <w:sz w:val="24"/>
          <w:lang w:eastAsia="zh-TW"/>
        </w:rPr>
        <w:t>is estimated to</w:t>
      </w:r>
      <w:r w:rsidRPr="00674223">
        <w:rPr>
          <w:rFonts w:eastAsia="標楷體"/>
          <w:sz w:val="24"/>
          <w:lang w:eastAsia="zh-TW"/>
        </w:rPr>
        <w:t xml:space="preserve"> drive global economic activity to a</w:t>
      </w:r>
      <w:r w:rsidR="00131375">
        <w:rPr>
          <w:rFonts w:eastAsia="標楷體"/>
          <w:sz w:val="24"/>
          <w:lang w:eastAsia="zh-TW"/>
        </w:rPr>
        <w:t xml:space="preserve">n </w:t>
      </w:r>
      <w:r w:rsidRPr="00674223">
        <w:rPr>
          <w:rFonts w:eastAsia="標楷體"/>
          <w:sz w:val="24"/>
          <w:lang w:eastAsia="zh-TW"/>
        </w:rPr>
        <w:t>output value of</w:t>
      </w:r>
      <w:r w:rsidR="00131375">
        <w:rPr>
          <w:rFonts w:eastAsia="標楷體"/>
          <w:sz w:val="24"/>
          <w:lang w:eastAsia="zh-TW"/>
        </w:rPr>
        <w:t xml:space="preserve"> more than </w:t>
      </w:r>
      <w:r w:rsidR="00875218">
        <w:rPr>
          <w:rFonts w:eastAsia="標楷體"/>
          <w:sz w:val="24"/>
          <w:lang w:eastAsia="zh-TW"/>
        </w:rPr>
        <w:t>US$</w:t>
      </w:r>
      <w:r w:rsidRPr="00674223">
        <w:rPr>
          <w:rFonts w:eastAsia="標楷體"/>
          <w:sz w:val="24"/>
          <w:lang w:eastAsia="zh-TW"/>
        </w:rPr>
        <w:t xml:space="preserve">12.3 trillion </w:t>
      </w:r>
      <w:r w:rsidR="0067362F">
        <w:rPr>
          <w:rFonts w:eastAsia="標楷體"/>
          <w:sz w:val="24"/>
          <w:lang w:eastAsia="zh-TW"/>
        </w:rPr>
        <w:t>in the years to come</w:t>
      </w:r>
      <w:r w:rsidRPr="00674223">
        <w:rPr>
          <w:rFonts w:eastAsia="標楷體"/>
          <w:sz w:val="24"/>
          <w:lang w:eastAsia="zh-TW"/>
        </w:rPr>
        <w:t>.</w:t>
      </w:r>
    </w:p>
    <w:p w:rsidR="0067362F" w:rsidRDefault="00674223" w:rsidP="00526252">
      <w:pPr>
        <w:adjustRightInd w:val="0"/>
        <w:snapToGrid w:val="0"/>
        <w:spacing w:before="100" w:beforeAutospacing="1" w:line="480" w:lineRule="auto"/>
        <w:ind w:firstLineChars="200" w:firstLine="480"/>
        <w:rPr>
          <w:rFonts w:eastAsia="標楷體"/>
          <w:sz w:val="24"/>
          <w:lang w:eastAsia="zh-TW"/>
        </w:rPr>
      </w:pPr>
      <w:r w:rsidRPr="00674223">
        <w:rPr>
          <w:rFonts w:eastAsia="標楷體"/>
          <w:sz w:val="24"/>
          <w:lang w:eastAsia="zh-TW"/>
        </w:rPr>
        <w:t xml:space="preserve">As 5G applications become </w:t>
      </w:r>
      <w:r w:rsidR="00131375">
        <w:rPr>
          <w:rFonts w:eastAsia="標楷體"/>
          <w:sz w:val="24"/>
          <w:lang w:eastAsia="zh-TW"/>
        </w:rPr>
        <w:t>increasingly</w:t>
      </w:r>
      <w:r w:rsidRPr="00674223">
        <w:rPr>
          <w:rFonts w:eastAsia="標楷體"/>
          <w:sz w:val="24"/>
          <w:lang w:eastAsia="zh-TW"/>
        </w:rPr>
        <w:t xml:space="preserve"> common</w:t>
      </w:r>
      <w:r w:rsidR="00131375">
        <w:rPr>
          <w:rFonts w:eastAsia="標楷體"/>
          <w:sz w:val="24"/>
          <w:lang w:eastAsia="zh-TW"/>
        </w:rPr>
        <w:t xml:space="preserve"> and </w:t>
      </w:r>
      <w:r w:rsidR="0067362F">
        <w:rPr>
          <w:rFonts w:eastAsia="標楷體"/>
          <w:sz w:val="24"/>
          <w:lang w:eastAsia="zh-TW"/>
        </w:rPr>
        <w:t>influential,</w:t>
      </w:r>
      <w:r w:rsidR="00131375">
        <w:rPr>
          <w:rFonts w:eastAsia="標楷體"/>
          <w:sz w:val="24"/>
          <w:lang w:eastAsia="zh-TW"/>
        </w:rPr>
        <w:t xml:space="preserve"> </w:t>
      </w:r>
      <w:r w:rsidRPr="00674223">
        <w:rPr>
          <w:rFonts w:eastAsia="標楷體"/>
          <w:sz w:val="24"/>
          <w:lang w:eastAsia="zh-TW"/>
        </w:rPr>
        <w:t>5G will also be introduced in</w:t>
      </w:r>
      <w:r w:rsidR="00131375">
        <w:rPr>
          <w:rFonts w:eastAsia="標楷體"/>
          <w:sz w:val="24"/>
          <w:lang w:eastAsia="zh-TW"/>
        </w:rPr>
        <w:t>to</w:t>
      </w:r>
      <w:r w:rsidRPr="00674223">
        <w:rPr>
          <w:rFonts w:eastAsia="標楷體"/>
          <w:sz w:val="24"/>
          <w:lang w:eastAsia="zh-TW"/>
        </w:rPr>
        <w:t xml:space="preserve"> many </w:t>
      </w:r>
      <w:r w:rsidR="0067362F">
        <w:rPr>
          <w:rFonts w:eastAsia="標楷體"/>
          <w:sz w:val="24"/>
          <w:lang w:eastAsia="zh-TW"/>
        </w:rPr>
        <w:t xml:space="preserve">so-called </w:t>
      </w:r>
      <w:r w:rsidRPr="00674223">
        <w:rPr>
          <w:rFonts w:eastAsia="標楷體"/>
          <w:sz w:val="24"/>
          <w:lang w:eastAsia="zh-TW"/>
        </w:rPr>
        <w:t xml:space="preserve">vertical fields. According to statistics from </w:t>
      </w:r>
      <w:r w:rsidR="00131375" w:rsidRPr="00674223">
        <w:rPr>
          <w:rFonts w:eastAsia="標楷體"/>
          <w:sz w:val="24"/>
          <w:lang w:eastAsia="zh-TW"/>
        </w:rPr>
        <w:t>Ericsson</w:t>
      </w:r>
      <w:r w:rsidR="00131375">
        <w:rPr>
          <w:rFonts w:eastAsia="標楷體"/>
          <w:sz w:val="24"/>
          <w:lang w:eastAsia="zh-TW"/>
        </w:rPr>
        <w:t>,</w:t>
      </w:r>
      <w:r w:rsidR="00131375" w:rsidRPr="00674223">
        <w:rPr>
          <w:rFonts w:eastAsia="標楷體"/>
          <w:sz w:val="24"/>
          <w:lang w:eastAsia="zh-TW"/>
        </w:rPr>
        <w:t xml:space="preserve"> </w:t>
      </w:r>
      <w:r w:rsidR="001F1809">
        <w:rPr>
          <w:rFonts w:eastAsia="標楷體"/>
          <w:sz w:val="24"/>
          <w:lang w:eastAsia="zh-TW"/>
        </w:rPr>
        <w:t xml:space="preserve">the </w:t>
      </w:r>
      <w:r w:rsidR="0067362F">
        <w:rPr>
          <w:rFonts w:eastAsia="標楷體"/>
          <w:sz w:val="24"/>
          <w:lang w:eastAsia="zh-TW"/>
        </w:rPr>
        <w:t xml:space="preserve">Swedish </w:t>
      </w:r>
      <w:r w:rsidRPr="00674223">
        <w:rPr>
          <w:rFonts w:eastAsia="標楷體"/>
          <w:sz w:val="24"/>
          <w:lang w:eastAsia="zh-TW"/>
        </w:rPr>
        <w:t xml:space="preserve">telecommunications equipment manufacturer, </w:t>
      </w:r>
      <w:r w:rsidR="0071429A">
        <w:rPr>
          <w:rFonts w:eastAsia="標楷體"/>
          <w:sz w:val="24"/>
          <w:lang w:eastAsia="zh-TW"/>
        </w:rPr>
        <w:t>the top-</w:t>
      </w:r>
      <w:r w:rsidR="00F64A2A">
        <w:rPr>
          <w:rFonts w:eastAsia="標楷體"/>
          <w:sz w:val="24"/>
          <w:lang w:eastAsia="zh-TW"/>
        </w:rPr>
        <w:t xml:space="preserve">ten </w:t>
      </w:r>
      <w:r w:rsidR="0067362F">
        <w:rPr>
          <w:rFonts w:eastAsia="標楷體"/>
          <w:sz w:val="24"/>
          <w:lang w:eastAsia="zh-TW"/>
        </w:rPr>
        <w:t xml:space="preserve">most important </w:t>
      </w:r>
      <w:r w:rsidRPr="00674223">
        <w:rPr>
          <w:rFonts w:eastAsia="標楷體"/>
          <w:sz w:val="24"/>
          <w:lang w:eastAsia="zh-TW"/>
        </w:rPr>
        <w:t xml:space="preserve">professional vertical fields </w:t>
      </w:r>
      <w:r w:rsidR="00F64A2A">
        <w:rPr>
          <w:rFonts w:eastAsia="標楷體"/>
          <w:sz w:val="24"/>
          <w:lang w:eastAsia="zh-TW"/>
        </w:rPr>
        <w:t xml:space="preserve">have </w:t>
      </w:r>
      <w:r w:rsidR="0067362F" w:rsidRPr="00674223">
        <w:rPr>
          <w:rFonts w:eastAsia="標楷體"/>
          <w:sz w:val="24"/>
          <w:lang w:eastAsia="zh-TW"/>
        </w:rPr>
        <w:t>gradually</w:t>
      </w:r>
      <w:r w:rsidR="0067362F">
        <w:rPr>
          <w:rFonts w:eastAsia="標楷體"/>
          <w:sz w:val="24"/>
          <w:lang w:eastAsia="zh-TW"/>
        </w:rPr>
        <w:t xml:space="preserve"> begun to </w:t>
      </w:r>
      <w:r w:rsidRPr="00674223">
        <w:rPr>
          <w:rFonts w:eastAsia="標楷體"/>
          <w:sz w:val="24"/>
          <w:lang w:eastAsia="zh-TW"/>
        </w:rPr>
        <w:t>int</w:t>
      </w:r>
      <w:r w:rsidR="00F64A2A">
        <w:rPr>
          <w:rFonts w:eastAsia="標楷體"/>
          <w:sz w:val="24"/>
          <w:lang w:eastAsia="zh-TW"/>
        </w:rPr>
        <w:t xml:space="preserve">egrate </w:t>
      </w:r>
      <w:r w:rsidRPr="00674223">
        <w:rPr>
          <w:rFonts w:eastAsia="標楷體"/>
          <w:sz w:val="24"/>
          <w:lang w:eastAsia="zh-TW"/>
        </w:rPr>
        <w:t xml:space="preserve">applications from 2019 to 2026. </w:t>
      </w:r>
      <w:r w:rsidR="00F64A2A">
        <w:rPr>
          <w:rFonts w:eastAsia="標楷體"/>
          <w:sz w:val="24"/>
          <w:lang w:eastAsia="zh-TW"/>
        </w:rPr>
        <w:t>It is expected that</w:t>
      </w:r>
      <w:r w:rsidRPr="00674223">
        <w:rPr>
          <w:rFonts w:eastAsia="標楷體"/>
          <w:sz w:val="24"/>
          <w:lang w:eastAsia="zh-TW"/>
        </w:rPr>
        <w:t xml:space="preserve"> </w:t>
      </w:r>
      <w:r w:rsidR="001F1809">
        <w:rPr>
          <w:rFonts w:eastAsia="標楷體"/>
          <w:sz w:val="24"/>
          <w:lang w:eastAsia="zh-TW"/>
        </w:rPr>
        <w:t xml:space="preserve">5G </w:t>
      </w:r>
      <w:r w:rsidRPr="00674223">
        <w:rPr>
          <w:rFonts w:eastAsia="標楷體"/>
          <w:sz w:val="24"/>
          <w:lang w:eastAsia="zh-TW"/>
        </w:rPr>
        <w:t xml:space="preserve">digitization this year will </w:t>
      </w:r>
      <w:r w:rsidR="0067362F">
        <w:rPr>
          <w:rFonts w:eastAsia="標楷體"/>
          <w:sz w:val="24"/>
          <w:lang w:eastAsia="zh-TW"/>
        </w:rPr>
        <w:t>yield</w:t>
      </w:r>
      <w:r w:rsidR="001F1809">
        <w:rPr>
          <w:rFonts w:eastAsia="標楷體"/>
          <w:sz w:val="24"/>
          <w:lang w:eastAsia="zh-TW"/>
        </w:rPr>
        <w:t xml:space="preserve"> </w:t>
      </w:r>
      <w:r w:rsidRPr="00674223">
        <w:rPr>
          <w:rFonts w:eastAsia="標楷體"/>
          <w:sz w:val="24"/>
          <w:lang w:eastAsia="zh-TW"/>
        </w:rPr>
        <w:t xml:space="preserve">an output value of US$1.32 trillion to the telecommunications industry. </w:t>
      </w:r>
    </w:p>
    <w:p w:rsidR="000B47D2" w:rsidRDefault="00F64A2A" w:rsidP="00526252">
      <w:pPr>
        <w:adjustRightInd w:val="0"/>
        <w:snapToGrid w:val="0"/>
        <w:spacing w:before="100" w:beforeAutospacing="1" w:line="480" w:lineRule="auto"/>
        <w:ind w:firstLineChars="200" w:firstLine="480"/>
        <w:rPr>
          <w:rFonts w:eastAsia="標楷體"/>
          <w:sz w:val="24"/>
          <w:lang w:eastAsia="zh-TW"/>
        </w:rPr>
      </w:pPr>
      <w:r>
        <w:rPr>
          <w:rFonts w:eastAsia="標楷體"/>
          <w:sz w:val="24"/>
          <w:lang w:eastAsia="zh-TW"/>
        </w:rPr>
        <w:t xml:space="preserve">To put this into perspective, in </w:t>
      </w:r>
      <w:r w:rsidR="00674223" w:rsidRPr="00674223">
        <w:rPr>
          <w:rFonts w:eastAsia="標楷體"/>
          <w:sz w:val="24"/>
          <w:lang w:eastAsia="zh-TW"/>
        </w:rPr>
        <w:t xml:space="preserve">2019, the output value of the telecommunications industry </w:t>
      </w:r>
      <w:r w:rsidR="000311A4">
        <w:rPr>
          <w:rFonts w:eastAsia="標楷體"/>
          <w:sz w:val="24"/>
          <w:lang w:eastAsia="zh-TW"/>
        </w:rPr>
        <w:t xml:space="preserve">fostered </w:t>
      </w:r>
      <w:r w:rsidR="00674223" w:rsidRPr="00674223">
        <w:rPr>
          <w:rFonts w:eastAsia="標楷體"/>
          <w:sz w:val="24"/>
          <w:lang w:eastAsia="zh-TW"/>
        </w:rPr>
        <w:t>by the introduction of 5G in the 10 major vertical</w:t>
      </w:r>
      <w:r w:rsidR="000B47D2">
        <w:rPr>
          <w:rFonts w:eastAsia="標楷體"/>
          <w:sz w:val="24"/>
          <w:lang w:eastAsia="zh-TW"/>
        </w:rPr>
        <w:t xml:space="preserve"> industries</w:t>
      </w:r>
      <w:r w:rsidR="00674223" w:rsidRPr="00674223">
        <w:rPr>
          <w:rFonts w:eastAsia="標楷體"/>
          <w:sz w:val="24"/>
          <w:lang w:eastAsia="zh-TW"/>
        </w:rPr>
        <w:t xml:space="preserve"> was only US$5 billio</w:t>
      </w:r>
      <w:r w:rsidR="0067362F">
        <w:rPr>
          <w:rFonts w:eastAsia="標楷體"/>
          <w:sz w:val="24"/>
          <w:lang w:eastAsia="zh-TW"/>
        </w:rPr>
        <w:t>n</w:t>
      </w:r>
      <w:r w:rsidR="00875218">
        <w:rPr>
          <w:rFonts w:eastAsia="標楷體"/>
          <w:sz w:val="24"/>
          <w:lang w:eastAsia="zh-TW"/>
        </w:rPr>
        <w:t>, but</w:t>
      </w:r>
      <w:r w:rsidR="0067362F">
        <w:rPr>
          <w:rFonts w:eastAsia="標楷體"/>
          <w:sz w:val="24"/>
          <w:lang w:eastAsia="zh-TW"/>
        </w:rPr>
        <w:t xml:space="preserve"> is predicted</w:t>
      </w:r>
      <w:r w:rsidR="00674223" w:rsidRPr="00674223">
        <w:rPr>
          <w:rFonts w:eastAsia="標楷體"/>
          <w:sz w:val="24"/>
          <w:lang w:eastAsia="zh-TW"/>
        </w:rPr>
        <w:t xml:space="preserve"> to grow to US$879 billion </w:t>
      </w:r>
      <w:r w:rsidR="00875218">
        <w:rPr>
          <w:rFonts w:eastAsia="標楷體"/>
          <w:sz w:val="24"/>
          <w:lang w:eastAsia="zh-TW"/>
        </w:rPr>
        <w:t>by</w:t>
      </w:r>
      <w:r w:rsidR="00674223" w:rsidRPr="00674223">
        <w:rPr>
          <w:rFonts w:eastAsia="標楷體"/>
          <w:sz w:val="24"/>
          <w:lang w:eastAsia="zh-TW"/>
        </w:rPr>
        <w:t xml:space="preserve"> 2024. The compound annual growth rate (CAGR) from 2019 to 2024 is </w:t>
      </w:r>
      <w:r w:rsidR="0067362F">
        <w:rPr>
          <w:rFonts w:eastAsia="標楷體"/>
          <w:sz w:val="24"/>
          <w:lang w:eastAsia="zh-TW"/>
        </w:rPr>
        <w:t>estimated</w:t>
      </w:r>
      <w:r>
        <w:rPr>
          <w:rFonts w:eastAsia="標楷體"/>
          <w:sz w:val="24"/>
          <w:lang w:eastAsia="zh-TW"/>
        </w:rPr>
        <w:t xml:space="preserve"> to rise as</w:t>
      </w:r>
      <w:r w:rsidR="00674223" w:rsidRPr="00674223">
        <w:rPr>
          <w:rFonts w:eastAsia="標楷體"/>
          <w:sz w:val="24"/>
          <w:lang w:eastAsia="zh-TW"/>
        </w:rPr>
        <w:t xml:space="preserve"> high as 181%</w:t>
      </w:r>
      <w:r w:rsidR="0071429A">
        <w:rPr>
          <w:rFonts w:eastAsia="標楷體"/>
          <w:sz w:val="24"/>
          <w:lang w:eastAsia="zh-TW"/>
        </w:rPr>
        <w:t xml:space="preserve"> </w:t>
      </w:r>
      <w:r w:rsidR="006B0B77">
        <w:rPr>
          <w:rFonts w:eastAsia="標楷體"/>
          <w:sz w:val="24"/>
          <w:lang w:eastAsia="zh-TW"/>
        </w:rPr>
        <w:t>and from</w:t>
      </w:r>
      <w:r w:rsidR="00674223" w:rsidRPr="00674223">
        <w:rPr>
          <w:rFonts w:eastAsia="標楷體"/>
          <w:sz w:val="24"/>
          <w:lang w:eastAsia="zh-TW"/>
        </w:rPr>
        <w:t xml:space="preserve"> 2024 to 2026</w:t>
      </w:r>
      <w:r w:rsidR="0071429A">
        <w:rPr>
          <w:rFonts w:eastAsia="標楷體"/>
          <w:sz w:val="24"/>
          <w:lang w:eastAsia="zh-TW"/>
        </w:rPr>
        <w:t xml:space="preserve"> </w:t>
      </w:r>
      <w:r w:rsidR="006B0B77">
        <w:rPr>
          <w:rFonts w:eastAsia="標楷體"/>
          <w:sz w:val="24"/>
          <w:lang w:eastAsia="zh-TW"/>
        </w:rPr>
        <w:t xml:space="preserve">might </w:t>
      </w:r>
      <w:r w:rsidR="0071429A">
        <w:rPr>
          <w:rFonts w:eastAsia="標楷體"/>
          <w:sz w:val="24"/>
          <w:lang w:eastAsia="zh-TW"/>
        </w:rPr>
        <w:t xml:space="preserve">even </w:t>
      </w:r>
      <w:r w:rsidR="006B0B77">
        <w:rPr>
          <w:rFonts w:eastAsia="標楷體"/>
          <w:sz w:val="24"/>
          <w:lang w:eastAsia="zh-TW"/>
        </w:rPr>
        <w:t>soar to over</w:t>
      </w:r>
      <w:r w:rsidR="00674223" w:rsidRPr="00674223">
        <w:rPr>
          <w:rFonts w:eastAsia="標楷體"/>
          <w:sz w:val="24"/>
          <w:lang w:eastAsia="zh-TW"/>
        </w:rPr>
        <w:t xml:space="preserve"> 23%. </w:t>
      </w:r>
      <w:r w:rsidR="004D314B" w:rsidRPr="004D314B">
        <w:rPr>
          <w:rFonts w:eastAsia="標楷體"/>
          <w:sz w:val="24"/>
          <w:lang w:eastAsia="zh-TW"/>
        </w:rPr>
        <w:t xml:space="preserve">The MIC </w:t>
      </w:r>
      <w:r w:rsidR="004D314B">
        <w:rPr>
          <w:rFonts w:eastAsia="標楷體"/>
          <w:sz w:val="24"/>
          <w:lang w:eastAsia="zh-TW"/>
        </w:rPr>
        <w:t>estimates</w:t>
      </w:r>
      <w:r w:rsidR="004D314B" w:rsidRPr="004D314B">
        <w:rPr>
          <w:rFonts w:eastAsia="標楷體"/>
          <w:sz w:val="24"/>
          <w:lang w:eastAsia="zh-TW"/>
        </w:rPr>
        <w:t xml:space="preserve"> 5G will drive the output value of the information and communications industries up to US$1.32 trillion and, among these, the energy sector is expected to yield the highest output value of US$248 billion - accounting for 19% of said growth - due to the fact that it has already increased by 14% since the introduction of 5G technology.</w:t>
      </w:r>
      <w:r w:rsidR="00263A65">
        <w:rPr>
          <w:rFonts w:eastAsia="標楷體"/>
          <w:sz w:val="24"/>
          <w:lang w:eastAsia="zh-TW"/>
        </w:rPr>
        <w:t xml:space="preserve"> </w:t>
      </w:r>
      <w:r w:rsidR="000B47D2">
        <w:rPr>
          <w:rFonts w:eastAsia="標楷體"/>
          <w:sz w:val="24"/>
          <w:lang w:eastAsia="zh-TW"/>
        </w:rPr>
        <w:t xml:space="preserve">Regarding </w:t>
      </w:r>
      <w:r w:rsidR="00674223" w:rsidRPr="00674223">
        <w:rPr>
          <w:rFonts w:eastAsia="標楷體"/>
          <w:sz w:val="24"/>
          <w:lang w:eastAsia="zh-TW"/>
        </w:rPr>
        <w:t xml:space="preserve">the output value of </w:t>
      </w:r>
      <w:r w:rsidR="000B47D2">
        <w:rPr>
          <w:rFonts w:eastAsia="標楷體"/>
          <w:sz w:val="24"/>
          <w:lang w:eastAsia="zh-TW"/>
        </w:rPr>
        <w:t xml:space="preserve">other key fields, the output value </w:t>
      </w:r>
      <w:r w:rsidR="004D314B">
        <w:rPr>
          <w:rFonts w:eastAsia="標楷體"/>
          <w:sz w:val="24"/>
          <w:lang w:eastAsia="zh-TW"/>
        </w:rPr>
        <w:t xml:space="preserve">of the </w:t>
      </w:r>
      <w:r w:rsidR="004D314B" w:rsidRPr="00674223">
        <w:rPr>
          <w:rFonts w:eastAsia="標楷體"/>
          <w:sz w:val="24"/>
          <w:lang w:eastAsia="zh-TW"/>
        </w:rPr>
        <w:t xml:space="preserve">manufacturing industry </w:t>
      </w:r>
      <w:r w:rsidR="00674223" w:rsidRPr="00674223">
        <w:rPr>
          <w:rFonts w:eastAsia="標楷體"/>
          <w:sz w:val="24"/>
          <w:lang w:eastAsia="zh-TW"/>
        </w:rPr>
        <w:t>increased by US$238 billion</w:t>
      </w:r>
      <w:r w:rsidR="000B47D2">
        <w:rPr>
          <w:rFonts w:eastAsia="標楷體"/>
          <w:sz w:val="24"/>
          <w:lang w:eastAsia="zh-TW"/>
        </w:rPr>
        <w:t xml:space="preserve"> and accounted </w:t>
      </w:r>
      <w:r w:rsidR="00674223" w:rsidRPr="00674223">
        <w:rPr>
          <w:rFonts w:eastAsia="標楷體"/>
          <w:sz w:val="24"/>
          <w:lang w:eastAsia="zh-TW"/>
        </w:rPr>
        <w:t xml:space="preserve">for 18%, </w:t>
      </w:r>
      <w:r w:rsidR="000B47D2">
        <w:rPr>
          <w:rFonts w:eastAsia="標楷體"/>
          <w:sz w:val="24"/>
          <w:lang w:eastAsia="zh-TW"/>
        </w:rPr>
        <w:t xml:space="preserve">with </w:t>
      </w:r>
      <w:r w:rsidR="00674223" w:rsidRPr="00674223">
        <w:rPr>
          <w:rFonts w:eastAsia="標楷體"/>
          <w:sz w:val="24"/>
          <w:lang w:eastAsia="zh-TW"/>
        </w:rPr>
        <w:t xml:space="preserve">the overall revenue growth rate </w:t>
      </w:r>
      <w:r w:rsidR="000B47D2">
        <w:rPr>
          <w:rFonts w:eastAsia="標楷體"/>
          <w:sz w:val="24"/>
          <w:lang w:eastAsia="zh-TW"/>
        </w:rPr>
        <w:t>of</w:t>
      </w:r>
      <w:r w:rsidR="00674223" w:rsidRPr="00674223">
        <w:rPr>
          <w:rFonts w:eastAsia="標楷體"/>
          <w:sz w:val="24"/>
          <w:lang w:eastAsia="zh-TW"/>
        </w:rPr>
        <w:t xml:space="preserve"> about 11%</w:t>
      </w:r>
      <w:r w:rsidR="000B47D2">
        <w:rPr>
          <w:rFonts w:eastAsia="標楷體"/>
          <w:sz w:val="24"/>
          <w:lang w:eastAsia="zh-TW"/>
        </w:rPr>
        <w:t>. In</w:t>
      </w:r>
      <w:r w:rsidR="00674223" w:rsidRPr="00674223">
        <w:rPr>
          <w:rFonts w:eastAsia="標楷體"/>
          <w:sz w:val="24"/>
          <w:lang w:eastAsia="zh-TW"/>
        </w:rPr>
        <w:t xml:space="preserve"> the public security business</w:t>
      </w:r>
      <w:r w:rsidR="0071429A">
        <w:rPr>
          <w:rFonts w:eastAsia="標楷體"/>
          <w:sz w:val="24"/>
          <w:lang w:eastAsia="zh-TW"/>
        </w:rPr>
        <w:t>,</w:t>
      </w:r>
      <w:r w:rsidR="00674223" w:rsidRPr="00674223">
        <w:rPr>
          <w:rFonts w:eastAsia="標楷體"/>
          <w:sz w:val="24"/>
          <w:lang w:eastAsia="zh-TW"/>
        </w:rPr>
        <w:t xml:space="preserve"> </w:t>
      </w:r>
      <w:r w:rsidR="000B47D2">
        <w:rPr>
          <w:rFonts w:eastAsia="標楷體"/>
          <w:sz w:val="24"/>
          <w:lang w:eastAsia="zh-TW"/>
        </w:rPr>
        <w:t>this was</w:t>
      </w:r>
      <w:r w:rsidR="00674223" w:rsidRPr="00674223">
        <w:rPr>
          <w:rFonts w:eastAsia="標楷體"/>
          <w:sz w:val="24"/>
          <w:lang w:eastAsia="zh-TW"/>
        </w:rPr>
        <w:t xml:space="preserve"> US$172 billion, accounting for 13%, </w:t>
      </w:r>
      <w:r w:rsidR="000B47D2">
        <w:rPr>
          <w:rFonts w:eastAsia="標楷體"/>
          <w:sz w:val="24"/>
          <w:lang w:eastAsia="zh-TW"/>
        </w:rPr>
        <w:t>with an</w:t>
      </w:r>
      <w:r w:rsidR="00674223" w:rsidRPr="00674223">
        <w:rPr>
          <w:rFonts w:eastAsia="標楷體"/>
          <w:sz w:val="24"/>
          <w:lang w:eastAsia="zh-TW"/>
        </w:rPr>
        <w:t xml:space="preserve"> overall growth rate reach</w:t>
      </w:r>
      <w:r w:rsidR="0071429A">
        <w:rPr>
          <w:rFonts w:eastAsia="標楷體"/>
          <w:sz w:val="24"/>
          <w:lang w:eastAsia="zh-TW"/>
        </w:rPr>
        <w:t xml:space="preserve">ing </w:t>
      </w:r>
      <w:r w:rsidR="00674223" w:rsidRPr="00674223">
        <w:rPr>
          <w:rFonts w:eastAsia="標楷體"/>
          <w:sz w:val="24"/>
          <w:lang w:eastAsia="zh-TW"/>
        </w:rPr>
        <w:t xml:space="preserve">16%; </w:t>
      </w:r>
      <w:r w:rsidR="004D314B">
        <w:rPr>
          <w:rFonts w:eastAsia="標楷體"/>
          <w:sz w:val="24"/>
          <w:lang w:eastAsia="zh-TW"/>
        </w:rPr>
        <w:t xml:space="preserve">that of </w:t>
      </w:r>
      <w:r w:rsidR="00674223" w:rsidRPr="00674223">
        <w:rPr>
          <w:rFonts w:eastAsia="標楷體"/>
          <w:sz w:val="24"/>
          <w:lang w:eastAsia="zh-TW"/>
        </w:rPr>
        <w:t xml:space="preserve">the medical care industry was </w:t>
      </w:r>
      <w:r w:rsidR="0071429A">
        <w:rPr>
          <w:rFonts w:eastAsia="標楷體"/>
          <w:sz w:val="24"/>
          <w:lang w:eastAsia="zh-TW"/>
        </w:rPr>
        <w:t>US</w:t>
      </w:r>
      <w:r w:rsidR="00F0543A">
        <w:rPr>
          <w:rFonts w:eastAsia="標楷體"/>
          <w:sz w:val="24"/>
          <w:lang w:eastAsia="zh-TW"/>
        </w:rPr>
        <w:t>$</w:t>
      </w:r>
      <w:r w:rsidR="00674223" w:rsidRPr="00674223">
        <w:rPr>
          <w:rFonts w:eastAsia="標楷體"/>
          <w:sz w:val="24"/>
          <w:lang w:eastAsia="zh-TW"/>
        </w:rPr>
        <w:t xml:space="preserve">1,580 </w:t>
      </w:r>
      <w:r w:rsidR="000B47D2">
        <w:rPr>
          <w:rFonts w:eastAsia="標楷體"/>
          <w:sz w:val="24"/>
          <w:lang w:eastAsia="zh-TW"/>
        </w:rPr>
        <w:t>b</w:t>
      </w:r>
      <w:r w:rsidR="00674223" w:rsidRPr="00674223">
        <w:rPr>
          <w:rFonts w:eastAsia="標楷體"/>
          <w:sz w:val="24"/>
          <w:lang w:eastAsia="zh-TW"/>
        </w:rPr>
        <w:t>illion, accounting for 12%</w:t>
      </w:r>
      <w:r w:rsidR="004D314B">
        <w:rPr>
          <w:rFonts w:eastAsia="標楷體"/>
          <w:sz w:val="24"/>
          <w:lang w:eastAsia="zh-TW"/>
        </w:rPr>
        <w:t>,</w:t>
      </w:r>
      <w:r w:rsidR="0071429A">
        <w:rPr>
          <w:rFonts w:eastAsia="標楷體"/>
          <w:sz w:val="24"/>
          <w:lang w:eastAsia="zh-TW"/>
        </w:rPr>
        <w:t xml:space="preserve"> with an </w:t>
      </w:r>
      <w:r w:rsidR="00674223" w:rsidRPr="00674223">
        <w:rPr>
          <w:rFonts w:eastAsia="標楷體"/>
          <w:sz w:val="24"/>
          <w:lang w:eastAsia="zh-TW"/>
        </w:rPr>
        <w:t xml:space="preserve">overall growth rate of about 11%, </w:t>
      </w:r>
      <w:r w:rsidR="00674223" w:rsidRPr="00263A65">
        <w:rPr>
          <w:rFonts w:eastAsia="標楷體"/>
          <w:sz w:val="24"/>
          <w:lang w:eastAsia="zh-TW"/>
        </w:rPr>
        <w:t>which together constitute the four major industries brought about by 5G R&amp;D investment.</w:t>
      </w:r>
      <w:r w:rsidR="00674223" w:rsidRPr="00674223">
        <w:rPr>
          <w:rFonts w:eastAsia="標楷體"/>
          <w:sz w:val="24"/>
          <w:lang w:eastAsia="zh-TW"/>
        </w:rPr>
        <w:t xml:space="preserve"> </w:t>
      </w:r>
    </w:p>
    <w:p w:rsidR="00674223" w:rsidRPr="007A1BA7" w:rsidRDefault="00674223" w:rsidP="00526252">
      <w:pPr>
        <w:adjustRightInd w:val="0"/>
        <w:snapToGrid w:val="0"/>
        <w:spacing w:before="100" w:beforeAutospacing="1" w:line="480" w:lineRule="auto"/>
        <w:ind w:firstLineChars="200" w:firstLine="480"/>
        <w:rPr>
          <w:rFonts w:eastAsia="標楷體"/>
          <w:sz w:val="24"/>
          <w:lang w:eastAsia="zh-TW"/>
        </w:rPr>
      </w:pPr>
      <w:r w:rsidRPr="00674223">
        <w:rPr>
          <w:rFonts w:eastAsia="標楷體"/>
          <w:sz w:val="24"/>
          <w:lang w:eastAsia="zh-TW"/>
        </w:rPr>
        <w:t>Moreover, the output value of other industries</w:t>
      </w:r>
      <w:r w:rsidR="00AE2C99">
        <w:rPr>
          <w:rFonts w:eastAsia="標楷體"/>
          <w:sz w:val="24"/>
          <w:lang w:eastAsia="zh-TW"/>
        </w:rPr>
        <w:t xml:space="preserve"> </w:t>
      </w:r>
      <w:r w:rsidR="000B47D2">
        <w:rPr>
          <w:rFonts w:eastAsia="標楷體"/>
          <w:sz w:val="24"/>
          <w:lang w:eastAsia="zh-TW"/>
        </w:rPr>
        <w:t xml:space="preserve">such as </w:t>
      </w:r>
      <w:r w:rsidRPr="00674223">
        <w:rPr>
          <w:rFonts w:eastAsia="標楷體"/>
          <w:sz w:val="24"/>
          <w:lang w:eastAsia="zh-TW"/>
        </w:rPr>
        <w:t xml:space="preserve">the mass transportation industry increased by US$132 billion, accounting for 10%, </w:t>
      </w:r>
      <w:r w:rsidR="004D314B">
        <w:rPr>
          <w:rFonts w:eastAsia="標楷體"/>
          <w:sz w:val="24"/>
          <w:lang w:eastAsia="zh-TW"/>
        </w:rPr>
        <w:t xml:space="preserve">with </w:t>
      </w:r>
      <w:r w:rsidRPr="00674223">
        <w:rPr>
          <w:rFonts w:eastAsia="標楷體"/>
          <w:sz w:val="24"/>
          <w:lang w:eastAsia="zh-TW"/>
        </w:rPr>
        <w:t>the overall growth rate reach</w:t>
      </w:r>
      <w:r w:rsidR="004D314B">
        <w:rPr>
          <w:rFonts w:eastAsia="標楷體"/>
          <w:sz w:val="24"/>
          <w:lang w:eastAsia="zh-TW"/>
        </w:rPr>
        <w:t>ing</w:t>
      </w:r>
      <w:r w:rsidRPr="00674223">
        <w:rPr>
          <w:rFonts w:eastAsia="標楷體"/>
          <w:sz w:val="24"/>
          <w:lang w:eastAsia="zh-TW"/>
        </w:rPr>
        <w:t xml:space="preserve"> 17%; the media and entertainment industry was US$119 billion, accounting for 9%, and the growth rate reached 15%; the automobile industry was</w:t>
      </w:r>
      <w:r w:rsidR="000B47D2">
        <w:rPr>
          <w:rFonts w:eastAsia="標楷體"/>
          <w:sz w:val="24"/>
          <w:lang w:eastAsia="zh-TW"/>
        </w:rPr>
        <w:t xml:space="preserve"> US</w:t>
      </w:r>
      <w:r w:rsidR="00F0543A">
        <w:rPr>
          <w:rFonts w:eastAsia="標楷體"/>
          <w:sz w:val="24"/>
          <w:lang w:eastAsia="zh-TW"/>
        </w:rPr>
        <w:t>$</w:t>
      </w:r>
      <w:r w:rsidRPr="00674223">
        <w:rPr>
          <w:rFonts w:eastAsia="標楷體"/>
          <w:sz w:val="24"/>
          <w:lang w:eastAsia="zh-TW"/>
        </w:rPr>
        <w:t>106 billion</w:t>
      </w:r>
      <w:r w:rsidR="000B47D2">
        <w:rPr>
          <w:rFonts w:eastAsia="標楷體"/>
          <w:sz w:val="24"/>
          <w:lang w:eastAsia="zh-TW"/>
        </w:rPr>
        <w:t>,</w:t>
      </w:r>
      <w:r w:rsidRPr="00674223">
        <w:rPr>
          <w:rFonts w:eastAsia="標楷體"/>
          <w:sz w:val="24"/>
          <w:lang w:eastAsia="zh-TW"/>
        </w:rPr>
        <w:t xml:space="preserve"> accounting for 8%, </w:t>
      </w:r>
      <w:r w:rsidR="004D314B">
        <w:rPr>
          <w:rFonts w:eastAsia="標楷體"/>
          <w:sz w:val="24"/>
          <w:lang w:eastAsia="zh-TW"/>
        </w:rPr>
        <w:t xml:space="preserve">and </w:t>
      </w:r>
      <w:r w:rsidRPr="00674223">
        <w:rPr>
          <w:rFonts w:eastAsia="標楷體"/>
          <w:sz w:val="24"/>
          <w:lang w:eastAsia="zh-TW"/>
        </w:rPr>
        <w:t xml:space="preserve">the growth rate </w:t>
      </w:r>
      <w:r w:rsidR="004D314B">
        <w:rPr>
          <w:rFonts w:eastAsia="標楷體"/>
          <w:sz w:val="24"/>
          <w:lang w:eastAsia="zh-TW"/>
        </w:rPr>
        <w:t>was</w:t>
      </w:r>
      <w:r w:rsidRPr="00674223">
        <w:rPr>
          <w:rFonts w:eastAsia="標楷體"/>
          <w:sz w:val="24"/>
          <w:lang w:eastAsia="zh-TW"/>
        </w:rPr>
        <w:t xml:space="preserve"> as high as 20%; the financial industry </w:t>
      </w:r>
      <w:r w:rsidR="004D314B">
        <w:rPr>
          <w:rFonts w:eastAsia="標楷體"/>
          <w:sz w:val="24"/>
          <w:lang w:eastAsia="zh-TW"/>
        </w:rPr>
        <w:t>was</w:t>
      </w:r>
      <w:r w:rsidRPr="00674223">
        <w:rPr>
          <w:rFonts w:eastAsia="標楷體"/>
          <w:sz w:val="24"/>
          <w:lang w:eastAsia="zh-TW"/>
        </w:rPr>
        <w:t xml:space="preserve"> </w:t>
      </w:r>
      <w:r w:rsidR="00F0543A">
        <w:rPr>
          <w:rFonts w:eastAsia="標楷體"/>
          <w:sz w:val="24"/>
          <w:lang w:eastAsia="zh-TW"/>
        </w:rPr>
        <w:t>US$</w:t>
      </w:r>
      <w:r w:rsidRPr="00674223">
        <w:rPr>
          <w:rFonts w:eastAsia="標楷體"/>
          <w:sz w:val="24"/>
          <w:lang w:eastAsia="zh-TW"/>
        </w:rPr>
        <w:t xml:space="preserve">79 billion, accounting for 6%, the growth rate </w:t>
      </w:r>
      <w:r w:rsidR="004D314B">
        <w:rPr>
          <w:rFonts w:eastAsia="標楷體"/>
          <w:sz w:val="24"/>
          <w:lang w:eastAsia="zh-TW"/>
        </w:rPr>
        <w:t>was</w:t>
      </w:r>
      <w:r w:rsidRPr="00674223">
        <w:rPr>
          <w:rFonts w:eastAsia="標楷體"/>
          <w:sz w:val="24"/>
          <w:lang w:eastAsia="zh-TW"/>
        </w:rPr>
        <w:t xml:space="preserve"> 10%; the retail industry </w:t>
      </w:r>
      <w:r w:rsidR="004D314B">
        <w:rPr>
          <w:rFonts w:eastAsia="標楷體"/>
          <w:sz w:val="24"/>
          <w:lang w:eastAsia="zh-TW"/>
        </w:rPr>
        <w:t>was</w:t>
      </w:r>
      <w:r w:rsidRPr="00674223">
        <w:rPr>
          <w:rFonts w:eastAsia="標楷體"/>
          <w:sz w:val="24"/>
          <w:lang w:eastAsia="zh-TW"/>
        </w:rPr>
        <w:t xml:space="preserve"> </w:t>
      </w:r>
      <w:r w:rsidR="00F0543A">
        <w:rPr>
          <w:rFonts w:eastAsia="標楷體"/>
          <w:sz w:val="24"/>
          <w:lang w:eastAsia="zh-TW"/>
        </w:rPr>
        <w:t>US$</w:t>
      </w:r>
      <w:r w:rsidRPr="00674223">
        <w:rPr>
          <w:rFonts w:eastAsia="標楷體"/>
          <w:sz w:val="24"/>
          <w:lang w:eastAsia="zh-TW"/>
        </w:rPr>
        <w:t xml:space="preserve">53 billion, accounting for 6%, </w:t>
      </w:r>
      <w:r w:rsidR="004D314B">
        <w:rPr>
          <w:rFonts w:eastAsia="標楷體"/>
          <w:sz w:val="24"/>
          <w:lang w:eastAsia="zh-TW"/>
        </w:rPr>
        <w:t>with a</w:t>
      </w:r>
      <w:r w:rsidRPr="00674223">
        <w:rPr>
          <w:rFonts w:eastAsia="標楷體"/>
          <w:sz w:val="24"/>
          <w:lang w:eastAsia="zh-TW"/>
        </w:rPr>
        <w:t xml:space="preserve"> growth rate as high as 21%; </w:t>
      </w:r>
      <w:r w:rsidR="004D314B">
        <w:rPr>
          <w:rFonts w:eastAsia="標楷體"/>
          <w:sz w:val="24"/>
          <w:lang w:eastAsia="zh-TW"/>
        </w:rPr>
        <w:t xml:space="preserve">indeed, </w:t>
      </w:r>
      <w:r w:rsidR="00420940">
        <w:rPr>
          <w:rFonts w:eastAsia="標楷體"/>
          <w:sz w:val="24"/>
          <w:lang w:eastAsia="zh-TW"/>
        </w:rPr>
        <w:t xml:space="preserve">even </w:t>
      </w:r>
      <w:r w:rsidRPr="00674223">
        <w:rPr>
          <w:rFonts w:eastAsia="標楷體"/>
          <w:sz w:val="24"/>
          <w:lang w:eastAsia="zh-TW"/>
        </w:rPr>
        <w:t>the smallest proportion</w:t>
      </w:r>
      <w:r w:rsidR="004D314B">
        <w:rPr>
          <w:rFonts w:eastAsia="標楷體"/>
          <w:sz w:val="24"/>
          <w:lang w:eastAsia="zh-TW"/>
        </w:rPr>
        <w:t>al sector</w:t>
      </w:r>
      <w:r w:rsidR="00420940">
        <w:rPr>
          <w:rFonts w:eastAsia="標楷體"/>
          <w:sz w:val="24"/>
          <w:lang w:eastAsia="zh-TW"/>
        </w:rPr>
        <w:t>,</w:t>
      </w:r>
      <w:r w:rsidRPr="00674223">
        <w:rPr>
          <w:rFonts w:eastAsia="標楷體"/>
          <w:sz w:val="24"/>
          <w:lang w:eastAsia="zh-TW"/>
        </w:rPr>
        <w:t xml:space="preserve"> </w:t>
      </w:r>
      <w:r w:rsidR="00420940">
        <w:rPr>
          <w:rFonts w:eastAsia="標楷體"/>
          <w:sz w:val="24"/>
          <w:lang w:eastAsia="zh-TW"/>
        </w:rPr>
        <w:t>a</w:t>
      </w:r>
      <w:r w:rsidRPr="00674223">
        <w:rPr>
          <w:rFonts w:eastAsia="標楷體"/>
          <w:sz w:val="24"/>
          <w:lang w:eastAsia="zh-TW"/>
        </w:rPr>
        <w:t>griculture</w:t>
      </w:r>
      <w:r w:rsidR="00420940">
        <w:rPr>
          <w:rFonts w:eastAsia="標楷體"/>
          <w:sz w:val="24"/>
          <w:lang w:eastAsia="zh-TW"/>
        </w:rPr>
        <w:t>,</w:t>
      </w:r>
      <w:r w:rsidRPr="00674223">
        <w:rPr>
          <w:rFonts w:eastAsia="標楷體"/>
          <w:sz w:val="24"/>
          <w:lang w:eastAsia="zh-TW"/>
        </w:rPr>
        <w:t xml:space="preserve"> </w:t>
      </w:r>
      <w:r w:rsidR="00420940">
        <w:rPr>
          <w:rFonts w:eastAsia="標楷體"/>
          <w:sz w:val="24"/>
          <w:lang w:eastAsia="zh-TW"/>
        </w:rPr>
        <w:t xml:space="preserve">still </w:t>
      </w:r>
      <w:r w:rsidR="004D314B">
        <w:rPr>
          <w:rFonts w:eastAsia="標楷體"/>
          <w:sz w:val="24"/>
          <w:lang w:eastAsia="zh-TW"/>
        </w:rPr>
        <w:t>exhibited</w:t>
      </w:r>
      <w:r w:rsidRPr="00674223">
        <w:rPr>
          <w:rFonts w:eastAsia="標楷體"/>
          <w:sz w:val="24"/>
          <w:lang w:eastAsia="zh-TW"/>
        </w:rPr>
        <w:t xml:space="preserve"> </w:t>
      </w:r>
      <w:r w:rsidR="00F0543A" w:rsidRPr="00674223">
        <w:rPr>
          <w:rFonts w:eastAsia="標楷體"/>
          <w:sz w:val="24"/>
          <w:lang w:eastAsia="zh-TW"/>
        </w:rPr>
        <w:t>a growth rate of 16%</w:t>
      </w:r>
      <w:r w:rsidR="004D314B">
        <w:rPr>
          <w:rFonts w:eastAsia="標楷體"/>
          <w:sz w:val="24"/>
          <w:lang w:eastAsia="zh-TW"/>
        </w:rPr>
        <w:t xml:space="preserve"> with </w:t>
      </w:r>
      <w:r w:rsidR="00F0543A">
        <w:rPr>
          <w:rFonts w:eastAsia="標楷體"/>
          <w:sz w:val="24"/>
          <w:lang w:eastAsia="zh-TW"/>
        </w:rPr>
        <w:t>US$</w:t>
      </w:r>
      <w:r w:rsidRPr="00674223">
        <w:rPr>
          <w:rFonts w:eastAsia="標楷體"/>
          <w:sz w:val="24"/>
          <w:lang w:eastAsia="zh-TW"/>
        </w:rPr>
        <w:t>15 billion.</w:t>
      </w:r>
    </w:p>
    <w:p w:rsidR="000D2B6E" w:rsidRPr="00062E40" w:rsidRDefault="000D2B6E" w:rsidP="00526252">
      <w:pPr>
        <w:adjustRightInd w:val="0"/>
        <w:snapToGrid w:val="0"/>
        <w:spacing w:before="100" w:beforeAutospacing="1" w:after="100" w:afterAutospacing="1" w:line="480" w:lineRule="auto"/>
        <w:outlineLvl w:val="0"/>
        <w:rPr>
          <w:rFonts w:eastAsia="標楷體"/>
          <w:b/>
          <w:iCs/>
          <w:sz w:val="24"/>
        </w:rPr>
      </w:pPr>
      <w:r w:rsidRPr="00062E40">
        <w:rPr>
          <w:rFonts w:eastAsia="標楷體"/>
          <w:b/>
          <w:iCs/>
          <w:sz w:val="24"/>
        </w:rPr>
        <w:t xml:space="preserve">2. </w:t>
      </w:r>
      <w:r w:rsidR="00D6153B" w:rsidRPr="00062E40">
        <w:rPr>
          <w:rFonts w:eastAsia="標楷體"/>
          <w:b/>
          <w:iCs/>
          <w:sz w:val="24"/>
        </w:rPr>
        <w:t xml:space="preserve">5G </w:t>
      </w:r>
      <w:r w:rsidR="00D6153B">
        <w:rPr>
          <w:rFonts w:eastAsia="標楷體"/>
          <w:b/>
          <w:iCs/>
          <w:sz w:val="24"/>
        </w:rPr>
        <w:t>I</w:t>
      </w:r>
      <w:r w:rsidR="00D6153B" w:rsidRPr="00062E40">
        <w:rPr>
          <w:rFonts w:eastAsia="標楷體"/>
          <w:b/>
          <w:iCs/>
          <w:sz w:val="24"/>
        </w:rPr>
        <w:t xml:space="preserve">ndustry </w:t>
      </w:r>
      <w:r w:rsidR="00420940" w:rsidRPr="00062E40">
        <w:rPr>
          <w:rFonts w:eastAsia="標楷體"/>
          <w:b/>
          <w:iCs/>
          <w:sz w:val="24"/>
        </w:rPr>
        <w:t>Background</w:t>
      </w:r>
      <w:r w:rsidR="00420940">
        <w:rPr>
          <w:rFonts w:eastAsia="標楷體"/>
          <w:b/>
          <w:iCs/>
          <w:sz w:val="24"/>
        </w:rPr>
        <w:t xml:space="preserve"> </w:t>
      </w:r>
      <w:r w:rsidR="00D6153B">
        <w:rPr>
          <w:rFonts w:eastAsia="標楷體"/>
          <w:b/>
          <w:iCs/>
          <w:sz w:val="24"/>
        </w:rPr>
        <w:t xml:space="preserve">and </w:t>
      </w:r>
      <w:r w:rsidR="00420940">
        <w:rPr>
          <w:rFonts w:eastAsia="標楷體"/>
          <w:b/>
          <w:iCs/>
          <w:sz w:val="24"/>
        </w:rPr>
        <w:t xml:space="preserve">Development </w:t>
      </w:r>
    </w:p>
    <w:p w:rsidR="00F0543A" w:rsidRDefault="006B0B77" w:rsidP="00EA7A24">
      <w:pPr>
        <w:adjustRightInd w:val="0"/>
        <w:snapToGrid w:val="0"/>
        <w:spacing w:before="100" w:beforeAutospacing="1" w:line="480" w:lineRule="auto"/>
        <w:ind w:firstLine="480"/>
        <w:rPr>
          <w:rFonts w:eastAsiaTheme="minorEastAsia"/>
          <w:iCs/>
          <w:sz w:val="24"/>
          <w:lang w:eastAsia="zh-TW"/>
        </w:rPr>
      </w:pPr>
      <w:r>
        <w:rPr>
          <w:rFonts w:eastAsiaTheme="minorEastAsia"/>
          <w:iCs/>
          <w:sz w:val="24"/>
          <w:lang w:eastAsia="zh-TW"/>
        </w:rPr>
        <w:t>T</w:t>
      </w:r>
      <w:r w:rsidR="00674223" w:rsidRPr="00674223">
        <w:rPr>
          <w:rFonts w:eastAsiaTheme="minorEastAsia"/>
          <w:iCs/>
          <w:sz w:val="24"/>
          <w:lang w:eastAsia="zh-TW"/>
        </w:rPr>
        <w:t xml:space="preserve">he first generation of mobile communications technology specifications (1G, analog voice services) </w:t>
      </w:r>
      <w:r>
        <w:rPr>
          <w:rFonts w:eastAsiaTheme="minorEastAsia"/>
          <w:iCs/>
          <w:sz w:val="24"/>
          <w:lang w:eastAsia="zh-TW"/>
        </w:rPr>
        <w:t>of</w:t>
      </w:r>
      <w:r w:rsidRPr="00674223">
        <w:rPr>
          <w:rFonts w:eastAsiaTheme="minorEastAsia"/>
          <w:iCs/>
          <w:sz w:val="24"/>
          <w:lang w:eastAsia="zh-TW"/>
        </w:rPr>
        <w:t xml:space="preserve"> the mobile wireless communications industry </w:t>
      </w:r>
      <w:r w:rsidR="00674223" w:rsidRPr="00674223">
        <w:rPr>
          <w:rFonts w:eastAsiaTheme="minorEastAsia"/>
          <w:iCs/>
          <w:sz w:val="24"/>
          <w:lang w:eastAsia="zh-TW"/>
        </w:rPr>
        <w:t xml:space="preserve">was formulated in the 1980s. </w:t>
      </w:r>
      <w:r w:rsidR="00E31833">
        <w:rPr>
          <w:rFonts w:eastAsiaTheme="minorEastAsia"/>
          <w:iCs/>
          <w:sz w:val="24"/>
          <w:lang w:eastAsia="zh-TW"/>
        </w:rPr>
        <w:t>P</w:t>
      </w:r>
      <w:r w:rsidR="00674223" w:rsidRPr="00674223">
        <w:rPr>
          <w:rFonts w:eastAsiaTheme="minorEastAsia"/>
          <w:iCs/>
          <w:sz w:val="24"/>
          <w:lang w:eastAsia="zh-TW"/>
        </w:rPr>
        <w:t xml:space="preserve">roviding </w:t>
      </w:r>
      <w:r w:rsidR="00F0543A">
        <w:rPr>
          <w:rFonts w:eastAsiaTheme="minorEastAsia"/>
          <w:iCs/>
          <w:sz w:val="24"/>
          <w:lang w:eastAsia="zh-TW"/>
        </w:rPr>
        <w:t>clients</w:t>
      </w:r>
      <w:r w:rsidR="00674223" w:rsidRPr="00674223">
        <w:rPr>
          <w:rFonts w:eastAsiaTheme="minorEastAsia"/>
          <w:iCs/>
          <w:sz w:val="24"/>
          <w:lang w:eastAsia="zh-TW"/>
        </w:rPr>
        <w:t xml:space="preserve"> with mobile voice services, </w:t>
      </w:r>
      <w:r w:rsidR="001F1809">
        <w:rPr>
          <w:rFonts w:eastAsiaTheme="minorEastAsia"/>
          <w:iCs/>
          <w:sz w:val="24"/>
          <w:lang w:eastAsia="zh-TW"/>
        </w:rPr>
        <w:t>1G</w:t>
      </w:r>
      <w:r w:rsidR="00674223" w:rsidRPr="00674223">
        <w:rPr>
          <w:rFonts w:eastAsiaTheme="minorEastAsia"/>
          <w:iCs/>
          <w:sz w:val="24"/>
          <w:lang w:eastAsia="zh-TW"/>
        </w:rPr>
        <w:t xml:space="preserve"> changed the way people communicat</w:t>
      </w:r>
      <w:r>
        <w:rPr>
          <w:rFonts w:eastAsiaTheme="minorEastAsia"/>
          <w:iCs/>
          <w:sz w:val="24"/>
          <w:lang w:eastAsia="zh-TW"/>
        </w:rPr>
        <w:t>ed by voice and allowed</w:t>
      </w:r>
      <w:r w:rsidR="00674223" w:rsidRPr="00674223">
        <w:rPr>
          <w:rFonts w:eastAsiaTheme="minorEastAsia"/>
          <w:iCs/>
          <w:sz w:val="24"/>
          <w:lang w:eastAsia="zh-TW"/>
        </w:rPr>
        <w:t xml:space="preserve"> users </w:t>
      </w:r>
      <w:r w:rsidR="00D6153B">
        <w:rPr>
          <w:rFonts w:eastAsiaTheme="minorEastAsia"/>
          <w:iCs/>
          <w:sz w:val="24"/>
          <w:lang w:eastAsia="zh-TW"/>
        </w:rPr>
        <w:t>access to</w:t>
      </w:r>
      <w:r w:rsidR="00674223" w:rsidRPr="00674223">
        <w:rPr>
          <w:rFonts w:eastAsiaTheme="minorEastAsia"/>
          <w:iCs/>
          <w:sz w:val="24"/>
          <w:lang w:eastAsia="zh-TW"/>
        </w:rPr>
        <w:t xml:space="preserve"> </w:t>
      </w:r>
      <w:r>
        <w:rPr>
          <w:rFonts w:eastAsiaTheme="minorEastAsia"/>
          <w:iCs/>
          <w:sz w:val="24"/>
          <w:lang w:eastAsia="zh-TW"/>
        </w:rPr>
        <w:t>a</w:t>
      </w:r>
      <w:r w:rsidR="00674223" w:rsidRPr="00674223">
        <w:rPr>
          <w:rFonts w:eastAsiaTheme="minorEastAsia"/>
          <w:iCs/>
          <w:sz w:val="24"/>
          <w:lang w:eastAsia="zh-TW"/>
        </w:rPr>
        <w:t xml:space="preserve"> fixed-point communication method. </w:t>
      </w:r>
      <w:r w:rsidR="00F73856">
        <w:rPr>
          <w:rFonts w:eastAsiaTheme="minorEastAsia"/>
          <w:iCs/>
          <w:sz w:val="24"/>
          <w:lang w:eastAsia="zh-TW"/>
        </w:rPr>
        <w:t>This</w:t>
      </w:r>
      <w:r w:rsidR="000B47D2">
        <w:rPr>
          <w:rFonts w:eastAsiaTheme="minorEastAsia"/>
          <w:iCs/>
          <w:sz w:val="24"/>
          <w:lang w:eastAsia="zh-TW"/>
        </w:rPr>
        <w:t xml:space="preserve"> ushered in</w:t>
      </w:r>
      <w:r w:rsidR="00F73856">
        <w:rPr>
          <w:rFonts w:eastAsiaTheme="minorEastAsia"/>
          <w:iCs/>
          <w:sz w:val="24"/>
          <w:lang w:eastAsia="zh-TW"/>
        </w:rPr>
        <w:t xml:space="preserve"> many conveniences and </w:t>
      </w:r>
      <w:r w:rsidR="000B47D2">
        <w:rPr>
          <w:rFonts w:eastAsiaTheme="minorEastAsia"/>
          <w:iCs/>
          <w:sz w:val="24"/>
          <w:lang w:eastAsia="zh-TW"/>
        </w:rPr>
        <w:t xml:space="preserve">caused </w:t>
      </w:r>
      <w:r w:rsidR="00674223" w:rsidRPr="00674223">
        <w:rPr>
          <w:rFonts w:eastAsiaTheme="minorEastAsia"/>
          <w:iCs/>
          <w:sz w:val="24"/>
          <w:lang w:eastAsia="zh-TW"/>
        </w:rPr>
        <w:t xml:space="preserve">the mobile wireless communication industry </w:t>
      </w:r>
      <w:r w:rsidR="00F73856">
        <w:rPr>
          <w:rFonts w:eastAsiaTheme="minorEastAsia"/>
          <w:iCs/>
          <w:sz w:val="24"/>
          <w:lang w:eastAsia="zh-TW"/>
        </w:rPr>
        <w:t xml:space="preserve">to </w:t>
      </w:r>
      <w:r w:rsidR="00674223" w:rsidRPr="00674223">
        <w:rPr>
          <w:rFonts w:eastAsiaTheme="minorEastAsia"/>
          <w:iCs/>
          <w:sz w:val="24"/>
          <w:lang w:eastAsia="zh-TW"/>
        </w:rPr>
        <w:t xml:space="preserve">flourish. </w:t>
      </w:r>
      <w:r w:rsidR="000B47D2">
        <w:rPr>
          <w:rFonts w:eastAsiaTheme="minorEastAsia"/>
          <w:iCs/>
          <w:sz w:val="24"/>
          <w:lang w:eastAsia="zh-TW"/>
        </w:rPr>
        <w:t xml:space="preserve">Since then, </w:t>
      </w:r>
      <w:r w:rsidR="00674223" w:rsidRPr="00674223">
        <w:rPr>
          <w:rFonts w:eastAsiaTheme="minorEastAsia"/>
          <w:iCs/>
          <w:sz w:val="24"/>
          <w:lang w:eastAsia="zh-TW"/>
        </w:rPr>
        <w:t xml:space="preserve">mobile wireless communication technology and </w:t>
      </w:r>
      <w:r w:rsidR="00D6153B">
        <w:rPr>
          <w:rFonts w:eastAsiaTheme="minorEastAsia"/>
          <w:iCs/>
          <w:sz w:val="24"/>
          <w:lang w:eastAsia="zh-TW"/>
        </w:rPr>
        <w:t xml:space="preserve">its accompanying </w:t>
      </w:r>
      <w:r w:rsidR="00674223" w:rsidRPr="00674223">
        <w:rPr>
          <w:rFonts w:eastAsiaTheme="minorEastAsia"/>
          <w:iCs/>
          <w:sz w:val="24"/>
          <w:lang w:eastAsia="zh-TW"/>
        </w:rPr>
        <w:t xml:space="preserve">specifications </w:t>
      </w:r>
      <w:r w:rsidR="00F0543A">
        <w:rPr>
          <w:rFonts w:eastAsiaTheme="minorEastAsia"/>
          <w:iCs/>
          <w:sz w:val="24"/>
          <w:lang w:eastAsia="zh-TW"/>
        </w:rPr>
        <w:t>have</w:t>
      </w:r>
      <w:r w:rsidR="00674223" w:rsidRPr="00674223">
        <w:rPr>
          <w:rFonts w:eastAsiaTheme="minorEastAsia"/>
          <w:iCs/>
          <w:sz w:val="24"/>
          <w:lang w:eastAsia="zh-TW"/>
        </w:rPr>
        <w:t xml:space="preserve"> develop</w:t>
      </w:r>
      <w:r w:rsidR="00F0543A">
        <w:rPr>
          <w:rFonts w:eastAsiaTheme="minorEastAsia"/>
          <w:iCs/>
          <w:sz w:val="24"/>
          <w:lang w:eastAsia="zh-TW"/>
        </w:rPr>
        <w:t>ed</w:t>
      </w:r>
      <w:r w:rsidR="00674223" w:rsidRPr="00674223">
        <w:rPr>
          <w:rFonts w:eastAsiaTheme="minorEastAsia"/>
          <w:iCs/>
          <w:sz w:val="24"/>
          <w:lang w:eastAsia="zh-TW"/>
        </w:rPr>
        <w:t xml:space="preserve"> in </w:t>
      </w:r>
      <w:r w:rsidR="00E31833">
        <w:rPr>
          <w:rFonts w:eastAsiaTheme="minorEastAsia"/>
          <w:iCs/>
          <w:sz w:val="24"/>
          <w:lang w:eastAsia="zh-TW"/>
        </w:rPr>
        <w:t xml:space="preserve">ten-year </w:t>
      </w:r>
      <w:r w:rsidR="00674223" w:rsidRPr="00674223">
        <w:rPr>
          <w:rFonts w:eastAsiaTheme="minorEastAsia"/>
          <w:iCs/>
          <w:sz w:val="24"/>
          <w:lang w:eastAsia="zh-TW"/>
        </w:rPr>
        <w:t>cycle</w:t>
      </w:r>
      <w:r w:rsidR="00E31833">
        <w:rPr>
          <w:rFonts w:eastAsiaTheme="minorEastAsia"/>
          <w:iCs/>
          <w:sz w:val="24"/>
          <w:lang w:eastAsia="zh-TW"/>
        </w:rPr>
        <w:t>s</w:t>
      </w:r>
      <w:r w:rsidR="00674223" w:rsidRPr="00674223">
        <w:rPr>
          <w:rFonts w:eastAsiaTheme="minorEastAsia"/>
          <w:iCs/>
          <w:sz w:val="24"/>
          <w:lang w:eastAsia="zh-TW"/>
        </w:rPr>
        <w:t xml:space="preserve">, bringing </w:t>
      </w:r>
      <w:r w:rsidR="00F0543A">
        <w:rPr>
          <w:rFonts w:eastAsiaTheme="minorEastAsia"/>
          <w:iCs/>
          <w:sz w:val="24"/>
          <w:lang w:eastAsia="zh-TW"/>
        </w:rPr>
        <w:t xml:space="preserve">incessant and dramatic </w:t>
      </w:r>
      <w:r w:rsidR="00674223" w:rsidRPr="00674223">
        <w:rPr>
          <w:rFonts w:eastAsiaTheme="minorEastAsia"/>
          <w:iCs/>
          <w:sz w:val="24"/>
          <w:lang w:eastAsia="zh-TW"/>
        </w:rPr>
        <w:t xml:space="preserve">changes to the industry. </w:t>
      </w:r>
    </w:p>
    <w:p w:rsidR="00674223" w:rsidRPr="00674223" w:rsidRDefault="00674223" w:rsidP="00EA7A24">
      <w:pPr>
        <w:adjustRightInd w:val="0"/>
        <w:snapToGrid w:val="0"/>
        <w:spacing w:before="100" w:beforeAutospacing="1" w:line="480" w:lineRule="auto"/>
        <w:ind w:firstLine="480"/>
        <w:rPr>
          <w:rFonts w:eastAsiaTheme="minorEastAsia"/>
          <w:iCs/>
          <w:sz w:val="24"/>
          <w:lang w:eastAsia="zh-TW"/>
        </w:rPr>
      </w:pPr>
      <w:r w:rsidRPr="00674223">
        <w:rPr>
          <w:rFonts w:eastAsiaTheme="minorEastAsia"/>
          <w:iCs/>
          <w:sz w:val="24"/>
          <w:lang w:eastAsia="zh-TW"/>
        </w:rPr>
        <w:t>The following is a brief description</w:t>
      </w:r>
      <w:r w:rsidR="00F0543A">
        <w:rPr>
          <w:rFonts w:eastAsiaTheme="minorEastAsia"/>
          <w:iCs/>
          <w:sz w:val="24"/>
          <w:lang w:eastAsia="zh-TW"/>
        </w:rPr>
        <w:t xml:space="preserve"> of the development stages leading to 5G development</w:t>
      </w:r>
      <w:r w:rsidRPr="00674223">
        <w:rPr>
          <w:rFonts w:eastAsiaTheme="minorEastAsia"/>
          <w:iCs/>
          <w:sz w:val="24"/>
          <w:lang w:eastAsia="zh-TW"/>
        </w:rPr>
        <w:t>:</w:t>
      </w:r>
    </w:p>
    <w:p w:rsidR="00674223" w:rsidRPr="00674223" w:rsidRDefault="00674223" w:rsidP="00EA7A24">
      <w:pPr>
        <w:adjustRightInd w:val="0"/>
        <w:snapToGrid w:val="0"/>
        <w:spacing w:before="100" w:beforeAutospacing="1" w:line="480" w:lineRule="auto"/>
        <w:ind w:left="283" w:hangingChars="118" w:hanging="283"/>
        <w:rPr>
          <w:rFonts w:eastAsiaTheme="minorEastAsia"/>
          <w:iCs/>
          <w:sz w:val="24"/>
          <w:lang w:eastAsia="zh-TW"/>
        </w:rPr>
      </w:pPr>
      <w:r w:rsidRPr="00674223">
        <w:rPr>
          <w:rFonts w:eastAsiaTheme="minorEastAsia"/>
          <w:iCs/>
          <w:sz w:val="24"/>
          <w:lang w:eastAsia="zh-TW"/>
        </w:rPr>
        <w:t>1. 1980s: The first generation of mobile technology 1G first generation (Advanced Mobile Phone System, AMPS)</w:t>
      </w:r>
      <w:r w:rsidR="00E31833">
        <w:rPr>
          <w:rFonts w:eastAsiaTheme="minorEastAsia"/>
          <w:iCs/>
          <w:sz w:val="24"/>
          <w:lang w:eastAsia="zh-TW"/>
        </w:rPr>
        <w:t xml:space="preserve"> is introduced</w:t>
      </w:r>
      <w:r w:rsidRPr="00674223">
        <w:rPr>
          <w:rFonts w:eastAsiaTheme="minorEastAsia"/>
          <w:iCs/>
          <w:sz w:val="24"/>
          <w:lang w:eastAsia="zh-TW"/>
        </w:rPr>
        <w:t xml:space="preserve"> with the definition of analog voice communication technology as the main technological change.</w:t>
      </w:r>
    </w:p>
    <w:p w:rsidR="00674223" w:rsidRPr="00674223" w:rsidRDefault="00674223" w:rsidP="00EA7A24">
      <w:pPr>
        <w:adjustRightInd w:val="0"/>
        <w:snapToGrid w:val="0"/>
        <w:spacing w:before="100" w:beforeAutospacing="1" w:line="480" w:lineRule="auto"/>
        <w:ind w:left="283" w:hangingChars="118" w:hanging="283"/>
        <w:rPr>
          <w:rFonts w:eastAsiaTheme="minorEastAsia"/>
          <w:iCs/>
          <w:sz w:val="24"/>
          <w:lang w:eastAsia="zh-TW"/>
        </w:rPr>
      </w:pPr>
      <w:r w:rsidRPr="00674223">
        <w:rPr>
          <w:rFonts w:eastAsiaTheme="minorEastAsia"/>
          <w:iCs/>
          <w:sz w:val="24"/>
          <w:lang w:eastAsia="zh-TW"/>
        </w:rPr>
        <w:t>2. 1990</w:t>
      </w:r>
      <w:r w:rsidR="00EA7A24">
        <w:rPr>
          <w:rFonts w:eastAsiaTheme="minorEastAsia"/>
          <w:iCs/>
          <w:sz w:val="24"/>
          <w:lang w:eastAsia="zh-TW"/>
        </w:rPr>
        <w:t>’</w:t>
      </w:r>
      <w:r w:rsidRPr="00674223">
        <w:rPr>
          <w:rFonts w:eastAsiaTheme="minorEastAsia"/>
          <w:iCs/>
          <w:sz w:val="24"/>
          <w:lang w:eastAsia="zh-TW"/>
        </w:rPr>
        <w:t>s: The second-generation mobile technology 2G second-generation (Global System for Mobile Communications, GSM)</w:t>
      </w:r>
      <w:r w:rsidR="00E31833">
        <w:rPr>
          <w:rFonts w:eastAsiaTheme="minorEastAsia"/>
          <w:iCs/>
          <w:sz w:val="24"/>
          <w:lang w:eastAsia="zh-TW"/>
        </w:rPr>
        <w:t xml:space="preserve"> emerges </w:t>
      </w:r>
      <w:r w:rsidRPr="00674223">
        <w:rPr>
          <w:rFonts w:eastAsiaTheme="minorEastAsia"/>
          <w:iCs/>
          <w:sz w:val="24"/>
          <w:lang w:eastAsia="zh-TW"/>
        </w:rPr>
        <w:t xml:space="preserve">with the definition of digital voice communication as </w:t>
      </w:r>
      <w:r w:rsidR="00E31833">
        <w:rPr>
          <w:rFonts w:eastAsiaTheme="minorEastAsia"/>
          <w:iCs/>
          <w:sz w:val="24"/>
          <w:lang w:eastAsia="zh-TW"/>
        </w:rPr>
        <w:t xml:space="preserve">its </w:t>
      </w:r>
      <w:r w:rsidRPr="00674223">
        <w:rPr>
          <w:rFonts w:eastAsiaTheme="minorEastAsia"/>
          <w:iCs/>
          <w:sz w:val="24"/>
          <w:lang w:eastAsia="zh-TW"/>
        </w:rPr>
        <w:t>main technological change.</w:t>
      </w:r>
    </w:p>
    <w:p w:rsidR="00674223" w:rsidRPr="00674223" w:rsidRDefault="00674223" w:rsidP="00EA7A24">
      <w:pPr>
        <w:adjustRightInd w:val="0"/>
        <w:snapToGrid w:val="0"/>
        <w:spacing w:before="100" w:beforeAutospacing="1" w:line="480" w:lineRule="auto"/>
        <w:ind w:left="283" w:hangingChars="118" w:hanging="283"/>
        <w:rPr>
          <w:rFonts w:eastAsiaTheme="minorEastAsia"/>
          <w:iCs/>
          <w:sz w:val="24"/>
          <w:lang w:eastAsia="zh-TW"/>
        </w:rPr>
      </w:pPr>
      <w:r w:rsidRPr="00674223">
        <w:rPr>
          <w:rFonts w:eastAsiaTheme="minorEastAsia"/>
          <w:iCs/>
          <w:sz w:val="24"/>
          <w:lang w:eastAsia="zh-TW"/>
        </w:rPr>
        <w:t>3. 2000</w:t>
      </w:r>
      <w:r w:rsidR="00EA7A24">
        <w:rPr>
          <w:rFonts w:eastAsiaTheme="minorEastAsia"/>
          <w:iCs/>
          <w:sz w:val="24"/>
          <w:lang w:eastAsia="zh-TW"/>
        </w:rPr>
        <w:t>’</w:t>
      </w:r>
      <w:r w:rsidRPr="00674223">
        <w:rPr>
          <w:rFonts w:eastAsiaTheme="minorEastAsia"/>
          <w:iCs/>
          <w:sz w:val="24"/>
          <w:lang w:eastAsia="zh-TW"/>
        </w:rPr>
        <w:t>s: 3G third generation (Wideband Code Division Multiple Access, WCDMA), the third generation of mobile technology</w:t>
      </w:r>
      <w:r w:rsidR="00E31833">
        <w:rPr>
          <w:rFonts w:eastAsiaTheme="minorEastAsia"/>
          <w:iCs/>
          <w:sz w:val="24"/>
          <w:lang w:eastAsia="zh-TW"/>
        </w:rPr>
        <w:t xml:space="preserve"> with </w:t>
      </w:r>
      <w:r w:rsidRPr="00674223">
        <w:rPr>
          <w:rFonts w:eastAsiaTheme="minorEastAsia"/>
          <w:iCs/>
          <w:sz w:val="24"/>
          <w:lang w:eastAsia="zh-TW"/>
        </w:rPr>
        <w:t xml:space="preserve">the development of wireless data capabilities </w:t>
      </w:r>
      <w:r w:rsidR="00E31833">
        <w:rPr>
          <w:rFonts w:eastAsiaTheme="minorEastAsia"/>
          <w:iCs/>
          <w:sz w:val="24"/>
          <w:lang w:eastAsia="zh-TW"/>
        </w:rPr>
        <w:t>spearheading</w:t>
      </w:r>
      <w:r w:rsidRPr="00674223">
        <w:rPr>
          <w:rFonts w:eastAsiaTheme="minorEastAsia"/>
          <w:iCs/>
          <w:sz w:val="24"/>
          <w:lang w:eastAsia="zh-TW"/>
        </w:rPr>
        <w:t xml:space="preserve"> </w:t>
      </w:r>
      <w:r w:rsidR="00E31833">
        <w:rPr>
          <w:rFonts w:eastAsiaTheme="minorEastAsia"/>
          <w:iCs/>
          <w:sz w:val="24"/>
          <w:lang w:eastAsia="zh-TW"/>
        </w:rPr>
        <w:t>its</w:t>
      </w:r>
      <w:r w:rsidRPr="00674223">
        <w:rPr>
          <w:rFonts w:eastAsiaTheme="minorEastAsia"/>
          <w:iCs/>
          <w:sz w:val="24"/>
          <w:lang w:eastAsia="zh-TW"/>
        </w:rPr>
        <w:t xml:space="preserve"> main technological change.</w:t>
      </w:r>
    </w:p>
    <w:p w:rsidR="00674223" w:rsidRPr="00674223" w:rsidRDefault="00674223" w:rsidP="00EA7A24">
      <w:pPr>
        <w:adjustRightInd w:val="0"/>
        <w:snapToGrid w:val="0"/>
        <w:spacing w:before="100" w:beforeAutospacing="1" w:line="480" w:lineRule="auto"/>
        <w:ind w:left="283" w:hangingChars="118" w:hanging="283"/>
        <w:rPr>
          <w:rFonts w:eastAsiaTheme="minorEastAsia"/>
          <w:iCs/>
          <w:sz w:val="24"/>
          <w:lang w:eastAsia="zh-TW"/>
        </w:rPr>
      </w:pPr>
      <w:r w:rsidRPr="00674223">
        <w:rPr>
          <w:rFonts w:eastAsiaTheme="minorEastAsia"/>
          <w:iCs/>
          <w:sz w:val="24"/>
          <w:lang w:eastAsia="zh-TW"/>
        </w:rPr>
        <w:t>4. 2010</w:t>
      </w:r>
      <w:r w:rsidR="00EA7A24">
        <w:rPr>
          <w:rFonts w:eastAsiaTheme="minorEastAsia"/>
          <w:iCs/>
          <w:sz w:val="24"/>
          <w:lang w:eastAsia="zh-TW"/>
        </w:rPr>
        <w:t>’</w:t>
      </w:r>
      <w:r w:rsidRPr="00674223">
        <w:rPr>
          <w:rFonts w:eastAsiaTheme="minorEastAsia"/>
          <w:iCs/>
          <w:sz w:val="24"/>
          <w:lang w:eastAsia="zh-TW"/>
        </w:rPr>
        <w:t xml:space="preserve">s: The fourth generation of mobile technology 4G fourth generation (Long-Term Evolution, LTE), focusing on broadband data as </w:t>
      </w:r>
      <w:r w:rsidR="000B47D2">
        <w:rPr>
          <w:rFonts w:eastAsiaTheme="minorEastAsia"/>
          <w:iCs/>
          <w:sz w:val="24"/>
          <w:lang w:eastAsia="zh-TW"/>
        </w:rPr>
        <w:t xml:space="preserve">its principle </w:t>
      </w:r>
      <w:r w:rsidRPr="00674223">
        <w:rPr>
          <w:rFonts w:eastAsiaTheme="minorEastAsia"/>
          <w:iCs/>
          <w:sz w:val="24"/>
          <w:lang w:eastAsia="zh-TW"/>
        </w:rPr>
        <w:t>technological change.</w:t>
      </w:r>
    </w:p>
    <w:p w:rsidR="000B47D2" w:rsidRPr="00EA7A24" w:rsidRDefault="00674223" w:rsidP="00EA7A24">
      <w:pPr>
        <w:adjustRightInd w:val="0"/>
        <w:snapToGrid w:val="0"/>
        <w:spacing w:before="100" w:beforeAutospacing="1" w:line="480" w:lineRule="auto"/>
        <w:ind w:left="283" w:hangingChars="118" w:hanging="283"/>
        <w:rPr>
          <w:rFonts w:eastAsia="DengXian"/>
          <w:iCs/>
          <w:sz w:val="24"/>
        </w:rPr>
      </w:pPr>
      <w:r w:rsidRPr="00EA7A24">
        <w:rPr>
          <w:rFonts w:eastAsia="DengXian"/>
          <w:iCs/>
          <w:sz w:val="24"/>
        </w:rPr>
        <w:t>5. 2020</w:t>
      </w:r>
      <w:r w:rsidR="00EA7A24">
        <w:rPr>
          <w:rFonts w:eastAsia="DengXian"/>
          <w:iCs/>
          <w:sz w:val="24"/>
        </w:rPr>
        <w:t>’</w:t>
      </w:r>
      <w:r w:rsidRPr="00EA7A24">
        <w:rPr>
          <w:rFonts w:eastAsia="DengXian"/>
          <w:iCs/>
          <w:sz w:val="24"/>
        </w:rPr>
        <w:t>s, the fifth generation of wireless mobile technology</w:t>
      </w:r>
      <w:r w:rsidR="000B47D2" w:rsidRPr="00EA7A24">
        <w:rPr>
          <w:rFonts w:eastAsia="DengXian"/>
          <w:iCs/>
          <w:sz w:val="24"/>
        </w:rPr>
        <w:t>,</w:t>
      </w:r>
      <w:r w:rsidRPr="00EA7A24">
        <w:rPr>
          <w:rFonts w:eastAsia="DengXian"/>
          <w:iCs/>
          <w:sz w:val="24"/>
        </w:rPr>
        <w:t xml:space="preserve"> 5G fifth generation (New Radio, NR)</w:t>
      </w:r>
      <w:r w:rsidR="000B47D2" w:rsidRPr="00EA7A24">
        <w:rPr>
          <w:rFonts w:eastAsia="DengXian"/>
          <w:iCs/>
          <w:sz w:val="24"/>
        </w:rPr>
        <w:t>,</w:t>
      </w:r>
      <w:r w:rsidRPr="00EA7A24">
        <w:rPr>
          <w:rFonts w:eastAsia="DengXian"/>
          <w:iCs/>
          <w:sz w:val="24"/>
        </w:rPr>
        <w:t xml:space="preserve"> specifications</w:t>
      </w:r>
      <w:r w:rsidR="00E31833" w:rsidRPr="00EA7A24">
        <w:rPr>
          <w:rFonts w:eastAsia="DengXian"/>
          <w:iCs/>
          <w:sz w:val="24"/>
        </w:rPr>
        <w:t xml:space="preserve"> were</w:t>
      </w:r>
      <w:r w:rsidR="00F73856" w:rsidRPr="00EA7A24">
        <w:rPr>
          <w:rFonts w:eastAsia="DengXian"/>
          <w:iCs/>
          <w:sz w:val="24"/>
        </w:rPr>
        <w:t xml:space="preserve"> </w:t>
      </w:r>
      <w:r w:rsidRPr="00EA7A24">
        <w:rPr>
          <w:rFonts w:eastAsia="DengXian"/>
          <w:iCs/>
          <w:sz w:val="24"/>
        </w:rPr>
        <w:t>finalized</w:t>
      </w:r>
      <w:r w:rsidR="000B47D2" w:rsidRPr="00EA7A24">
        <w:rPr>
          <w:rFonts w:eastAsia="DengXian"/>
          <w:iCs/>
          <w:sz w:val="24"/>
        </w:rPr>
        <w:t xml:space="preserve"> </w:t>
      </w:r>
      <w:r w:rsidR="00AE2C99" w:rsidRPr="00EA7A24">
        <w:rPr>
          <w:rFonts w:eastAsia="DengXian"/>
          <w:iCs/>
          <w:sz w:val="24"/>
        </w:rPr>
        <w:t>that</w:t>
      </w:r>
      <w:r w:rsidR="000B47D2" w:rsidRPr="00EA7A24">
        <w:rPr>
          <w:rFonts w:eastAsia="DengXian"/>
          <w:iCs/>
          <w:sz w:val="24"/>
        </w:rPr>
        <w:t xml:space="preserve"> focused </w:t>
      </w:r>
      <w:r w:rsidRPr="00EA7A24">
        <w:rPr>
          <w:rFonts w:eastAsia="DengXian"/>
          <w:iCs/>
          <w:sz w:val="24"/>
        </w:rPr>
        <w:t>on higher traffic (enhanced Mobile Broadband, eMBB), low</w:t>
      </w:r>
      <w:r w:rsidR="000B47D2" w:rsidRPr="00EA7A24">
        <w:rPr>
          <w:rFonts w:eastAsia="DengXian"/>
          <w:iCs/>
          <w:sz w:val="24"/>
        </w:rPr>
        <w:t>er</w:t>
      </w:r>
      <w:r w:rsidRPr="00EA7A24">
        <w:rPr>
          <w:rFonts w:eastAsia="DengXian"/>
          <w:iCs/>
          <w:sz w:val="24"/>
        </w:rPr>
        <w:t xml:space="preserve"> latency, and high</w:t>
      </w:r>
      <w:r w:rsidR="000B47D2" w:rsidRPr="00EA7A24">
        <w:rPr>
          <w:rFonts w:eastAsia="DengXian"/>
          <w:iCs/>
          <w:sz w:val="24"/>
        </w:rPr>
        <w:t>er</w:t>
      </w:r>
      <w:r w:rsidRPr="00EA7A24">
        <w:rPr>
          <w:rFonts w:eastAsia="DengXian"/>
          <w:iCs/>
          <w:sz w:val="24"/>
        </w:rPr>
        <w:t xml:space="preserve"> reliability (Ultra Reliable Low) than 4G. Latency Communications (URLCC) and Massive Machine Type Communications (mMTC) </w:t>
      </w:r>
      <w:r w:rsidR="00E31833" w:rsidRPr="00EA7A24">
        <w:rPr>
          <w:rFonts w:eastAsia="DengXian"/>
          <w:iCs/>
          <w:sz w:val="24"/>
        </w:rPr>
        <w:t>also underwent dramatic</w:t>
      </w:r>
      <w:r w:rsidRPr="00EA7A24">
        <w:rPr>
          <w:rFonts w:eastAsia="DengXian"/>
          <w:iCs/>
          <w:sz w:val="24"/>
        </w:rPr>
        <w:t xml:space="preserve"> technological changes.</w:t>
      </w:r>
      <w:r w:rsidR="00DC725C" w:rsidRPr="00EA7A24">
        <w:rPr>
          <w:rFonts w:eastAsia="DengXian"/>
          <w:iCs/>
          <w:sz w:val="24"/>
        </w:rPr>
        <w:t xml:space="preserve"> </w:t>
      </w:r>
    </w:p>
    <w:p w:rsidR="00F74C7F" w:rsidRDefault="00674223" w:rsidP="00EA7A24">
      <w:pPr>
        <w:pStyle w:val="affe"/>
        <w:adjustRightInd w:val="0"/>
        <w:snapToGrid w:val="0"/>
        <w:spacing w:before="100" w:beforeAutospacing="1" w:line="480" w:lineRule="auto"/>
        <w:ind w:leftChars="0" w:left="0" w:firstLineChars="199" w:firstLine="478"/>
        <w:rPr>
          <w:rFonts w:eastAsia="DengXian"/>
          <w:iCs/>
          <w:sz w:val="24"/>
        </w:rPr>
      </w:pPr>
      <w:r w:rsidRPr="00674223">
        <w:rPr>
          <w:rFonts w:eastAsia="DengXian"/>
          <w:iCs/>
          <w:sz w:val="24"/>
        </w:rPr>
        <w:t xml:space="preserve">In March </w:t>
      </w:r>
      <w:r w:rsidR="00EA7A24">
        <w:rPr>
          <w:rFonts w:eastAsia="DengXian"/>
          <w:iCs/>
          <w:sz w:val="24"/>
        </w:rPr>
        <w:t xml:space="preserve">of </w:t>
      </w:r>
      <w:r w:rsidRPr="00674223">
        <w:rPr>
          <w:rFonts w:eastAsia="DengXian"/>
          <w:iCs/>
          <w:sz w:val="24"/>
        </w:rPr>
        <w:t xml:space="preserve">2017, the </w:t>
      </w:r>
      <w:r w:rsidR="000B47D2" w:rsidRPr="00674223">
        <w:rPr>
          <w:rFonts w:eastAsia="DengXian"/>
          <w:iCs/>
          <w:sz w:val="24"/>
        </w:rPr>
        <w:t>3GPP</w:t>
      </w:r>
      <w:r w:rsidR="00D6153B">
        <w:rPr>
          <w:rFonts w:eastAsia="DengXian"/>
          <w:iCs/>
          <w:sz w:val="24"/>
        </w:rPr>
        <w:t xml:space="preserve"> (</w:t>
      </w:r>
      <w:r w:rsidR="00D6153B" w:rsidRPr="00D6153B">
        <w:rPr>
          <w:rFonts w:eastAsia="DengXian"/>
          <w:iCs/>
          <w:sz w:val="24"/>
        </w:rPr>
        <w:t xml:space="preserve">3rd Generation Partnership Project), an umbrella term </w:t>
      </w:r>
      <w:r w:rsidR="00D6153B">
        <w:rPr>
          <w:rFonts w:eastAsia="DengXian"/>
          <w:iCs/>
          <w:sz w:val="24"/>
        </w:rPr>
        <w:t xml:space="preserve">applied </w:t>
      </w:r>
      <w:r w:rsidR="00D23735">
        <w:rPr>
          <w:rFonts w:eastAsia="DengXian"/>
          <w:iCs/>
          <w:sz w:val="24"/>
        </w:rPr>
        <w:t xml:space="preserve">to </w:t>
      </w:r>
      <w:r w:rsidR="00D6153B" w:rsidRPr="00D6153B">
        <w:rPr>
          <w:rFonts w:eastAsia="DengXian"/>
          <w:iCs/>
          <w:sz w:val="24"/>
        </w:rPr>
        <w:t xml:space="preserve">standards organizations </w:t>
      </w:r>
      <w:r w:rsidR="00D23735">
        <w:rPr>
          <w:rFonts w:eastAsia="DengXian"/>
          <w:iCs/>
          <w:sz w:val="24"/>
        </w:rPr>
        <w:t>that</w:t>
      </w:r>
      <w:r w:rsidR="00D6153B" w:rsidRPr="00D6153B">
        <w:rPr>
          <w:rFonts w:eastAsia="DengXian"/>
          <w:iCs/>
          <w:sz w:val="24"/>
        </w:rPr>
        <w:t xml:space="preserve"> develop protocols for mobile telecommunications, </w:t>
      </w:r>
      <w:r w:rsidRPr="00674223">
        <w:rPr>
          <w:rFonts w:eastAsia="DengXian"/>
          <w:iCs/>
          <w:sz w:val="24"/>
        </w:rPr>
        <w:t xml:space="preserve">approved </w:t>
      </w:r>
      <w:r w:rsidR="00D23735">
        <w:rPr>
          <w:rFonts w:eastAsia="DengXian"/>
          <w:iCs/>
          <w:sz w:val="24"/>
        </w:rPr>
        <w:t xml:space="preserve">a </w:t>
      </w:r>
      <w:r w:rsidRPr="00674223">
        <w:rPr>
          <w:rFonts w:eastAsia="DengXian"/>
          <w:iCs/>
          <w:sz w:val="24"/>
        </w:rPr>
        <w:t xml:space="preserve">new </w:t>
      </w:r>
      <w:r w:rsidR="00D23735" w:rsidRPr="00674223">
        <w:rPr>
          <w:rFonts w:eastAsia="DengXian"/>
          <w:iCs/>
          <w:sz w:val="24"/>
        </w:rPr>
        <w:t xml:space="preserve">5G </w:t>
      </w:r>
      <w:r w:rsidRPr="00674223">
        <w:rPr>
          <w:rFonts w:eastAsia="DengXian"/>
          <w:iCs/>
          <w:sz w:val="24"/>
        </w:rPr>
        <w:t xml:space="preserve">radio technology (NR) standardization time schedule acceleration </w:t>
      </w:r>
      <w:r w:rsidR="00D23735">
        <w:rPr>
          <w:rFonts w:eastAsia="DengXian"/>
          <w:iCs/>
          <w:sz w:val="24"/>
        </w:rPr>
        <w:t xml:space="preserve">and </w:t>
      </w:r>
      <w:r w:rsidR="00F74C7F">
        <w:rPr>
          <w:rFonts w:eastAsia="DengXian"/>
          <w:iCs/>
          <w:sz w:val="24"/>
        </w:rPr>
        <w:t>launched an</w:t>
      </w:r>
      <w:r w:rsidRPr="00674223">
        <w:rPr>
          <w:rFonts w:eastAsia="DengXian"/>
          <w:iCs/>
          <w:sz w:val="24"/>
        </w:rPr>
        <w:t xml:space="preserve"> early variant of 5G </w:t>
      </w:r>
      <w:r w:rsidR="00D23735">
        <w:rPr>
          <w:rFonts w:eastAsia="DengXian"/>
          <w:iCs/>
          <w:sz w:val="24"/>
        </w:rPr>
        <w:t>“</w:t>
      </w:r>
      <w:r w:rsidRPr="00674223">
        <w:rPr>
          <w:rFonts w:eastAsia="DengXian"/>
          <w:iCs/>
          <w:sz w:val="24"/>
        </w:rPr>
        <w:t>non-standalone 5G NR</w:t>
      </w:r>
      <w:r w:rsidR="00F74C7F">
        <w:rPr>
          <w:rFonts w:eastAsia="DengXian"/>
          <w:iCs/>
          <w:sz w:val="24"/>
        </w:rPr>
        <w:t>,</w:t>
      </w:r>
      <w:r w:rsidR="00D23735">
        <w:rPr>
          <w:rFonts w:eastAsia="DengXian"/>
          <w:iCs/>
          <w:sz w:val="24"/>
        </w:rPr>
        <w:t>”</w:t>
      </w:r>
      <w:r w:rsidR="00F0543A">
        <w:rPr>
          <w:rFonts w:eastAsia="DengXian"/>
          <w:iCs/>
          <w:sz w:val="24"/>
        </w:rPr>
        <w:t xml:space="preserve"> </w:t>
      </w:r>
      <w:r w:rsidR="00F74C7F">
        <w:rPr>
          <w:rFonts w:eastAsia="DengXian"/>
          <w:iCs/>
          <w:sz w:val="24"/>
        </w:rPr>
        <w:t xml:space="preserve">which </w:t>
      </w:r>
      <w:r w:rsidRPr="00674223">
        <w:rPr>
          <w:rFonts w:eastAsia="DengXian"/>
          <w:iCs/>
          <w:sz w:val="24"/>
        </w:rPr>
        <w:t>provide</w:t>
      </w:r>
      <w:r w:rsidR="00F74C7F">
        <w:rPr>
          <w:rFonts w:eastAsia="DengXian"/>
          <w:iCs/>
          <w:sz w:val="24"/>
        </w:rPr>
        <w:t>d</w:t>
      </w:r>
      <w:r w:rsidRPr="00674223">
        <w:rPr>
          <w:rFonts w:eastAsia="DengXian"/>
          <w:iCs/>
          <w:sz w:val="24"/>
        </w:rPr>
        <w:t xml:space="preserve"> important transition support</w:t>
      </w:r>
      <w:r w:rsidR="00E31833">
        <w:rPr>
          <w:rFonts w:eastAsia="DengXian"/>
          <w:iCs/>
          <w:sz w:val="24"/>
        </w:rPr>
        <w:t xml:space="preserve"> to both </w:t>
      </w:r>
      <w:r w:rsidRPr="00674223">
        <w:rPr>
          <w:rFonts w:eastAsia="DengXian"/>
          <w:iCs/>
          <w:sz w:val="24"/>
        </w:rPr>
        <w:t xml:space="preserve">lay the foundation for the early deployment of 5G and meet the needs of enhanced wireless broadband services. 5G NR standardization </w:t>
      </w:r>
      <w:r w:rsidR="00E31833">
        <w:rPr>
          <w:rFonts w:eastAsia="DengXian"/>
          <w:iCs/>
          <w:sz w:val="24"/>
        </w:rPr>
        <w:t>was</w:t>
      </w:r>
      <w:r w:rsidRPr="00674223">
        <w:rPr>
          <w:rFonts w:eastAsia="DengXian"/>
          <w:iCs/>
          <w:sz w:val="24"/>
        </w:rPr>
        <w:t xml:space="preserve"> completed in 2019 on a large-scale trial deployment</w:t>
      </w:r>
      <w:r w:rsidR="00D23735">
        <w:rPr>
          <w:rFonts w:eastAsia="DengXian"/>
          <w:iCs/>
          <w:sz w:val="24"/>
        </w:rPr>
        <w:t xml:space="preserve"> basis, and </w:t>
      </w:r>
      <w:r w:rsidR="00AE2C99">
        <w:rPr>
          <w:rFonts w:eastAsia="DengXian"/>
          <w:iCs/>
          <w:sz w:val="24"/>
        </w:rPr>
        <w:t xml:space="preserve">it </w:t>
      </w:r>
      <w:r w:rsidRPr="00674223">
        <w:rPr>
          <w:rFonts w:eastAsia="DengXian"/>
          <w:iCs/>
          <w:sz w:val="24"/>
        </w:rPr>
        <w:t xml:space="preserve">is expected </w:t>
      </w:r>
      <w:r w:rsidR="00F74C7F">
        <w:rPr>
          <w:rFonts w:eastAsia="DengXian"/>
          <w:iCs/>
          <w:sz w:val="24"/>
        </w:rPr>
        <w:t xml:space="preserve">that </w:t>
      </w:r>
      <w:r w:rsidR="00DC725C">
        <w:rPr>
          <w:rFonts w:eastAsia="DengXian"/>
          <w:iCs/>
          <w:sz w:val="24"/>
        </w:rPr>
        <w:t>t</w:t>
      </w:r>
      <w:r w:rsidRPr="00674223">
        <w:rPr>
          <w:rFonts w:eastAsia="DengXian"/>
          <w:iCs/>
          <w:sz w:val="24"/>
        </w:rPr>
        <w:t>he number of 5G users will exceed 500 million users</w:t>
      </w:r>
      <w:r w:rsidR="00F74C7F">
        <w:rPr>
          <w:rFonts w:eastAsia="DengXian"/>
          <w:iCs/>
          <w:sz w:val="24"/>
        </w:rPr>
        <w:t xml:space="preserve"> </w:t>
      </w:r>
      <w:r w:rsidR="00F74C7F" w:rsidRPr="00674223">
        <w:rPr>
          <w:rFonts w:eastAsia="DengXian"/>
          <w:iCs/>
          <w:sz w:val="24"/>
        </w:rPr>
        <w:t>by the end of 202</w:t>
      </w:r>
      <w:r w:rsidR="00F74C7F">
        <w:rPr>
          <w:rFonts w:eastAsia="DengXian"/>
          <w:iCs/>
          <w:sz w:val="24"/>
        </w:rPr>
        <w:t xml:space="preserve">2. </w:t>
      </w:r>
    </w:p>
    <w:p w:rsidR="00674223" w:rsidRPr="00674223" w:rsidRDefault="00674223" w:rsidP="00EA7A24">
      <w:pPr>
        <w:pStyle w:val="affe"/>
        <w:adjustRightInd w:val="0"/>
        <w:snapToGrid w:val="0"/>
        <w:spacing w:before="100" w:beforeAutospacing="1" w:line="480" w:lineRule="auto"/>
        <w:ind w:leftChars="0" w:left="0" w:firstLineChars="177" w:firstLine="425"/>
        <w:rPr>
          <w:rFonts w:eastAsia="DengXian"/>
          <w:iCs/>
          <w:sz w:val="24"/>
        </w:rPr>
      </w:pPr>
      <w:r w:rsidRPr="00674223">
        <w:rPr>
          <w:rFonts w:eastAsia="DengXian"/>
          <w:iCs/>
          <w:sz w:val="24"/>
        </w:rPr>
        <w:t>The 5G specification goal</w:t>
      </w:r>
      <w:r w:rsidR="00AE2C99">
        <w:rPr>
          <w:rFonts w:eastAsia="DengXian"/>
          <w:iCs/>
          <w:sz w:val="24"/>
        </w:rPr>
        <w:t>s</w:t>
      </w:r>
      <w:r w:rsidRPr="00674223">
        <w:rPr>
          <w:rFonts w:eastAsia="DengXian"/>
          <w:iCs/>
          <w:sz w:val="24"/>
        </w:rPr>
        <w:t xml:space="preserve"> defined by </w:t>
      </w:r>
      <w:r w:rsidR="00F74C7F">
        <w:rPr>
          <w:rFonts w:eastAsia="DengXian"/>
          <w:iCs/>
          <w:sz w:val="24"/>
        </w:rPr>
        <w:t xml:space="preserve">the </w:t>
      </w:r>
      <w:r w:rsidRPr="00674223">
        <w:rPr>
          <w:rFonts w:eastAsia="DengXian"/>
          <w:iCs/>
          <w:sz w:val="24"/>
        </w:rPr>
        <w:t xml:space="preserve">3GPP </w:t>
      </w:r>
      <w:r w:rsidR="00F74C7F">
        <w:rPr>
          <w:rFonts w:eastAsia="DengXian"/>
          <w:iCs/>
          <w:sz w:val="24"/>
        </w:rPr>
        <w:t>aim to</w:t>
      </w:r>
      <w:r w:rsidRPr="00674223">
        <w:rPr>
          <w:rFonts w:eastAsia="DengXian"/>
          <w:iCs/>
          <w:sz w:val="24"/>
        </w:rPr>
        <w:t xml:space="preserve"> achieve the following three performance indicators</w:t>
      </w:r>
      <w:r w:rsidR="00AE2C99">
        <w:rPr>
          <w:rFonts w:eastAsia="DengXian"/>
          <w:iCs/>
          <w:sz w:val="24"/>
        </w:rPr>
        <w:t>:</w:t>
      </w:r>
    </w:p>
    <w:p w:rsidR="00674223" w:rsidRPr="00674223" w:rsidRDefault="00674223" w:rsidP="00EA7A24">
      <w:pPr>
        <w:pStyle w:val="affe"/>
        <w:adjustRightInd w:val="0"/>
        <w:snapToGrid w:val="0"/>
        <w:spacing w:before="100" w:beforeAutospacing="1" w:line="480" w:lineRule="auto"/>
        <w:ind w:leftChars="135" w:left="283"/>
        <w:rPr>
          <w:rFonts w:eastAsia="DengXian"/>
          <w:iCs/>
          <w:sz w:val="24"/>
        </w:rPr>
      </w:pPr>
      <w:r w:rsidRPr="00674223">
        <w:rPr>
          <w:rFonts w:eastAsia="DengXian"/>
          <w:iCs/>
          <w:sz w:val="24"/>
        </w:rPr>
        <w:t xml:space="preserve">1. </w:t>
      </w:r>
      <w:r w:rsidR="00F74C7F">
        <w:rPr>
          <w:rFonts w:eastAsia="DengXian"/>
          <w:iCs/>
          <w:sz w:val="24"/>
        </w:rPr>
        <w:t>Create d</w:t>
      </w:r>
      <w:r w:rsidRPr="00674223">
        <w:rPr>
          <w:rFonts w:eastAsia="DengXian"/>
          <w:iCs/>
          <w:sz w:val="24"/>
        </w:rPr>
        <w:t>ownload speed exceed</w:t>
      </w:r>
      <w:r w:rsidR="00F74C7F">
        <w:rPr>
          <w:rFonts w:eastAsia="DengXian"/>
          <w:iCs/>
          <w:sz w:val="24"/>
        </w:rPr>
        <w:t>ing</w:t>
      </w:r>
      <w:r w:rsidRPr="00674223">
        <w:rPr>
          <w:rFonts w:eastAsia="DengXian"/>
          <w:iCs/>
          <w:sz w:val="24"/>
        </w:rPr>
        <w:t xml:space="preserve"> the theoretical value of 10 Gb/s to meet the needs of wireless broadband</w:t>
      </w:r>
      <w:r w:rsidR="00F74C7F">
        <w:rPr>
          <w:rFonts w:eastAsia="DengXian"/>
          <w:iCs/>
          <w:sz w:val="24"/>
        </w:rPr>
        <w:t xml:space="preserve"> and</w:t>
      </w:r>
      <w:r w:rsidRPr="00674223">
        <w:rPr>
          <w:rFonts w:eastAsia="DengXian"/>
          <w:iCs/>
          <w:sz w:val="24"/>
        </w:rPr>
        <w:t xml:space="preserve"> enhanced mobile broadband (eMBB)</w:t>
      </w:r>
      <w:r w:rsidR="00D23735">
        <w:rPr>
          <w:rFonts w:eastAsia="DengXian"/>
          <w:iCs/>
          <w:sz w:val="24"/>
        </w:rPr>
        <w:t>,</w:t>
      </w:r>
    </w:p>
    <w:p w:rsidR="00674223" w:rsidRPr="00674223" w:rsidRDefault="00674223" w:rsidP="00EA7A24">
      <w:pPr>
        <w:pStyle w:val="affe"/>
        <w:adjustRightInd w:val="0"/>
        <w:snapToGrid w:val="0"/>
        <w:spacing w:before="100" w:beforeAutospacing="1" w:line="480" w:lineRule="auto"/>
        <w:ind w:leftChars="135" w:left="283" w:firstLine="1"/>
        <w:rPr>
          <w:rFonts w:eastAsia="DengXian"/>
          <w:iCs/>
          <w:sz w:val="24"/>
        </w:rPr>
      </w:pPr>
      <w:r w:rsidRPr="00674223">
        <w:rPr>
          <w:rFonts w:eastAsia="DengXian"/>
          <w:iCs/>
          <w:sz w:val="24"/>
        </w:rPr>
        <w:t xml:space="preserve">2. Support </w:t>
      </w:r>
      <w:r w:rsidR="00F74C7F">
        <w:rPr>
          <w:rFonts w:eastAsia="DengXian"/>
          <w:iCs/>
          <w:sz w:val="24"/>
        </w:rPr>
        <w:t>one</w:t>
      </w:r>
      <w:r w:rsidRPr="00674223">
        <w:rPr>
          <w:rFonts w:eastAsia="DengXian"/>
          <w:iCs/>
          <w:sz w:val="24"/>
        </w:rPr>
        <w:t xml:space="preserve"> million massive machine-type communications (MMTC) connections per square kilometer</w:t>
      </w:r>
      <w:r w:rsidR="00D23735">
        <w:rPr>
          <w:rFonts w:eastAsia="DengXian"/>
          <w:iCs/>
          <w:sz w:val="24"/>
        </w:rPr>
        <w:t>,</w:t>
      </w:r>
    </w:p>
    <w:p w:rsidR="00674223" w:rsidRPr="00674223" w:rsidRDefault="00674223" w:rsidP="00EA7A24">
      <w:pPr>
        <w:pStyle w:val="affe"/>
        <w:adjustRightInd w:val="0"/>
        <w:snapToGrid w:val="0"/>
        <w:spacing w:before="100" w:beforeAutospacing="1" w:line="480" w:lineRule="auto"/>
        <w:ind w:leftChars="135" w:left="283" w:firstLine="1"/>
        <w:rPr>
          <w:rFonts w:eastAsia="DengXian"/>
          <w:iCs/>
          <w:sz w:val="24"/>
        </w:rPr>
      </w:pPr>
      <w:r w:rsidRPr="00674223">
        <w:rPr>
          <w:rFonts w:eastAsia="DengXian"/>
          <w:iCs/>
          <w:sz w:val="24"/>
        </w:rPr>
        <w:t xml:space="preserve">3. </w:t>
      </w:r>
      <w:r w:rsidR="00F74C7F">
        <w:rPr>
          <w:rFonts w:eastAsia="DengXian"/>
          <w:iCs/>
          <w:sz w:val="24"/>
        </w:rPr>
        <w:t>Minimize</w:t>
      </w:r>
      <w:r w:rsidRPr="00674223">
        <w:rPr>
          <w:rFonts w:eastAsia="DengXian"/>
          <w:iCs/>
          <w:sz w:val="24"/>
        </w:rPr>
        <w:t xml:space="preserve"> the communication delay capability </w:t>
      </w:r>
      <w:r w:rsidR="00F74C7F">
        <w:rPr>
          <w:rFonts w:eastAsia="DengXian"/>
          <w:iCs/>
          <w:sz w:val="24"/>
        </w:rPr>
        <w:t>to</w:t>
      </w:r>
      <w:r w:rsidRPr="00674223">
        <w:rPr>
          <w:rFonts w:eastAsia="DengXian"/>
          <w:iCs/>
          <w:sz w:val="24"/>
        </w:rPr>
        <w:t xml:space="preserve"> less than one millisecond (millisecond)</w:t>
      </w:r>
      <w:r w:rsidR="00F74C7F">
        <w:rPr>
          <w:rFonts w:eastAsia="DengXian"/>
          <w:iCs/>
          <w:sz w:val="24"/>
        </w:rPr>
        <w:t xml:space="preserve"> to enable </w:t>
      </w:r>
      <w:r w:rsidRPr="00674223">
        <w:rPr>
          <w:rFonts w:eastAsia="DengXian"/>
          <w:iCs/>
          <w:sz w:val="24"/>
        </w:rPr>
        <w:t>ultra-reliable low-latency communications (URLLC).</w:t>
      </w:r>
    </w:p>
    <w:p w:rsidR="00674223" w:rsidRPr="00674223" w:rsidRDefault="00674223" w:rsidP="00F74C7F">
      <w:pPr>
        <w:pStyle w:val="affe"/>
        <w:adjustRightInd w:val="0"/>
        <w:snapToGrid w:val="0"/>
        <w:spacing w:before="100" w:beforeAutospacing="1" w:line="480" w:lineRule="auto"/>
        <w:ind w:leftChars="0" w:left="0" w:firstLineChars="236" w:firstLine="566"/>
        <w:rPr>
          <w:rFonts w:eastAsia="標楷體"/>
          <w:iCs/>
          <w:sz w:val="24"/>
          <w:lang w:eastAsia="zh-TW"/>
        </w:rPr>
      </w:pPr>
      <w:r w:rsidRPr="00674223">
        <w:rPr>
          <w:rFonts w:eastAsia="標楷體"/>
          <w:iCs/>
          <w:sz w:val="24"/>
          <w:lang w:eastAsia="zh-TW"/>
        </w:rPr>
        <w:t xml:space="preserve">Wireless communication </w:t>
      </w:r>
      <w:r w:rsidR="00DC725C">
        <w:rPr>
          <w:rFonts w:eastAsia="標楷體"/>
          <w:iCs/>
          <w:sz w:val="24"/>
          <w:lang w:eastAsia="zh-TW"/>
        </w:rPr>
        <w:t xml:space="preserve">employs </w:t>
      </w:r>
      <w:r w:rsidRPr="00674223">
        <w:rPr>
          <w:rFonts w:eastAsia="標楷體"/>
          <w:iCs/>
          <w:sz w:val="24"/>
          <w:lang w:eastAsia="zh-TW"/>
        </w:rPr>
        <w:t xml:space="preserve">electromagnetic waves to </w:t>
      </w:r>
      <w:r w:rsidR="00DC725C">
        <w:rPr>
          <w:rFonts w:eastAsia="標楷體"/>
          <w:iCs/>
          <w:sz w:val="24"/>
          <w:lang w:eastAsia="zh-TW"/>
        </w:rPr>
        <w:t xml:space="preserve">transmit </w:t>
      </w:r>
      <w:r w:rsidRPr="00674223">
        <w:rPr>
          <w:rFonts w:eastAsia="標楷體"/>
          <w:iCs/>
          <w:sz w:val="24"/>
          <w:lang w:eastAsia="zh-TW"/>
        </w:rPr>
        <w:t>various</w:t>
      </w:r>
      <w:r w:rsidR="00DC725C">
        <w:rPr>
          <w:rFonts w:eastAsia="標楷體"/>
          <w:iCs/>
          <w:sz w:val="24"/>
          <w:lang w:eastAsia="zh-TW"/>
        </w:rPr>
        <w:t xml:space="preserve"> types of</w:t>
      </w:r>
      <w:r w:rsidRPr="00674223">
        <w:rPr>
          <w:rFonts w:eastAsia="標楷體"/>
          <w:iCs/>
          <w:sz w:val="24"/>
          <w:lang w:eastAsia="zh-TW"/>
        </w:rPr>
        <w:t xml:space="preserve"> information</w:t>
      </w:r>
      <w:r w:rsidR="00D23735">
        <w:rPr>
          <w:rFonts w:eastAsia="標楷體"/>
          <w:iCs/>
          <w:sz w:val="24"/>
          <w:lang w:eastAsia="zh-TW"/>
        </w:rPr>
        <w:t xml:space="preserve"> with the </w:t>
      </w:r>
      <w:r w:rsidRPr="00674223">
        <w:rPr>
          <w:rFonts w:eastAsia="標楷體"/>
          <w:iCs/>
          <w:sz w:val="24"/>
          <w:lang w:eastAsia="zh-TW"/>
        </w:rPr>
        <w:t>waves</w:t>
      </w:r>
      <w:r w:rsidR="00AE2C99">
        <w:rPr>
          <w:rFonts w:eastAsia="標楷體"/>
          <w:iCs/>
          <w:sz w:val="24"/>
          <w:lang w:eastAsia="zh-TW"/>
        </w:rPr>
        <w:t>’</w:t>
      </w:r>
      <w:r w:rsidRPr="00674223">
        <w:rPr>
          <w:rFonts w:eastAsia="標楷體"/>
          <w:iCs/>
          <w:sz w:val="24"/>
          <w:lang w:eastAsia="zh-TW"/>
        </w:rPr>
        <w:t xml:space="preserve"> </w:t>
      </w:r>
      <w:r w:rsidR="00AE2C99">
        <w:rPr>
          <w:rFonts w:eastAsia="標楷體"/>
          <w:iCs/>
          <w:sz w:val="24"/>
          <w:lang w:eastAsia="zh-TW"/>
        </w:rPr>
        <w:t>varying</w:t>
      </w:r>
      <w:r w:rsidRPr="00674223">
        <w:rPr>
          <w:rFonts w:eastAsia="標楷體"/>
          <w:iCs/>
          <w:sz w:val="24"/>
          <w:lang w:eastAsia="zh-TW"/>
        </w:rPr>
        <w:t xml:space="preserve"> frequenc</w:t>
      </w:r>
      <w:r w:rsidR="00AE2C99">
        <w:rPr>
          <w:rFonts w:eastAsia="標楷體"/>
          <w:iCs/>
          <w:sz w:val="24"/>
          <w:lang w:eastAsia="zh-TW"/>
        </w:rPr>
        <w:t>y</w:t>
      </w:r>
      <w:r w:rsidRPr="00674223">
        <w:rPr>
          <w:rFonts w:eastAsia="標楷體"/>
          <w:iCs/>
          <w:sz w:val="24"/>
          <w:lang w:eastAsia="zh-TW"/>
        </w:rPr>
        <w:t xml:space="preserve"> </w:t>
      </w:r>
      <w:r w:rsidR="00AE2C99">
        <w:rPr>
          <w:rFonts w:eastAsia="標楷體"/>
          <w:iCs/>
          <w:sz w:val="24"/>
          <w:lang w:eastAsia="zh-TW"/>
        </w:rPr>
        <w:t>types</w:t>
      </w:r>
      <w:r w:rsidR="00AE2C99" w:rsidRPr="00674223">
        <w:rPr>
          <w:rFonts w:eastAsia="標楷體"/>
          <w:iCs/>
          <w:sz w:val="24"/>
          <w:lang w:eastAsia="zh-TW"/>
        </w:rPr>
        <w:t xml:space="preserve"> </w:t>
      </w:r>
      <w:r w:rsidR="00D23735">
        <w:rPr>
          <w:rFonts w:eastAsia="標楷體"/>
          <w:iCs/>
          <w:sz w:val="24"/>
          <w:lang w:eastAsia="zh-TW"/>
        </w:rPr>
        <w:t xml:space="preserve">determining their differing </w:t>
      </w:r>
      <w:r w:rsidR="00AE2C99" w:rsidRPr="00674223">
        <w:rPr>
          <w:rFonts w:eastAsia="標楷體"/>
          <w:iCs/>
          <w:sz w:val="24"/>
          <w:lang w:eastAsia="zh-TW"/>
        </w:rPr>
        <w:t xml:space="preserve">communication </w:t>
      </w:r>
      <w:r w:rsidRPr="00674223">
        <w:rPr>
          <w:rFonts w:eastAsia="標楷體"/>
          <w:iCs/>
          <w:sz w:val="24"/>
          <w:lang w:eastAsia="zh-TW"/>
        </w:rPr>
        <w:t xml:space="preserve">characteristics and application scenarios. </w:t>
      </w:r>
      <w:r w:rsidR="00D23735">
        <w:rPr>
          <w:rFonts w:eastAsia="標楷體"/>
          <w:iCs/>
          <w:sz w:val="24"/>
          <w:lang w:eastAsia="zh-TW"/>
        </w:rPr>
        <w:t xml:space="preserve">In consideration of the availability of the required </w:t>
      </w:r>
      <w:r w:rsidRPr="00674223">
        <w:rPr>
          <w:rFonts w:eastAsia="標楷體"/>
          <w:iCs/>
          <w:sz w:val="24"/>
          <w:lang w:eastAsia="zh-TW"/>
        </w:rPr>
        <w:t>wireless spectrum frequency</w:t>
      </w:r>
      <w:r w:rsidR="00D23735">
        <w:rPr>
          <w:rFonts w:eastAsia="標楷體"/>
          <w:iCs/>
          <w:sz w:val="24"/>
          <w:lang w:eastAsia="zh-TW"/>
        </w:rPr>
        <w:t xml:space="preserve"> </w:t>
      </w:r>
      <w:r w:rsidRPr="00674223">
        <w:rPr>
          <w:rFonts w:eastAsia="標楷體"/>
          <w:iCs/>
          <w:sz w:val="24"/>
          <w:lang w:eastAsia="zh-TW"/>
        </w:rPr>
        <w:t xml:space="preserve">and commercial considerations, 5G specifications </w:t>
      </w:r>
      <w:r w:rsidR="00F73856">
        <w:rPr>
          <w:rFonts w:eastAsia="標楷體"/>
          <w:iCs/>
          <w:sz w:val="24"/>
          <w:lang w:eastAsia="zh-TW"/>
        </w:rPr>
        <w:t xml:space="preserve">can be </w:t>
      </w:r>
      <w:r w:rsidRPr="00674223">
        <w:rPr>
          <w:rFonts w:eastAsia="標楷體"/>
          <w:iCs/>
          <w:sz w:val="24"/>
          <w:lang w:eastAsia="zh-TW"/>
        </w:rPr>
        <w:t xml:space="preserve">set </w:t>
      </w:r>
      <w:r w:rsidR="00F73856">
        <w:rPr>
          <w:rFonts w:eastAsia="標楷體"/>
          <w:iCs/>
          <w:sz w:val="24"/>
          <w:lang w:eastAsia="zh-TW"/>
        </w:rPr>
        <w:t xml:space="preserve">to </w:t>
      </w:r>
      <w:r w:rsidRPr="00674223">
        <w:rPr>
          <w:rFonts w:eastAsia="標楷體"/>
          <w:iCs/>
          <w:sz w:val="24"/>
          <w:lang w:eastAsia="zh-TW"/>
        </w:rPr>
        <w:t>different frequency bands</w:t>
      </w:r>
      <w:r w:rsidR="00F73856">
        <w:rPr>
          <w:rFonts w:eastAsia="標楷體"/>
          <w:iCs/>
          <w:sz w:val="24"/>
          <w:lang w:eastAsia="zh-TW"/>
        </w:rPr>
        <w:t xml:space="preserve"> to</w:t>
      </w:r>
      <w:r w:rsidRPr="00674223">
        <w:rPr>
          <w:rFonts w:eastAsia="標楷體"/>
          <w:iCs/>
          <w:sz w:val="24"/>
          <w:lang w:eastAsia="zh-TW"/>
        </w:rPr>
        <w:t xml:space="preserve"> satisfy </w:t>
      </w:r>
      <w:r w:rsidR="00F73856">
        <w:rPr>
          <w:rFonts w:eastAsia="標楷體"/>
          <w:iCs/>
          <w:sz w:val="24"/>
          <w:lang w:eastAsia="zh-TW"/>
        </w:rPr>
        <w:t>the</w:t>
      </w:r>
      <w:r w:rsidR="00AE2C99">
        <w:rPr>
          <w:rFonts w:eastAsia="標楷體"/>
          <w:iCs/>
          <w:sz w:val="24"/>
          <w:lang w:eastAsia="zh-TW"/>
        </w:rPr>
        <w:t xml:space="preserve"> needs of an entire country</w:t>
      </w:r>
      <w:r w:rsidRPr="00674223">
        <w:rPr>
          <w:rFonts w:eastAsia="標楷體"/>
          <w:iCs/>
          <w:sz w:val="24"/>
          <w:lang w:eastAsia="zh-TW"/>
        </w:rPr>
        <w:t xml:space="preserve">, </w:t>
      </w:r>
      <w:r w:rsidR="00AE2C99">
        <w:rPr>
          <w:rFonts w:eastAsia="標楷體"/>
          <w:iCs/>
          <w:sz w:val="24"/>
          <w:lang w:eastAsia="zh-TW"/>
        </w:rPr>
        <w:t xml:space="preserve">as well as </w:t>
      </w:r>
      <w:r w:rsidR="00F0543A">
        <w:rPr>
          <w:rFonts w:eastAsia="標楷體"/>
          <w:iCs/>
          <w:sz w:val="24"/>
          <w:lang w:eastAsia="zh-TW"/>
        </w:rPr>
        <w:t xml:space="preserve">individual </w:t>
      </w:r>
      <w:r w:rsidRPr="00674223">
        <w:rPr>
          <w:rFonts w:eastAsia="標楷體"/>
          <w:iCs/>
          <w:sz w:val="24"/>
          <w:lang w:eastAsia="zh-TW"/>
        </w:rPr>
        <w:t xml:space="preserve">markets and </w:t>
      </w:r>
      <w:r w:rsidR="00AE2C99">
        <w:rPr>
          <w:rFonts w:eastAsia="標楷體"/>
          <w:iCs/>
          <w:sz w:val="24"/>
          <w:lang w:eastAsia="zh-TW"/>
        </w:rPr>
        <w:t>a</w:t>
      </w:r>
      <w:r w:rsidR="00F0543A">
        <w:rPr>
          <w:rFonts w:eastAsia="標楷體"/>
          <w:iCs/>
          <w:sz w:val="24"/>
          <w:lang w:eastAsia="zh-TW"/>
        </w:rPr>
        <w:t>n even-wider</w:t>
      </w:r>
      <w:r w:rsidR="00AE2C99">
        <w:rPr>
          <w:rFonts w:eastAsia="標楷體"/>
          <w:iCs/>
          <w:sz w:val="24"/>
          <w:lang w:eastAsia="zh-TW"/>
        </w:rPr>
        <w:t xml:space="preserve"> number of </w:t>
      </w:r>
      <w:r w:rsidRPr="00674223">
        <w:rPr>
          <w:rFonts w:eastAsia="標楷體"/>
          <w:iCs/>
          <w:sz w:val="24"/>
          <w:lang w:eastAsia="zh-TW"/>
        </w:rPr>
        <w:t xml:space="preserve">usage scenarios. </w:t>
      </w:r>
      <w:r w:rsidR="00D23735">
        <w:rPr>
          <w:rFonts w:eastAsia="標楷體"/>
          <w:iCs/>
          <w:sz w:val="24"/>
          <w:lang w:eastAsia="zh-TW"/>
        </w:rPr>
        <w:t xml:space="preserve">The </w:t>
      </w:r>
      <w:r w:rsidR="00D23735" w:rsidRPr="00674223">
        <w:rPr>
          <w:rFonts w:eastAsia="標楷體"/>
          <w:iCs/>
          <w:sz w:val="24"/>
          <w:lang w:eastAsia="zh-TW"/>
        </w:rPr>
        <w:t>frequency range of the 5G band</w:t>
      </w:r>
      <w:r w:rsidR="00D23735">
        <w:rPr>
          <w:rFonts w:eastAsia="標楷體"/>
          <w:iCs/>
          <w:sz w:val="24"/>
          <w:lang w:eastAsia="zh-TW"/>
        </w:rPr>
        <w:t xml:space="preserve"> can be</w:t>
      </w:r>
      <w:r w:rsidR="00D23735" w:rsidRPr="00674223">
        <w:rPr>
          <w:rFonts w:eastAsia="標楷體"/>
          <w:iCs/>
          <w:sz w:val="24"/>
          <w:lang w:eastAsia="zh-TW"/>
        </w:rPr>
        <w:t xml:space="preserve"> divided into three blocks: 5G</w:t>
      </w:r>
      <w:r w:rsidR="00D23735">
        <w:rPr>
          <w:rFonts w:eastAsia="標楷體"/>
          <w:iCs/>
          <w:sz w:val="24"/>
          <w:lang w:eastAsia="zh-TW"/>
        </w:rPr>
        <w:t>-</w:t>
      </w:r>
      <w:r w:rsidR="00D23735" w:rsidRPr="00674223">
        <w:rPr>
          <w:rFonts w:eastAsia="標楷體"/>
          <w:iCs/>
          <w:sz w:val="24"/>
          <w:lang w:eastAsia="zh-TW"/>
        </w:rPr>
        <w:t>low, 5G</w:t>
      </w:r>
      <w:r w:rsidR="00D23735">
        <w:rPr>
          <w:rFonts w:eastAsia="標楷體"/>
          <w:iCs/>
          <w:sz w:val="24"/>
          <w:lang w:eastAsia="zh-TW"/>
        </w:rPr>
        <w:t>-</w:t>
      </w:r>
      <w:r w:rsidR="00D23735" w:rsidRPr="00674223">
        <w:rPr>
          <w:rFonts w:eastAsia="標楷體"/>
          <w:iCs/>
          <w:sz w:val="24"/>
          <w:lang w:eastAsia="zh-TW"/>
        </w:rPr>
        <w:t>intermediate, and 5G</w:t>
      </w:r>
      <w:r w:rsidR="00D23735">
        <w:rPr>
          <w:rFonts w:eastAsia="標楷體"/>
          <w:iCs/>
          <w:sz w:val="24"/>
          <w:lang w:eastAsia="zh-TW"/>
        </w:rPr>
        <w:t>-</w:t>
      </w:r>
      <w:r w:rsidR="00D23735" w:rsidRPr="00674223">
        <w:rPr>
          <w:rFonts w:eastAsia="標楷體"/>
          <w:iCs/>
          <w:sz w:val="24"/>
          <w:lang w:eastAsia="zh-TW"/>
        </w:rPr>
        <w:t>high frequency.</w:t>
      </w:r>
    </w:p>
    <w:p w:rsidR="00674223" w:rsidRDefault="00674223" w:rsidP="00674223">
      <w:pPr>
        <w:pStyle w:val="affe"/>
        <w:adjustRightInd w:val="0"/>
        <w:snapToGrid w:val="0"/>
        <w:spacing w:before="100" w:beforeAutospacing="1" w:line="480" w:lineRule="auto"/>
        <w:ind w:leftChars="0" w:left="0" w:firstLineChars="200" w:firstLine="480"/>
        <w:rPr>
          <w:rFonts w:eastAsia="標楷體"/>
          <w:iCs/>
          <w:sz w:val="24"/>
          <w:lang w:eastAsia="zh-TW"/>
        </w:rPr>
      </w:pPr>
      <w:r w:rsidRPr="00674223">
        <w:rPr>
          <w:rFonts w:eastAsia="標楷體"/>
          <w:iCs/>
          <w:sz w:val="24"/>
          <w:lang w:eastAsia="zh-TW"/>
        </w:rPr>
        <w:t xml:space="preserve">With </w:t>
      </w:r>
      <w:r w:rsidR="00AE2C99">
        <w:rPr>
          <w:rFonts w:eastAsia="標楷體"/>
          <w:iCs/>
          <w:sz w:val="24"/>
          <w:lang w:eastAsia="zh-TW"/>
        </w:rPr>
        <w:t xml:space="preserve">the development of </w:t>
      </w:r>
      <w:r w:rsidRPr="00674223">
        <w:rPr>
          <w:rFonts w:eastAsia="標楷體"/>
          <w:iCs/>
          <w:sz w:val="24"/>
          <w:lang w:eastAsia="zh-TW"/>
        </w:rPr>
        <w:t xml:space="preserve">multiple frequency band definitions, coupled with </w:t>
      </w:r>
      <w:r w:rsidR="00AE2C99">
        <w:rPr>
          <w:rFonts w:eastAsia="標楷體"/>
          <w:iCs/>
          <w:sz w:val="24"/>
          <w:lang w:eastAsia="zh-TW"/>
        </w:rPr>
        <w:t>increased</w:t>
      </w:r>
      <w:r w:rsidRPr="00674223">
        <w:rPr>
          <w:rFonts w:eastAsia="標楷體"/>
          <w:iCs/>
          <w:sz w:val="24"/>
          <w:lang w:eastAsia="zh-TW"/>
        </w:rPr>
        <w:t xml:space="preserve"> techn</w:t>
      </w:r>
      <w:r w:rsidR="00D23735">
        <w:rPr>
          <w:rFonts w:eastAsia="標楷體"/>
          <w:iCs/>
          <w:sz w:val="24"/>
          <w:lang w:eastAsia="zh-TW"/>
        </w:rPr>
        <w:t xml:space="preserve">ological </w:t>
      </w:r>
      <w:r w:rsidRPr="00674223">
        <w:rPr>
          <w:rFonts w:eastAsia="標楷體"/>
          <w:iCs/>
          <w:sz w:val="24"/>
          <w:lang w:eastAsia="zh-TW"/>
        </w:rPr>
        <w:t>adva</w:t>
      </w:r>
      <w:r w:rsidR="003A428B">
        <w:rPr>
          <w:rFonts w:eastAsia="標楷體"/>
          <w:iCs/>
          <w:sz w:val="24"/>
          <w:lang w:eastAsia="zh-TW"/>
        </w:rPr>
        <w:t>ncements</w:t>
      </w:r>
      <w:r w:rsidRPr="00674223">
        <w:rPr>
          <w:rFonts w:eastAsia="標楷體"/>
          <w:iCs/>
          <w:sz w:val="24"/>
          <w:lang w:eastAsia="zh-TW"/>
        </w:rPr>
        <w:t xml:space="preserve"> and </w:t>
      </w:r>
      <w:r w:rsidR="003A428B">
        <w:rPr>
          <w:rFonts w:eastAsia="標楷體"/>
          <w:iCs/>
          <w:sz w:val="24"/>
          <w:lang w:eastAsia="zh-TW"/>
        </w:rPr>
        <w:t xml:space="preserve">enhanced </w:t>
      </w:r>
      <w:r w:rsidR="003A428B" w:rsidRPr="00674223">
        <w:rPr>
          <w:rFonts w:eastAsia="標楷體"/>
          <w:iCs/>
          <w:sz w:val="24"/>
          <w:lang w:eastAsia="zh-TW"/>
        </w:rPr>
        <w:t>eMBB, MMTC, and URLLC</w:t>
      </w:r>
      <w:r w:rsidRPr="00674223">
        <w:rPr>
          <w:rFonts w:eastAsia="標楷體"/>
          <w:iCs/>
          <w:sz w:val="24"/>
          <w:lang w:eastAsia="zh-TW"/>
        </w:rPr>
        <w:t xml:space="preserve">, telecom operators in the </w:t>
      </w:r>
      <w:r w:rsidR="00F0543A">
        <w:rPr>
          <w:rFonts w:eastAsia="標楷體"/>
          <w:iCs/>
          <w:sz w:val="24"/>
          <w:lang w:eastAsia="zh-TW"/>
        </w:rPr>
        <w:t>n</w:t>
      </w:r>
      <w:r w:rsidRPr="00674223">
        <w:rPr>
          <w:rFonts w:eastAsia="標楷體"/>
          <w:iCs/>
          <w:sz w:val="24"/>
          <w:lang w:eastAsia="zh-TW"/>
        </w:rPr>
        <w:t xml:space="preserve">etcom industry hope to </w:t>
      </w:r>
      <w:r w:rsidR="00AE2C99">
        <w:rPr>
          <w:rFonts w:eastAsia="標楷體"/>
          <w:iCs/>
          <w:sz w:val="24"/>
          <w:lang w:eastAsia="zh-TW"/>
        </w:rPr>
        <w:t>provide</w:t>
      </w:r>
      <w:r w:rsidR="00F73856">
        <w:rPr>
          <w:rFonts w:eastAsia="標楷體"/>
          <w:iCs/>
          <w:sz w:val="24"/>
          <w:lang w:eastAsia="zh-TW"/>
        </w:rPr>
        <w:t xml:space="preserve"> </w:t>
      </w:r>
      <w:r w:rsidR="00D23735">
        <w:rPr>
          <w:rFonts w:eastAsia="標楷體"/>
          <w:iCs/>
          <w:sz w:val="24"/>
          <w:lang w:eastAsia="zh-TW"/>
        </w:rPr>
        <w:t xml:space="preserve">future </w:t>
      </w:r>
      <w:r w:rsidRPr="00674223">
        <w:rPr>
          <w:rFonts w:eastAsia="標楷體"/>
          <w:iCs/>
          <w:sz w:val="24"/>
          <w:lang w:eastAsia="zh-TW"/>
        </w:rPr>
        <w:t xml:space="preserve">consumers </w:t>
      </w:r>
      <w:r w:rsidR="00AE2C99">
        <w:rPr>
          <w:rFonts w:eastAsia="標楷體"/>
          <w:iCs/>
          <w:sz w:val="24"/>
          <w:lang w:eastAsia="zh-TW"/>
        </w:rPr>
        <w:t xml:space="preserve">with </w:t>
      </w:r>
      <w:r w:rsidRPr="00674223">
        <w:rPr>
          <w:rFonts w:eastAsia="標楷體"/>
          <w:iCs/>
          <w:sz w:val="24"/>
          <w:lang w:eastAsia="zh-TW"/>
        </w:rPr>
        <w:t xml:space="preserve">more convenient network services and </w:t>
      </w:r>
      <w:r w:rsidR="00051AA5">
        <w:rPr>
          <w:rFonts w:eastAsia="標楷體"/>
          <w:iCs/>
          <w:sz w:val="24"/>
          <w:lang w:eastAsia="zh-TW"/>
        </w:rPr>
        <w:t xml:space="preserve">extensively </w:t>
      </w:r>
      <w:r w:rsidRPr="00674223">
        <w:rPr>
          <w:rFonts w:eastAsia="標楷體"/>
          <w:iCs/>
          <w:sz w:val="24"/>
          <w:lang w:eastAsia="zh-TW"/>
        </w:rPr>
        <w:t>diversified businesses service</w:t>
      </w:r>
      <w:r w:rsidR="00F73856">
        <w:rPr>
          <w:rFonts w:eastAsia="標楷體"/>
          <w:iCs/>
          <w:sz w:val="24"/>
          <w:lang w:eastAsia="zh-TW"/>
        </w:rPr>
        <w:t>s</w:t>
      </w:r>
      <w:r w:rsidRPr="00674223">
        <w:rPr>
          <w:rFonts w:eastAsia="標楷體"/>
          <w:iCs/>
          <w:sz w:val="24"/>
          <w:lang w:eastAsia="zh-TW"/>
        </w:rPr>
        <w:t>. Th</w:t>
      </w:r>
      <w:r w:rsidR="00F73856">
        <w:rPr>
          <w:rFonts w:eastAsia="標楷體"/>
          <w:iCs/>
          <w:sz w:val="24"/>
          <w:lang w:eastAsia="zh-TW"/>
        </w:rPr>
        <w:t xml:space="preserve">e 5G </w:t>
      </w:r>
      <w:r w:rsidR="00F73856">
        <w:rPr>
          <w:rFonts w:eastAsia="標楷體" w:hint="eastAsia"/>
          <w:iCs/>
          <w:sz w:val="24"/>
          <w:lang w:eastAsia="zh-TW"/>
        </w:rPr>
        <w:t>w</w:t>
      </w:r>
      <w:r w:rsidR="00F73856">
        <w:rPr>
          <w:rFonts w:eastAsia="標楷體"/>
          <w:iCs/>
          <w:sz w:val="24"/>
          <w:lang w:eastAsia="zh-TW"/>
        </w:rPr>
        <w:t>ave</w:t>
      </w:r>
      <w:r w:rsidRPr="00674223">
        <w:rPr>
          <w:rFonts w:eastAsia="標楷體"/>
          <w:iCs/>
          <w:sz w:val="24"/>
          <w:lang w:eastAsia="zh-TW"/>
        </w:rPr>
        <w:t xml:space="preserve"> has </w:t>
      </w:r>
      <w:r w:rsidR="00051AA5">
        <w:rPr>
          <w:rFonts w:eastAsia="標楷體"/>
          <w:iCs/>
          <w:sz w:val="24"/>
          <w:lang w:eastAsia="zh-TW"/>
        </w:rPr>
        <w:t xml:space="preserve">had a </w:t>
      </w:r>
      <w:r w:rsidR="00D23735">
        <w:rPr>
          <w:rFonts w:eastAsia="標楷體"/>
          <w:iCs/>
          <w:sz w:val="24"/>
          <w:lang w:eastAsia="zh-TW"/>
        </w:rPr>
        <w:t>tremendous</w:t>
      </w:r>
      <w:r w:rsidR="00051AA5">
        <w:rPr>
          <w:rFonts w:eastAsia="標楷體"/>
          <w:iCs/>
          <w:sz w:val="24"/>
          <w:lang w:eastAsia="zh-TW"/>
        </w:rPr>
        <w:t xml:space="preserve"> impact on business and created numerous </w:t>
      </w:r>
      <w:r w:rsidRPr="00674223">
        <w:rPr>
          <w:rFonts w:eastAsia="標楷體"/>
          <w:iCs/>
          <w:sz w:val="24"/>
          <w:lang w:eastAsia="zh-TW"/>
        </w:rPr>
        <w:t xml:space="preserve">opportunities for different industries. </w:t>
      </w:r>
      <w:r w:rsidR="00051AA5">
        <w:rPr>
          <w:rFonts w:eastAsia="標楷體"/>
          <w:iCs/>
          <w:sz w:val="24"/>
          <w:lang w:eastAsia="zh-TW"/>
        </w:rPr>
        <w:t>M</w:t>
      </w:r>
      <w:r w:rsidRPr="00674223">
        <w:rPr>
          <w:rFonts w:eastAsia="標楷體"/>
          <w:iCs/>
          <w:sz w:val="24"/>
          <w:lang w:eastAsia="zh-TW"/>
        </w:rPr>
        <w:t xml:space="preserve">ore than half of the Fortune 500 companies in the United States </w:t>
      </w:r>
      <w:r w:rsidR="00051AA5" w:rsidRPr="00674223">
        <w:rPr>
          <w:rFonts w:eastAsia="標楷體"/>
          <w:iCs/>
          <w:sz w:val="24"/>
          <w:lang w:eastAsia="zh-TW"/>
        </w:rPr>
        <w:t xml:space="preserve">since 2000 </w:t>
      </w:r>
      <w:r w:rsidRPr="00674223">
        <w:rPr>
          <w:rFonts w:eastAsia="標楷體"/>
          <w:iCs/>
          <w:sz w:val="24"/>
          <w:lang w:eastAsia="zh-TW"/>
        </w:rPr>
        <w:t>have disappeared</w:t>
      </w:r>
      <w:r w:rsidR="00051AA5">
        <w:rPr>
          <w:rFonts w:eastAsia="標楷體"/>
          <w:iCs/>
          <w:sz w:val="24"/>
          <w:lang w:eastAsia="zh-TW"/>
        </w:rPr>
        <w:t xml:space="preserve">, underwent mergers or simply </w:t>
      </w:r>
      <w:r w:rsidR="00F0543A">
        <w:rPr>
          <w:rFonts w:eastAsia="標楷體"/>
          <w:iCs/>
          <w:sz w:val="24"/>
          <w:lang w:eastAsia="zh-TW"/>
        </w:rPr>
        <w:t xml:space="preserve">gone </w:t>
      </w:r>
      <w:r w:rsidR="00051AA5">
        <w:rPr>
          <w:rFonts w:eastAsia="標楷體"/>
          <w:iCs/>
          <w:sz w:val="24"/>
          <w:lang w:eastAsia="zh-TW"/>
        </w:rPr>
        <w:t>bankrupt</w:t>
      </w:r>
      <w:r w:rsidRPr="00674223">
        <w:rPr>
          <w:rFonts w:eastAsia="標楷體"/>
          <w:iCs/>
          <w:sz w:val="24"/>
          <w:lang w:eastAsia="zh-TW"/>
        </w:rPr>
        <w:t xml:space="preserve"> due to </w:t>
      </w:r>
      <w:r w:rsidR="00051AA5">
        <w:rPr>
          <w:rFonts w:eastAsia="標楷體"/>
          <w:iCs/>
          <w:sz w:val="24"/>
          <w:lang w:eastAsia="zh-TW"/>
        </w:rPr>
        <w:t xml:space="preserve">their </w:t>
      </w:r>
      <w:r w:rsidRPr="00674223">
        <w:rPr>
          <w:rFonts w:eastAsia="標楷體"/>
          <w:iCs/>
          <w:sz w:val="24"/>
          <w:lang w:eastAsia="zh-TW"/>
        </w:rPr>
        <w:t xml:space="preserve">inability </w:t>
      </w:r>
      <w:r w:rsidR="00051AA5">
        <w:rPr>
          <w:rFonts w:eastAsia="標楷體"/>
          <w:iCs/>
          <w:sz w:val="24"/>
          <w:lang w:eastAsia="zh-TW"/>
        </w:rPr>
        <w:t>to adapt</w:t>
      </w:r>
      <w:r w:rsidRPr="00674223">
        <w:rPr>
          <w:rFonts w:eastAsia="標楷體"/>
          <w:iCs/>
          <w:sz w:val="24"/>
          <w:lang w:eastAsia="zh-TW"/>
        </w:rPr>
        <w:t xml:space="preserve"> to th</w:t>
      </w:r>
      <w:r w:rsidR="00F0543A">
        <w:rPr>
          <w:rFonts w:eastAsia="標楷體"/>
          <w:iCs/>
          <w:sz w:val="24"/>
          <w:lang w:eastAsia="zh-TW"/>
        </w:rPr>
        <w:t xml:space="preserve">is ever-changing </w:t>
      </w:r>
      <w:r w:rsidRPr="00674223">
        <w:rPr>
          <w:rFonts w:eastAsia="標楷體"/>
          <w:iCs/>
          <w:sz w:val="24"/>
          <w:lang w:eastAsia="zh-TW"/>
        </w:rPr>
        <w:t xml:space="preserve">environment. </w:t>
      </w:r>
      <w:r w:rsidR="00051AA5">
        <w:rPr>
          <w:rFonts w:eastAsia="標楷體"/>
          <w:iCs/>
          <w:sz w:val="24"/>
          <w:lang w:eastAsia="zh-TW"/>
        </w:rPr>
        <w:t>C</w:t>
      </w:r>
      <w:r w:rsidRPr="00674223">
        <w:rPr>
          <w:rFonts w:eastAsia="標楷體"/>
          <w:iCs/>
          <w:sz w:val="24"/>
          <w:lang w:eastAsia="zh-TW"/>
        </w:rPr>
        <w:t xml:space="preserve">ompanies </w:t>
      </w:r>
      <w:r w:rsidR="00051AA5">
        <w:rPr>
          <w:rFonts w:eastAsia="標楷體"/>
          <w:iCs/>
          <w:sz w:val="24"/>
          <w:lang w:eastAsia="zh-TW"/>
        </w:rPr>
        <w:t>the world over must now rethink their transformations</w:t>
      </w:r>
      <w:r w:rsidRPr="00674223">
        <w:rPr>
          <w:rFonts w:eastAsia="標楷體"/>
          <w:iCs/>
          <w:sz w:val="24"/>
          <w:lang w:eastAsia="zh-TW"/>
        </w:rPr>
        <w:t xml:space="preserve">, find new positions in the industry, </w:t>
      </w:r>
      <w:r w:rsidR="009E7246">
        <w:rPr>
          <w:rFonts w:eastAsia="標楷體"/>
          <w:iCs/>
          <w:sz w:val="24"/>
          <w:lang w:eastAsia="zh-TW"/>
        </w:rPr>
        <w:t>forge</w:t>
      </w:r>
      <w:r w:rsidRPr="00674223">
        <w:rPr>
          <w:rFonts w:eastAsia="標楷體"/>
          <w:iCs/>
          <w:sz w:val="24"/>
          <w:lang w:eastAsia="zh-TW"/>
        </w:rPr>
        <w:t xml:space="preserve"> new business models, adjust to new </w:t>
      </w:r>
      <w:r w:rsidR="00051AA5" w:rsidRPr="00674223">
        <w:rPr>
          <w:rFonts w:eastAsia="標楷體"/>
          <w:iCs/>
          <w:sz w:val="24"/>
          <w:lang w:eastAsia="zh-TW"/>
        </w:rPr>
        <w:t xml:space="preserve">technological </w:t>
      </w:r>
      <w:r w:rsidRPr="00674223">
        <w:rPr>
          <w:rFonts w:eastAsia="標楷體"/>
          <w:iCs/>
          <w:sz w:val="24"/>
          <w:lang w:eastAsia="zh-TW"/>
        </w:rPr>
        <w:t xml:space="preserve">trends, </w:t>
      </w:r>
      <w:r w:rsidR="00051AA5">
        <w:rPr>
          <w:rFonts w:eastAsia="標楷體"/>
          <w:iCs/>
          <w:sz w:val="24"/>
          <w:lang w:eastAsia="zh-TW"/>
        </w:rPr>
        <w:t>seek</w:t>
      </w:r>
      <w:r w:rsidRPr="00674223">
        <w:rPr>
          <w:rFonts w:eastAsia="標楷體"/>
          <w:iCs/>
          <w:sz w:val="24"/>
          <w:lang w:eastAsia="zh-TW"/>
        </w:rPr>
        <w:t xml:space="preserve"> </w:t>
      </w:r>
      <w:r w:rsidR="009E7246">
        <w:rPr>
          <w:rFonts w:eastAsia="標楷體"/>
          <w:iCs/>
          <w:sz w:val="24"/>
          <w:lang w:eastAsia="zh-TW"/>
        </w:rPr>
        <w:t>fresh</w:t>
      </w:r>
      <w:r w:rsidRPr="00674223">
        <w:rPr>
          <w:rFonts w:eastAsia="標楷體"/>
          <w:iCs/>
          <w:sz w:val="24"/>
          <w:lang w:eastAsia="zh-TW"/>
        </w:rPr>
        <w:t xml:space="preserve"> business opportunities</w:t>
      </w:r>
      <w:r w:rsidR="00051AA5">
        <w:rPr>
          <w:rFonts w:eastAsia="標楷體"/>
          <w:iCs/>
          <w:sz w:val="24"/>
          <w:lang w:eastAsia="zh-TW"/>
        </w:rPr>
        <w:t xml:space="preserve"> and </w:t>
      </w:r>
      <w:r w:rsidR="00547D45">
        <w:rPr>
          <w:rFonts w:eastAsia="標楷體"/>
          <w:iCs/>
          <w:sz w:val="24"/>
          <w:lang w:eastAsia="zh-TW"/>
        </w:rPr>
        <w:t>ascertain</w:t>
      </w:r>
      <w:r w:rsidRPr="00674223">
        <w:rPr>
          <w:rFonts w:eastAsia="標楷體"/>
          <w:iCs/>
          <w:sz w:val="24"/>
          <w:lang w:eastAsia="zh-TW"/>
        </w:rPr>
        <w:t xml:space="preserve"> new development</w:t>
      </w:r>
      <w:r w:rsidR="00D23735">
        <w:rPr>
          <w:rFonts w:eastAsia="標楷體"/>
          <w:iCs/>
          <w:sz w:val="24"/>
          <w:lang w:eastAsia="zh-TW"/>
        </w:rPr>
        <w:t>al</w:t>
      </w:r>
      <w:r w:rsidRPr="00674223">
        <w:rPr>
          <w:rFonts w:eastAsia="標楷體"/>
          <w:iCs/>
          <w:sz w:val="24"/>
          <w:lang w:eastAsia="zh-TW"/>
        </w:rPr>
        <w:t xml:space="preserve"> directions</w:t>
      </w:r>
      <w:r w:rsidR="00051AA5">
        <w:rPr>
          <w:rFonts w:eastAsia="標楷體"/>
          <w:iCs/>
          <w:sz w:val="24"/>
          <w:lang w:eastAsia="zh-TW"/>
        </w:rPr>
        <w:t xml:space="preserve"> to avoid being submerged by this ominous wave</w:t>
      </w:r>
      <w:r w:rsidRPr="00674223">
        <w:rPr>
          <w:rFonts w:eastAsia="標楷體"/>
          <w:iCs/>
          <w:sz w:val="24"/>
          <w:lang w:eastAsia="zh-TW"/>
        </w:rPr>
        <w:t xml:space="preserve">. </w:t>
      </w:r>
      <w:r w:rsidR="00D23735">
        <w:rPr>
          <w:rFonts w:eastAsia="標楷體"/>
          <w:iCs/>
          <w:sz w:val="24"/>
          <w:lang w:eastAsia="zh-TW"/>
        </w:rPr>
        <w:t xml:space="preserve">However, the </w:t>
      </w:r>
      <w:r w:rsidR="009E7246">
        <w:rPr>
          <w:rFonts w:eastAsia="標楷體"/>
          <w:iCs/>
          <w:sz w:val="24"/>
          <w:lang w:eastAsia="zh-TW"/>
        </w:rPr>
        <w:t xml:space="preserve">development of </w:t>
      </w:r>
      <w:r w:rsidRPr="00674223">
        <w:rPr>
          <w:rFonts w:eastAsia="標楷體"/>
          <w:iCs/>
          <w:sz w:val="24"/>
          <w:lang w:eastAsia="zh-TW"/>
        </w:rPr>
        <w:t>5G</w:t>
      </w:r>
      <w:r w:rsidR="009E7246">
        <w:rPr>
          <w:rFonts w:eastAsia="標楷體"/>
          <w:iCs/>
          <w:sz w:val="24"/>
          <w:lang w:eastAsia="zh-TW"/>
        </w:rPr>
        <w:t xml:space="preserve"> technology has</w:t>
      </w:r>
      <w:r w:rsidR="00D23735">
        <w:rPr>
          <w:rFonts w:eastAsia="標楷體"/>
          <w:iCs/>
          <w:sz w:val="24"/>
          <w:lang w:eastAsia="zh-TW"/>
        </w:rPr>
        <w:t xml:space="preserve"> </w:t>
      </w:r>
      <w:r w:rsidR="009E7246">
        <w:rPr>
          <w:rFonts w:eastAsia="標楷體"/>
          <w:iCs/>
          <w:sz w:val="24"/>
          <w:lang w:eastAsia="zh-TW"/>
        </w:rPr>
        <w:t xml:space="preserve">not only </w:t>
      </w:r>
      <w:r w:rsidRPr="00674223">
        <w:rPr>
          <w:rFonts w:eastAsia="標楷體"/>
          <w:iCs/>
          <w:sz w:val="24"/>
          <w:lang w:eastAsia="zh-TW"/>
        </w:rPr>
        <w:t>present</w:t>
      </w:r>
      <w:r w:rsidR="009E7246">
        <w:rPr>
          <w:rFonts w:eastAsia="標楷體"/>
          <w:iCs/>
          <w:sz w:val="24"/>
          <w:lang w:eastAsia="zh-TW"/>
        </w:rPr>
        <w:t>ed</w:t>
      </w:r>
      <w:r w:rsidRPr="00674223">
        <w:rPr>
          <w:rFonts w:eastAsia="標楷體"/>
          <w:iCs/>
          <w:sz w:val="24"/>
          <w:lang w:eastAsia="zh-TW"/>
        </w:rPr>
        <w:t xml:space="preserve"> </w:t>
      </w:r>
      <w:r w:rsidR="009E7246">
        <w:rPr>
          <w:rFonts w:eastAsia="標楷體"/>
          <w:iCs/>
          <w:sz w:val="24"/>
          <w:lang w:eastAsia="zh-TW"/>
        </w:rPr>
        <w:t xml:space="preserve">numerous </w:t>
      </w:r>
      <w:r w:rsidRPr="00674223">
        <w:rPr>
          <w:rFonts w:eastAsia="標楷體"/>
          <w:iCs/>
          <w:sz w:val="24"/>
          <w:lang w:eastAsia="zh-TW"/>
        </w:rPr>
        <w:t xml:space="preserve">challenges for the network industry, but </w:t>
      </w:r>
      <w:r w:rsidR="00547D45">
        <w:rPr>
          <w:rFonts w:eastAsia="標楷體"/>
          <w:iCs/>
          <w:sz w:val="24"/>
          <w:lang w:eastAsia="zh-TW"/>
        </w:rPr>
        <w:t xml:space="preserve">also </w:t>
      </w:r>
      <w:r w:rsidR="009E7246">
        <w:rPr>
          <w:rFonts w:eastAsia="標楷體"/>
          <w:iCs/>
          <w:sz w:val="24"/>
          <w:lang w:eastAsia="zh-TW"/>
        </w:rPr>
        <w:t>delivered many new</w:t>
      </w:r>
      <w:r w:rsidRPr="00674223">
        <w:rPr>
          <w:rFonts w:eastAsia="標楷體"/>
          <w:iCs/>
          <w:sz w:val="24"/>
          <w:lang w:eastAsia="zh-TW"/>
        </w:rPr>
        <w:t xml:space="preserve"> business opportunities</w:t>
      </w:r>
      <w:r w:rsidR="009E7246">
        <w:rPr>
          <w:rFonts w:eastAsia="標楷體"/>
          <w:iCs/>
          <w:sz w:val="24"/>
          <w:lang w:eastAsia="zh-TW"/>
        </w:rPr>
        <w:t>, as well</w:t>
      </w:r>
      <w:r w:rsidRPr="00674223">
        <w:rPr>
          <w:rFonts w:eastAsia="標楷體"/>
          <w:iCs/>
          <w:sz w:val="24"/>
          <w:lang w:eastAsia="zh-TW"/>
        </w:rPr>
        <w:t>.</w:t>
      </w:r>
    </w:p>
    <w:p w:rsidR="00674223" w:rsidRPr="00674223" w:rsidRDefault="00674223" w:rsidP="00526252">
      <w:pPr>
        <w:pStyle w:val="affe"/>
        <w:adjustRightInd w:val="0"/>
        <w:snapToGrid w:val="0"/>
        <w:spacing w:before="100" w:beforeAutospacing="1" w:line="480" w:lineRule="auto"/>
        <w:ind w:leftChars="0" w:left="0" w:firstLineChars="200" w:firstLine="480"/>
        <w:rPr>
          <w:rFonts w:eastAsia="標楷體"/>
          <w:iCs/>
          <w:sz w:val="24"/>
          <w:lang w:eastAsia="zh-TW"/>
        </w:rPr>
      </w:pPr>
      <w:r w:rsidRPr="00674223">
        <w:rPr>
          <w:rFonts w:eastAsia="標楷體"/>
          <w:iCs/>
          <w:sz w:val="24"/>
          <w:lang w:eastAsia="zh-TW"/>
        </w:rPr>
        <w:t xml:space="preserve">Debnath and Shankar </w:t>
      </w:r>
      <w:r w:rsidR="009E7246">
        <w:rPr>
          <w:rFonts w:eastAsia="標楷體"/>
          <w:iCs/>
          <w:sz w:val="24"/>
          <w:lang w:eastAsia="zh-TW"/>
        </w:rPr>
        <w:t>employed</w:t>
      </w:r>
      <w:r w:rsidRPr="00674223">
        <w:rPr>
          <w:rFonts w:eastAsia="標楷體"/>
          <w:iCs/>
          <w:sz w:val="24"/>
          <w:lang w:eastAsia="zh-TW"/>
        </w:rPr>
        <w:t xml:space="preserve"> the DEA model to obtain the relative efficiency ranking of </w:t>
      </w:r>
      <w:r w:rsidR="003A428B" w:rsidRPr="00674223">
        <w:rPr>
          <w:rFonts w:eastAsia="標楷體"/>
          <w:iCs/>
          <w:sz w:val="24"/>
          <w:lang w:eastAsia="zh-TW"/>
        </w:rPr>
        <w:t xml:space="preserve">Indian telecom operators </w:t>
      </w:r>
      <w:r w:rsidR="00F73856">
        <w:rPr>
          <w:rFonts w:eastAsia="標楷體"/>
          <w:iCs/>
          <w:sz w:val="24"/>
          <w:lang w:eastAsia="zh-TW"/>
        </w:rPr>
        <w:t>and</w:t>
      </w:r>
      <w:r w:rsidRPr="00674223">
        <w:rPr>
          <w:rFonts w:eastAsia="標楷體"/>
          <w:iCs/>
          <w:sz w:val="24"/>
          <w:lang w:eastAsia="zh-TW"/>
        </w:rPr>
        <w:t xml:space="preserve"> calculate the</w:t>
      </w:r>
      <w:r w:rsidR="003A428B">
        <w:rPr>
          <w:rFonts w:eastAsia="標楷體"/>
          <w:iCs/>
          <w:sz w:val="24"/>
          <w:lang w:eastAsia="zh-TW"/>
        </w:rPr>
        <w:t>ir</w:t>
      </w:r>
      <w:r w:rsidRPr="00674223">
        <w:rPr>
          <w:rFonts w:eastAsia="標楷體"/>
          <w:iCs/>
          <w:sz w:val="24"/>
          <w:lang w:eastAsia="zh-TW"/>
        </w:rPr>
        <w:t xml:space="preserve"> relative efficiency (Debnath &amp; Shankar, 2008).</w:t>
      </w:r>
      <w:r w:rsidR="00F73856">
        <w:rPr>
          <w:rFonts w:eastAsia="標楷體"/>
          <w:iCs/>
          <w:sz w:val="24"/>
          <w:lang w:eastAsia="zh-TW"/>
        </w:rPr>
        <w:t xml:space="preserve"> T</w:t>
      </w:r>
      <w:r w:rsidRPr="00674223">
        <w:rPr>
          <w:rFonts w:eastAsia="標楷體"/>
          <w:iCs/>
          <w:sz w:val="24"/>
          <w:lang w:eastAsia="zh-TW"/>
        </w:rPr>
        <w:t>he relative efficiency of Taiwanese telecom operators from 2001 to 2005</w:t>
      </w:r>
      <w:r w:rsidR="00F73856">
        <w:rPr>
          <w:rFonts w:eastAsia="標楷體"/>
          <w:iCs/>
          <w:sz w:val="24"/>
          <w:lang w:eastAsia="zh-TW"/>
        </w:rPr>
        <w:t xml:space="preserve"> was </w:t>
      </w:r>
      <w:r w:rsidR="003A428B">
        <w:rPr>
          <w:rFonts w:eastAsia="標楷體"/>
          <w:iCs/>
          <w:sz w:val="24"/>
          <w:lang w:eastAsia="zh-TW"/>
        </w:rPr>
        <w:t xml:space="preserve">similarly </w:t>
      </w:r>
      <w:r w:rsidR="00F73856">
        <w:rPr>
          <w:rFonts w:eastAsia="標楷體"/>
          <w:iCs/>
          <w:sz w:val="24"/>
          <w:lang w:eastAsia="zh-TW"/>
        </w:rPr>
        <w:t>measure</w:t>
      </w:r>
      <w:r w:rsidR="009E7246">
        <w:rPr>
          <w:rFonts w:eastAsia="標楷體"/>
          <w:iCs/>
          <w:sz w:val="24"/>
          <w:lang w:eastAsia="zh-TW"/>
        </w:rPr>
        <w:t>d</w:t>
      </w:r>
      <w:r w:rsidR="00F73856">
        <w:rPr>
          <w:rFonts w:eastAsia="標楷體"/>
          <w:iCs/>
          <w:sz w:val="24"/>
          <w:lang w:eastAsia="zh-TW"/>
        </w:rPr>
        <w:t xml:space="preserve"> by Yang and Chang via </w:t>
      </w:r>
      <w:r w:rsidRPr="00674223">
        <w:rPr>
          <w:rFonts w:eastAsia="標楷體"/>
          <w:iCs/>
          <w:sz w:val="24"/>
          <w:lang w:eastAsia="zh-TW"/>
        </w:rPr>
        <w:t xml:space="preserve">a constant and variable regression research method based on scale measurement (Yang &amp; Chang, 2009). Kumar, Shankar and Debnath </w:t>
      </w:r>
      <w:r w:rsidR="009E7246">
        <w:rPr>
          <w:rFonts w:eastAsia="標楷體"/>
          <w:iCs/>
          <w:sz w:val="24"/>
          <w:lang w:eastAsia="zh-TW"/>
        </w:rPr>
        <w:t>investigated</w:t>
      </w:r>
      <w:r w:rsidRPr="00674223">
        <w:rPr>
          <w:rFonts w:eastAsia="標楷體"/>
          <w:iCs/>
          <w:sz w:val="24"/>
          <w:lang w:eastAsia="zh-TW"/>
        </w:rPr>
        <w:t xml:space="preserve"> key factors affecting Indian consumers’ </w:t>
      </w:r>
      <w:r w:rsidR="009E7246" w:rsidRPr="00674223">
        <w:rPr>
          <w:rFonts w:eastAsia="標楷體"/>
          <w:iCs/>
          <w:sz w:val="24"/>
          <w:lang w:eastAsia="zh-TW"/>
        </w:rPr>
        <w:t xml:space="preserve">telecommunications services </w:t>
      </w:r>
      <w:r w:rsidRPr="00674223">
        <w:rPr>
          <w:rFonts w:eastAsia="標楷體"/>
          <w:iCs/>
          <w:sz w:val="24"/>
          <w:lang w:eastAsia="zh-TW"/>
        </w:rPr>
        <w:t>purchase behavior</w:t>
      </w:r>
      <w:r w:rsidR="003A428B">
        <w:rPr>
          <w:rFonts w:eastAsia="標楷體"/>
          <w:iCs/>
          <w:sz w:val="24"/>
          <w:lang w:eastAsia="zh-TW"/>
        </w:rPr>
        <w:t>s</w:t>
      </w:r>
      <w:r w:rsidRPr="00674223">
        <w:rPr>
          <w:rFonts w:eastAsia="標楷體"/>
          <w:iCs/>
          <w:sz w:val="24"/>
          <w:lang w:eastAsia="zh-TW"/>
        </w:rPr>
        <w:t xml:space="preserve"> </w:t>
      </w:r>
      <w:r w:rsidR="003A428B">
        <w:rPr>
          <w:rFonts w:eastAsia="標楷體"/>
          <w:iCs/>
          <w:sz w:val="24"/>
          <w:lang w:eastAsia="zh-TW"/>
        </w:rPr>
        <w:t>by</w:t>
      </w:r>
      <w:r w:rsidRPr="00674223">
        <w:rPr>
          <w:rFonts w:eastAsia="標楷體"/>
          <w:iCs/>
          <w:sz w:val="24"/>
          <w:lang w:eastAsia="zh-TW"/>
        </w:rPr>
        <w:t xml:space="preserve"> develop</w:t>
      </w:r>
      <w:r w:rsidR="003A428B">
        <w:rPr>
          <w:rFonts w:eastAsia="標楷體"/>
          <w:iCs/>
          <w:sz w:val="24"/>
          <w:lang w:eastAsia="zh-TW"/>
        </w:rPr>
        <w:t>ing</w:t>
      </w:r>
      <w:r w:rsidRPr="00674223">
        <w:rPr>
          <w:rFonts w:eastAsia="標楷體"/>
          <w:iCs/>
          <w:sz w:val="24"/>
          <w:lang w:eastAsia="zh-TW"/>
        </w:rPr>
        <w:t xml:space="preserve"> a framework based on fuzzy analytical hierarchy processes</w:t>
      </w:r>
      <w:r w:rsidR="003A428B">
        <w:rPr>
          <w:rFonts w:eastAsia="標楷體"/>
          <w:iCs/>
          <w:sz w:val="24"/>
          <w:lang w:eastAsia="zh-TW"/>
        </w:rPr>
        <w:t>,</w:t>
      </w:r>
      <w:r w:rsidRPr="00674223">
        <w:rPr>
          <w:rFonts w:eastAsia="標楷體"/>
          <w:iCs/>
          <w:sz w:val="24"/>
          <w:lang w:eastAsia="zh-TW"/>
        </w:rPr>
        <w:t xml:space="preserve"> DEA models and other performance measures</w:t>
      </w:r>
      <w:r w:rsidR="009E7246">
        <w:rPr>
          <w:rFonts w:eastAsia="標楷體"/>
          <w:iCs/>
          <w:sz w:val="24"/>
          <w:lang w:eastAsia="zh-TW"/>
        </w:rPr>
        <w:t xml:space="preserve">. The results of the aforementioned studies demonstrate that </w:t>
      </w:r>
      <w:r w:rsidRPr="00674223">
        <w:rPr>
          <w:rFonts w:eastAsia="標楷體"/>
          <w:iCs/>
          <w:sz w:val="24"/>
          <w:lang w:eastAsia="zh-TW"/>
        </w:rPr>
        <w:t xml:space="preserve">the DEA model has </w:t>
      </w:r>
      <w:r w:rsidR="00547D45">
        <w:rPr>
          <w:rFonts w:eastAsia="標楷體"/>
          <w:iCs/>
          <w:sz w:val="24"/>
          <w:lang w:eastAsia="zh-TW"/>
        </w:rPr>
        <w:t xml:space="preserve">a number of </w:t>
      </w:r>
      <w:r w:rsidR="009E7246">
        <w:rPr>
          <w:rFonts w:eastAsia="標楷體"/>
          <w:iCs/>
          <w:sz w:val="24"/>
          <w:lang w:eastAsia="zh-TW"/>
        </w:rPr>
        <w:t xml:space="preserve">comparatively </w:t>
      </w:r>
      <w:r w:rsidRPr="00674223">
        <w:rPr>
          <w:rFonts w:eastAsia="標楷體"/>
          <w:iCs/>
          <w:sz w:val="24"/>
          <w:lang w:eastAsia="zh-TW"/>
        </w:rPr>
        <w:t>significant advantages</w:t>
      </w:r>
      <w:r w:rsidR="009E7246">
        <w:rPr>
          <w:rFonts w:eastAsia="標楷體"/>
          <w:iCs/>
          <w:sz w:val="24"/>
          <w:lang w:eastAsia="zh-TW"/>
        </w:rPr>
        <w:t>, particularly</w:t>
      </w:r>
      <w:r w:rsidR="009E7246" w:rsidRPr="009E7246">
        <w:rPr>
          <w:rFonts w:eastAsia="標楷體"/>
          <w:iCs/>
          <w:sz w:val="24"/>
          <w:lang w:eastAsia="zh-TW"/>
        </w:rPr>
        <w:t xml:space="preserve"> </w:t>
      </w:r>
      <w:r w:rsidR="009E7246" w:rsidRPr="00674223">
        <w:rPr>
          <w:rFonts w:eastAsia="標楷體"/>
          <w:iCs/>
          <w:sz w:val="24"/>
          <w:lang w:eastAsia="zh-TW"/>
        </w:rPr>
        <w:t>from the perspective of efficiency</w:t>
      </w:r>
      <w:r w:rsidR="009E7246">
        <w:rPr>
          <w:rFonts w:eastAsia="標楷體"/>
          <w:iCs/>
          <w:sz w:val="24"/>
          <w:lang w:eastAsia="zh-TW"/>
        </w:rPr>
        <w:t>, when</w:t>
      </w:r>
      <w:r w:rsidRPr="00674223">
        <w:rPr>
          <w:rFonts w:eastAsia="標楷體"/>
          <w:iCs/>
          <w:sz w:val="24"/>
          <w:lang w:eastAsia="zh-TW"/>
        </w:rPr>
        <w:t xml:space="preserve"> compared with other methods.</w:t>
      </w:r>
    </w:p>
    <w:p w:rsidR="000D2B6E" w:rsidRPr="00C236D3" w:rsidRDefault="000D2B6E" w:rsidP="00526252">
      <w:pPr>
        <w:adjustRightInd w:val="0"/>
        <w:snapToGrid w:val="0"/>
        <w:spacing w:before="100" w:beforeAutospacing="1" w:after="100" w:afterAutospacing="1"/>
        <w:jc w:val="left"/>
        <w:outlineLvl w:val="0"/>
        <w:rPr>
          <w:rFonts w:eastAsia="標楷體"/>
          <w:b/>
          <w:iCs/>
          <w:sz w:val="24"/>
          <w:lang w:eastAsia="zh-TW"/>
        </w:rPr>
      </w:pPr>
      <w:r w:rsidRPr="00C236D3">
        <w:rPr>
          <w:rFonts w:eastAsia="標楷體"/>
          <w:b/>
          <w:iCs/>
          <w:sz w:val="24"/>
          <w:lang w:eastAsia="zh-TW"/>
        </w:rPr>
        <w:t xml:space="preserve">3. Research </w:t>
      </w:r>
      <w:r w:rsidR="009E7246">
        <w:rPr>
          <w:rFonts w:eastAsia="標楷體"/>
          <w:b/>
          <w:iCs/>
          <w:sz w:val="24"/>
          <w:lang w:eastAsia="zh-TW"/>
        </w:rPr>
        <w:t>D</w:t>
      </w:r>
      <w:r w:rsidRPr="00C236D3">
        <w:rPr>
          <w:rFonts w:eastAsia="標楷體"/>
          <w:b/>
          <w:iCs/>
          <w:sz w:val="24"/>
          <w:lang w:eastAsia="zh-TW"/>
        </w:rPr>
        <w:t>esign</w:t>
      </w:r>
    </w:p>
    <w:p w:rsidR="000D2B6E" w:rsidRPr="00C236D3" w:rsidRDefault="000D2B6E" w:rsidP="00526252">
      <w:pPr>
        <w:adjustRightInd w:val="0"/>
        <w:snapToGrid w:val="0"/>
        <w:spacing w:before="100" w:beforeAutospacing="1" w:after="100" w:afterAutospacing="1"/>
        <w:jc w:val="left"/>
        <w:outlineLvl w:val="0"/>
        <w:rPr>
          <w:rFonts w:eastAsia="標楷體"/>
          <w:b/>
          <w:iCs/>
          <w:sz w:val="24"/>
          <w:lang w:eastAsia="zh-TW"/>
        </w:rPr>
      </w:pPr>
      <w:r w:rsidRPr="00C236D3">
        <w:rPr>
          <w:rFonts w:eastAsia="標楷體"/>
          <w:b/>
          <w:iCs/>
          <w:sz w:val="24"/>
          <w:lang w:eastAsia="zh-TW"/>
        </w:rPr>
        <w:t>3.1</w:t>
      </w:r>
      <w:r w:rsidRPr="00C236D3">
        <w:rPr>
          <w:rFonts w:eastAsia="標楷體"/>
          <w:b/>
          <w:sz w:val="24"/>
          <w:lang w:eastAsia="zh-TW"/>
        </w:rPr>
        <w:t xml:space="preserve"> </w:t>
      </w:r>
      <w:r w:rsidR="00547D45">
        <w:rPr>
          <w:rFonts w:eastAsia="標楷體" w:hint="eastAsia"/>
          <w:b/>
          <w:iCs/>
          <w:sz w:val="24"/>
          <w:lang w:eastAsia="zh-TW"/>
        </w:rPr>
        <w:t>R</w:t>
      </w:r>
      <w:r w:rsidR="00547D45">
        <w:rPr>
          <w:rFonts w:eastAsia="標楷體"/>
          <w:b/>
          <w:iCs/>
          <w:sz w:val="24"/>
          <w:lang w:eastAsia="zh-TW"/>
        </w:rPr>
        <w:t>esearch Sample</w:t>
      </w:r>
    </w:p>
    <w:p w:rsidR="006919DA" w:rsidRDefault="00EA7A24" w:rsidP="00526252">
      <w:pPr>
        <w:adjustRightInd w:val="0"/>
        <w:snapToGrid w:val="0"/>
        <w:spacing w:before="100" w:beforeAutospacing="1" w:line="480" w:lineRule="auto"/>
        <w:ind w:firstLineChars="200" w:firstLine="480"/>
        <w:rPr>
          <w:rFonts w:eastAsia="標楷體"/>
          <w:iCs/>
          <w:sz w:val="24"/>
          <w:lang w:eastAsia="zh-TW"/>
        </w:rPr>
      </w:pPr>
      <w:r>
        <w:rPr>
          <w:rFonts w:eastAsia="標楷體"/>
          <w:iCs/>
          <w:sz w:val="24"/>
          <w:lang w:eastAsia="zh-TW"/>
        </w:rPr>
        <w:t xml:space="preserve">In light of </w:t>
      </w:r>
      <w:r w:rsidR="00674223" w:rsidRPr="00674223">
        <w:rPr>
          <w:rFonts w:eastAsia="標楷體"/>
          <w:iCs/>
          <w:sz w:val="24"/>
          <w:lang w:eastAsia="zh-TW"/>
        </w:rPr>
        <w:t>the</w:t>
      </w:r>
      <w:r w:rsidR="00547D45">
        <w:rPr>
          <w:rFonts w:eastAsia="標楷體"/>
          <w:iCs/>
          <w:sz w:val="24"/>
          <w:lang w:eastAsia="zh-TW"/>
        </w:rPr>
        <w:t xml:space="preserve"> </w:t>
      </w:r>
      <w:r w:rsidR="00674223" w:rsidRPr="00674223">
        <w:rPr>
          <w:rFonts w:eastAsia="標楷體"/>
          <w:iCs/>
          <w:sz w:val="24"/>
          <w:lang w:eastAsia="zh-TW"/>
        </w:rPr>
        <w:t>fiercely</w:t>
      </w:r>
      <w:r w:rsidR="00547D45">
        <w:rPr>
          <w:rFonts w:eastAsia="標楷體"/>
          <w:iCs/>
          <w:sz w:val="24"/>
          <w:lang w:eastAsia="zh-TW"/>
        </w:rPr>
        <w:t>-</w:t>
      </w:r>
      <w:r w:rsidR="00674223" w:rsidRPr="00674223">
        <w:rPr>
          <w:rFonts w:eastAsia="標楷體"/>
          <w:iCs/>
          <w:sz w:val="24"/>
          <w:lang w:eastAsia="zh-TW"/>
        </w:rPr>
        <w:t>competitive 5G market, Taiwan</w:t>
      </w:r>
      <w:r w:rsidR="006919DA">
        <w:rPr>
          <w:rFonts w:eastAsia="標楷體"/>
          <w:iCs/>
          <w:sz w:val="24"/>
          <w:lang w:eastAsia="zh-TW"/>
        </w:rPr>
        <w:t>ese</w:t>
      </w:r>
      <w:r w:rsidR="00674223" w:rsidRPr="00674223">
        <w:rPr>
          <w:rFonts w:eastAsia="標楷體"/>
          <w:iCs/>
          <w:sz w:val="24"/>
          <w:lang w:eastAsia="zh-TW"/>
        </w:rPr>
        <w:t xml:space="preserve"> companies</w:t>
      </w:r>
      <w:r w:rsidR="006919DA">
        <w:rPr>
          <w:rFonts w:eastAsia="標楷體"/>
          <w:iCs/>
          <w:sz w:val="24"/>
          <w:lang w:eastAsia="zh-TW"/>
        </w:rPr>
        <w:t xml:space="preserve"> </w:t>
      </w:r>
      <w:r w:rsidR="003A428B">
        <w:rPr>
          <w:rFonts w:eastAsia="標楷體"/>
          <w:iCs/>
          <w:sz w:val="24"/>
          <w:lang w:eastAsia="zh-TW"/>
        </w:rPr>
        <w:t xml:space="preserve">must rely </w:t>
      </w:r>
      <w:r w:rsidR="00674223" w:rsidRPr="00674223">
        <w:rPr>
          <w:rFonts w:eastAsia="標楷體"/>
          <w:iCs/>
          <w:sz w:val="24"/>
          <w:lang w:eastAsia="zh-TW"/>
        </w:rPr>
        <w:t xml:space="preserve">on </w:t>
      </w:r>
      <w:r w:rsidR="006919DA">
        <w:rPr>
          <w:rFonts w:eastAsia="標楷體"/>
          <w:iCs/>
          <w:sz w:val="24"/>
          <w:lang w:eastAsia="zh-TW"/>
        </w:rPr>
        <w:t xml:space="preserve">their current market advantages in </w:t>
      </w:r>
      <w:r w:rsidR="00674223" w:rsidRPr="00674223">
        <w:rPr>
          <w:rFonts w:eastAsia="標楷體"/>
          <w:iCs/>
          <w:sz w:val="24"/>
          <w:lang w:eastAsia="zh-TW"/>
        </w:rPr>
        <w:t xml:space="preserve">semiconductor, computer and precision manufacturing to seize future business opportunities and </w:t>
      </w:r>
      <w:r w:rsidR="006919DA">
        <w:rPr>
          <w:rFonts w:eastAsia="標楷體"/>
          <w:iCs/>
          <w:sz w:val="24"/>
          <w:lang w:eastAsia="zh-TW"/>
        </w:rPr>
        <w:t xml:space="preserve">survive in </w:t>
      </w:r>
      <w:r w:rsidR="003A428B">
        <w:rPr>
          <w:rFonts w:eastAsia="標楷體"/>
          <w:iCs/>
          <w:sz w:val="24"/>
          <w:lang w:eastAsia="zh-TW"/>
        </w:rPr>
        <w:t xml:space="preserve">the current </w:t>
      </w:r>
      <w:r w:rsidR="006919DA">
        <w:rPr>
          <w:rFonts w:eastAsia="標楷體"/>
          <w:iCs/>
          <w:sz w:val="24"/>
          <w:lang w:eastAsia="zh-TW"/>
        </w:rPr>
        <w:t xml:space="preserve">5G </w:t>
      </w:r>
      <w:r w:rsidR="003A428B">
        <w:rPr>
          <w:rFonts w:eastAsia="標楷體"/>
          <w:iCs/>
          <w:sz w:val="24"/>
          <w:lang w:eastAsia="zh-TW"/>
        </w:rPr>
        <w:t>era</w:t>
      </w:r>
      <w:r w:rsidR="00674223" w:rsidRPr="00674223">
        <w:rPr>
          <w:rFonts w:eastAsia="標楷體"/>
          <w:iCs/>
          <w:sz w:val="24"/>
          <w:lang w:eastAsia="zh-TW"/>
        </w:rPr>
        <w:t xml:space="preserve">. </w:t>
      </w:r>
      <w:r w:rsidR="006919DA">
        <w:rPr>
          <w:rFonts w:eastAsia="標楷體"/>
          <w:iCs/>
          <w:sz w:val="24"/>
          <w:lang w:eastAsia="zh-TW"/>
        </w:rPr>
        <w:t>Among these companies, t</w:t>
      </w:r>
      <w:r w:rsidR="00674223" w:rsidRPr="00674223">
        <w:rPr>
          <w:rFonts w:eastAsia="標楷體"/>
          <w:iCs/>
          <w:sz w:val="24"/>
          <w:lang w:eastAsia="zh-TW"/>
        </w:rPr>
        <w:t>his study use</w:t>
      </w:r>
      <w:r w:rsidR="006919DA">
        <w:rPr>
          <w:rFonts w:eastAsia="標楷體"/>
          <w:iCs/>
          <w:sz w:val="24"/>
          <w:lang w:eastAsia="zh-TW"/>
        </w:rPr>
        <w:t>s</w:t>
      </w:r>
      <w:r w:rsidR="00674223" w:rsidRPr="00674223">
        <w:rPr>
          <w:rFonts w:eastAsia="標楷體"/>
          <w:iCs/>
          <w:sz w:val="24"/>
          <w:lang w:eastAsia="zh-TW"/>
        </w:rPr>
        <w:t xml:space="preserve"> Cathay Pacific Taiwan 5G+ ETF (exchange-traded funds) as </w:t>
      </w:r>
      <w:r>
        <w:rPr>
          <w:rFonts w:eastAsia="標楷體"/>
          <w:iCs/>
          <w:sz w:val="24"/>
          <w:lang w:eastAsia="zh-TW"/>
        </w:rPr>
        <w:t>its</w:t>
      </w:r>
      <w:r w:rsidR="00674223" w:rsidRPr="00674223">
        <w:rPr>
          <w:rFonts w:eastAsia="標楷體"/>
          <w:iCs/>
          <w:sz w:val="24"/>
          <w:lang w:eastAsia="zh-TW"/>
        </w:rPr>
        <w:t xml:space="preserve"> research</w:t>
      </w:r>
      <w:r w:rsidR="006919DA">
        <w:rPr>
          <w:rFonts w:eastAsia="標楷體"/>
          <w:iCs/>
          <w:sz w:val="24"/>
          <w:lang w:eastAsia="zh-TW"/>
        </w:rPr>
        <w:t xml:space="preserve"> </w:t>
      </w:r>
      <w:r w:rsidR="00674223" w:rsidRPr="00674223">
        <w:rPr>
          <w:rFonts w:eastAsia="標楷體"/>
          <w:iCs/>
          <w:sz w:val="24"/>
          <w:lang w:eastAsia="zh-TW"/>
        </w:rPr>
        <w:t>object</w:t>
      </w:r>
      <w:r w:rsidR="006919DA">
        <w:rPr>
          <w:rFonts w:eastAsia="標楷體"/>
          <w:iCs/>
          <w:sz w:val="24"/>
          <w:lang w:eastAsia="zh-TW"/>
        </w:rPr>
        <w:t>ive</w:t>
      </w:r>
      <w:r w:rsidR="00674223" w:rsidRPr="00674223">
        <w:rPr>
          <w:rFonts w:eastAsia="標楷體"/>
          <w:iCs/>
          <w:sz w:val="24"/>
          <w:lang w:eastAsia="zh-TW"/>
        </w:rPr>
        <w:t xml:space="preserve">. </w:t>
      </w:r>
    </w:p>
    <w:p w:rsidR="00674223" w:rsidRDefault="00EA7A24" w:rsidP="00526252">
      <w:pPr>
        <w:adjustRightInd w:val="0"/>
        <w:snapToGrid w:val="0"/>
        <w:spacing w:before="100" w:beforeAutospacing="1" w:line="480" w:lineRule="auto"/>
        <w:ind w:firstLineChars="200" w:firstLine="480"/>
        <w:rPr>
          <w:rFonts w:eastAsia="標楷體"/>
          <w:iCs/>
          <w:sz w:val="24"/>
          <w:lang w:eastAsia="zh-TW"/>
        </w:rPr>
      </w:pPr>
      <w:r w:rsidRPr="00627BC7">
        <w:rPr>
          <w:rFonts w:eastAsia="標楷體"/>
          <w:iCs/>
          <w:sz w:val="24"/>
          <w:lang w:eastAsia="zh-TW"/>
        </w:rPr>
        <w:t>The</w:t>
      </w:r>
      <w:r w:rsidR="00674223" w:rsidRPr="00627BC7">
        <w:rPr>
          <w:rFonts w:eastAsia="標楷體"/>
          <w:iCs/>
          <w:sz w:val="24"/>
          <w:lang w:eastAsia="zh-TW"/>
        </w:rPr>
        <w:t xml:space="preserve"> first ETF in Taiwan stocks </w:t>
      </w:r>
      <w:r w:rsidRPr="00627BC7">
        <w:rPr>
          <w:rFonts w:eastAsia="標楷體"/>
          <w:iCs/>
          <w:sz w:val="24"/>
          <w:lang w:eastAsia="zh-TW"/>
        </w:rPr>
        <w:t>to</w:t>
      </w:r>
      <w:r w:rsidR="00674223" w:rsidRPr="00627BC7">
        <w:rPr>
          <w:rFonts w:eastAsia="標楷體"/>
          <w:iCs/>
          <w:sz w:val="24"/>
          <w:lang w:eastAsia="zh-TW"/>
        </w:rPr>
        <w:t xml:space="preserve"> invest 100% in 5G</w:t>
      </w:r>
      <w:r w:rsidR="006919DA" w:rsidRPr="00627BC7">
        <w:rPr>
          <w:rFonts w:eastAsia="標楷體"/>
          <w:iCs/>
          <w:sz w:val="24"/>
          <w:lang w:eastAsia="zh-TW"/>
        </w:rPr>
        <w:t>-</w:t>
      </w:r>
      <w:r w:rsidR="00674223" w:rsidRPr="00627BC7">
        <w:rPr>
          <w:rFonts w:eastAsia="標楷體"/>
          <w:iCs/>
          <w:sz w:val="24"/>
          <w:lang w:eastAsia="zh-TW"/>
        </w:rPr>
        <w:t>technology stocks</w:t>
      </w:r>
      <w:r w:rsidRPr="00627BC7">
        <w:rPr>
          <w:rFonts w:eastAsia="標楷體"/>
          <w:iCs/>
          <w:sz w:val="24"/>
          <w:lang w:eastAsia="zh-TW"/>
        </w:rPr>
        <w:t xml:space="preserve">, </w:t>
      </w:r>
      <w:r w:rsidR="00674223" w:rsidRPr="00627BC7">
        <w:rPr>
          <w:rFonts w:eastAsia="標楷體"/>
          <w:iCs/>
          <w:sz w:val="24"/>
          <w:lang w:eastAsia="zh-TW"/>
        </w:rPr>
        <w:t>Cathay Pacific Taiwan 5G+ETF tracks Taiwan’s 5G+ communications index</w:t>
      </w:r>
      <w:r w:rsidR="003A428B" w:rsidRPr="00627BC7">
        <w:rPr>
          <w:rFonts w:eastAsia="標楷體"/>
          <w:iCs/>
          <w:sz w:val="24"/>
          <w:lang w:eastAsia="zh-TW"/>
        </w:rPr>
        <w:t xml:space="preserve"> and</w:t>
      </w:r>
      <w:r w:rsidR="006919DA" w:rsidRPr="00627BC7">
        <w:rPr>
          <w:rFonts w:eastAsia="標楷體"/>
          <w:iCs/>
          <w:sz w:val="24"/>
          <w:lang w:eastAsia="zh-TW"/>
        </w:rPr>
        <w:t xml:space="preserve"> was chosen </w:t>
      </w:r>
      <w:r w:rsidR="003A428B" w:rsidRPr="00627BC7">
        <w:rPr>
          <w:rFonts w:eastAsia="標楷體"/>
          <w:iCs/>
          <w:sz w:val="24"/>
          <w:lang w:eastAsia="zh-TW"/>
        </w:rPr>
        <w:t xml:space="preserve">as this study’s research objective </w:t>
      </w:r>
      <w:r w:rsidR="006919DA" w:rsidRPr="00627BC7">
        <w:rPr>
          <w:rFonts w:eastAsia="標楷體"/>
          <w:iCs/>
          <w:sz w:val="24"/>
          <w:lang w:eastAsia="zh-TW"/>
        </w:rPr>
        <w:t xml:space="preserve">because it is screened by the FactSet </w:t>
      </w:r>
      <w:r w:rsidR="00674223" w:rsidRPr="00627BC7">
        <w:rPr>
          <w:rFonts w:eastAsia="標楷體"/>
          <w:iCs/>
          <w:sz w:val="24"/>
          <w:lang w:eastAsia="zh-TW"/>
        </w:rPr>
        <w:t xml:space="preserve">industry classification, </w:t>
      </w:r>
      <w:r w:rsidR="006919DA" w:rsidRPr="00627BC7">
        <w:rPr>
          <w:rFonts w:eastAsia="標楷體"/>
          <w:iCs/>
          <w:sz w:val="24"/>
          <w:lang w:eastAsia="zh-TW"/>
        </w:rPr>
        <w:t xml:space="preserve">is </w:t>
      </w:r>
      <w:r w:rsidR="00674223" w:rsidRPr="00627BC7">
        <w:rPr>
          <w:rFonts w:eastAsia="標楷體"/>
          <w:iCs/>
          <w:sz w:val="24"/>
          <w:lang w:eastAsia="zh-TW"/>
        </w:rPr>
        <w:t xml:space="preserve">a professional financial data company listed on the New York Stock Exchange and Nasdaq, </w:t>
      </w:r>
      <w:r w:rsidR="006919DA" w:rsidRPr="00627BC7">
        <w:rPr>
          <w:rFonts w:eastAsia="標楷體"/>
          <w:iCs/>
          <w:sz w:val="24"/>
          <w:lang w:eastAsia="zh-TW"/>
        </w:rPr>
        <w:t xml:space="preserve">comprises of </w:t>
      </w:r>
      <w:r w:rsidR="00674223" w:rsidRPr="00627BC7">
        <w:rPr>
          <w:rFonts w:eastAsia="標楷體"/>
          <w:iCs/>
          <w:sz w:val="24"/>
          <w:lang w:eastAsia="zh-TW"/>
        </w:rPr>
        <w:t xml:space="preserve">45 5G-related sub-industries, and has a complete grasp of </w:t>
      </w:r>
      <w:r w:rsidR="003A428B" w:rsidRPr="00627BC7">
        <w:rPr>
          <w:rFonts w:eastAsia="標楷體"/>
          <w:iCs/>
          <w:sz w:val="24"/>
          <w:lang w:eastAsia="zh-TW"/>
        </w:rPr>
        <w:t xml:space="preserve">the future of </w:t>
      </w:r>
      <w:r w:rsidR="00674223" w:rsidRPr="00627BC7">
        <w:rPr>
          <w:rFonts w:eastAsia="標楷體"/>
          <w:iCs/>
          <w:sz w:val="24"/>
          <w:lang w:eastAsia="zh-TW"/>
        </w:rPr>
        <w:t xml:space="preserve">5G. </w:t>
      </w:r>
      <w:r w:rsidR="003A428B" w:rsidRPr="00627BC7">
        <w:rPr>
          <w:rFonts w:eastAsia="標楷體"/>
          <w:iCs/>
          <w:sz w:val="24"/>
          <w:lang w:eastAsia="zh-TW"/>
        </w:rPr>
        <w:t xml:space="preserve">Having even begun to </w:t>
      </w:r>
      <w:r w:rsidR="006919DA" w:rsidRPr="00627BC7">
        <w:rPr>
          <w:rFonts w:eastAsia="標楷體"/>
          <w:iCs/>
          <w:sz w:val="24"/>
          <w:lang w:eastAsia="zh-TW"/>
        </w:rPr>
        <w:t xml:space="preserve">invest in </w:t>
      </w:r>
      <w:r w:rsidR="00674223" w:rsidRPr="00627BC7">
        <w:rPr>
          <w:rFonts w:eastAsia="標楷體"/>
          <w:iCs/>
          <w:sz w:val="24"/>
          <w:lang w:eastAsia="zh-TW"/>
        </w:rPr>
        <w:t>6G and 7G investment opportunities</w:t>
      </w:r>
      <w:r w:rsidR="006919DA" w:rsidRPr="00627BC7">
        <w:rPr>
          <w:rFonts w:eastAsia="標楷體"/>
          <w:iCs/>
          <w:sz w:val="24"/>
          <w:lang w:eastAsia="zh-TW"/>
        </w:rPr>
        <w:t>, Cathay Pacific Taiwan’s</w:t>
      </w:r>
      <w:r w:rsidR="00674223" w:rsidRPr="00627BC7">
        <w:rPr>
          <w:rFonts w:eastAsia="標楷體"/>
          <w:iCs/>
          <w:sz w:val="24"/>
          <w:lang w:eastAsia="zh-TW"/>
        </w:rPr>
        <w:t xml:space="preserve"> index constituent stocks are selected through </w:t>
      </w:r>
      <w:r w:rsidR="00627BC7" w:rsidRPr="00627BC7">
        <w:rPr>
          <w:rFonts w:eastAsia="標楷體"/>
          <w:iCs/>
          <w:sz w:val="24"/>
          <w:lang w:eastAsia="zh-TW"/>
        </w:rPr>
        <w:t>a three-tiered selection process</w:t>
      </w:r>
      <w:r w:rsidR="00674223" w:rsidRPr="00627BC7">
        <w:rPr>
          <w:rFonts w:eastAsia="標楷體"/>
          <w:iCs/>
          <w:sz w:val="24"/>
          <w:lang w:eastAsia="zh-TW"/>
        </w:rPr>
        <w:t>: the first level</w:t>
      </w:r>
      <w:r w:rsidR="00627BC7" w:rsidRPr="00627BC7">
        <w:rPr>
          <w:rFonts w:eastAsia="標楷體"/>
          <w:iCs/>
          <w:sz w:val="24"/>
          <w:lang w:eastAsia="zh-TW"/>
        </w:rPr>
        <w:t xml:space="preserve"> is </w:t>
      </w:r>
      <w:r w:rsidR="00674223" w:rsidRPr="00627BC7">
        <w:rPr>
          <w:rFonts w:eastAsia="標楷體"/>
          <w:iCs/>
          <w:sz w:val="24"/>
          <w:lang w:eastAsia="zh-TW"/>
        </w:rPr>
        <w:t>high-purity 5G stocks</w:t>
      </w:r>
      <w:r w:rsidR="00627BC7" w:rsidRPr="00627BC7">
        <w:rPr>
          <w:rFonts w:eastAsia="標楷體"/>
          <w:iCs/>
          <w:sz w:val="24"/>
          <w:lang w:eastAsia="zh-TW"/>
        </w:rPr>
        <w:t xml:space="preserve"> - </w:t>
      </w:r>
      <w:r w:rsidR="00674223" w:rsidRPr="00627BC7">
        <w:rPr>
          <w:rFonts w:eastAsia="標楷體"/>
          <w:iCs/>
          <w:sz w:val="24"/>
          <w:lang w:eastAsia="zh-TW"/>
        </w:rPr>
        <w:t>only select Taiwanese</w:t>
      </w:r>
      <w:r w:rsidR="00627BC7" w:rsidRPr="00627BC7">
        <w:rPr>
          <w:rFonts w:eastAsia="標楷體"/>
          <w:iCs/>
          <w:sz w:val="24"/>
          <w:lang w:eastAsia="zh-TW"/>
        </w:rPr>
        <w:t>-</w:t>
      </w:r>
      <w:r w:rsidR="00674223" w:rsidRPr="00627BC7">
        <w:rPr>
          <w:rFonts w:eastAsia="標楷體"/>
          <w:iCs/>
          <w:sz w:val="24"/>
          <w:lang w:eastAsia="zh-TW"/>
        </w:rPr>
        <w:t>listed stocks that account for more than 50% of the 5G</w:t>
      </w:r>
      <w:r w:rsidR="00B95181" w:rsidRPr="00627BC7">
        <w:rPr>
          <w:rFonts w:eastAsia="標楷體"/>
          <w:iCs/>
          <w:sz w:val="24"/>
          <w:lang w:eastAsia="zh-TW"/>
        </w:rPr>
        <w:t>-</w:t>
      </w:r>
      <w:r w:rsidR="00674223" w:rsidRPr="00627BC7">
        <w:rPr>
          <w:rFonts w:eastAsia="標楷體"/>
          <w:iCs/>
          <w:sz w:val="24"/>
          <w:lang w:eastAsia="zh-TW"/>
        </w:rPr>
        <w:t>industry revenue; the second level</w:t>
      </w:r>
      <w:r w:rsidR="00627BC7" w:rsidRPr="00627BC7">
        <w:rPr>
          <w:rFonts w:eastAsia="標楷體"/>
          <w:iCs/>
          <w:sz w:val="24"/>
          <w:lang w:eastAsia="zh-TW"/>
        </w:rPr>
        <w:t xml:space="preserve"> is g</w:t>
      </w:r>
      <w:r w:rsidR="00674223" w:rsidRPr="00627BC7">
        <w:rPr>
          <w:rFonts w:eastAsia="標楷體"/>
          <w:iCs/>
          <w:sz w:val="24"/>
          <w:lang w:eastAsia="zh-TW"/>
        </w:rPr>
        <w:t xml:space="preserve">ood liquidity stocks, with an average daily turnover of more than 50 million </w:t>
      </w:r>
      <w:r w:rsidR="00627BC7" w:rsidRPr="00627BC7">
        <w:rPr>
          <w:rFonts w:eastAsia="標楷體"/>
          <w:iCs/>
          <w:sz w:val="24"/>
          <w:lang w:eastAsia="zh-TW"/>
        </w:rPr>
        <w:t>over</w:t>
      </w:r>
      <w:r w:rsidR="00674223" w:rsidRPr="00627BC7">
        <w:rPr>
          <w:rFonts w:eastAsia="標楷體"/>
          <w:iCs/>
          <w:sz w:val="24"/>
          <w:lang w:eastAsia="zh-TW"/>
        </w:rPr>
        <w:t xml:space="preserve"> the past three months; the third tier</w:t>
      </w:r>
      <w:r w:rsidR="00627BC7" w:rsidRPr="00627BC7">
        <w:rPr>
          <w:rFonts w:eastAsia="標楷體"/>
          <w:iCs/>
          <w:sz w:val="24"/>
          <w:lang w:eastAsia="zh-TW"/>
        </w:rPr>
        <w:t xml:space="preserve"> is </w:t>
      </w:r>
      <w:r w:rsidR="00674223" w:rsidRPr="00627BC7">
        <w:rPr>
          <w:rFonts w:eastAsia="標楷體"/>
          <w:iCs/>
          <w:sz w:val="24"/>
          <w:lang w:eastAsia="zh-TW"/>
        </w:rPr>
        <w:t>profitable and high-performance stocks</w:t>
      </w:r>
      <w:r w:rsidR="00627BC7" w:rsidRPr="00627BC7">
        <w:rPr>
          <w:rFonts w:eastAsia="標楷體"/>
          <w:iCs/>
          <w:sz w:val="24"/>
          <w:lang w:eastAsia="zh-TW"/>
        </w:rPr>
        <w:t xml:space="preserve"> - </w:t>
      </w:r>
      <w:r w:rsidR="00674223" w:rsidRPr="00627BC7">
        <w:rPr>
          <w:rFonts w:eastAsia="標楷體"/>
          <w:iCs/>
          <w:sz w:val="24"/>
          <w:lang w:eastAsia="zh-TW"/>
        </w:rPr>
        <w:t xml:space="preserve">stocks of companies with </w:t>
      </w:r>
      <w:r w:rsidR="00627BC7" w:rsidRPr="00627BC7">
        <w:rPr>
          <w:rFonts w:eastAsia="標楷體"/>
          <w:iCs/>
          <w:sz w:val="24"/>
          <w:lang w:eastAsia="zh-TW"/>
        </w:rPr>
        <w:t xml:space="preserve">an </w:t>
      </w:r>
      <w:r w:rsidR="00674223" w:rsidRPr="00627BC7">
        <w:rPr>
          <w:rFonts w:eastAsia="標楷體"/>
          <w:iCs/>
          <w:sz w:val="24"/>
          <w:lang w:eastAsia="zh-TW"/>
        </w:rPr>
        <w:t xml:space="preserve">accumulated EPS greater than 0 </w:t>
      </w:r>
      <w:r w:rsidR="00627BC7" w:rsidRPr="00627BC7">
        <w:rPr>
          <w:rFonts w:eastAsia="標楷體"/>
          <w:iCs/>
          <w:sz w:val="24"/>
          <w:lang w:eastAsia="zh-TW"/>
        </w:rPr>
        <w:t>over</w:t>
      </w:r>
      <w:r w:rsidR="00674223" w:rsidRPr="00627BC7">
        <w:rPr>
          <w:rFonts w:eastAsia="標楷體"/>
          <w:iCs/>
          <w:sz w:val="24"/>
          <w:lang w:eastAsia="zh-TW"/>
        </w:rPr>
        <w:t xml:space="preserve"> the past four seasons. </w:t>
      </w:r>
      <w:r w:rsidR="00627BC7" w:rsidRPr="008A00CA">
        <w:rPr>
          <w:rFonts w:eastAsia="標楷體"/>
          <w:iCs/>
          <w:sz w:val="24"/>
          <w:lang w:eastAsia="zh-TW"/>
        </w:rPr>
        <w:t xml:space="preserve">Following the aforementioned </w:t>
      </w:r>
      <w:r w:rsidR="00674223" w:rsidRPr="008A00CA">
        <w:rPr>
          <w:rFonts w:eastAsia="標楷體"/>
          <w:iCs/>
          <w:sz w:val="24"/>
          <w:lang w:eastAsia="zh-TW"/>
        </w:rPr>
        <w:t xml:space="preserve">tiered screening, </w:t>
      </w:r>
      <w:r w:rsidR="008A00CA" w:rsidRPr="008A00CA">
        <w:rPr>
          <w:rFonts w:eastAsia="標楷體"/>
          <w:iCs/>
          <w:sz w:val="24"/>
          <w:lang w:eastAsia="zh-TW"/>
        </w:rPr>
        <w:t xml:space="preserve">these </w:t>
      </w:r>
      <w:r w:rsidR="00627BC7" w:rsidRPr="008A00CA">
        <w:rPr>
          <w:rFonts w:eastAsia="標楷體"/>
          <w:iCs/>
          <w:sz w:val="24"/>
          <w:lang w:eastAsia="zh-TW"/>
        </w:rPr>
        <w:t xml:space="preserve">stocks </w:t>
      </w:r>
      <w:r w:rsidR="00674223" w:rsidRPr="008A00CA">
        <w:rPr>
          <w:rFonts w:eastAsia="標楷體"/>
          <w:iCs/>
          <w:sz w:val="24"/>
          <w:lang w:eastAsia="zh-TW"/>
        </w:rPr>
        <w:t xml:space="preserve">are finally </w:t>
      </w:r>
      <w:r w:rsidR="00263A65" w:rsidRPr="008A00CA">
        <w:rPr>
          <w:rFonts w:eastAsia="標楷體"/>
          <w:iCs/>
          <w:sz w:val="24"/>
          <w:lang w:eastAsia="zh-TW"/>
        </w:rPr>
        <w:t xml:space="preserve">designated as </w:t>
      </w:r>
      <w:r w:rsidR="002302A2" w:rsidRPr="008A00CA">
        <w:rPr>
          <w:rFonts w:eastAsia="標楷體"/>
          <w:iCs/>
          <w:sz w:val="24"/>
          <w:lang w:eastAsia="zh-TW"/>
        </w:rPr>
        <w:t>T</w:t>
      </w:r>
      <w:r w:rsidR="00674223" w:rsidRPr="008A00CA">
        <w:rPr>
          <w:rFonts w:eastAsia="標楷體"/>
          <w:iCs/>
          <w:sz w:val="24"/>
          <w:lang w:eastAsia="zh-TW"/>
        </w:rPr>
        <w:t xml:space="preserve">op 30 5G </w:t>
      </w:r>
      <w:r w:rsidR="002302A2" w:rsidRPr="008A00CA">
        <w:rPr>
          <w:rFonts w:eastAsia="標楷體"/>
          <w:iCs/>
          <w:sz w:val="24"/>
          <w:lang w:eastAsia="zh-TW"/>
        </w:rPr>
        <w:t>B</w:t>
      </w:r>
      <w:r w:rsidR="00674223" w:rsidRPr="008A00CA">
        <w:rPr>
          <w:rFonts w:eastAsia="標楷體"/>
          <w:iCs/>
          <w:sz w:val="24"/>
          <w:lang w:eastAsia="zh-TW"/>
        </w:rPr>
        <w:t>lue-</w:t>
      </w:r>
      <w:r w:rsidR="002302A2" w:rsidRPr="008A00CA">
        <w:rPr>
          <w:rFonts w:eastAsia="標楷體"/>
          <w:iCs/>
          <w:sz w:val="24"/>
          <w:lang w:eastAsia="zh-TW"/>
        </w:rPr>
        <w:t>C</w:t>
      </w:r>
      <w:r w:rsidR="00674223" w:rsidRPr="008A00CA">
        <w:rPr>
          <w:rFonts w:eastAsia="標楷體"/>
          <w:iCs/>
          <w:sz w:val="24"/>
          <w:lang w:eastAsia="zh-TW"/>
        </w:rPr>
        <w:t xml:space="preserve">hip </w:t>
      </w:r>
      <w:r w:rsidR="00263A65" w:rsidRPr="008A00CA">
        <w:rPr>
          <w:rFonts w:eastAsia="標楷體"/>
          <w:iCs/>
          <w:sz w:val="24"/>
          <w:lang w:eastAsia="zh-TW"/>
        </w:rPr>
        <w:t>S</w:t>
      </w:r>
      <w:r w:rsidR="00674223" w:rsidRPr="008A00CA">
        <w:rPr>
          <w:rFonts w:eastAsia="標楷體"/>
          <w:iCs/>
          <w:sz w:val="24"/>
          <w:lang w:eastAsia="zh-TW"/>
        </w:rPr>
        <w:t>tocks a</w:t>
      </w:r>
      <w:r w:rsidR="00627BC7" w:rsidRPr="008A00CA">
        <w:rPr>
          <w:rFonts w:eastAsia="標楷體"/>
          <w:iCs/>
          <w:sz w:val="24"/>
          <w:lang w:eastAsia="zh-TW"/>
        </w:rPr>
        <w:t xml:space="preserve">nd </w:t>
      </w:r>
      <w:r w:rsidR="00674223" w:rsidRPr="008A00CA">
        <w:rPr>
          <w:rFonts w:eastAsia="標楷體"/>
          <w:iCs/>
          <w:sz w:val="24"/>
          <w:lang w:eastAsia="zh-TW"/>
        </w:rPr>
        <w:t xml:space="preserve">weighted </w:t>
      </w:r>
      <w:r w:rsidR="00627BC7" w:rsidRPr="008A00CA">
        <w:rPr>
          <w:rFonts w:eastAsia="標楷體"/>
          <w:iCs/>
          <w:sz w:val="24"/>
          <w:lang w:eastAsia="zh-TW"/>
        </w:rPr>
        <w:t>according to</w:t>
      </w:r>
      <w:r w:rsidR="00674223" w:rsidRPr="008A00CA">
        <w:rPr>
          <w:rFonts w:eastAsia="標楷體"/>
          <w:iCs/>
          <w:sz w:val="24"/>
          <w:lang w:eastAsia="zh-TW"/>
        </w:rPr>
        <w:t xml:space="preserve"> market capitalization.</w:t>
      </w:r>
    </w:p>
    <w:p w:rsidR="00EA7A24" w:rsidRDefault="00EA7A24" w:rsidP="00E90D1C">
      <w:pPr>
        <w:adjustRightInd w:val="0"/>
        <w:snapToGrid w:val="0"/>
        <w:spacing w:line="480" w:lineRule="auto"/>
        <w:ind w:firstLine="480"/>
        <w:outlineLvl w:val="0"/>
        <w:rPr>
          <w:rFonts w:eastAsia="標楷體"/>
          <w:iCs/>
          <w:sz w:val="24"/>
          <w:lang w:eastAsia="zh-TW"/>
        </w:rPr>
      </w:pPr>
      <w:r w:rsidRPr="00EA7A24">
        <w:rPr>
          <w:rFonts w:eastAsia="標楷體"/>
          <w:iCs/>
          <w:sz w:val="24"/>
          <w:lang w:eastAsia="zh-TW"/>
        </w:rPr>
        <w:t xml:space="preserve">The 30 listed (counter) companies in the above-mentioned “5G” concept stocks </w:t>
      </w:r>
      <w:r w:rsidR="00627BC7">
        <w:rPr>
          <w:rFonts w:eastAsia="標楷體"/>
          <w:iCs/>
          <w:sz w:val="24"/>
          <w:lang w:eastAsia="zh-TW"/>
        </w:rPr>
        <w:t>were selected as this study’s</w:t>
      </w:r>
      <w:r w:rsidRPr="00EA7A24">
        <w:rPr>
          <w:rFonts w:eastAsia="標楷體"/>
          <w:iCs/>
          <w:sz w:val="24"/>
          <w:lang w:eastAsia="zh-TW"/>
        </w:rPr>
        <w:t xml:space="preserve"> research samples. Since th</w:t>
      </w:r>
      <w:r w:rsidR="00FF3C13">
        <w:rPr>
          <w:rFonts w:eastAsia="標楷體"/>
          <w:iCs/>
          <w:sz w:val="24"/>
          <w:lang w:eastAsia="zh-TW"/>
        </w:rPr>
        <w:t>e goal was to</w:t>
      </w:r>
      <w:r w:rsidRPr="00EA7A24">
        <w:rPr>
          <w:rFonts w:eastAsia="標楷體"/>
          <w:iCs/>
          <w:sz w:val="24"/>
          <w:lang w:eastAsia="zh-TW"/>
        </w:rPr>
        <w:t xml:space="preserve"> explore the relative efficiency of 5G R&amp;D investment, the research period </w:t>
      </w:r>
      <w:r w:rsidR="00FF3C13">
        <w:rPr>
          <w:rFonts w:eastAsia="標楷體"/>
          <w:iCs/>
          <w:sz w:val="24"/>
          <w:lang w:eastAsia="zh-TW"/>
        </w:rPr>
        <w:t xml:space="preserve">was chosen </w:t>
      </w:r>
      <w:r w:rsidR="00627BC7">
        <w:rPr>
          <w:rFonts w:eastAsia="標楷體"/>
          <w:iCs/>
          <w:sz w:val="24"/>
          <w:lang w:eastAsia="zh-TW"/>
        </w:rPr>
        <w:t>to be from</w:t>
      </w:r>
      <w:r w:rsidR="00FF3C13">
        <w:rPr>
          <w:rFonts w:eastAsia="標楷體"/>
          <w:iCs/>
          <w:sz w:val="24"/>
          <w:lang w:eastAsia="zh-TW"/>
        </w:rPr>
        <w:t xml:space="preserve"> </w:t>
      </w:r>
      <w:r w:rsidRPr="00EA7A24">
        <w:rPr>
          <w:rFonts w:eastAsia="標楷體"/>
          <w:iCs/>
          <w:sz w:val="24"/>
          <w:lang w:eastAsia="zh-TW"/>
        </w:rPr>
        <w:t xml:space="preserve">the first quarter of 2018 to the fourth quarter of 2020. The financial statements of each company </w:t>
      </w:r>
      <w:r w:rsidR="00FF3C13">
        <w:rPr>
          <w:rFonts w:eastAsia="標楷體"/>
          <w:iCs/>
          <w:sz w:val="24"/>
          <w:lang w:eastAsia="zh-TW"/>
        </w:rPr>
        <w:t>were</w:t>
      </w:r>
      <w:r w:rsidRPr="00EA7A24">
        <w:rPr>
          <w:rFonts w:eastAsia="標楷體"/>
          <w:iCs/>
          <w:sz w:val="24"/>
          <w:lang w:eastAsia="zh-TW"/>
        </w:rPr>
        <w:t xml:space="preserve"> </w:t>
      </w:r>
      <w:r w:rsidR="00627BC7">
        <w:rPr>
          <w:rFonts w:eastAsia="標楷體"/>
          <w:iCs/>
          <w:sz w:val="24"/>
          <w:lang w:eastAsia="zh-TW"/>
        </w:rPr>
        <w:t>analyzed</w:t>
      </w:r>
      <w:r w:rsidRPr="00EA7A24">
        <w:rPr>
          <w:rFonts w:eastAsia="標楷體"/>
          <w:iCs/>
          <w:sz w:val="24"/>
          <w:lang w:eastAsia="zh-TW"/>
        </w:rPr>
        <w:t xml:space="preserve">, and 360 DMUs (decision-making units) </w:t>
      </w:r>
      <w:r w:rsidR="00FF3C13">
        <w:rPr>
          <w:rFonts w:eastAsia="標楷體"/>
          <w:iCs/>
          <w:sz w:val="24"/>
          <w:lang w:eastAsia="zh-TW"/>
        </w:rPr>
        <w:t>were calculated</w:t>
      </w:r>
      <w:r w:rsidRPr="00EA7A24">
        <w:rPr>
          <w:rFonts w:eastAsia="標楷體"/>
          <w:iCs/>
          <w:sz w:val="24"/>
          <w:lang w:eastAsia="zh-TW"/>
        </w:rPr>
        <w:t xml:space="preserve">. </w:t>
      </w:r>
      <w:r w:rsidR="00627BC7">
        <w:rPr>
          <w:rFonts w:eastAsia="標楷體"/>
          <w:iCs/>
          <w:sz w:val="24"/>
          <w:lang w:eastAsia="zh-TW"/>
        </w:rPr>
        <w:t>T</w:t>
      </w:r>
      <w:r w:rsidRPr="00EA7A24">
        <w:rPr>
          <w:rFonts w:eastAsia="標楷體"/>
          <w:iCs/>
          <w:sz w:val="24"/>
          <w:lang w:eastAsia="zh-TW"/>
        </w:rPr>
        <w:t xml:space="preserve">he research sample </w:t>
      </w:r>
      <w:r w:rsidR="00FF3C13">
        <w:rPr>
          <w:rFonts w:eastAsia="標楷體"/>
          <w:iCs/>
          <w:sz w:val="24"/>
          <w:lang w:eastAsia="zh-TW"/>
        </w:rPr>
        <w:t xml:space="preserve">was deemed </w:t>
      </w:r>
      <w:r w:rsidRPr="00EA7A24">
        <w:rPr>
          <w:rFonts w:eastAsia="標楷體"/>
          <w:iCs/>
          <w:sz w:val="24"/>
          <w:lang w:eastAsia="zh-TW"/>
        </w:rPr>
        <w:t xml:space="preserve">sufficient to represent the overall 5G industry, and financial statements </w:t>
      </w:r>
      <w:r w:rsidR="00FF3C13">
        <w:rPr>
          <w:rFonts w:eastAsia="標楷體"/>
          <w:iCs/>
          <w:sz w:val="24"/>
          <w:lang w:eastAsia="zh-TW"/>
        </w:rPr>
        <w:t>were all</w:t>
      </w:r>
      <w:r w:rsidRPr="00EA7A24">
        <w:rPr>
          <w:rFonts w:eastAsia="標楷體"/>
          <w:iCs/>
          <w:sz w:val="24"/>
          <w:lang w:eastAsia="zh-TW"/>
        </w:rPr>
        <w:t xml:space="preserve"> collected from the "Taiwan Economic News" database. </w:t>
      </w:r>
      <w:r w:rsidR="002302A2" w:rsidRPr="00A4450E">
        <w:rPr>
          <w:rFonts w:eastAsia="標楷體"/>
          <w:iCs/>
          <w:sz w:val="24"/>
          <w:lang w:eastAsia="zh-TW"/>
        </w:rPr>
        <w:t xml:space="preserve">In evaluating </w:t>
      </w:r>
      <w:r w:rsidRPr="00A4450E">
        <w:rPr>
          <w:rFonts w:eastAsia="標楷體"/>
          <w:iCs/>
          <w:sz w:val="24"/>
          <w:lang w:eastAsia="zh-TW"/>
        </w:rPr>
        <w:t xml:space="preserve">the dynamic DEA analysis, each of the companies </w:t>
      </w:r>
      <w:r w:rsidR="00627BC7" w:rsidRPr="00A4450E">
        <w:rPr>
          <w:rFonts w:eastAsia="標楷體"/>
          <w:iCs/>
          <w:sz w:val="24"/>
          <w:lang w:eastAsia="zh-TW"/>
        </w:rPr>
        <w:t xml:space="preserve">was </w:t>
      </w:r>
      <w:r w:rsidRPr="00A4450E">
        <w:rPr>
          <w:rFonts w:eastAsia="標楷體"/>
          <w:iCs/>
          <w:sz w:val="24"/>
          <w:lang w:eastAsia="zh-TW"/>
        </w:rPr>
        <w:t xml:space="preserve">regarded as a decision-making unit (DMU) </w:t>
      </w:r>
      <w:r w:rsidR="00A4450E" w:rsidRPr="00A4450E">
        <w:rPr>
          <w:rFonts w:eastAsia="標楷體"/>
          <w:iCs/>
          <w:sz w:val="24"/>
          <w:lang w:eastAsia="zh-TW"/>
        </w:rPr>
        <w:t>in order to</w:t>
      </w:r>
      <w:r w:rsidRPr="00A4450E">
        <w:rPr>
          <w:rFonts w:eastAsia="標楷體"/>
          <w:iCs/>
          <w:sz w:val="24"/>
          <w:lang w:eastAsia="zh-TW"/>
        </w:rPr>
        <w:t xml:space="preserve"> maintain the </w:t>
      </w:r>
      <w:r w:rsidR="00A4450E" w:rsidRPr="00A4450E">
        <w:rPr>
          <w:rFonts w:eastAsia="標楷體"/>
          <w:iCs/>
          <w:sz w:val="24"/>
          <w:lang w:eastAsia="zh-TW"/>
        </w:rPr>
        <w:t xml:space="preserve">sample companies’ </w:t>
      </w:r>
      <w:r w:rsidRPr="00A4450E">
        <w:rPr>
          <w:rFonts w:eastAsia="標楷體"/>
          <w:iCs/>
          <w:sz w:val="24"/>
          <w:lang w:eastAsia="zh-TW"/>
        </w:rPr>
        <w:t>homogeneity.</w:t>
      </w:r>
      <w:r w:rsidRPr="00EA7A24">
        <w:rPr>
          <w:rFonts w:eastAsia="標楷體"/>
          <w:iCs/>
          <w:sz w:val="24"/>
          <w:lang w:eastAsia="zh-TW"/>
        </w:rPr>
        <w:t xml:space="preserve"> According to Golany </w:t>
      </w:r>
      <w:r w:rsidR="00E90D1C">
        <w:rPr>
          <w:rFonts w:eastAsia="標楷體"/>
          <w:iCs/>
          <w:sz w:val="24"/>
          <w:lang w:eastAsia="zh-TW"/>
        </w:rPr>
        <w:t>and</w:t>
      </w:r>
      <w:r w:rsidRPr="00EA7A24">
        <w:rPr>
          <w:rFonts w:eastAsia="標楷體"/>
          <w:iCs/>
          <w:sz w:val="24"/>
          <w:lang w:eastAsia="zh-TW"/>
        </w:rPr>
        <w:t xml:space="preserve"> Roll (1989), the homogeneity of samples in DEA must meet the following criteria: </w:t>
      </w:r>
      <w:r w:rsidR="00E90D1C">
        <w:rPr>
          <w:rFonts w:eastAsia="標楷體"/>
          <w:iCs/>
          <w:sz w:val="24"/>
          <w:lang w:eastAsia="zh-TW"/>
        </w:rPr>
        <w:t>T</w:t>
      </w:r>
      <w:r w:rsidRPr="00EA7A24">
        <w:rPr>
          <w:rFonts w:eastAsia="標楷體"/>
          <w:iCs/>
          <w:sz w:val="24"/>
          <w:lang w:eastAsia="zh-TW"/>
        </w:rPr>
        <w:t xml:space="preserve">he units under consideration </w:t>
      </w:r>
      <w:r w:rsidR="00E90D1C">
        <w:rPr>
          <w:rFonts w:eastAsia="標楷體"/>
          <w:iCs/>
          <w:sz w:val="24"/>
          <w:lang w:eastAsia="zh-TW"/>
        </w:rPr>
        <w:t xml:space="preserve">must </w:t>
      </w:r>
      <w:r w:rsidRPr="00EA7A24">
        <w:rPr>
          <w:rFonts w:eastAsia="標楷體"/>
          <w:iCs/>
          <w:sz w:val="24"/>
          <w:lang w:eastAsia="zh-TW"/>
        </w:rPr>
        <w:t>perform the same tasks, have similar goals</w:t>
      </w:r>
      <w:r w:rsidR="00B95181">
        <w:rPr>
          <w:rFonts w:eastAsia="標楷體"/>
          <w:iCs/>
          <w:sz w:val="24"/>
          <w:lang w:eastAsia="zh-TW"/>
        </w:rPr>
        <w:t>,</w:t>
      </w:r>
      <w:r w:rsidRPr="00EA7A24">
        <w:rPr>
          <w:rFonts w:eastAsia="標楷體"/>
          <w:iCs/>
          <w:sz w:val="24"/>
          <w:lang w:eastAsia="zh-TW"/>
        </w:rPr>
        <w:t xml:space="preserve"> and all units </w:t>
      </w:r>
      <w:r w:rsidR="00B95181">
        <w:rPr>
          <w:rFonts w:eastAsia="標楷體"/>
          <w:iCs/>
          <w:sz w:val="24"/>
          <w:lang w:eastAsia="zh-TW"/>
        </w:rPr>
        <w:t>must</w:t>
      </w:r>
      <w:r w:rsidR="00E90D1C">
        <w:rPr>
          <w:rFonts w:eastAsia="標楷體"/>
          <w:iCs/>
          <w:sz w:val="24"/>
          <w:lang w:eastAsia="zh-TW"/>
        </w:rPr>
        <w:t xml:space="preserve"> be</w:t>
      </w:r>
      <w:r w:rsidRPr="00EA7A24">
        <w:rPr>
          <w:rFonts w:eastAsia="標楷體"/>
          <w:iCs/>
          <w:sz w:val="24"/>
          <w:lang w:eastAsia="zh-TW"/>
        </w:rPr>
        <w:t xml:space="preserve"> executed under the same </w:t>
      </w:r>
      <w:r w:rsidR="002302A2">
        <w:rPr>
          <w:rFonts w:eastAsia="標楷體"/>
          <w:iCs/>
          <w:sz w:val="24"/>
          <w:lang w:eastAsia="zh-TW"/>
        </w:rPr>
        <w:t>“</w:t>
      </w:r>
      <w:r w:rsidRPr="00EA7A24">
        <w:rPr>
          <w:rFonts w:eastAsia="標楷體"/>
          <w:iCs/>
          <w:sz w:val="24"/>
          <w:lang w:eastAsia="zh-TW"/>
        </w:rPr>
        <w:t>market conditions</w:t>
      </w:r>
      <w:r w:rsidR="00E90D1C">
        <w:rPr>
          <w:rFonts w:eastAsia="標楷體"/>
          <w:iCs/>
          <w:sz w:val="24"/>
          <w:lang w:eastAsia="zh-TW"/>
        </w:rPr>
        <w:t>.</w:t>
      </w:r>
      <w:r w:rsidR="002302A2">
        <w:rPr>
          <w:rFonts w:eastAsia="標楷體"/>
          <w:iCs/>
          <w:sz w:val="24"/>
          <w:lang w:eastAsia="zh-TW"/>
        </w:rPr>
        <w:t>”</w:t>
      </w:r>
    </w:p>
    <w:p w:rsidR="00E90D1C" w:rsidRDefault="00E90D1C" w:rsidP="00674223">
      <w:pPr>
        <w:adjustRightInd w:val="0"/>
        <w:snapToGrid w:val="0"/>
        <w:spacing w:line="480" w:lineRule="auto"/>
        <w:ind w:firstLineChars="200" w:firstLine="480"/>
        <w:rPr>
          <w:rFonts w:eastAsiaTheme="minorEastAsia"/>
          <w:iCs/>
          <w:color w:val="FF0000"/>
          <w:sz w:val="24"/>
          <w:lang w:eastAsia="zh-TW"/>
        </w:rPr>
      </w:pPr>
    </w:p>
    <w:p w:rsidR="00674223" w:rsidRPr="00A4450E" w:rsidRDefault="00674223" w:rsidP="00E90D1C">
      <w:pPr>
        <w:adjustRightInd w:val="0"/>
        <w:snapToGrid w:val="0"/>
        <w:spacing w:line="480" w:lineRule="auto"/>
        <w:rPr>
          <w:rFonts w:eastAsiaTheme="minorEastAsia"/>
          <w:b/>
          <w:iCs/>
          <w:sz w:val="24"/>
          <w:lang w:eastAsia="zh-TW"/>
        </w:rPr>
      </w:pPr>
      <w:r w:rsidRPr="00A4450E">
        <w:rPr>
          <w:rFonts w:eastAsiaTheme="minorEastAsia"/>
          <w:b/>
          <w:iCs/>
          <w:sz w:val="24"/>
          <w:lang w:eastAsia="zh-TW"/>
        </w:rPr>
        <w:t xml:space="preserve">3.2 Selection </w:t>
      </w:r>
      <w:r w:rsidR="00EA7A24" w:rsidRPr="00A4450E">
        <w:rPr>
          <w:rFonts w:eastAsiaTheme="minorEastAsia"/>
          <w:b/>
          <w:iCs/>
          <w:sz w:val="24"/>
          <w:lang w:eastAsia="zh-TW"/>
        </w:rPr>
        <w:t>&amp;</w:t>
      </w:r>
      <w:r w:rsidRPr="00A4450E">
        <w:rPr>
          <w:rFonts w:eastAsiaTheme="minorEastAsia"/>
          <w:b/>
          <w:iCs/>
          <w:sz w:val="24"/>
          <w:lang w:eastAsia="zh-TW"/>
        </w:rPr>
        <w:t xml:space="preserve"> </w:t>
      </w:r>
      <w:r w:rsidR="00A4450E">
        <w:rPr>
          <w:rFonts w:eastAsiaTheme="minorEastAsia"/>
          <w:b/>
          <w:iCs/>
          <w:sz w:val="24"/>
          <w:lang w:eastAsia="zh-TW"/>
        </w:rPr>
        <w:t>D</w:t>
      </w:r>
      <w:r w:rsidRPr="00A4450E">
        <w:rPr>
          <w:rFonts w:eastAsiaTheme="minorEastAsia"/>
          <w:b/>
          <w:iCs/>
          <w:sz w:val="24"/>
          <w:lang w:eastAsia="zh-TW"/>
        </w:rPr>
        <w:t xml:space="preserve">efinition of </w:t>
      </w:r>
      <w:r w:rsidR="00A4450E">
        <w:rPr>
          <w:rFonts w:eastAsiaTheme="minorEastAsia"/>
          <w:b/>
          <w:iCs/>
          <w:sz w:val="24"/>
          <w:lang w:eastAsia="zh-TW"/>
        </w:rPr>
        <w:t>I</w:t>
      </w:r>
      <w:r w:rsidRPr="00A4450E">
        <w:rPr>
          <w:rFonts w:eastAsiaTheme="minorEastAsia"/>
          <w:b/>
          <w:iCs/>
          <w:sz w:val="24"/>
          <w:lang w:eastAsia="zh-TW"/>
        </w:rPr>
        <w:t xml:space="preserve">nput and </w:t>
      </w:r>
      <w:r w:rsidR="00A4450E">
        <w:rPr>
          <w:rFonts w:eastAsiaTheme="minorEastAsia"/>
          <w:b/>
          <w:iCs/>
          <w:sz w:val="24"/>
          <w:lang w:eastAsia="zh-TW"/>
        </w:rPr>
        <w:t>O</w:t>
      </w:r>
      <w:r w:rsidRPr="00A4450E">
        <w:rPr>
          <w:rFonts w:eastAsiaTheme="minorEastAsia"/>
          <w:b/>
          <w:iCs/>
          <w:sz w:val="24"/>
          <w:lang w:eastAsia="zh-TW"/>
        </w:rPr>
        <w:t xml:space="preserve">utput </w:t>
      </w:r>
      <w:r w:rsidR="00A4450E">
        <w:rPr>
          <w:rFonts w:eastAsiaTheme="minorEastAsia"/>
          <w:b/>
          <w:iCs/>
          <w:sz w:val="24"/>
          <w:lang w:eastAsia="zh-TW"/>
        </w:rPr>
        <w:t>I</w:t>
      </w:r>
      <w:r w:rsidRPr="00A4450E">
        <w:rPr>
          <w:rFonts w:eastAsiaTheme="minorEastAsia"/>
          <w:b/>
          <w:iCs/>
          <w:sz w:val="24"/>
          <w:lang w:eastAsia="zh-TW"/>
        </w:rPr>
        <w:t>tems</w:t>
      </w:r>
    </w:p>
    <w:p w:rsidR="001E6649" w:rsidRPr="00627BC7" w:rsidRDefault="00E90D1C" w:rsidP="00674223">
      <w:pPr>
        <w:adjustRightInd w:val="0"/>
        <w:snapToGrid w:val="0"/>
        <w:spacing w:line="480" w:lineRule="auto"/>
        <w:ind w:firstLineChars="200" w:firstLine="480"/>
        <w:rPr>
          <w:rFonts w:eastAsiaTheme="minorEastAsia"/>
          <w:iCs/>
          <w:sz w:val="24"/>
          <w:lang w:eastAsia="zh-TW"/>
        </w:rPr>
      </w:pPr>
      <w:r w:rsidRPr="00627BC7">
        <w:rPr>
          <w:rFonts w:eastAsiaTheme="minorEastAsia"/>
          <w:iCs/>
          <w:sz w:val="24"/>
          <w:lang w:eastAsia="zh-TW"/>
        </w:rPr>
        <w:t>M</w:t>
      </w:r>
      <w:r w:rsidR="00674223" w:rsidRPr="00627BC7">
        <w:rPr>
          <w:rFonts w:eastAsiaTheme="minorEastAsia"/>
          <w:iCs/>
          <w:sz w:val="24"/>
          <w:lang w:eastAsia="zh-TW"/>
        </w:rPr>
        <w:t xml:space="preserve">any scholars </w:t>
      </w:r>
      <w:r w:rsidRPr="00627BC7">
        <w:rPr>
          <w:rFonts w:eastAsiaTheme="minorEastAsia"/>
          <w:iCs/>
          <w:sz w:val="24"/>
          <w:lang w:eastAsia="zh-TW"/>
        </w:rPr>
        <w:t xml:space="preserve">have recently employed </w:t>
      </w:r>
      <w:r w:rsidR="00674223" w:rsidRPr="00627BC7">
        <w:rPr>
          <w:rFonts w:eastAsiaTheme="minorEastAsia"/>
          <w:iCs/>
          <w:sz w:val="24"/>
          <w:lang w:eastAsia="zh-TW"/>
        </w:rPr>
        <w:t xml:space="preserve">the concept of multiple inputs and outputs to measure R&amp;D performance. </w:t>
      </w:r>
      <w:r w:rsidR="00B95181" w:rsidRPr="00627BC7">
        <w:rPr>
          <w:rFonts w:eastAsiaTheme="minorEastAsia"/>
          <w:iCs/>
          <w:sz w:val="24"/>
          <w:lang w:eastAsia="zh-TW"/>
        </w:rPr>
        <w:t xml:space="preserve">Supported by the </w:t>
      </w:r>
      <w:r w:rsidRPr="00627BC7">
        <w:rPr>
          <w:rFonts w:eastAsiaTheme="minorEastAsia"/>
          <w:iCs/>
          <w:sz w:val="24"/>
          <w:lang w:eastAsia="zh-TW"/>
        </w:rPr>
        <w:t>results of</w:t>
      </w:r>
      <w:r w:rsidR="00674223" w:rsidRPr="00627BC7">
        <w:rPr>
          <w:rFonts w:eastAsiaTheme="minorEastAsia"/>
          <w:iCs/>
          <w:sz w:val="24"/>
          <w:lang w:eastAsia="zh-TW"/>
        </w:rPr>
        <w:t xml:space="preserve"> many </w:t>
      </w:r>
      <w:r w:rsidRPr="00627BC7">
        <w:rPr>
          <w:rFonts w:eastAsiaTheme="minorEastAsia"/>
          <w:iCs/>
          <w:sz w:val="24"/>
          <w:lang w:eastAsia="zh-TW"/>
        </w:rPr>
        <w:t xml:space="preserve">cogent studies, such as </w:t>
      </w:r>
      <w:r w:rsidR="00674223" w:rsidRPr="00627BC7">
        <w:rPr>
          <w:rFonts w:eastAsiaTheme="minorEastAsia"/>
          <w:iCs/>
          <w:sz w:val="24"/>
          <w:lang w:eastAsia="zh-TW"/>
        </w:rPr>
        <w:t xml:space="preserve">Diaz-Balteiro et al. (2006), Eberhart, Maxwell and Siddique (2008), Hashimoto and Haneda (2008), Pandit, Wasley and Zach (2011), </w:t>
      </w:r>
      <w:r w:rsidR="00B95181" w:rsidRPr="00627BC7">
        <w:rPr>
          <w:rFonts w:eastAsiaTheme="minorEastAsia"/>
          <w:iCs/>
          <w:sz w:val="24"/>
          <w:lang w:eastAsia="zh-TW"/>
        </w:rPr>
        <w:t xml:space="preserve">this study uses </w:t>
      </w:r>
      <w:r w:rsidR="00674223" w:rsidRPr="00627BC7">
        <w:rPr>
          <w:rFonts w:eastAsiaTheme="minorEastAsia"/>
          <w:iCs/>
          <w:sz w:val="24"/>
          <w:lang w:eastAsia="zh-TW"/>
        </w:rPr>
        <w:t xml:space="preserve">the current year’s R&amp;D expenses as </w:t>
      </w:r>
      <w:r w:rsidR="002437FB">
        <w:rPr>
          <w:rFonts w:eastAsiaTheme="minorEastAsia"/>
          <w:iCs/>
          <w:sz w:val="24"/>
          <w:lang w:eastAsia="zh-TW"/>
        </w:rPr>
        <w:t>an</w:t>
      </w:r>
      <w:r w:rsidR="00674223" w:rsidRPr="00627BC7">
        <w:rPr>
          <w:rFonts w:eastAsiaTheme="minorEastAsia"/>
          <w:iCs/>
          <w:sz w:val="24"/>
          <w:lang w:eastAsia="zh-TW"/>
        </w:rPr>
        <w:t xml:space="preserve"> input variable</w:t>
      </w:r>
      <w:r w:rsidR="002437FB">
        <w:rPr>
          <w:rFonts w:eastAsiaTheme="minorEastAsia"/>
          <w:iCs/>
          <w:sz w:val="24"/>
          <w:lang w:eastAsia="zh-TW"/>
        </w:rPr>
        <w:t xml:space="preserve">; </w:t>
      </w:r>
      <w:r w:rsidR="00674223" w:rsidRPr="00627BC7">
        <w:rPr>
          <w:rFonts w:eastAsiaTheme="minorEastAsia"/>
          <w:iCs/>
          <w:sz w:val="24"/>
          <w:lang w:eastAsia="zh-TW"/>
        </w:rPr>
        <w:t xml:space="preserve">operating expenses (including sales expenses and management expenses) </w:t>
      </w:r>
      <w:r w:rsidR="002437FB">
        <w:rPr>
          <w:rFonts w:eastAsiaTheme="minorEastAsia"/>
          <w:iCs/>
          <w:sz w:val="24"/>
          <w:lang w:eastAsia="zh-TW"/>
        </w:rPr>
        <w:t>as an</w:t>
      </w:r>
      <w:r w:rsidR="00627BC7" w:rsidRPr="00627BC7">
        <w:rPr>
          <w:rFonts w:eastAsiaTheme="minorEastAsia"/>
          <w:iCs/>
          <w:sz w:val="24"/>
          <w:lang w:eastAsia="zh-TW"/>
        </w:rPr>
        <w:t xml:space="preserve"> input variable </w:t>
      </w:r>
      <w:r w:rsidR="00674223" w:rsidRPr="00627BC7">
        <w:rPr>
          <w:rFonts w:eastAsiaTheme="minorEastAsia"/>
          <w:iCs/>
          <w:sz w:val="24"/>
          <w:lang w:eastAsia="zh-TW"/>
        </w:rPr>
        <w:t>(Kotabe et al.</w:t>
      </w:r>
      <w:r w:rsidR="001E6649" w:rsidRPr="00627BC7">
        <w:rPr>
          <w:rFonts w:eastAsiaTheme="minorEastAsia"/>
          <w:iCs/>
          <w:sz w:val="24"/>
          <w:lang w:eastAsia="zh-TW"/>
        </w:rPr>
        <w:t>,</w:t>
      </w:r>
      <w:r w:rsidR="00674223" w:rsidRPr="00627BC7">
        <w:rPr>
          <w:rFonts w:eastAsiaTheme="minorEastAsia"/>
          <w:iCs/>
          <w:sz w:val="24"/>
          <w:lang w:eastAsia="zh-TW"/>
        </w:rPr>
        <w:t xml:space="preserve"> 2002</w:t>
      </w:r>
      <w:r w:rsidR="001E6649" w:rsidRPr="00627BC7">
        <w:rPr>
          <w:rFonts w:eastAsiaTheme="minorEastAsia"/>
          <w:iCs/>
          <w:sz w:val="24"/>
          <w:lang w:eastAsia="zh-TW"/>
        </w:rPr>
        <w:t xml:space="preserve">; </w:t>
      </w:r>
      <w:r w:rsidR="00674223" w:rsidRPr="00627BC7">
        <w:rPr>
          <w:rFonts w:eastAsiaTheme="minorEastAsia"/>
          <w:iCs/>
          <w:sz w:val="24"/>
          <w:lang w:eastAsia="zh-TW"/>
        </w:rPr>
        <w:t xml:space="preserve">Lu et al. 2016, Chen </w:t>
      </w:r>
      <w:r w:rsidR="001E6649" w:rsidRPr="00627BC7">
        <w:rPr>
          <w:rFonts w:eastAsiaTheme="minorEastAsia"/>
          <w:iCs/>
          <w:sz w:val="24"/>
          <w:lang w:eastAsia="zh-TW"/>
        </w:rPr>
        <w:t>&amp;</w:t>
      </w:r>
      <w:r w:rsidR="00674223" w:rsidRPr="00627BC7">
        <w:rPr>
          <w:rFonts w:eastAsiaTheme="minorEastAsia"/>
          <w:iCs/>
          <w:sz w:val="24"/>
          <w:lang w:eastAsia="zh-TW"/>
        </w:rPr>
        <w:t xml:space="preserve"> Chiang</w:t>
      </w:r>
      <w:r w:rsidR="001E6649" w:rsidRPr="00627BC7">
        <w:rPr>
          <w:rFonts w:eastAsiaTheme="minorEastAsia"/>
          <w:iCs/>
          <w:sz w:val="24"/>
          <w:lang w:eastAsia="zh-TW"/>
        </w:rPr>
        <w:t>,</w:t>
      </w:r>
      <w:r w:rsidR="00674223" w:rsidRPr="00627BC7">
        <w:rPr>
          <w:rFonts w:eastAsiaTheme="minorEastAsia"/>
          <w:iCs/>
          <w:sz w:val="24"/>
          <w:lang w:eastAsia="zh-TW"/>
        </w:rPr>
        <w:t xml:space="preserve"> 2018</w:t>
      </w:r>
      <w:r w:rsidR="001E6649" w:rsidRPr="00627BC7">
        <w:rPr>
          <w:rFonts w:eastAsiaTheme="minorEastAsia"/>
          <w:iCs/>
          <w:sz w:val="24"/>
          <w:lang w:eastAsia="zh-TW"/>
        </w:rPr>
        <w:t xml:space="preserve">; </w:t>
      </w:r>
      <w:r w:rsidR="00674223" w:rsidRPr="00627BC7">
        <w:rPr>
          <w:rFonts w:eastAsiaTheme="minorEastAsia"/>
          <w:iCs/>
          <w:sz w:val="24"/>
          <w:lang w:eastAsia="zh-TW"/>
        </w:rPr>
        <w:t>Chou , Shao</w:t>
      </w:r>
      <w:r w:rsidR="001E6649" w:rsidRPr="00627BC7">
        <w:rPr>
          <w:rFonts w:eastAsiaTheme="minorEastAsia"/>
          <w:iCs/>
          <w:sz w:val="24"/>
          <w:lang w:eastAsia="zh-TW"/>
        </w:rPr>
        <w:t xml:space="preserve"> &amp; </w:t>
      </w:r>
      <w:r w:rsidR="00674223" w:rsidRPr="00627BC7">
        <w:rPr>
          <w:rFonts w:eastAsiaTheme="minorEastAsia"/>
          <w:iCs/>
          <w:sz w:val="24"/>
          <w:lang w:eastAsia="zh-TW"/>
        </w:rPr>
        <w:t xml:space="preserve">Lin, 2012; Lu </w:t>
      </w:r>
      <w:r w:rsidR="001E6649" w:rsidRPr="00627BC7">
        <w:rPr>
          <w:rFonts w:eastAsiaTheme="minorEastAsia"/>
          <w:iCs/>
          <w:sz w:val="24"/>
          <w:lang w:eastAsia="zh-TW"/>
        </w:rPr>
        <w:t>&amp;</w:t>
      </w:r>
      <w:r w:rsidR="00674223" w:rsidRPr="00627BC7">
        <w:rPr>
          <w:rFonts w:eastAsiaTheme="minorEastAsia"/>
          <w:iCs/>
          <w:sz w:val="24"/>
          <w:lang w:eastAsia="zh-TW"/>
        </w:rPr>
        <w:t xml:space="preserve"> Hung, 2011)</w:t>
      </w:r>
      <w:r w:rsidR="002437FB">
        <w:rPr>
          <w:rFonts w:eastAsiaTheme="minorEastAsia"/>
          <w:iCs/>
          <w:sz w:val="24"/>
          <w:lang w:eastAsia="zh-TW"/>
        </w:rPr>
        <w:t>;</w:t>
      </w:r>
      <w:r w:rsidR="00627BC7">
        <w:rPr>
          <w:rFonts w:eastAsiaTheme="minorEastAsia"/>
          <w:iCs/>
          <w:sz w:val="24"/>
          <w:lang w:eastAsia="zh-TW"/>
        </w:rPr>
        <w:t xml:space="preserve"> </w:t>
      </w:r>
      <w:r w:rsidR="00674223" w:rsidRPr="00627BC7">
        <w:rPr>
          <w:rFonts w:eastAsiaTheme="minorEastAsia"/>
          <w:iCs/>
          <w:sz w:val="24"/>
          <w:lang w:eastAsia="zh-TW"/>
        </w:rPr>
        <w:t xml:space="preserve">the number of employees </w:t>
      </w:r>
      <w:r w:rsidR="00B95181" w:rsidRPr="00627BC7">
        <w:rPr>
          <w:rFonts w:eastAsiaTheme="minorEastAsia"/>
          <w:iCs/>
          <w:sz w:val="24"/>
          <w:lang w:eastAsia="zh-TW"/>
        </w:rPr>
        <w:t>as</w:t>
      </w:r>
      <w:r w:rsidR="00674223" w:rsidRPr="00627BC7">
        <w:rPr>
          <w:rFonts w:eastAsiaTheme="minorEastAsia"/>
          <w:iCs/>
          <w:sz w:val="24"/>
          <w:lang w:eastAsia="zh-TW"/>
        </w:rPr>
        <w:t xml:space="preserve"> </w:t>
      </w:r>
      <w:r w:rsidR="002437FB">
        <w:rPr>
          <w:rFonts w:eastAsiaTheme="minorEastAsia"/>
          <w:iCs/>
          <w:sz w:val="24"/>
          <w:lang w:eastAsia="zh-TW"/>
        </w:rPr>
        <w:t>an</w:t>
      </w:r>
      <w:r w:rsidR="00674223" w:rsidRPr="00627BC7">
        <w:rPr>
          <w:rFonts w:eastAsiaTheme="minorEastAsia"/>
          <w:iCs/>
          <w:sz w:val="24"/>
          <w:lang w:eastAsia="zh-TW"/>
        </w:rPr>
        <w:t xml:space="preserve"> input variable</w:t>
      </w:r>
      <w:r w:rsidR="002437FB">
        <w:rPr>
          <w:rFonts w:eastAsiaTheme="minorEastAsia"/>
          <w:iCs/>
          <w:sz w:val="24"/>
          <w:lang w:eastAsia="zh-TW"/>
        </w:rPr>
        <w:t>; and</w:t>
      </w:r>
      <w:r w:rsidR="00674223" w:rsidRPr="00627BC7">
        <w:rPr>
          <w:rFonts w:eastAsiaTheme="minorEastAsia"/>
          <w:iCs/>
          <w:sz w:val="24"/>
          <w:lang w:eastAsia="zh-TW"/>
        </w:rPr>
        <w:t xml:space="preserve"> market value and operating income</w:t>
      </w:r>
      <w:r w:rsidR="002437FB">
        <w:rPr>
          <w:rFonts w:eastAsiaTheme="minorEastAsia"/>
          <w:iCs/>
          <w:sz w:val="24"/>
          <w:lang w:eastAsia="zh-TW"/>
        </w:rPr>
        <w:t xml:space="preserve"> as an</w:t>
      </w:r>
      <w:r w:rsidR="00674223" w:rsidRPr="00627BC7">
        <w:rPr>
          <w:rFonts w:eastAsiaTheme="minorEastAsia"/>
          <w:iCs/>
          <w:sz w:val="24"/>
          <w:lang w:eastAsia="zh-TW"/>
        </w:rPr>
        <w:t xml:space="preserve"> </w:t>
      </w:r>
      <w:r w:rsidR="002437FB" w:rsidRPr="00627BC7">
        <w:rPr>
          <w:rFonts w:eastAsiaTheme="minorEastAsia"/>
          <w:iCs/>
          <w:sz w:val="24"/>
          <w:lang w:eastAsia="zh-TW"/>
        </w:rPr>
        <w:t xml:space="preserve">output variable </w:t>
      </w:r>
      <w:r w:rsidR="00674223" w:rsidRPr="00627BC7">
        <w:rPr>
          <w:rFonts w:eastAsiaTheme="minorEastAsia"/>
          <w:iCs/>
          <w:sz w:val="24"/>
          <w:lang w:eastAsia="zh-TW"/>
        </w:rPr>
        <w:t xml:space="preserve">(Seiford </w:t>
      </w:r>
      <w:r w:rsidR="001E6649" w:rsidRPr="00627BC7">
        <w:rPr>
          <w:rFonts w:eastAsiaTheme="minorEastAsia"/>
          <w:iCs/>
          <w:sz w:val="24"/>
          <w:lang w:eastAsia="zh-TW"/>
        </w:rPr>
        <w:t xml:space="preserve">&amp; </w:t>
      </w:r>
      <w:r w:rsidR="00674223" w:rsidRPr="00627BC7">
        <w:rPr>
          <w:rFonts w:eastAsiaTheme="minorEastAsia"/>
          <w:iCs/>
          <w:sz w:val="24"/>
          <w:lang w:eastAsia="zh-TW"/>
        </w:rPr>
        <w:t>Zhu</w:t>
      </w:r>
      <w:r w:rsidR="001E6649" w:rsidRPr="00627BC7">
        <w:rPr>
          <w:rFonts w:eastAsiaTheme="minorEastAsia"/>
          <w:iCs/>
          <w:sz w:val="24"/>
          <w:lang w:eastAsia="zh-TW"/>
        </w:rPr>
        <w:t>,</w:t>
      </w:r>
      <w:r w:rsidR="00674223" w:rsidRPr="00627BC7">
        <w:rPr>
          <w:rFonts w:eastAsiaTheme="minorEastAsia"/>
          <w:iCs/>
          <w:sz w:val="24"/>
          <w:lang w:eastAsia="zh-TW"/>
        </w:rPr>
        <w:t xml:space="preserve"> 1999</w:t>
      </w:r>
      <w:r w:rsidR="001E6649" w:rsidRPr="00627BC7">
        <w:rPr>
          <w:rFonts w:eastAsiaTheme="minorEastAsia"/>
          <w:iCs/>
          <w:sz w:val="24"/>
          <w:lang w:eastAsia="zh-TW"/>
        </w:rPr>
        <w:t xml:space="preserve">; </w:t>
      </w:r>
      <w:r w:rsidR="00674223" w:rsidRPr="00627BC7">
        <w:rPr>
          <w:rFonts w:eastAsiaTheme="minorEastAsia"/>
          <w:iCs/>
          <w:sz w:val="24"/>
          <w:lang w:eastAsia="zh-TW"/>
        </w:rPr>
        <w:t xml:space="preserve">Hashimoto </w:t>
      </w:r>
      <w:r w:rsidR="001E6649" w:rsidRPr="00627BC7">
        <w:rPr>
          <w:rFonts w:eastAsiaTheme="minorEastAsia"/>
          <w:iCs/>
          <w:sz w:val="24"/>
          <w:lang w:eastAsia="zh-TW"/>
        </w:rPr>
        <w:t>&amp;</w:t>
      </w:r>
      <w:r w:rsidR="00674223" w:rsidRPr="00627BC7">
        <w:rPr>
          <w:rFonts w:eastAsiaTheme="minorEastAsia"/>
          <w:iCs/>
          <w:sz w:val="24"/>
          <w:lang w:eastAsia="zh-TW"/>
        </w:rPr>
        <w:t xml:space="preserve"> Haneda</w:t>
      </w:r>
      <w:r w:rsidR="001E6649" w:rsidRPr="00627BC7">
        <w:rPr>
          <w:rFonts w:eastAsiaTheme="minorEastAsia"/>
          <w:iCs/>
          <w:sz w:val="24"/>
          <w:lang w:eastAsia="zh-TW"/>
        </w:rPr>
        <w:t>,</w:t>
      </w:r>
      <w:r w:rsidR="00674223" w:rsidRPr="00627BC7">
        <w:rPr>
          <w:rFonts w:eastAsiaTheme="minorEastAsia"/>
          <w:iCs/>
          <w:sz w:val="24"/>
          <w:lang w:eastAsia="zh-TW"/>
        </w:rPr>
        <w:t xml:space="preserve"> 2008</w:t>
      </w:r>
      <w:r w:rsidR="001E6649" w:rsidRPr="00627BC7">
        <w:rPr>
          <w:rFonts w:eastAsiaTheme="minorEastAsia"/>
          <w:iCs/>
          <w:sz w:val="24"/>
          <w:lang w:eastAsia="zh-TW"/>
        </w:rPr>
        <w:t xml:space="preserve">; </w:t>
      </w:r>
      <w:r w:rsidR="00674223" w:rsidRPr="00627BC7">
        <w:rPr>
          <w:rFonts w:eastAsiaTheme="minorEastAsia"/>
          <w:iCs/>
          <w:sz w:val="24"/>
          <w:lang w:eastAsia="zh-TW"/>
        </w:rPr>
        <w:t>Lu et al.</w:t>
      </w:r>
      <w:r w:rsidR="00B95181" w:rsidRPr="00627BC7">
        <w:rPr>
          <w:rFonts w:eastAsiaTheme="minorEastAsia"/>
          <w:iCs/>
          <w:sz w:val="24"/>
          <w:lang w:eastAsia="zh-TW"/>
        </w:rPr>
        <w:t>,</w:t>
      </w:r>
      <w:r w:rsidR="00674223" w:rsidRPr="00627BC7">
        <w:rPr>
          <w:rFonts w:eastAsiaTheme="minorEastAsia"/>
          <w:iCs/>
          <w:sz w:val="24"/>
          <w:lang w:eastAsia="zh-TW"/>
        </w:rPr>
        <w:t xml:space="preserve"> 2016). </w:t>
      </w:r>
    </w:p>
    <w:p w:rsidR="001E6649" w:rsidRPr="00627BC7" w:rsidRDefault="00674223" w:rsidP="00674223">
      <w:pPr>
        <w:adjustRightInd w:val="0"/>
        <w:snapToGrid w:val="0"/>
        <w:spacing w:line="480" w:lineRule="auto"/>
        <w:ind w:firstLineChars="200" w:firstLine="480"/>
        <w:rPr>
          <w:rFonts w:eastAsiaTheme="minorEastAsia"/>
          <w:iCs/>
          <w:sz w:val="24"/>
          <w:lang w:eastAsia="zh-TW"/>
        </w:rPr>
      </w:pPr>
      <w:r w:rsidRPr="00627BC7">
        <w:rPr>
          <w:rFonts w:eastAsiaTheme="minorEastAsia"/>
          <w:iCs/>
          <w:sz w:val="24"/>
          <w:lang w:eastAsia="zh-TW"/>
        </w:rPr>
        <w:t>In the first stage of dynamic relative efficiency analysis, liabilities</w:t>
      </w:r>
      <w:r w:rsidR="00B95181" w:rsidRPr="00627BC7">
        <w:rPr>
          <w:rFonts w:eastAsiaTheme="minorEastAsia"/>
          <w:iCs/>
          <w:sz w:val="24"/>
          <w:lang w:eastAsia="zh-TW"/>
        </w:rPr>
        <w:t xml:space="preserve"> </w:t>
      </w:r>
      <w:r w:rsidRPr="00627BC7">
        <w:rPr>
          <w:rFonts w:eastAsiaTheme="minorEastAsia"/>
          <w:iCs/>
          <w:sz w:val="24"/>
          <w:lang w:eastAsia="zh-TW"/>
        </w:rPr>
        <w:t xml:space="preserve">and equities are regarded as input variables, </w:t>
      </w:r>
      <w:r w:rsidR="00B95181" w:rsidRPr="00627BC7">
        <w:rPr>
          <w:rFonts w:eastAsiaTheme="minorEastAsia"/>
          <w:iCs/>
          <w:sz w:val="24"/>
          <w:lang w:eastAsia="zh-TW"/>
        </w:rPr>
        <w:t xml:space="preserve">while </w:t>
      </w:r>
      <w:r w:rsidRPr="00627BC7">
        <w:rPr>
          <w:rFonts w:eastAsiaTheme="minorEastAsia"/>
          <w:iCs/>
          <w:sz w:val="24"/>
          <w:lang w:eastAsia="zh-TW"/>
        </w:rPr>
        <w:t xml:space="preserve">the </w:t>
      </w:r>
      <w:r w:rsidR="00B95181" w:rsidRPr="00627BC7">
        <w:rPr>
          <w:rFonts w:eastAsiaTheme="minorEastAsia"/>
          <w:iCs/>
          <w:sz w:val="24"/>
          <w:lang w:eastAsia="zh-TW"/>
        </w:rPr>
        <w:t>“</w:t>
      </w:r>
      <w:r w:rsidRPr="00627BC7">
        <w:rPr>
          <w:rFonts w:eastAsiaTheme="minorEastAsia"/>
          <w:iCs/>
          <w:sz w:val="24"/>
          <w:lang w:eastAsia="zh-TW"/>
        </w:rPr>
        <w:t>carry-over</w:t>
      </w:r>
      <w:r w:rsidR="00B95181" w:rsidRPr="00627BC7">
        <w:rPr>
          <w:rFonts w:eastAsiaTheme="minorEastAsia"/>
          <w:iCs/>
          <w:sz w:val="24"/>
          <w:lang w:eastAsia="zh-TW"/>
        </w:rPr>
        <w:t>”</w:t>
      </w:r>
      <w:r w:rsidRPr="00627BC7">
        <w:rPr>
          <w:rFonts w:eastAsiaTheme="minorEastAsia"/>
          <w:iCs/>
          <w:sz w:val="24"/>
          <w:lang w:eastAsia="zh-TW"/>
        </w:rPr>
        <w:t xml:space="preserve"> value from the previous period is used </w:t>
      </w:r>
      <w:r w:rsidR="00B95181" w:rsidRPr="00627BC7">
        <w:rPr>
          <w:rFonts w:eastAsiaTheme="minorEastAsia"/>
          <w:iCs/>
          <w:sz w:val="24"/>
          <w:lang w:eastAsia="zh-TW"/>
        </w:rPr>
        <w:t xml:space="preserve">in </w:t>
      </w:r>
      <w:r w:rsidRPr="00627BC7">
        <w:rPr>
          <w:rFonts w:eastAsiaTheme="minorEastAsia"/>
          <w:iCs/>
          <w:sz w:val="24"/>
          <w:lang w:eastAsia="zh-TW"/>
        </w:rPr>
        <w:t xml:space="preserve">the second stage of DEA dynamic analysis. </w:t>
      </w:r>
      <w:r w:rsidR="00B95181" w:rsidRPr="00627BC7">
        <w:rPr>
          <w:rFonts w:eastAsiaTheme="minorEastAsia"/>
          <w:iCs/>
          <w:sz w:val="24"/>
          <w:lang w:eastAsia="zh-TW"/>
        </w:rPr>
        <w:t xml:space="preserve">In other words, this </w:t>
      </w:r>
      <w:r w:rsidRPr="00627BC7">
        <w:rPr>
          <w:rFonts w:eastAsiaTheme="minorEastAsia"/>
          <w:iCs/>
          <w:sz w:val="24"/>
          <w:lang w:eastAsia="zh-TW"/>
        </w:rPr>
        <w:t>study examines the efficiency of the 5G</w:t>
      </w:r>
      <w:r w:rsidR="00B95181" w:rsidRPr="00627BC7">
        <w:rPr>
          <w:rFonts w:eastAsiaTheme="minorEastAsia"/>
          <w:iCs/>
          <w:sz w:val="24"/>
          <w:lang w:eastAsia="zh-TW"/>
        </w:rPr>
        <w:t>-</w:t>
      </w:r>
      <w:r w:rsidRPr="00627BC7">
        <w:rPr>
          <w:rFonts w:eastAsiaTheme="minorEastAsia"/>
          <w:iCs/>
          <w:sz w:val="24"/>
          <w:lang w:eastAsia="zh-TW"/>
        </w:rPr>
        <w:t xml:space="preserve">industry </w:t>
      </w:r>
      <w:r w:rsidR="001E6649" w:rsidRPr="00627BC7">
        <w:rPr>
          <w:rFonts w:eastAsiaTheme="minorEastAsia"/>
          <w:iCs/>
          <w:sz w:val="24"/>
          <w:lang w:eastAsia="zh-TW"/>
        </w:rPr>
        <w:t xml:space="preserve">via </w:t>
      </w:r>
      <w:r w:rsidRPr="00627BC7">
        <w:rPr>
          <w:rFonts w:eastAsiaTheme="minorEastAsia"/>
          <w:iCs/>
          <w:sz w:val="24"/>
          <w:lang w:eastAsia="zh-TW"/>
        </w:rPr>
        <w:t>dynamic DEA</w:t>
      </w:r>
      <w:r w:rsidR="001E6649" w:rsidRPr="00627BC7">
        <w:rPr>
          <w:rFonts w:eastAsiaTheme="minorEastAsia"/>
          <w:iCs/>
          <w:sz w:val="24"/>
          <w:lang w:eastAsia="zh-TW"/>
        </w:rPr>
        <w:t xml:space="preserve">, and </w:t>
      </w:r>
      <w:r w:rsidRPr="00627BC7">
        <w:rPr>
          <w:rFonts w:eastAsiaTheme="minorEastAsia"/>
          <w:iCs/>
          <w:sz w:val="24"/>
          <w:lang w:eastAsia="zh-TW"/>
        </w:rPr>
        <w:t xml:space="preserve">adds carry-over to the production process between the two stages. The </w:t>
      </w:r>
      <w:r w:rsidR="001E6649" w:rsidRPr="00627BC7">
        <w:rPr>
          <w:rFonts w:eastAsiaTheme="minorEastAsia"/>
          <w:iCs/>
          <w:sz w:val="24"/>
          <w:lang w:eastAsia="zh-TW"/>
        </w:rPr>
        <w:t>term “</w:t>
      </w:r>
      <w:r w:rsidRPr="00627BC7">
        <w:rPr>
          <w:rFonts w:eastAsiaTheme="minorEastAsia"/>
          <w:iCs/>
          <w:sz w:val="24"/>
          <w:lang w:eastAsia="zh-TW"/>
        </w:rPr>
        <w:t>carry-over</w:t>
      </w:r>
      <w:r w:rsidR="001E6649" w:rsidRPr="00627BC7">
        <w:rPr>
          <w:rFonts w:eastAsiaTheme="minorEastAsia"/>
          <w:iCs/>
          <w:sz w:val="24"/>
          <w:lang w:eastAsia="zh-TW"/>
        </w:rPr>
        <w:t>”</w:t>
      </w:r>
      <w:r w:rsidRPr="00627BC7">
        <w:rPr>
          <w:rFonts w:eastAsiaTheme="minorEastAsia"/>
          <w:iCs/>
          <w:sz w:val="24"/>
          <w:lang w:eastAsia="zh-TW"/>
        </w:rPr>
        <w:t xml:space="preserve"> refers to the application of the</w:t>
      </w:r>
      <w:r w:rsidR="002437FB">
        <w:rPr>
          <w:rFonts w:eastAsiaTheme="minorEastAsia"/>
          <w:iCs/>
          <w:sz w:val="24"/>
          <w:lang w:eastAsia="zh-TW"/>
        </w:rPr>
        <w:t xml:space="preserve"> companies’</w:t>
      </w:r>
      <w:r w:rsidRPr="00627BC7">
        <w:rPr>
          <w:rFonts w:eastAsiaTheme="minorEastAsia"/>
          <w:iCs/>
          <w:sz w:val="24"/>
          <w:lang w:eastAsia="zh-TW"/>
        </w:rPr>
        <w:t xml:space="preserve"> balance sheet</w:t>
      </w:r>
      <w:r w:rsidR="002437FB">
        <w:rPr>
          <w:rFonts w:eastAsiaTheme="minorEastAsia"/>
          <w:iCs/>
          <w:sz w:val="24"/>
          <w:lang w:eastAsia="zh-TW"/>
        </w:rPr>
        <w:t>s due to the fact that</w:t>
      </w:r>
      <w:r w:rsidRPr="00627BC7">
        <w:rPr>
          <w:rFonts w:eastAsiaTheme="minorEastAsia"/>
          <w:iCs/>
          <w:sz w:val="24"/>
          <w:lang w:eastAsia="zh-TW"/>
        </w:rPr>
        <w:t xml:space="preserve"> balance sheet</w:t>
      </w:r>
      <w:r w:rsidR="002437FB">
        <w:rPr>
          <w:rFonts w:eastAsiaTheme="minorEastAsia"/>
          <w:iCs/>
          <w:sz w:val="24"/>
          <w:lang w:eastAsia="zh-TW"/>
        </w:rPr>
        <w:t>s</w:t>
      </w:r>
      <w:r w:rsidRPr="00627BC7">
        <w:rPr>
          <w:rFonts w:eastAsiaTheme="minorEastAsia"/>
          <w:iCs/>
          <w:sz w:val="24"/>
          <w:lang w:eastAsia="zh-TW"/>
        </w:rPr>
        <w:t xml:space="preserve"> ha</w:t>
      </w:r>
      <w:r w:rsidR="002437FB">
        <w:rPr>
          <w:rFonts w:eastAsiaTheme="minorEastAsia"/>
          <w:iCs/>
          <w:sz w:val="24"/>
          <w:lang w:eastAsia="zh-TW"/>
        </w:rPr>
        <w:t>ve</w:t>
      </w:r>
      <w:r w:rsidRPr="00627BC7">
        <w:rPr>
          <w:rFonts w:eastAsiaTheme="minorEastAsia"/>
          <w:iCs/>
          <w:sz w:val="24"/>
          <w:lang w:eastAsia="zh-TW"/>
        </w:rPr>
        <w:t xml:space="preserve"> a</w:t>
      </w:r>
      <w:r w:rsidR="001E6649" w:rsidRPr="00627BC7">
        <w:rPr>
          <w:rFonts w:eastAsiaTheme="minorEastAsia"/>
          <w:iCs/>
          <w:sz w:val="24"/>
          <w:lang w:eastAsia="zh-TW"/>
        </w:rPr>
        <w:t>n inherent</w:t>
      </w:r>
      <w:r w:rsidRPr="00627BC7">
        <w:rPr>
          <w:rFonts w:eastAsiaTheme="minorEastAsia"/>
          <w:iCs/>
          <w:sz w:val="24"/>
          <w:lang w:eastAsia="zh-TW"/>
        </w:rPr>
        <w:t xml:space="preserve"> </w:t>
      </w:r>
      <w:r w:rsidR="001E6649" w:rsidRPr="00627BC7">
        <w:rPr>
          <w:rFonts w:eastAsiaTheme="minorEastAsia"/>
          <w:iCs/>
          <w:sz w:val="24"/>
          <w:lang w:eastAsia="zh-TW"/>
        </w:rPr>
        <w:t xml:space="preserve">time </w:t>
      </w:r>
      <w:r w:rsidRPr="00627BC7">
        <w:rPr>
          <w:rFonts w:eastAsiaTheme="minorEastAsia"/>
          <w:iCs/>
          <w:sz w:val="24"/>
          <w:lang w:eastAsia="zh-TW"/>
        </w:rPr>
        <w:t>period between periods</w:t>
      </w:r>
      <w:r w:rsidR="00B95181" w:rsidRPr="00627BC7">
        <w:rPr>
          <w:rFonts w:eastAsiaTheme="minorEastAsia"/>
          <w:iCs/>
          <w:sz w:val="24"/>
          <w:lang w:eastAsia="zh-TW"/>
        </w:rPr>
        <w:t xml:space="preserve"> and</w:t>
      </w:r>
      <w:r w:rsidR="002437FB">
        <w:rPr>
          <w:rFonts w:eastAsiaTheme="minorEastAsia"/>
          <w:iCs/>
          <w:sz w:val="24"/>
          <w:lang w:eastAsia="zh-TW"/>
        </w:rPr>
        <w:t>, therefore,</w:t>
      </w:r>
      <w:r w:rsidR="00B95181" w:rsidRPr="00627BC7">
        <w:rPr>
          <w:rFonts w:eastAsiaTheme="minorEastAsia"/>
          <w:iCs/>
          <w:sz w:val="24"/>
          <w:lang w:eastAsia="zh-TW"/>
        </w:rPr>
        <w:t xml:space="preserve"> contain </w:t>
      </w:r>
      <w:r w:rsidRPr="00627BC7">
        <w:rPr>
          <w:rFonts w:eastAsiaTheme="minorEastAsia"/>
          <w:iCs/>
          <w:sz w:val="24"/>
          <w:lang w:eastAsia="zh-TW"/>
        </w:rPr>
        <w:t xml:space="preserve">characteristics of the cumulative total. Therefore, this study classifies variables according to the characteristics of assets, liabilities and liabilities </w:t>
      </w:r>
      <w:r w:rsidR="00B95181" w:rsidRPr="00627BC7">
        <w:rPr>
          <w:rFonts w:eastAsiaTheme="minorEastAsia"/>
          <w:iCs/>
          <w:sz w:val="24"/>
          <w:lang w:eastAsia="zh-TW"/>
        </w:rPr>
        <w:t>as its</w:t>
      </w:r>
      <w:r w:rsidRPr="00627BC7">
        <w:rPr>
          <w:rFonts w:eastAsiaTheme="minorEastAsia"/>
          <w:iCs/>
          <w:sz w:val="24"/>
          <w:lang w:eastAsia="zh-TW"/>
        </w:rPr>
        <w:t xml:space="preserve"> main research objective. </w:t>
      </w:r>
    </w:p>
    <w:p w:rsidR="00674223" w:rsidRPr="00627BC7" w:rsidRDefault="00674223" w:rsidP="00674223">
      <w:pPr>
        <w:adjustRightInd w:val="0"/>
        <w:snapToGrid w:val="0"/>
        <w:spacing w:line="480" w:lineRule="auto"/>
        <w:ind w:firstLineChars="200" w:firstLine="480"/>
        <w:rPr>
          <w:rFonts w:eastAsiaTheme="minorEastAsia"/>
          <w:iCs/>
          <w:sz w:val="24"/>
          <w:lang w:eastAsia="zh-TW"/>
        </w:rPr>
      </w:pPr>
      <w:r w:rsidRPr="00627BC7">
        <w:rPr>
          <w:rFonts w:eastAsiaTheme="minorEastAsia"/>
          <w:iCs/>
          <w:sz w:val="24"/>
          <w:lang w:eastAsia="zh-TW"/>
        </w:rPr>
        <w:t xml:space="preserve">Table 1 </w:t>
      </w:r>
      <w:r w:rsidR="00B95181" w:rsidRPr="00627BC7">
        <w:rPr>
          <w:rFonts w:eastAsiaTheme="minorEastAsia"/>
          <w:iCs/>
          <w:sz w:val="24"/>
          <w:lang w:eastAsia="zh-TW"/>
        </w:rPr>
        <w:t>describes</w:t>
      </w:r>
      <w:r w:rsidRPr="00627BC7">
        <w:rPr>
          <w:rFonts w:eastAsiaTheme="minorEastAsia"/>
          <w:iCs/>
          <w:sz w:val="24"/>
          <w:lang w:eastAsia="zh-TW"/>
        </w:rPr>
        <w:t xml:space="preserve"> the </w:t>
      </w:r>
      <w:r w:rsidR="00B95181" w:rsidRPr="00627BC7">
        <w:rPr>
          <w:rFonts w:eastAsiaTheme="minorEastAsia"/>
          <w:iCs/>
          <w:sz w:val="24"/>
          <w:lang w:eastAsia="zh-TW"/>
        </w:rPr>
        <w:t xml:space="preserve">present study’s selection of </w:t>
      </w:r>
      <w:r w:rsidRPr="00627BC7">
        <w:rPr>
          <w:rFonts w:eastAsiaTheme="minorEastAsia"/>
          <w:iCs/>
          <w:sz w:val="24"/>
          <w:lang w:eastAsia="zh-TW"/>
        </w:rPr>
        <w:t>variable</w:t>
      </w:r>
      <w:r w:rsidR="00B95181" w:rsidRPr="00627BC7">
        <w:rPr>
          <w:rFonts w:eastAsiaTheme="minorEastAsia"/>
          <w:iCs/>
          <w:sz w:val="24"/>
          <w:lang w:eastAsia="zh-TW"/>
        </w:rPr>
        <w:t>s</w:t>
      </w:r>
      <w:r w:rsidRPr="00627BC7">
        <w:rPr>
          <w:rFonts w:eastAsiaTheme="minorEastAsia"/>
          <w:iCs/>
          <w:sz w:val="24"/>
          <w:lang w:eastAsia="zh-TW"/>
        </w:rPr>
        <w:t xml:space="preserve"> and operational definitions.</w:t>
      </w:r>
    </w:p>
    <w:p w:rsidR="001938BB" w:rsidRPr="00A4450E" w:rsidRDefault="001938BB" w:rsidP="001938BB">
      <w:pPr>
        <w:adjustRightInd w:val="0"/>
        <w:snapToGrid w:val="0"/>
        <w:spacing w:line="480" w:lineRule="auto"/>
        <w:ind w:firstLineChars="200" w:firstLine="480"/>
        <w:jc w:val="center"/>
        <w:rPr>
          <w:rFonts w:eastAsia="標楷體"/>
          <w:bCs/>
          <w:kern w:val="0"/>
          <w:sz w:val="24"/>
          <w:lang w:eastAsia="zh-TW"/>
        </w:rPr>
      </w:pPr>
      <w:r w:rsidRPr="00A4450E">
        <w:rPr>
          <w:rFonts w:eastAsia="標楷體"/>
          <w:bCs/>
          <w:kern w:val="0"/>
          <w:sz w:val="24"/>
          <w:lang w:eastAsia="zh-TW"/>
        </w:rPr>
        <w:t xml:space="preserve"> [Insert Table 1 here]</w:t>
      </w:r>
    </w:p>
    <w:p w:rsidR="000D2B6E" w:rsidRPr="00E90D1C" w:rsidRDefault="00674223" w:rsidP="00526252">
      <w:pPr>
        <w:adjustRightInd w:val="0"/>
        <w:snapToGrid w:val="0"/>
        <w:spacing w:line="480" w:lineRule="auto"/>
        <w:ind w:firstLineChars="200" w:firstLine="480"/>
        <w:rPr>
          <w:rFonts w:eastAsia="標楷體"/>
          <w:bCs/>
          <w:kern w:val="0"/>
          <w:sz w:val="24"/>
          <w:lang w:eastAsia="zh-TW"/>
        </w:rPr>
      </w:pPr>
      <w:r w:rsidRPr="00E90D1C">
        <w:rPr>
          <w:rFonts w:eastAsia="標楷體"/>
          <w:bCs/>
          <w:kern w:val="0"/>
          <w:sz w:val="24"/>
          <w:lang w:eastAsia="zh-TW"/>
        </w:rPr>
        <w:t xml:space="preserve">In order to evaluate the </w:t>
      </w:r>
      <w:r w:rsidR="00B5785E" w:rsidRPr="00E90D1C">
        <w:rPr>
          <w:rFonts w:eastAsia="標楷體"/>
          <w:bCs/>
          <w:kern w:val="0"/>
          <w:sz w:val="24"/>
          <w:lang w:eastAsia="zh-TW"/>
        </w:rPr>
        <w:t>5G industry</w:t>
      </w:r>
      <w:r w:rsidR="00B5785E">
        <w:rPr>
          <w:rFonts w:eastAsia="標楷體"/>
          <w:bCs/>
          <w:kern w:val="0"/>
          <w:sz w:val="24"/>
          <w:lang w:eastAsia="zh-TW"/>
        </w:rPr>
        <w:t>’s</w:t>
      </w:r>
      <w:r w:rsidR="00B5785E" w:rsidRPr="00E90D1C">
        <w:rPr>
          <w:rFonts w:eastAsia="標楷體"/>
          <w:bCs/>
          <w:kern w:val="0"/>
          <w:sz w:val="24"/>
          <w:lang w:eastAsia="zh-TW"/>
        </w:rPr>
        <w:t xml:space="preserve"> </w:t>
      </w:r>
      <w:r w:rsidRPr="00E90D1C">
        <w:rPr>
          <w:rFonts w:eastAsia="標楷體"/>
          <w:bCs/>
          <w:kern w:val="0"/>
          <w:sz w:val="24"/>
          <w:lang w:eastAsia="zh-TW"/>
        </w:rPr>
        <w:t xml:space="preserve">relative efficiency, this </w:t>
      </w:r>
      <w:r w:rsidR="004F61BE">
        <w:rPr>
          <w:rFonts w:eastAsia="標楷體"/>
          <w:bCs/>
          <w:kern w:val="0"/>
          <w:sz w:val="24"/>
          <w:lang w:eastAsia="zh-TW"/>
        </w:rPr>
        <w:t xml:space="preserve">study relied on </w:t>
      </w:r>
      <w:r w:rsidRPr="00E90D1C">
        <w:rPr>
          <w:rFonts w:eastAsia="標楷體"/>
          <w:bCs/>
          <w:kern w:val="0"/>
          <w:sz w:val="24"/>
          <w:lang w:eastAsia="zh-TW"/>
        </w:rPr>
        <w:t>a dynamic production process (</w:t>
      </w:r>
      <w:r w:rsidR="00B5785E">
        <w:rPr>
          <w:rFonts w:eastAsia="標楷體"/>
          <w:bCs/>
          <w:kern w:val="0"/>
          <w:sz w:val="24"/>
          <w:lang w:eastAsia="zh-TW"/>
        </w:rPr>
        <w:t>as shown in</w:t>
      </w:r>
      <w:r w:rsidRPr="00E90D1C">
        <w:rPr>
          <w:rFonts w:eastAsia="標楷體"/>
          <w:bCs/>
          <w:kern w:val="0"/>
          <w:sz w:val="24"/>
          <w:lang w:eastAsia="zh-TW"/>
        </w:rPr>
        <w:t xml:space="preserve"> Figure 1) to design a dynamic DEA model. The </w:t>
      </w:r>
      <w:r w:rsidR="00B5785E">
        <w:rPr>
          <w:rFonts w:eastAsia="標楷體"/>
          <w:bCs/>
          <w:kern w:val="0"/>
          <w:sz w:val="24"/>
          <w:lang w:eastAsia="zh-TW"/>
        </w:rPr>
        <w:t xml:space="preserve">ensuing </w:t>
      </w:r>
      <w:r w:rsidRPr="00E90D1C">
        <w:rPr>
          <w:rFonts w:eastAsia="標楷體"/>
          <w:bCs/>
          <w:kern w:val="0"/>
          <w:sz w:val="24"/>
          <w:lang w:eastAsia="zh-TW"/>
        </w:rPr>
        <w:t>dynamic DEA process include</w:t>
      </w:r>
      <w:r w:rsidR="00B5785E">
        <w:rPr>
          <w:rFonts w:eastAsia="標楷體"/>
          <w:bCs/>
          <w:kern w:val="0"/>
          <w:sz w:val="24"/>
          <w:lang w:eastAsia="zh-TW"/>
        </w:rPr>
        <w:t>d</w:t>
      </w:r>
      <w:r w:rsidRPr="00E90D1C">
        <w:rPr>
          <w:rFonts w:eastAsia="標楷體"/>
          <w:bCs/>
          <w:kern w:val="0"/>
          <w:sz w:val="24"/>
          <w:lang w:eastAsia="zh-TW"/>
        </w:rPr>
        <w:t xml:space="preserve"> 3 input variables, 2 carry-over (input variables) and 2 output variables. R&amp;D expenses, operating expenses, and the number of employees </w:t>
      </w:r>
      <w:r w:rsidR="00B5785E">
        <w:rPr>
          <w:rFonts w:eastAsia="標楷體"/>
          <w:bCs/>
          <w:kern w:val="0"/>
          <w:sz w:val="24"/>
          <w:lang w:eastAsia="zh-TW"/>
        </w:rPr>
        <w:t>were considered</w:t>
      </w:r>
      <w:r w:rsidRPr="00E90D1C">
        <w:rPr>
          <w:rFonts w:eastAsia="標楷體"/>
          <w:bCs/>
          <w:kern w:val="0"/>
          <w:sz w:val="24"/>
          <w:lang w:eastAsia="zh-TW"/>
        </w:rPr>
        <w:t xml:space="preserve"> input</w:t>
      </w:r>
      <w:r w:rsidR="00B5785E">
        <w:rPr>
          <w:rFonts w:eastAsia="標楷體"/>
          <w:bCs/>
          <w:kern w:val="0"/>
          <w:sz w:val="24"/>
          <w:lang w:eastAsia="zh-TW"/>
        </w:rPr>
        <w:t>;</w:t>
      </w:r>
      <w:r w:rsidRPr="00E90D1C">
        <w:rPr>
          <w:rFonts w:eastAsia="標楷體"/>
          <w:bCs/>
          <w:kern w:val="0"/>
          <w:sz w:val="24"/>
          <w:lang w:eastAsia="zh-TW"/>
        </w:rPr>
        <w:t xml:space="preserve"> liabilities and shareholders' equity </w:t>
      </w:r>
      <w:r w:rsidR="00B5785E">
        <w:rPr>
          <w:rFonts w:eastAsia="標楷體"/>
          <w:bCs/>
          <w:kern w:val="0"/>
          <w:sz w:val="24"/>
          <w:lang w:eastAsia="zh-TW"/>
        </w:rPr>
        <w:t>were categorized as the “carry-over”</w:t>
      </w:r>
      <w:r w:rsidRPr="00E90D1C">
        <w:rPr>
          <w:rFonts w:eastAsia="標楷體"/>
          <w:bCs/>
          <w:kern w:val="0"/>
          <w:sz w:val="24"/>
          <w:lang w:eastAsia="zh-TW"/>
        </w:rPr>
        <w:t xml:space="preserve"> of input;</w:t>
      </w:r>
      <w:r w:rsidR="00B5785E">
        <w:rPr>
          <w:rFonts w:eastAsia="標楷體"/>
          <w:bCs/>
          <w:kern w:val="0"/>
          <w:sz w:val="24"/>
          <w:lang w:eastAsia="zh-TW"/>
        </w:rPr>
        <w:t xml:space="preserve"> and </w:t>
      </w:r>
      <w:r w:rsidRPr="00E90D1C">
        <w:rPr>
          <w:rFonts w:eastAsia="標楷體"/>
          <w:bCs/>
          <w:kern w:val="0"/>
          <w:sz w:val="24"/>
          <w:lang w:eastAsia="zh-TW"/>
        </w:rPr>
        <w:t xml:space="preserve">operating income and market value </w:t>
      </w:r>
      <w:r w:rsidR="00B5785E">
        <w:rPr>
          <w:rFonts w:eastAsia="標楷體"/>
          <w:bCs/>
          <w:kern w:val="0"/>
          <w:sz w:val="24"/>
          <w:lang w:eastAsia="zh-TW"/>
        </w:rPr>
        <w:t>were utilized as</w:t>
      </w:r>
      <w:r w:rsidRPr="00E90D1C">
        <w:rPr>
          <w:rFonts w:eastAsia="標楷體"/>
          <w:bCs/>
          <w:kern w:val="0"/>
          <w:sz w:val="24"/>
          <w:lang w:eastAsia="zh-TW"/>
        </w:rPr>
        <w:t xml:space="preserve"> output (Homburg, 2001). Based on the </w:t>
      </w:r>
      <w:r w:rsidR="00B5785E">
        <w:rPr>
          <w:rFonts w:eastAsia="標楷體"/>
          <w:bCs/>
          <w:kern w:val="0"/>
          <w:sz w:val="24"/>
          <w:lang w:eastAsia="zh-TW"/>
        </w:rPr>
        <w:t>aforementioned</w:t>
      </w:r>
      <w:r w:rsidRPr="00E90D1C">
        <w:rPr>
          <w:rFonts w:eastAsia="標楷體"/>
          <w:bCs/>
          <w:kern w:val="0"/>
          <w:sz w:val="24"/>
          <w:lang w:eastAsia="zh-TW"/>
        </w:rPr>
        <w:t xml:space="preserve">, the efficiency of the </w:t>
      </w:r>
      <w:r w:rsidRPr="004F61BE">
        <w:rPr>
          <w:rFonts w:eastAsia="標楷體"/>
          <w:bCs/>
          <w:i/>
          <w:kern w:val="0"/>
          <w:sz w:val="24"/>
          <w:lang w:eastAsia="zh-TW"/>
        </w:rPr>
        <w:t>t</w:t>
      </w:r>
      <w:r w:rsidRPr="00E90D1C">
        <w:rPr>
          <w:rFonts w:eastAsia="標楷體"/>
          <w:bCs/>
          <w:kern w:val="0"/>
          <w:sz w:val="24"/>
          <w:lang w:eastAsia="zh-TW"/>
        </w:rPr>
        <w:t xml:space="preserve"> term </w:t>
      </w:r>
      <w:r w:rsidR="00B5785E">
        <w:rPr>
          <w:rFonts w:eastAsia="標楷體"/>
          <w:bCs/>
          <w:kern w:val="0"/>
          <w:sz w:val="24"/>
          <w:lang w:eastAsia="zh-TW"/>
        </w:rPr>
        <w:t>was</w:t>
      </w:r>
      <w:r w:rsidRPr="00E90D1C">
        <w:rPr>
          <w:rFonts w:eastAsia="標楷體"/>
          <w:bCs/>
          <w:kern w:val="0"/>
          <w:sz w:val="24"/>
          <w:lang w:eastAsia="zh-TW"/>
        </w:rPr>
        <w:t xml:space="preserve"> calculated </w:t>
      </w:r>
      <w:r w:rsidR="00B5785E">
        <w:rPr>
          <w:rFonts w:eastAsia="標楷體"/>
          <w:bCs/>
          <w:kern w:val="0"/>
          <w:sz w:val="24"/>
          <w:lang w:eastAsia="zh-TW"/>
        </w:rPr>
        <w:t>via</w:t>
      </w:r>
      <w:r w:rsidRPr="00E90D1C">
        <w:rPr>
          <w:rFonts w:eastAsia="標楷體"/>
          <w:bCs/>
          <w:kern w:val="0"/>
          <w:sz w:val="24"/>
          <w:lang w:eastAsia="zh-TW"/>
        </w:rPr>
        <w:t xml:space="preserve"> the dynamic DEA model. According to Cooper et al.</w:t>
      </w:r>
      <w:r w:rsidR="004F61BE">
        <w:rPr>
          <w:rFonts w:eastAsia="標楷體"/>
          <w:bCs/>
          <w:kern w:val="0"/>
          <w:sz w:val="24"/>
          <w:lang w:eastAsia="zh-TW"/>
        </w:rPr>
        <w:t>’s</w:t>
      </w:r>
      <w:r w:rsidRPr="00E90D1C">
        <w:rPr>
          <w:rFonts w:eastAsia="標楷體"/>
          <w:bCs/>
          <w:kern w:val="0"/>
          <w:sz w:val="24"/>
          <w:lang w:eastAsia="zh-TW"/>
        </w:rPr>
        <w:t xml:space="preserve"> </w:t>
      </w:r>
      <w:r w:rsidR="008A00CA">
        <w:rPr>
          <w:rFonts w:eastAsia="標楷體"/>
          <w:bCs/>
          <w:kern w:val="0"/>
          <w:sz w:val="24"/>
          <w:lang w:eastAsia="zh-TW"/>
        </w:rPr>
        <w:t xml:space="preserve">(2001) </w:t>
      </w:r>
      <w:r w:rsidR="00B5785E" w:rsidRPr="00B5785E">
        <w:rPr>
          <w:rFonts w:eastAsia="標楷體"/>
          <w:bCs/>
          <w:i/>
          <w:kern w:val="0"/>
          <w:sz w:val="24"/>
          <w:lang w:eastAsia="zh-TW"/>
        </w:rPr>
        <w:t xml:space="preserve">rule of thumb </w:t>
      </w:r>
      <w:r w:rsidR="00B5785E" w:rsidRPr="00E90D1C">
        <w:rPr>
          <w:rFonts w:eastAsia="標楷體"/>
          <w:bCs/>
          <w:kern w:val="0"/>
          <w:sz w:val="24"/>
          <w:lang w:eastAsia="zh-TW"/>
        </w:rPr>
        <w:t>for determining the number of decision-making units</w:t>
      </w:r>
      <w:r w:rsidR="004F61BE">
        <w:rPr>
          <w:rFonts w:eastAsia="標楷體"/>
          <w:bCs/>
          <w:kern w:val="0"/>
          <w:sz w:val="24"/>
          <w:lang w:eastAsia="zh-TW"/>
        </w:rPr>
        <w:t>,</w:t>
      </w:r>
      <w:r w:rsidRPr="00E90D1C">
        <w:rPr>
          <w:rFonts w:eastAsia="標楷體"/>
          <w:bCs/>
          <w:kern w:val="0"/>
          <w:sz w:val="24"/>
          <w:lang w:eastAsia="zh-TW"/>
        </w:rPr>
        <w:t xml:space="preserve"> "</w:t>
      </w:r>
      <w:r w:rsidR="00A4450E">
        <w:rPr>
          <w:rFonts w:eastAsia="標楷體"/>
          <w:bCs/>
          <w:kern w:val="0"/>
          <w:sz w:val="24"/>
          <w:lang w:eastAsia="zh-TW"/>
        </w:rPr>
        <w:t>[t]</w:t>
      </w:r>
      <w:r w:rsidRPr="00E90D1C">
        <w:rPr>
          <w:rFonts w:eastAsia="標楷體"/>
          <w:bCs/>
          <w:kern w:val="0"/>
          <w:sz w:val="24"/>
          <w:lang w:eastAsia="zh-TW"/>
        </w:rPr>
        <w:t>he number of decision-making units should be at least three times the total number of input and output projec</w:t>
      </w:r>
      <w:r w:rsidRPr="004F61BE">
        <w:rPr>
          <w:rFonts w:eastAsia="標楷體"/>
          <w:bCs/>
          <w:kern w:val="0"/>
          <w:sz w:val="24"/>
          <w:lang w:eastAsia="zh-TW"/>
        </w:rPr>
        <w:t>ts</w:t>
      </w:r>
      <w:r w:rsidR="008A00CA">
        <w:rPr>
          <w:rFonts w:eastAsia="標楷體"/>
          <w:bCs/>
          <w:kern w:val="0"/>
          <w:sz w:val="24"/>
          <w:lang w:eastAsia="zh-TW"/>
        </w:rPr>
        <w:t>.</w:t>
      </w:r>
      <w:r w:rsidRPr="004F61BE">
        <w:rPr>
          <w:rFonts w:eastAsia="標楷體"/>
          <w:bCs/>
          <w:kern w:val="0"/>
          <w:sz w:val="24"/>
          <w:lang w:eastAsia="zh-TW"/>
        </w:rPr>
        <w:t>"</w:t>
      </w:r>
      <w:r w:rsidR="008A00CA">
        <w:rPr>
          <w:rFonts w:eastAsia="標楷體"/>
          <w:bCs/>
          <w:kern w:val="0"/>
          <w:sz w:val="24"/>
          <w:lang w:eastAsia="zh-TW"/>
        </w:rPr>
        <w:t xml:space="preserve"> </w:t>
      </w:r>
      <w:r w:rsidR="00B5785E">
        <w:rPr>
          <w:rFonts w:eastAsia="標楷體"/>
          <w:bCs/>
          <w:kern w:val="0"/>
          <w:sz w:val="24"/>
          <w:lang w:eastAsia="zh-TW"/>
        </w:rPr>
        <w:t xml:space="preserve">A total of </w:t>
      </w:r>
      <w:r w:rsidRPr="00E90D1C">
        <w:rPr>
          <w:rFonts w:eastAsia="標楷體"/>
          <w:bCs/>
          <w:kern w:val="0"/>
          <w:sz w:val="24"/>
          <w:lang w:eastAsia="zh-TW"/>
        </w:rPr>
        <w:t>360</w:t>
      </w:r>
      <w:r w:rsidR="00B5785E">
        <w:rPr>
          <w:rFonts w:eastAsia="標楷體"/>
          <w:bCs/>
          <w:kern w:val="0"/>
          <w:sz w:val="24"/>
          <w:lang w:eastAsia="zh-TW"/>
        </w:rPr>
        <w:t xml:space="preserve"> </w:t>
      </w:r>
      <w:r w:rsidRPr="00E90D1C">
        <w:rPr>
          <w:rFonts w:eastAsia="標楷體"/>
          <w:bCs/>
          <w:kern w:val="0"/>
          <w:sz w:val="24"/>
          <w:lang w:eastAsia="zh-TW"/>
        </w:rPr>
        <w:t xml:space="preserve">decision-making units </w:t>
      </w:r>
      <w:r w:rsidR="00B5785E">
        <w:rPr>
          <w:rFonts w:eastAsia="標楷體"/>
          <w:bCs/>
          <w:kern w:val="0"/>
          <w:sz w:val="24"/>
          <w:lang w:eastAsia="zh-TW"/>
        </w:rPr>
        <w:t>were used in</w:t>
      </w:r>
      <w:r w:rsidRPr="00E90D1C">
        <w:rPr>
          <w:rFonts w:eastAsia="標楷體"/>
          <w:bCs/>
          <w:kern w:val="0"/>
          <w:sz w:val="24"/>
          <w:lang w:eastAsia="zh-TW"/>
        </w:rPr>
        <w:t xml:space="preserve"> this study</w:t>
      </w:r>
      <w:r w:rsidR="00B5785E">
        <w:rPr>
          <w:rFonts w:eastAsia="標楷體"/>
          <w:bCs/>
          <w:kern w:val="0"/>
          <w:sz w:val="24"/>
          <w:lang w:eastAsia="zh-TW"/>
        </w:rPr>
        <w:t xml:space="preserve">. Since, as noted, </w:t>
      </w:r>
      <w:r w:rsidRPr="00E90D1C">
        <w:rPr>
          <w:rFonts w:eastAsia="標楷體"/>
          <w:bCs/>
          <w:kern w:val="0"/>
          <w:sz w:val="24"/>
          <w:lang w:eastAsia="zh-TW"/>
        </w:rPr>
        <w:t xml:space="preserve">3 input items, 2 carryovers, and 2 output items </w:t>
      </w:r>
      <w:r w:rsidR="00B5785E">
        <w:rPr>
          <w:rFonts w:eastAsia="標楷體"/>
          <w:bCs/>
          <w:kern w:val="0"/>
          <w:sz w:val="24"/>
          <w:lang w:eastAsia="zh-TW"/>
        </w:rPr>
        <w:t>were used in our</w:t>
      </w:r>
      <w:r w:rsidRPr="00E90D1C">
        <w:rPr>
          <w:rFonts w:eastAsia="標楷體"/>
          <w:bCs/>
          <w:kern w:val="0"/>
          <w:sz w:val="24"/>
          <w:lang w:eastAsia="zh-TW"/>
        </w:rPr>
        <w:t xml:space="preserve"> model</w:t>
      </w:r>
      <w:r w:rsidR="00B5785E">
        <w:rPr>
          <w:rFonts w:eastAsia="標楷體"/>
          <w:bCs/>
          <w:kern w:val="0"/>
          <w:sz w:val="24"/>
          <w:lang w:eastAsia="zh-TW"/>
        </w:rPr>
        <w:t xml:space="preserve">, </w:t>
      </w:r>
      <w:r w:rsidRPr="00E90D1C">
        <w:rPr>
          <w:rFonts w:eastAsia="標楷體"/>
          <w:bCs/>
          <w:kern w:val="0"/>
          <w:sz w:val="24"/>
          <w:lang w:eastAsia="zh-TW"/>
        </w:rPr>
        <w:t xml:space="preserve">the model constructed in this study </w:t>
      </w:r>
      <w:r w:rsidR="00B5785E">
        <w:rPr>
          <w:rFonts w:eastAsia="標楷體"/>
          <w:bCs/>
          <w:kern w:val="0"/>
          <w:sz w:val="24"/>
          <w:lang w:eastAsia="zh-TW"/>
        </w:rPr>
        <w:t xml:space="preserve">can be said to have met </w:t>
      </w:r>
      <w:r w:rsidRPr="00E90D1C">
        <w:rPr>
          <w:rFonts w:eastAsia="標楷體"/>
          <w:bCs/>
          <w:kern w:val="0"/>
          <w:sz w:val="24"/>
          <w:lang w:eastAsia="zh-TW"/>
        </w:rPr>
        <w:t>construction validity.</w:t>
      </w:r>
    </w:p>
    <w:p w:rsidR="000D2B6E" w:rsidRPr="002437FB" w:rsidRDefault="000D2B6E" w:rsidP="00526252">
      <w:pPr>
        <w:adjustRightInd w:val="0"/>
        <w:snapToGrid w:val="0"/>
        <w:spacing w:line="480" w:lineRule="auto"/>
        <w:ind w:firstLineChars="200" w:firstLine="480"/>
        <w:jc w:val="center"/>
        <w:rPr>
          <w:rFonts w:eastAsia="標楷體"/>
          <w:iCs/>
          <w:sz w:val="24"/>
        </w:rPr>
      </w:pPr>
      <w:r w:rsidRPr="002437FB">
        <w:rPr>
          <w:rFonts w:eastAsia="標楷體"/>
          <w:bCs/>
          <w:kern w:val="0"/>
          <w:sz w:val="24"/>
          <w:lang w:eastAsia="zh-TW"/>
        </w:rPr>
        <w:t xml:space="preserve">[Insert Figure </w:t>
      </w:r>
      <w:r w:rsidR="008B1AC8" w:rsidRPr="002437FB">
        <w:rPr>
          <w:rFonts w:eastAsia="標楷體" w:hint="eastAsia"/>
          <w:bCs/>
          <w:kern w:val="0"/>
          <w:sz w:val="24"/>
          <w:lang w:eastAsia="zh-TW"/>
        </w:rPr>
        <w:t>1</w:t>
      </w:r>
      <w:r w:rsidRPr="002437FB">
        <w:rPr>
          <w:rFonts w:eastAsia="標楷體"/>
          <w:bCs/>
          <w:kern w:val="0"/>
          <w:sz w:val="24"/>
          <w:lang w:eastAsia="zh-TW"/>
        </w:rPr>
        <w:t xml:space="preserve"> here]</w:t>
      </w:r>
    </w:p>
    <w:p w:rsidR="00B5785E" w:rsidRPr="002437FB" w:rsidRDefault="00674223" w:rsidP="00526252">
      <w:pPr>
        <w:adjustRightInd w:val="0"/>
        <w:snapToGrid w:val="0"/>
        <w:spacing w:line="480" w:lineRule="auto"/>
        <w:ind w:firstLineChars="200" w:firstLine="480"/>
        <w:rPr>
          <w:rFonts w:eastAsia="DengXian"/>
          <w:iCs/>
          <w:sz w:val="24"/>
        </w:rPr>
      </w:pPr>
      <w:r w:rsidRPr="002437FB">
        <w:rPr>
          <w:rFonts w:eastAsia="DengXian"/>
          <w:iCs/>
          <w:sz w:val="24"/>
        </w:rPr>
        <w:t xml:space="preserve">Table 2 </w:t>
      </w:r>
      <w:r w:rsidR="004F61BE" w:rsidRPr="002437FB">
        <w:rPr>
          <w:rFonts w:eastAsia="DengXian"/>
          <w:iCs/>
          <w:sz w:val="24"/>
        </w:rPr>
        <w:t>N</w:t>
      </w:r>
      <w:r w:rsidRPr="002437FB">
        <w:rPr>
          <w:rFonts w:eastAsia="DengXian"/>
          <w:iCs/>
          <w:sz w:val="24"/>
        </w:rPr>
        <w:t xml:space="preserve">arrative statistics </w:t>
      </w:r>
      <w:r w:rsidR="004F61BE" w:rsidRPr="002437FB">
        <w:rPr>
          <w:rFonts w:eastAsia="DengXian"/>
          <w:iCs/>
          <w:sz w:val="24"/>
        </w:rPr>
        <w:t>regarding</w:t>
      </w:r>
      <w:r w:rsidRPr="002437FB">
        <w:rPr>
          <w:rFonts w:eastAsia="DengXian"/>
          <w:iCs/>
          <w:sz w:val="24"/>
        </w:rPr>
        <w:t xml:space="preserve"> the input and output of 5G-related industries in Taiwan from the first quarter of 2018 to the fourth quarter of 2020. </w:t>
      </w:r>
    </w:p>
    <w:p w:rsidR="00674223" w:rsidRPr="00674223" w:rsidRDefault="004F61BE" w:rsidP="00526252">
      <w:pPr>
        <w:adjustRightInd w:val="0"/>
        <w:snapToGrid w:val="0"/>
        <w:spacing w:line="480" w:lineRule="auto"/>
        <w:ind w:firstLineChars="200" w:firstLine="480"/>
        <w:rPr>
          <w:rFonts w:eastAsia="DengXian"/>
          <w:iCs/>
          <w:sz w:val="24"/>
        </w:rPr>
      </w:pPr>
      <w:r w:rsidRPr="002437FB">
        <w:rPr>
          <w:rFonts w:eastAsia="DengXian"/>
          <w:iCs/>
          <w:sz w:val="24"/>
        </w:rPr>
        <w:t xml:space="preserve">From Table 2 it is evident </w:t>
      </w:r>
      <w:r w:rsidR="00674223" w:rsidRPr="002437FB">
        <w:rPr>
          <w:rFonts w:eastAsia="DengXian"/>
          <w:iCs/>
          <w:sz w:val="24"/>
        </w:rPr>
        <w:t>that Taiwan’s 5G-related industry R&amp;D expenses were the lowest in the first quarter, but highest in the fourth quarter, demonstrating positive results. Therefore, it is evident that multiplying growth allow</w:t>
      </w:r>
      <w:r w:rsidRPr="002437FB">
        <w:rPr>
          <w:rFonts w:eastAsia="DengXian"/>
          <w:iCs/>
          <w:sz w:val="24"/>
        </w:rPr>
        <w:t xml:space="preserve">s </w:t>
      </w:r>
      <w:r w:rsidR="00674223" w:rsidRPr="002437FB">
        <w:rPr>
          <w:rFonts w:eastAsia="DengXian"/>
          <w:iCs/>
          <w:sz w:val="24"/>
        </w:rPr>
        <w:t>industry development practitioners to provide a reference for its periodicity.</w:t>
      </w:r>
    </w:p>
    <w:p w:rsidR="000D2B6E" w:rsidRPr="00A4450E" w:rsidRDefault="000D2B6E" w:rsidP="00526252">
      <w:pPr>
        <w:adjustRightInd w:val="0"/>
        <w:snapToGrid w:val="0"/>
        <w:spacing w:line="480" w:lineRule="auto"/>
        <w:ind w:firstLineChars="200" w:firstLine="480"/>
        <w:jc w:val="center"/>
        <w:rPr>
          <w:rFonts w:eastAsia="標楷體"/>
          <w:iCs/>
          <w:sz w:val="24"/>
        </w:rPr>
      </w:pPr>
      <w:r w:rsidRPr="00A4450E">
        <w:rPr>
          <w:rFonts w:eastAsia="標楷體"/>
          <w:bCs/>
          <w:kern w:val="0"/>
          <w:sz w:val="24"/>
          <w:lang w:eastAsia="zh-TW"/>
        </w:rPr>
        <w:t xml:space="preserve"> [Insert Table 2 here]</w:t>
      </w:r>
      <w:r w:rsidRPr="00A4450E">
        <w:rPr>
          <w:rFonts w:eastAsia="標楷體"/>
          <w:iCs/>
          <w:sz w:val="24"/>
        </w:rPr>
        <w:t>.</w:t>
      </w:r>
    </w:p>
    <w:p w:rsidR="000D2B6E" w:rsidRPr="00C236D3" w:rsidRDefault="000D2B6E" w:rsidP="00526252">
      <w:pPr>
        <w:adjustRightInd w:val="0"/>
        <w:snapToGrid w:val="0"/>
        <w:spacing w:before="100" w:beforeAutospacing="1" w:after="100" w:afterAutospacing="1"/>
        <w:jc w:val="left"/>
        <w:outlineLvl w:val="0"/>
        <w:rPr>
          <w:rFonts w:eastAsia="標楷體"/>
          <w:b/>
          <w:iCs/>
          <w:sz w:val="24"/>
        </w:rPr>
      </w:pPr>
      <w:r w:rsidRPr="00C236D3">
        <w:rPr>
          <w:rFonts w:eastAsia="標楷體"/>
          <w:b/>
          <w:iCs/>
          <w:sz w:val="24"/>
        </w:rPr>
        <w:t>3.3</w:t>
      </w:r>
      <w:r w:rsidRPr="00C236D3">
        <w:rPr>
          <w:rFonts w:eastAsia="標楷體"/>
          <w:b/>
          <w:sz w:val="24"/>
        </w:rPr>
        <w:t xml:space="preserve"> </w:t>
      </w:r>
      <w:r w:rsidRPr="00C236D3">
        <w:rPr>
          <w:rFonts w:eastAsia="標楷體"/>
          <w:b/>
          <w:iCs/>
          <w:sz w:val="24"/>
        </w:rPr>
        <w:t xml:space="preserve">Slack-based </w:t>
      </w:r>
      <w:r w:rsidR="00A4450E">
        <w:rPr>
          <w:rFonts w:eastAsia="標楷體"/>
          <w:b/>
          <w:iCs/>
          <w:sz w:val="24"/>
        </w:rPr>
        <w:t>M</w:t>
      </w:r>
      <w:r w:rsidRPr="00C236D3">
        <w:rPr>
          <w:rFonts w:eastAsia="標楷體"/>
          <w:b/>
          <w:iCs/>
          <w:sz w:val="24"/>
        </w:rPr>
        <w:t xml:space="preserve">easure in </w:t>
      </w:r>
      <w:r w:rsidR="00A4450E">
        <w:rPr>
          <w:rFonts w:eastAsia="標楷體"/>
          <w:b/>
          <w:iCs/>
          <w:sz w:val="24"/>
        </w:rPr>
        <w:t>D</w:t>
      </w:r>
      <w:r w:rsidRPr="00C236D3">
        <w:rPr>
          <w:rFonts w:eastAsia="標楷體"/>
          <w:b/>
          <w:iCs/>
          <w:sz w:val="24"/>
        </w:rPr>
        <w:t>ynamic DEA</w:t>
      </w:r>
    </w:p>
    <w:p w:rsidR="00674223" w:rsidRPr="00674223" w:rsidRDefault="00653BC1" w:rsidP="00674223">
      <w:pPr>
        <w:spacing w:before="100" w:beforeAutospacing="1" w:after="100" w:afterAutospacing="1" w:line="360" w:lineRule="auto"/>
        <w:ind w:firstLine="480"/>
        <w:rPr>
          <w:rFonts w:eastAsia="標楷體"/>
          <w:iCs/>
          <w:sz w:val="24"/>
          <w:lang w:eastAsia="zh-TW"/>
        </w:rPr>
      </w:pPr>
      <w:r>
        <w:rPr>
          <w:rFonts w:eastAsia="標楷體"/>
          <w:iCs/>
          <w:sz w:val="24"/>
          <w:lang w:eastAsia="zh-TW"/>
        </w:rPr>
        <w:t>S</w:t>
      </w:r>
      <w:r w:rsidR="00674223" w:rsidRPr="00674223">
        <w:rPr>
          <w:rFonts w:eastAsia="標楷體"/>
          <w:iCs/>
          <w:sz w:val="24"/>
          <w:lang w:eastAsia="zh-TW"/>
        </w:rPr>
        <w:t xml:space="preserve">everal methods have been proposed to </w:t>
      </w:r>
      <w:r>
        <w:rPr>
          <w:rFonts w:eastAsia="標楷體"/>
          <w:iCs/>
          <w:sz w:val="24"/>
          <w:lang w:eastAsia="zh-TW"/>
        </w:rPr>
        <w:t xml:space="preserve">examine </w:t>
      </w:r>
      <w:r w:rsidRPr="00674223">
        <w:rPr>
          <w:rFonts w:eastAsia="標楷體"/>
          <w:iCs/>
          <w:sz w:val="24"/>
          <w:lang w:eastAsia="zh-TW"/>
        </w:rPr>
        <w:t xml:space="preserve">changes in the 5G industry over time </w:t>
      </w:r>
      <w:r w:rsidR="00E360BC">
        <w:rPr>
          <w:rFonts w:eastAsia="標楷體"/>
          <w:iCs/>
          <w:sz w:val="24"/>
          <w:lang w:eastAsia="zh-TW"/>
        </w:rPr>
        <w:t xml:space="preserve">via the measurement of </w:t>
      </w:r>
      <w:r w:rsidR="00285E65">
        <w:rPr>
          <w:rFonts w:eastAsia="標楷體"/>
          <w:iCs/>
          <w:sz w:val="24"/>
          <w:lang w:eastAsia="zh-TW"/>
        </w:rPr>
        <w:t xml:space="preserve">its periodic </w:t>
      </w:r>
      <w:r w:rsidR="00674223" w:rsidRPr="00674223">
        <w:rPr>
          <w:rFonts w:eastAsia="標楷體"/>
          <w:iCs/>
          <w:sz w:val="24"/>
          <w:lang w:eastAsia="zh-TW"/>
        </w:rPr>
        <w:t xml:space="preserve">performance. </w:t>
      </w:r>
      <w:r w:rsidR="00285E65">
        <w:rPr>
          <w:rFonts w:eastAsia="標楷體"/>
          <w:iCs/>
          <w:sz w:val="24"/>
          <w:lang w:eastAsia="zh-TW"/>
        </w:rPr>
        <w:t>While</w:t>
      </w:r>
      <w:r w:rsidR="00674223" w:rsidRPr="00674223">
        <w:rPr>
          <w:rFonts w:eastAsia="標楷體"/>
          <w:iCs/>
          <w:sz w:val="24"/>
          <w:lang w:eastAsia="zh-TW"/>
        </w:rPr>
        <w:t xml:space="preserve"> these models </w:t>
      </w:r>
      <w:r w:rsidR="00285E65">
        <w:rPr>
          <w:rFonts w:eastAsia="標楷體"/>
          <w:iCs/>
          <w:sz w:val="24"/>
          <w:lang w:eastAsia="zh-TW"/>
        </w:rPr>
        <w:t xml:space="preserve">can be said to </w:t>
      </w:r>
      <w:r w:rsidR="00674223" w:rsidRPr="00674223">
        <w:rPr>
          <w:rFonts w:eastAsia="標楷體"/>
          <w:iCs/>
          <w:sz w:val="24"/>
          <w:lang w:eastAsia="zh-TW"/>
        </w:rPr>
        <w:t xml:space="preserve">consider the impact of time </w:t>
      </w:r>
      <w:r w:rsidR="00285E65">
        <w:rPr>
          <w:rFonts w:eastAsia="標楷體"/>
          <w:iCs/>
          <w:sz w:val="24"/>
          <w:lang w:eastAsia="zh-TW"/>
        </w:rPr>
        <w:t xml:space="preserve">on performance, they tend to </w:t>
      </w:r>
      <w:r w:rsidR="00674223" w:rsidRPr="00674223">
        <w:rPr>
          <w:rFonts w:eastAsia="標楷體"/>
          <w:iCs/>
          <w:sz w:val="24"/>
          <w:lang w:eastAsia="zh-TW"/>
        </w:rPr>
        <w:t>ignore the carry-over activity between two consecutive time</w:t>
      </w:r>
      <w:r w:rsidR="00E360BC">
        <w:rPr>
          <w:rFonts w:eastAsia="標楷體"/>
          <w:iCs/>
          <w:sz w:val="24"/>
          <w:lang w:eastAsia="zh-TW"/>
        </w:rPr>
        <w:t xml:space="preserve"> periods</w:t>
      </w:r>
      <w:r w:rsidR="00674223" w:rsidRPr="00674223">
        <w:rPr>
          <w:rFonts w:eastAsia="標楷體"/>
          <w:iCs/>
          <w:sz w:val="24"/>
          <w:lang w:eastAsia="zh-TW"/>
        </w:rPr>
        <w:t xml:space="preserve">; another disadvantage is that they independently focus on different time periods in order to achieve partial optimization within a single time period (Fang, Lee, Hwang &amp; Chung, 2013). </w:t>
      </w:r>
      <w:r w:rsidR="00E20FBD">
        <w:rPr>
          <w:rFonts w:eastAsia="標楷體"/>
          <w:iCs/>
          <w:sz w:val="24"/>
          <w:lang w:eastAsia="zh-TW"/>
        </w:rPr>
        <w:t>The proposed</w:t>
      </w:r>
      <w:r w:rsidR="00674223" w:rsidRPr="00674223">
        <w:rPr>
          <w:rFonts w:eastAsia="標楷體"/>
          <w:iCs/>
          <w:sz w:val="24"/>
          <w:lang w:eastAsia="zh-TW"/>
        </w:rPr>
        <w:t xml:space="preserve"> DSBM (Dynamic Slacks-Base</w:t>
      </w:r>
      <w:r w:rsidR="00674223" w:rsidRPr="008A00CA">
        <w:rPr>
          <w:rFonts w:eastAsia="標楷體"/>
          <w:iCs/>
          <w:sz w:val="24"/>
          <w:lang w:eastAsia="zh-TW"/>
        </w:rPr>
        <w:t xml:space="preserve">d 10 Measure) model </w:t>
      </w:r>
      <w:r w:rsidR="00E20FBD" w:rsidRPr="008A00CA">
        <w:rPr>
          <w:rFonts w:eastAsia="標楷體"/>
          <w:iCs/>
          <w:sz w:val="24"/>
          <w:lang w:eastAsia="zh-TW"/>
        </w:rPr>
        <w:t>developed</w:t>
      </w:r>
      <w:r w:rsidR="00674223" w:rsidRPr="008A00CA">
        <w:rPr>
          <w:rFonts w:eastAsia="標楷體"/>
          <w:iCs/>
          <w:sz w:val="24"/>
          <w:lang w:eastAsia="zh-TW"/>
        </w:rPr>
        <w:t xml:space="preserve"> by Tone and Tsutsui (2010) </w:t>
      </w:r>
      <w:r w:rsidR="00E360BC" w:rsidRPr="008A00CA">
        <w:rPr>
          <w:rFonts w:eastAsia="標楷體"/>
          <w:iCs/>
          <w:sz w:val="24"/>
          <w:lang w:eastAsia="zh-TW"/>
        </w:rPr>
        <w:t xml:space="preserve">as </w:t>
      </w:r>
      <w:r w:rsidR="00674223" w:rsidRPr="008A00CA">
        <w:rPr>
          <w:rFonts w:eastAsia="標楷體"/>
          <w:iCs/>
          <w:sz w:val="24"/>
          <w:lang w:eastAsia="zh-TW"/>
        </w:rPr>
        <w:t>compared with the radial model,</w:t>
      </w:r>
      <w:r w:rsidR="00674223" w:rsidRPr="00674223">
        <w:rPr>
          <w:rFonts w:eastAsia="標楷體"/>
          <w:iCs/>
          <w:sz w:val="24"/>
          <w:lang w:eastAsia="zh-TW"/>
        </w:rPr>
        <w:t xml:space="preserve"> can handle input, output and carry-over</w:t>
      </w:r>
      <w:r w:rsidR="00E20FBD">
        <w:rPr>
          <w:rFonts w:eastAsia="標楷體"/>
          <w:iCs/>
          <w:sz w:val="24"/>
          <w:lang w:eastAsia="zh-TW"/>
        </w:rPr>
        <w:t>. Moreover, it address</w:t>
      </w:r>
      <w:r w:rsidR="00E360BC">
        <w:rPr>
          <w:rFonts w:eastAsia="標楷體"/>
          <w:iCs/>
          <w:sz w:val="24"/>
          <w:lang w:eastAsia="zh-TW"/>
        </w:rPr>
        <w:t>es</w:t>
      </w:r>
      <w:r w:rsidR="00E20FBD">
        <w:rPr>
          <w:rFonts w:eastAsia="標楷體"/>
          <w:iCs/>
          <w:sz w:val="24"/>
          <w:lang w:eastAsia="zh-TW"/>
        </w:rPr>
        <w:t xml:space="preserve"> the </w:t>
      </w:r>
      <w:r w:rsidR="00E360BC" w:rsidRPr="00674223">
        <w:rPr>
          <w:rFonts w:eastAsia="標楷體"/>
          <w:iCs/>
          <w:sz w:val="24"/>
          <w:lang w:eastAsia="zh-TW"/>
        </w:rPr>
        <w:t>carryover variable</w:t>
      </w:r>
      <w:r w:rsidR="00E360BC">
        <w:rPr>
          <w:rFonts w:eastAsia="標楷體"/>
          <w:iCs/>
          <w:sz w:val="24"/>
          <w:lang w:eastAsia="zh-TW"/>
        </w:rPr>
        <w:t>’s</w:t>
      </w:r>
      <w:r w:rsidR="00E360BC" w:rsidRPr="00674223">
        <w:rPr>
          <w:rFonts w:eastAsia="標楷體"/>
          <w:iCs/>
          <w:sz w:val="24"/>
          <w:lang w:eastAsia="zh-TW"/>
        </w:rPr>
        <w:t xml:space="preserve"> </w:t>
      </w:r>
      <w:r w:rsidR="00E360BC">
        <w:rPr>
          <w:rFonts w:eastAsia="標楷體"/>
          <w:iCs/>
          <w:sz w:val="24"/>
          <w:lang w:eastAsia="zh-TW"/>
        </w:rPr>
        <w:t>dual</w:t>
      </w:r>
      <w:r w:rsidR="00674223" w:rsidRPr="00674223">
        <w:rPr>
          <w:rFonts w:eastAsia="標楷體"/>
          <w:iCs/>
          <w:sz w:val="24"/>
          <w:lang w:eastAsia="zh-TW"/>
        </w:rPr>
        <w:t xml:space="preserve">-stage relative efficiency comparison problem </w:t>
      </w:r>
      <w:r w:rsidR="00E360BC">
        <w:rPr>
          <w:rFonts w:eastAsia="標楷體"/>
          <w:iCs/>
          <w:sz w:val="24"/>
          <w:lang w:eastAsia="zh-TW"/>
        </w:rPr>
        <w:t>due to the fact that it embodies</w:t>
      </w:r>
      <w:r w:rsidR="00E20FBD">
        <w:rPr>
          <w:rFonts w:eastAsia="標楷體"/>
          <w:iCs/>
          <w:sz w:val="24"/>
          <w:lang w:eastAsia="zh-TW"/>
        </w:rPr>
        <w:t xml:space="preserve"> </w:t>
      </w:r>
      <w:r w:rsidR="00674223" w:rsidRPr="00674223">
        <w:rPr>
          <w:rFonts w:eastAsia="標楷體"/>
          <w:iCs/>
          <w:sz w:val="24"/>
          <w:lang w:eastAsia="zh-TW"/>
        </w:rPr>
        <w:t>the characteristic advantage of assuming th</w:t>
      </w:r>
      <w:r w:rsidR="00E360BC">
        <w:rPr>
          <w:rFonts w:eastAsia="標楷體"/>
          <w:iCs/>
          <w:sz w:val="24"/>
          <w:lang w:eastAsia="zh-TW"/>
        </w:rPr>
        <w:t>at</w:t>
      </w:r>
      <w:r w:rsidR="00674223" w:rsidRPr="00674223">
        <w:rPr>
          <w:rFonts w:eastAsia="標楷體"/>
          <w:iCs/>
          <w:sz w:val="24"/>
          <w:lang w:eastAsia="zh-TW"/>
        </w:rPr>
        <w:t xml:space="preserve"> input or output </w:t>
      </w:r>
      <w:r w:rsidR="00E360BC">
        <w:rPr>
          <w:rFonts w:eastAsia="標楷體"/>
          <w:iCs/>
          <w:sz w:val="24"/>
          <w:lang w:eastAsia="zh-TW"/>
        </w:rPr>
        <w:t xml:space="preserve">variables </w:t>
      </w:r>
      <w:r w:rsidR="00E20FBD">
        <w:rPr>
          <w:rFonts w:eastAsia="標楷體"/>
          <w:iCs/>
          <w:sz w:val="24"/>
          <w:lang w:eastAsia="zh-TW"/>
        </w:rPr>
        <w:t xml:space="preserve">can </w:t>
      </w:r>
      <w:r w:rsidR="00674223" w:rsidRPr="00674223">
        <w:rPr>
          <w:rFonts w:eastAsia="標楷體"/>
          <w:iCs/>
          <w:sz w:val="24"/>
          <w:lang w:eastAsia="zh-TW"/>
        </w:rPr>
        <w:t>chang</w:t>
      </w:r>
      <w:r w:rsidR="00E360BC">
        <w:rPr>
          <w:rFonts w:eastAsia="標楷體"/>
          <w:iCs/>
          <w:sz w:val="24"/>
          <w:lang w:eastAsia="zh-TW"/>
        </w:rPr>
        <w:t>e</w:t>
      </w:r>
      <w:r w:rsidR="00674223" w:rsidRPr="00674223">
        <w:rPr>
          <w:rFonts w:eastAsia="標楷體"/>
          <w:iCs/>
          <w:sz w:val="24"/>
          <w:lang w:eastAsia="zh-TW"/>
        </w:rPr>
        <w:t xml:space="preserve"> non-proportionally. </w:t>
      </w:r>
      <w:r>
        <w:rPr>
          <w:rFonts w:eastAsia="標楷體"/>
          <w:iCs/>
          <w:sz w:val="24"/>
          <w:lang w:eastAsia="zh-TW"/>
        </w:rPr>
        <w:t xml:space="preserve">With the aforementioned limitations of previous models in mind, </w:t>
      </w:r>
      <w:r w:rsidR="00E20FBD">
        <w:rPr>
          <w:rFonts w:eastAsia="標楷體"/>
          <w:iCs/>
          <w:sz w:val="24"/>
          <w:lang w:eastAsia="zh-TW"/>
        </w:rPr>
        <w:t xml:space="preserve">this study employed </w:t>
      </w:r>
      <w:r w:rsidR="00674223" w:rsidRPr="00674223">
        <w:rPr>
          <w:rFonts w:eastAsia="標楷體"/>
          <w:iCs/>
          <w:sz w:val="24"/>
          <w:lang w:eastAsia="zh-TW"/>
        </w:rPr>
        <w:t xml:space="preserve">the DSBM (Dynamic Slacks-Based Measure) model with </w:t>
      </w:r>
      <w:r w:rsidR="00E360BC">
        <w:rPr>
          <w:rFonts w:eastAsia="標楷體"/>
          <w:iCs/>
          <w:sz w:val="24"/>
          <w:lang w:eastAsia="zh-TW"/>
        </w:rPr>
        <w:t xml:space="preserve">the aforementioned </w:t>
      </w:r>
      <w:r w:rsidR="00674223" w:rsidRPr="00674223">
        <w:rPr>
          <w:rFonts w:eastAsia="標楷體"/>
          <w:iCs/>
          <w:sz w:val="24"/>
          <w:lang w:eastAsia="zh-TW"/>
        </w:rPr>
        <w:t>carry-over activit</w:t>
      </w:r>
      <w:r>
        <w:rPr>
          <w:rFonts w:eastAsia="標楷體"/>
          <w:iCs/>
          <w:sz w:val="24"/>
          <w:lang w:eastAsia="zh-TW"/>
        </w:rPr>
        <w:t>y functionality</w:t>
      </w:r>
      <w:r w:rsidR="00674223" w:rsidRPr="00674223">
        <w:rPr>
          <w:rFonts w:eastAsia="標楷體"/>
          <w:iCs/>
          <w:sz w:val="24"/>
          <w:lang w:eastAsia="zh-TW"/>
        </w:rPr>
        <w:t xml:space="preserve"> to </w:t>
      </w:r>
      <w:r w:rsidR="00E360BC" w:rsidRPr="00674223">
        <w:rPr>
          <w:rFonts w:eastAsia="標楷體"/>
          <w:iCs/>
          <w:sz w:val="24"/>
          <w:lang w:eastAsia="zh-TW"/>
        </w:rPr>
        <w:t>measure Taiwan’s 5G industry</w:t>
      </w:r>
      <w:r w:rsidR="00E360BC">
        <w:rPr>
          <w:rFonts w:eastAsia="標楷體"/>
          <w:iCs/>
          <w:sz w:val="24"/>
          <w:lang w:eastAsia="zh-TW"/>
        </w:rPr>
        <w:t>’s</w:t>
      </w:r>
      <w:r w:rsidR="00E360BC" w:rsidRPr="00674223">
        <w:rPr>
          <w:rFonts w:eastAsia="標楷體"/>
          <w:iCs/>
          <w:sz w:val="24"/>
          <w:lang w:eastAsia="zh-TW"/>
        </w:rPr>
        <w:t xml:space="preserve"> relative efficiency</w:t>
      </w:r>
      <w:r w:rsidR="00E360BC">
        <w:rPr>
          <w:rFonts w:eastAsia="標楷體"/>
          <w:iCs/>
          <w:sz w:val="24"/>
          <w:lang w:eastAsia="zh-TW"/>
        </w:rPr>
        <w:t xml:space="preserve"> </w:t>
      </w:r>
      <w:r w:rsidR="00E20FBD">
        <w:rPr>
          <w:rFonts w:eastAsia="標楷體"/>
          <w:iCs/>
          <w:sz w:val="24"/>
          <w:lang w:eastAsia="zh-TW"/>
        </w:rPr>
        <w:t>more accurately</w:t>
      </w:r>
      <w:r w:rsidR="00674223" w:rsidRPr="00674223">
        <w:rPr>
          <w:rFonts w:eastAsia="標楷體"/>
          <w:iCs/>
          <w:sz w:val="24"/>
          <w:lang w:eastAsia="zh-TW"/>
        </w:rPr>
        <w:t>.</w:t>
      </w:r>
    </w:p>
    <w:p w:rsidR="00E90D1C" w:rsidRDefault="00674223" w:rsidP="00E90D1C">
      <w:pPr>
        <w:spacing w:before="100" w:beforeAutospacing="1" w:after="100" w:afterAutospacing="1" w:line="360" w:lineRule="auto"/>
        <w:ind w:firstLine="480"/>
        <w:rPr>
          <w:rFonts w:eastAsia="標楷體"/>
          <w:iCs/>
          <w:sz w:val="24"/>
          <w:lang w:eastAsia="zh-TW"/>
        </w:rPr>
      </w:pPr>
      <w:r w:rsidRPr="00674223">
        <w:rPr>
          <w:rFonts w:eastAsia="標楷體"/>
          <w:iCs/>
          <w:sz w:val="24"/>
          <w:lang w:eastAsia="zh-TW"/>
        </w:rPr>
        <w:t xml:space="preserve">Consider the dynamic process shown in Figure 2, where this research is </w:t>
      </w:r>
      <w:r w:rsidR="00E20FBD" w:rsidRPr="00C236D3">
        <w:rPr>
          <w:rFonts w:eastAsia="標楷體"/>
          <w:position w:val="-6"/>
          <w:sz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9" o:title=""/>
          </v:shape>
          <o:OLEObject Type="Embed" ProgID="Equation.DSMT4" ShapeID="_x0000_i1025" DrawAspect="Content" ObjectID="_1700035746" r:id="rId10"/>
        </w:object>
      </w:r>
      <w:r w:rsidR="00E20FBD" w:rsidRPr="00C236D3">
        <w:rPr>
          <w:rFonts w:eastAsia="標楷體" w:hint="eastAsia"/>
          <w:sz w:val="24"/>
          <w:lang w:eastAsia="zh-TW"/>
        </w:rPr>
        <w:t xml:space="preserve"> </w:t>
      </w:r>
      <w:r w:rsidR="00E20FBD" w:rsidRPr="00C236D3">
        <w:rPr>
          <w:rFonts w:eastAsia="標楷體"/>
          <w:sz w:val="24"/>
        </w:rPr>
        <w:t xml:space="preserve">DMUs </w:t>
      </w:r>
      <w:r w:rsidR="00E20FBD" w:rsidRPr="00C236D3">
        <w:rPr>
          <w:rFonts w:eastAsia="標楷體"/>
          <w:sz w:val="24"/>
          <w:lang w:eastAsia="zh-TW"/>
        </w:rPr>
        <w:t>(</w:t>
      </w:r>
      <w:r w:rsidR="00E20FBD" w:rsidRPr="00C236D3">
        <w:rPr>
          <w:rFonts w:eastAsia="標楷體"/>
          <w:position w:val="-10"/>
          <w:sz w:val="24"/>
        </w:rPr>
        <w:object w:dxaOrig="980" w:dyaOrig="320">
          <v:shape id="_x0000_i1026" type="#_x0000_t75" style="width:50.25pt;height:15pt" o:ole="">
            <v:imagedata r:id="rId11" o:title=""/>
          </v:shape>
          <o:OLEObject Type="Embed" ProgID="Equation.DSMT4" ShapeID="_x0000_i1026" DrawAspect="Content" ObjectID="_1700035747" r:id="rId12"/>
        </w:object>
      </w:r>
      <w:r w:rsidR="00E20FBD" w:rsidRPr="00C236D3">
        <w:rPr>
          <w:rFonts w:eastAsia="標楷體"/>
          <w:sz w:val="24"/>
          <w:lang w:eastAsia="zh-TW"/>
        </w:rPr>
        <w:t>)</w:t>
      </w:r>
      <w:r w:rsidR="00E20FBD" w:rsidRPr="00C236D3">
        <w:rPr>
          <w:rFonts w:eastAsia="標楷體"/>
          <w:sz w:val="24"/>
        </w:rPr>
        <w:t xml:space="preserve"> </w:t>
      </w:r>
      <w:r w:rsidRPr="00674223">
        <w:rPr>
          <w:rFonts w:eastAsia="標楷體"/>
          <w:iCs/>
          <w:sz w:val="24"/>
          <w:lang w:eastAsia="zh-TW"/>
        </w:rPr>
        <w:t xml:space="preserve">over T terms </w:t>
      </w:r>
      <w:r w:rsidR="00E20FBD" w:rsidRPr="00C236D3">
        <w:rPr>
          <w:rFonts w:eastAsia="標楷體"/>
          <w:sz w:val="24"/>
        </w:rPr>
        <w:t>(</w:t>
      </w:r>
      <w:r w:rsidR="00E20FBD" w:rsidRPr="00C236D3">
        <w:rPr>
          <w:rFonts w:eastAsia="標楷體"/>
          <w:position w:val="-10"/>
          <w:sz w:val="24"/>
        </w:rPr>
        <w:object w:dxaOrig="960" w:dyaOrig="320">
          <v:shape id="_x0000_i1027" type="#_x0000_t75" style="width:50.25pt;height:15pt" o:ole="">
            <v:imagedata r:id="rId13" o:title=""/>
          </v:shape>
          <o:OLEObject Type="Embed" ProgID="Equation.DSMT4" ShapeID="_x0000_i1027" DrawAspect="Content" ObjectID="_1700035748" r:id="rId14"/>
        </w:object>
      </w:r>
      <w:r w:rsidR="00E20FBD" w:rsidRPr="00C236D3">
        <w:rPr>
          <w:rFonts w:eastAsia="標楷體"/>
          <w:sz w:val="24"/>
        </w:rPr>
        <w:t>)</w:t>
      </w:r>
      <w:r w:rsidRPr="00674223">
        <w:rPr>
          <w:rFonts w:eastAsia="標楷體"/>
          <w:iCs/>
          <w:sz w:val="24"/>
          <w:lang w:eastAsia="zh-TW"/>
        </w:rPr>
        <w:t>. In each item, DMU has a common input</w:t>
      </w:r>
      <w:r w:rsidR="00E20FBD">
        <w:rPr>
          <w:rFonts w:eastAsia="標楷體"/>
          <w:iCs/>
          <w:sz w:val="24"/>
          <w:lang w:eastAsia="zh-TW"/>
        </w:rPr>
        <w:t xml:space="preserve"> </w:t>
      </w:r>
      <w:r w:rsidR="00E20FBD" w:rsidRPr="00C236D3">
        <w:rPr>
          <w:rFonts w:eastAsia="標楷體"/>
          <w:position w:val="-6"/>
          <w:sz w:val="24"/>
        </w:rPr>
        <w:object w:dxaOrig="260" w:dyaOrig="220">
          <v:shape id="_x0000_i1028" type="#_x0000_t75" style="width:14.25pt;height:14.25pt" o:ole="">
            <v:imagedata r:id="rId15" o:title=""/>
          </v:shape>
          <o:OLEObject Type="Embed" ProgID="Equation.DSMT4" ShapeID="_x0000_i1028" DrawAspect="Content" ObjectID="_1700035749" r:id="rId16"/>
        </w:object>
      </w:r>
      <w:r w:rsidR="00E20FBD" w:rsidRPr="00C236D3">
        <w:rPr>
          <w:rFonts w:eastAsia="標楷體"/>
          <w:sz w:val="24"/>
        </w:rPr>
        <w:t xml:space="preserve"> </w:t>
      </w:r>
      <w:r w:rsidR="00E20FBD" w:rsidRPr="00E20FBD">
        <w:rPr>
          <w:rFonts w:eastAsia="標楷體" w:hint="eastAsia"/>
          <w:i/>
          <w:sz w:val="24"/>
          <w:lang w:eastAsia="zh-TW"/>
        </w:rPr>
        <w:t>i</w:t>
      </w:r>
      <w:r w:rsidR="00E20FBD" w:rsidRPr="00E20FBD">
        <w:rPr>
          <w:rFonts w:eastAsia="標楷體"/>
          <w:i/>
          <w:sz w:val="24"/>
          <w:lang w:eastAsia="zh-TW"/>
        </w:rPr>
        <w:t>nput</w:t>
      </w:r>
      <w:r w:rsidR="00E20FBD" w:rsidRPr="00E20FBD">
        <w:rPr>
          <w:rFonts w:eastAsia="標楷體"/>
          <w:i/>
          <w:sz w:val="24"/>
        </w:rPr>
        <w:t xml:space="preserve"> </w:t>
      </w:r>
      <w:r w:rsidR="00E20FBD" w:rsidRPr="00C236D3">
        <w:rPr>
          <w:rFonts w:eastAsia="標楷體"/>
          <w:sz w:val="24"/>
        </w:rPr>
        <w:t>(</w:t>
      </w:r>
      <w:r w:rsidR="00E20FBD" w:rsidRPr="00C236D3">
        <w:rPr>
          <w:rFonts w:eastAsia="標楷體"/>
          <w:position w:val="-10"/>
          <w:sz w:val="24"/>
        </w:rPr>
        <w:object w:dxaOrig="980" w:dyaOrig="320">
          <v:shape id="_x0000_i1029" type="#_x0000_t75" style="width:50.25pt;height:15pt" o:ole="">
            <v:imagedata r:id="rId17" o:title=""/>
          </v:shape>
          <o:OLEObject Type="Embed" ProgID="Equation.DSMT4" ShapeID="_x0000_i1029" DrawAspect="Content" ObjectID="_1700035750" r:id="rId18"/>
        </w:object>
      </w:r>
      <w:r w:rsidR="00E20FBD" w:rsidRPr="00C236D3">
        <w:rPr>
          <w:rFonts w:eastAsia="標楷體"/>
          <w:sz w:val="24"/>
        </w:rPr>
        <w:t>)</w:t>
      </w:r>
      <w:r w:rsidRPr="00674223">
        <w:rPr>
          <w:rFonts w:eastAsia="標楷體"/>
          <w:iCs/>
          <w:sz w:val="24"/>
          <w:lang w:eastAsia="zh-TW"/>
        </w:rPr>
        <w:t xml:space="preserve">, carry-over </w:t>
      </w:r>
      <w:r w:rsidR="00E20FBD" w:rsidRPr="00E20FBD">
        <w:rPr>
          <w:rFonts w:eastAsia="標楷體"/>
          <w:i/>
          <w:position w:val="-10"/>
          <w:sz w:val="24"/>
        </w:rPr>
        <w:object w:dxaOrig="220" w:dyaOrig="260">
          <v:shape id="_x0000_i1030" type="#_x0000_t75" style="width:14.25pt;height:14.25pt" o:ole="">
            <v:imagedata r:id="rId19" o:title=""/>
          </v:shape>
          <o:OLEObject Type="Embed" ProgID="Equation.DSMT4" ShapeID="_x0000_i1030" DrawAspect="Content" ObjectID="_1700035751" r:id="rId20"/>
        </w:object>
      </w:r>
      <w:r w:rsidR="00E20FBD" w:rsidRPr="00E20FBD">
        <w:rPr>
          <w:rFonts w:eastAsia="標楷體" w:hint="eastAsia"/>
          <w:i/>
          <w:sz w:val="24"/>
          <w:lang w:eastAsia="zh-TW"/>
        </w:rPr>
        <w:t xml:space="preserve">link </w:t>
      </w:r>
      <w:r w:rsidR="00E20FBD" w:rsidRPr="00C236D3">
        <w:rPr>
          <w:rFonts w:eastAsia="標楷體" w:hint="eastAsia"/>
          <w:sz w:val="24"/>
          <w:lang w:eastAsia="zh-TW"/>
        </w:rPr>
        <w:t>(</w:t>
      </w:r>
      <w:r w:rsidR="00E20FBD" w:rsidRPr="00C236D3">
        <w:rPr>
          <w:rFonts w:eastAsia="標楷體"/>
          <w:position w:val="-10"/>
          <w:sz w:val="24"/>
        </w:rPr>
        <w:object w:dxaOrig="999" w:dyaOrig="320">
          <v:shape id="_x0000_i1031" type="#_x0000_t75" style="width:49.5pt;height:15pt" o:ole="">
            <v:imagedata r:id="rId21" o:title=""/>
          </v:shape>
          <o:OLEObject Type="Embed" ProgID="Equation.DSMT4" ShapeID="_x0000_i1031" DrawAspect="Content" ObjectID="_1700035752" r:id="rId22"/>
        </w:object>
      </w:r>
      <w:r w:rsidR="00E20FBD" w:rsidRPr="00C236D3">
        <w:rPr>
          <w:rFonts w:eastAsia="標楷體" w:hint="eastAsia"/>
          <w:sz w:val="24"/>
          <w:lang w:eastAsia="zh-TW"/>
        </w:rPr>
        <w:t>)</w:t>
      </w:r>
      <w:r w:rsidRPr="00674223">
        <w:rPr>
          <w:rFonts w:eastAsia="標楷體"/>
          <w:iCs/>
          <w:sz w:val="24"/>
          <w:lang w:eastAsia="zh-TW"/>
        </w:rPr>
        <w:t xml:space="preserve"> and </w:t>
      </w:r>
      <w:r w:rsidR="00E20FBD" w:rsidRPr="00C236D3">
        <w:rPr>
          <w:rFonts w:eastAsia="標楷體"/>
          <w:position w:val="-4"/>
          <w:sz w:val="24"/>
        </w:rPr>
        <w:object w:dxaOrig="180" w:dyaOrig="200">
          <v:shape id="_x0000_i1032" type="#_x0000_t75" style="width:6.75pt;height:6.75pt" o:ole="">
            <v:imagedata r:id="rId23" o:title=""/>
          </v:shape>
          <o:OLEObject Type="Embed" ProgID="Equation.DSMT4" ShapeID="_x0000_i1032" DrawAspect="Content" ObjectID="_1700035753" r:id="rId24"/>
        </w:object>
      </w:r>
      <w:r w:rsidR="00E20FBD" w:rsidRPr="00C236D3">
        <w:rPr>
          <w:rFonts w:eastAsia="標楷體" w:hint="eastAsia"/>
          <w:sz w:val="24"/>
          <w:lang w:eastAsia="zh-TW"/>
        </w:rPr>
        <w:t xml:space="preserve"> </w:t>
      </w:r>
      <w:r w:rsidR="00E20FBD" w:rsidRPr="00E20FBD">
        <w:rPr>
          <w:rFonts w:eastAsia="標楷體" w:hint="eastAsia"/>
          <w:i/>
          <w:sz w:val="24"/>
          <w:lang w:eastAsia="zh-TW"/>
        </w:rPr>
        <w:t>o</w:t>
      </w:r>
      <w:r w:rsidR="00E20FBD" w:rsidRPr="00E20FBD">
        <w:rPr>
          <w:rFonts w:eastAsia="標楷體"/>
          <w:i/>
          <w:sz w:val="24"/>
          <w:lang w:eastAsia="zh-TW"/>
        </w:rPr>
        <w:t>utput</w:t>
      </w:r>
      <w:r w:rsidR="00E20FBD" w:rsidRPr="00E20FBD">
        <w:rPr>
          <w:rFonts w:eastAsia="標楷體"/>
          <w:i/>
          <w:sz w:val="24"/>
        </w:rPr>
        <w:t xml:space="preserve"> </w:t>
      </w:r>
      <w:r w:rsidR="00E20FBD" w:rsidRPr="00C236D3">
        <w:rPr>
          <w:rFonts w:eastAsia="標楷體"/>
          <w:sz w:val="24"/>
        </w:rPr>
        <w:t>(</w:t>
      </w:r>
      <w:r w:rsidR="00E20FBD" w:rsidRPr="00C236D3">
        <w:rPr>
          <w:rFonts w:eastAsia="標楷體"/>
          <w:position w:val="-10"/>
          <w:sz w:val="24"/>
        </w:rPr>
        <w:object w:dxaOrig="999" w:dyaOrig="320">
          <v:shape id="_x0000_i1033" type="#_x0000_t75" style="width:49.5pt;height:15pt" o:ole="">
            <v:imagedata r:id="rId25" o:title=""/>
          </v:shape>
          <o:OLEObject Type="Embed" ProgID="Equation.DSMT4" ShapeID="_x0000_i1033" DrawAspect="Content" ObjectID="_1700035754" r:id="rId26"/>
        </w:object>
      </w:r>
      <w:r w:rsidR="00E20FBD" w:rsidRPr="00C236D3">
        <w:rPr>
          <w:rFonts w:eastAsia="標楷體"/>
          <w:sz w:val="24"/>
        </w:rPr>
        <w:t>)</w:t>
      </w:r>
      <w:r w:rsidRPr="00674223">
        <w:rPr>
          <w:rFonts w:eastAsia="標楷體"/>
          <w:iCs/>
          <w:sz w:val="24"/>
          <w:lang w:eastAsia="zh-TW"/>
        </w:rPr>
        <w:t xml:space="preserve"> . Let, </w:t>
      </w:r>
      <w:r w:rsidR="00E20FBD" w:rsidRPr="00C236D3">
        <w:rPr>
          <w:rFonts w:eastAsia="標楷體"/>
          <w:position w:val="-14"/>
          <w:sz w:val="24"/>
        </w:rPr>
        <w:object w:dxaOrig="279" w:dyaOrig="400">
          <v:shape id="_x0000_i1034" type="#_x0000_t75" style="width:15pt;height:22.5pt" o:ole="">
            <v:imagedata r:id="rId27" o:title=""/>
          </v:shape>
          <o:OLEObject Type="Embed" ProgID="Equation.DSMT4" ShapeID="_x0000_i1034" DrawAspect="Content" ObjectID="_1700035755" r:id="rId28"/>
        </w:object>
      </w:r>
      <w:r w:rsidR="00E20FBD" w:rsidRPr="00C236D3">
        <w:rPr>
          <w:rFonts w:eastAsia="標楷體" w:hint="eastAsia"/>
          <w:sz w:val="24"/>
          <w:lang w:eastAsia="zh-TW"/>
        </w:rPr>
        <w:t>,</w:t>
      </w:r>
      <w:r w:rsidR="00E20FBD" w:rsidRPr="00C236D3">
        <w:rPr>
          <w:rFonts w:eastAsia="標楷體"/>
          <w:sz w:val="24"/>
          <w:lang w:eastAsia="zh-TW"/>
        </w:rPr>
        <w:t xml:space="preserve"> </w:t>
      </w:r>
      <w:r w:rsidR="00E20FBD" w:rsidRPr="00C236D3">
        <w:rPr>
          <w:rFonts w:eastAsia="標楷體"/>
          <w:position w:val="-14"/>
          <w:sz w:val="24"/>
        </w:rPr>
        <w:object w:dxaOrig="300" w:dyaOrig="400">
          <v:shape id="_x0000_i1035" type="#_x0000_t75" style="width:15pt;height:22.5pt" o:ole="">
            <v:imagedata r:id="rId29" o:title=""/>
          </v:shape>
          <o:OLEObject Type="Embed" ProgID="Equation.DSMT4" ShapeID="_x0000_i1035" DrawAspect="Content" ObjectID="_1700035756" r:id="rId30"/>
        </w:object>
      </w:r>
      <w:r w:rsidR="00E20FBD">
        <w:rPr>
          <w:rFonts w:eastAsia="標楷體"/>
          <w:sz w:val="24"/>
        </w:rPr>
        <w:t xml:space="preserve"> </w:t>
      </w:r>
      <w:r w:rsidRPr="008A00CA">
        <w:rPr>
          <w:rFonts w:eastAsia="標楷體"/>
          <w:iCs/>
          <w:sz w:val="24"/>
          <w:lang w:eastAsia="zh-TW"/>
        </w:rPr>
        <w:t xml:space="preserve">and </w:t>
      </w:r>
      <w:r w:rsidR="00653BC1" w:rsidRPr="008A00CA">
        <w:rPr>
          <w:rFonts w:eastAsia="標楷體"/>
          <w:position w:val="-14"/>
          <w:sz w:val="24"/>
        </w:rPr>
        <w:object w:dxaOrig="340" w:dyaOrig="400">
          <v:shape id="_x0000_i1036" type="#_x0000_t75" style="width:14.25pt;height:22.5pt" o:ole="">
            <v:imagedata r:id="rId31" o:title=""/>
          </v:shape>
          <o:OLEObject Type="Embed" ProgID="Equation.DSMT4" ShapeID="_x0000_i1036" DrawAspect="Content" ObjectID="_1700035757" r:id="rId32"/>
        </w:object>
      </w:r>
      <w:r w:rsidR="00653BC1" w:rsidRPr="008A00CA">
        <w:rPr>
          <w:rFonts w:eastAsia="標楷體" w:hint="eastAsia"/>
          <w:color w:val="000000"/>
          <w:sz w:val="24"/>
          <w:lang w:eastAsia="zh-TW"/>
        </w:rPr>
        <w:t>d</w:t>
      </w:r>
      <w:r w:rsidR="00653BC1" w:rsidRPr="008A00CA">
        <w:rPr>
          <w:rFonts w:eastAsia="標楷體"/>
          <w:color w:val="000000"/>
          <w:sz w:val="24"/>
          <w:lang w:eastAsia="zh-TW"/>
        </w:rPr>
        <w:t>enote the</w:t>
      </w:r>
      <w:r w:rsidR="00653BC1" w:rsidRPr="008A00CA">
        <w:rPr>
          <w:rFonts w:eastAsia="標楷體" w:hint="eastAsia"/>
          <w:color w:val="000000"/>
          <w:sz w:val="24"/>
          <w:lang w:eastAsia="zh-TW"/>
        </w:rPr>
        <w:t xml:space="preserve"> </w:t>
      </w:r>
      <w:r w:rsidR="00653BC1" w:rsidRPr="008A00CA">
        <w:rPr>
          <w:rFonts w:eastAsia="標楷體" w:hint="eastAsia"/>
          <w:i/>
          <w:color w:val="000000"/>
          <w:sz w:val="24"/>
          <w:lang w:eastAsia="zh-TW"/>
        </w:rPr>
        <w:t>j</w:t>
      </w:r>
      <w:r w:rsidR="00E360BC" w:rsidRPr="008A00CA">
        <w:rPr>
          <w:rFonts w:eastAsia="標楷體"/>
          <w:color w:val="000000"/>
          <w:sz w:val="24"/>
          <w:lang w:eastAsia="zh-TW"/>
        </w:rPr>
        <w:t xml:space="preserve">’s </w:t>
      </w:r>
      <w:r w:rsidR="00653BC1" w:rsidRPr="008A00CA">
        <w:rPr>
          <w:rFonts w:eastAsia="標楷體" w:hint="eastAsia"/>
          <w:color w:val="000000"/>
          <w:sz w:val="24"/>
          <w:lang w:eastAsia="zh-TW"/>
        </w:rPr>
        <w:t>DMU</w:t>
      </w:r>
      <w:r w:rsidR="00653BC1" w:rsidRPr="008A00CA">
        <w:rPr>
          <w:rFonts w:eastAsia="標楷體"/>
          <w:iCs/>
          <w:sz w:val="24"/>
          <w:lang w:eastAsia="zh-TW"/>
        </w:rPr>
        <w:t xml:space="preserve"> </w:t>
      </w:r>
      <w:r w:rsidRPr="008A00CA">
        <w:rPr>
          <w:rFonts w:eastAsia="標楷體"/>
          <w:iCs/>
          <w:sz w:val="24"/>
          <w:lang w:eastAsia="zh-TW"/>
        </w:rPr>
        <w:t xml:space="preserve">input, link and output values at time </w:t>
      </w:r>
      <w:r w:rsidRPr="008A00CA">
        <w:rPr>
          <w:rFonts w:eastAsia="標楷體"/>
          <w:i/>
          <w:iCs/>
          <w:sz w:val="24"/>
          <w:lang w:eastAsia="zh-TW"/>
        </w:rPr>
        <w:t>t</w:t>
      </w:r>
      <w:r w:rsidRPr="008A00CA">
        <w:rPr>
          <w:rFonts w:eastAsia="標楷體"/>
          <w:iCs/>
          <w:sz w:val="24"/>
          <w:lang w:eastAsia="zh-TW"/>
        </w:rPr>
        <w:t>, respectively.</w:t>
      </w:r>
      <w:r w:rsidRPr="00674223">
        <w:rPr>
          <w:rFonts w:eastAsia="標楷體"/>
          <w:iCs/>
          <w:sz w:val="24"/>
          <w:lang w:eastAsia="zh-TW"/>
        </w:rPr>
        <w:t xml:space="preserve"> The output-oriented DSBM model </w:t>
      </w:r>
      <w:r w:rsidR="00E360BC">
        <w:rPr>
          <w:rFonts w:eastAsia="標楷體"/>
          <w:iCs/>
          <w:sz w:val="24"/>
          <w:lang w:eastAsia="zh-TW"/>
        </w:rPr>
        <w:t>operates according to a</w:t>
      </w:r>
      <w:r w:rsidRPr="00674223">
        <w:rPr>
          <w:rFonts w:eastAsia="標楷體"/>
          <w:iCs/>
          <w:sz w:val="24"/>
          <w:lang w:eastAsia="zh-TW"/>
        </w:rPr>
        <w:t xml:space="preserve"> variable return scale</w:t>
      </w:r>
      <w:r w:rsidR="00653BC1">
        <w:rPr>
          <w:rFonts w:eastAsia="標楷體"/>
          <w:iCs/>
          <w:sz w:val="24"/>
          <w:lang w:eastAsia="zh-TW"/>
        </w:rPr>
        <w:t>,</w:t>
      </w:r>
      <w:r w:rsidR="00E360BC">
        <w:rPr>
          <w:rFonts w:eastAsia="標楷體"/>
          <w:iCs/>
          <w:sz w:val="24"/>
          <w:lang w:eastAsia="zh-TW"/>
        </w:rPr>
        <w:t xml:space="preserve"> and,</w:t>
      </w:r>
      <w:r w:rsidR="00653BC1">
        <w:rPr>
          <w:rFonts w:eastAsia="標楷體"/>
          <w:iCs/>
          <w:sz w:val="24"/>
          <w:lang w:eastAsia="zh-TW"/>
        </w:rPr>
        <w:t xml:space="preserve"> thereby </w:t>
      </w:r>
      <w:r w:rsidRPr="00674223">
        <w:rPr>
          <w:rFonts w:eastAsia="標楷體"/>
          <w:iCs/>
          <w:sz w:val="24"/>
          <w:lang w:eastAsia="zh-TW"/>
        </w:rPr>
        <w:t>evaluates the efficiency of the observed company by solving the following score program</w:t>
      </w:r>
      <w:r w:rsidR="00653BC1">
        <w:rPr>
          <w:rFonts w:eastAsia="標楷體"/>
          <w:iCs/>
          <w:sz w:val="24"/>
          <w:lang w:eastAsia="zh-TW"/>
        </w:rPr>
        <w:t>, which</w:t>
      </w:r>
      <w:r w:rsidRPr="00674223">
        <w:rPr>
          <w:rFonts w:eastAsia="標楷體"/>
          <w:iCs/>
          <w:sz w:val="24"/>
          <w:lang w:eastAsia="zh-TW"/>
        </w:rPr>
        <w:t xml:space="preserve"> can be converted to LP. </w:t>
      </w:r>
      <w:r w:rsidR="00E360BC">
        <w:rPr>
          <w:rFonts w:eastAsia="標楷體"/>
          <w:iCs/>
          <w:sz w:val="24"/>
          <w:lang w:eastAsia="zh-TW"/>
        </w:rPr>
        <w:t xml:space="preserve">For a detailed description of the model’s process, please consult Tone </w:t>
      </w:r>
      <w:r w:rsidR="00653BC1">
        <w:rPr>
          <w:rFonts w:eastAsia="標楷體"/>
          <w:iCs/>
          <w:sz w:val="24"/>
          <w:lang w:eastAsia="zh-TW"/>
        </w:rPr>
        <w:t>(</w:t>
      </w:r>
      <w:r w:rsidRPr="00674223">
        <w:rPr>
          <w:rFonts w:eastAsia="標楷體"/>
          <w:iCs/>
          <w:sz w:val="24"/>
          <w:lang w:eastAsia="zh-TW"/>
        </w:rPr>
        <w:t>2001)</w:t>
      </w:r>
      <w:r w:rsidR="00E360BC">
        <w:rPr>
          <w:rFonts w:eastAsia="標楷體"/>
          <w:iCs/>
          <w:sz w:val="24"/>
          <w:lang w:eastAsia="zh-TW"/>
        </w:rPr>
        <w:t>.</w:t>
      </w:r>
    </w:p>
    <w:p w:rsidR="000D2B6E" w:rsidRPr="00E90D1C" w:rsidRDefault="000D2B6E" w:rsidP="00E90D1C">
      <w:pPr>
        <w:spacing w:before="100" w:beforeAutospacing="1" w:after="100" w:afterAutospacing="1" w:line="360" w:lineRule="auto"/>
        <w:ind w:firstLine="480"/>
        <w:rPr>
          <w:rFonts w:eastAsia="標楷體"/>
          <w:iCs/>
          <w:sz w:val="24"/>
          <w:lang w:eastAsia="zh-TW"/>
        </w:rPr>
      </w:pPr>
      <w:r w:rsidRPr="00C236D3">
        <w:rPr>
          <w:rFonts w:eastAsia="標楷體"/>
          <w:position w:val="-32"/>
          <w:sz w:val="24"/>
        </w:rPr>
        <w:object w:dxaOrig="4580" w:dyaOrig="760">
          <v:shape id="_x0000_i1037" type="#_x0000_t75" style="width:230.25pt;height:36pt" o:ole="">
            <v:imagedata r:id="rId33" o:title=""/>
          </v:shape>
          <o:OLEObject Type="Embed" ProgID="Equation.DSMT4" ShapeID="_x0000_i1037" DrawAspect="Content" ObjectID="_1700035758" r:id="rId34"/>
        </w:object>
      </w:r>
      <w:r w:rsidRPr="00C236D3">
        <w:rPr>
          <w:rFonts w:eastAsia="標楷體" w:hint="eastAsia"/>
          <w:sz w:val="24"/>
          <w:lang w:eastAsia="zh-TW"/>
        </w:rPr>
        <w:t xml:space="preserve">              </w:t>
      </w:r>
      <w:r w:rsidRPr="00C236D3">
        <w:rPr>
          <w:rFonts w:eastAsia="標楷體"/>
          <w:color w:val="000000"/>
          <w:sz w:val="24"/>
        </w:rPr>
        <w:t xml:space="preserve">  (1)</w:t>
      </w:r>
    </w:p>
    <w:p w:rsidR="00E90D1C" w:rsidRDefault="000D2B6E" w:rsidP="00E90D1C">
      <w:pPr>
        <w:spacing w:before="100" w:beforeAutospacing="1" w:after="100" w:afterAutospacing="1" w:line="360" w:lineRule="auto"/>
        <w:ind w:firstLineChars="850" w:firstLine="2040"/>
        <w:rPr>
          <w:rFonts w:eastAsia="標楷體"/>
          <w:color w:val="000000"/>
          <w:sz w:val="24"/>
          <w:lang w:eastAsia="zh-TW"/>
        </w:rPr>
      </w:pPr>
      <w:r w:rsidRPr="00C236D3">
        <w:rPr>
          <w:rFonts w:eastAsia="標楷體" w:hint="eastAsia"/>
          <w:color w:val="000000"/>
          <w:sz w:val="24"/>
          <w:lang w:eastAsia="zh-TW"/>
        </w:rPr>
        <w:t>subject to</w:t>
      </w:r>
    </w:p>
    <w:p w:rsidR="000D2B6E" w:rsidRPr="00C236D3" w:rsidRDefault="000D2B6E" w:rsidP="00E90D1C">
      <w:pPr>
        <w:spacing w:before="100" w:beforeAutospacing="1" w:after="100" w:afterAutospacing="1" w:line="360" w:lineRule="auto"/>
        <w:ind w:firstLineChars="177" w:firstLine="425"/>
        <w:rPr>
          <w:rFonts w:eastAsia="標楷體"/>
          <w:sz w:val="24"/>
          <w:lang w:eastAsia="zh-TW"/>
        </w:rPr>
      </w:pPr>
      <w:r w:rsidRPr="00C236D3">
        <w:rPr>
          <w:rFonts w:eastAsia="標楷體"/>
          <w:position w:val="-66"/>
          <w:sz w:val="24"/>
        </w:rPr>
        <w:object w:dxaOrig="4700" w:dyaOrig="1440">
          <v:shape id="_x0000_i1038" type="#_x0000_t75" style="width:237.75pt;height:1in" o:ole="">
            <v:imagedata r:id="rId35" o:title=""/>
          </v:shape>
          <o:OLEObject Type="Embed" ProgID="Equation.DSMT4" ShapeID="_x0000_i1038" DrawAspect="Content" ObjectID="_1700035759" r:id="rId36"/>
        </w:object>
      </w:r>
      <w:r w:rsidRPr="00C236D3">
        <w:rPr>
          <w:rFonts w:eastAsia="標楷體" w:hint="eastAsia"/>
          <w:sz w:val="24"/>
          <w:lang w:eastAsia="zh-TW"/>
        </w:rPr>
        <w:t xml:space="preserve">              (2)</w:t>
      </w:r>
    </w:p>
    <w:p w:rsidR="000D2B6E" w:rsidRPr="00C236D3" w:rsidRDefault="000D2B6E" w:rsidP="00E90D1C">
      <w:pPr>
        <w:wordWrap w:val="0"/>
        <w:spacing w:before="100" w:beforeAutospacing="1" w:after="100" w:afterAutospacing="1" w:line="360" w:lineRule="auto"/>
        <w:ind w:right="480" w:firstLineChars="177" w:firstLine="425"/>
        <w:rPr>
          <w:rFonts w:eastAsia="標楷體"/>
          <w:color w:val="000000"/>
          <w:sz w:val="24"/>
          <w:lang w:eastAsia="zh-TW"/>
        </w:rPr>
      </w:pPr>
      <w:r w:rsidRPr="00C236D3">
        <w:rPr>
          <w:rFonts w:eastAsia="標楷體"/>
          <w:position w:val="-18"/>
          <w:sz w:val="24"/>
        </w:rPr>
        <w:object w:dxaOrig="4300" w:dyaOrig="480">
          <v:shape id="_x0000_i1039" type="#_x0000_t75" style="width:3in;height:21.75pt" o:ole="">
            <v:imagedata r:id="rId37" o:title=""/>
          </v:shape>
          <o:OLEObject Type="Embed" ProgID="Equation.DSMT4" ShapeID="_x0000_i1039" DrawAspect="Content" ObjectID="_1700035760" r:id="rId38"/>
        </w:object>
      </w:r>
      <w:r w:rsidRPr="00C236D3">
        <w:rPr>
          <w:rFonts w:eastAsia="標楷體" w:hint="eastAsia"/>
          <w:sz w:val="24"/>
          <w:lang w:eastAsia="zh-TW"/>
        </w:rPr>
        <w:t xml:space="preserve">                  (3)</w:t>
      </w:r>
    </w:p>
    <w:p w:rsidR="000D2B6E" w:rsidRPr="00C236D3" w:rsidRDefault="000D2B6E" w:rsidP="00E90D1C">
      <w:pPr>
        <w:wordWrap w:val="0"/>
        <w:spacing w:before="100" w:beforeAutospacing="1" w:after="100" w:afterAutospacing="1" w:line="360" w:lineRule="auto"/>
        <w:ind w:right="480" w:firstLineChars="177" w:firstLine="425"/>
        <w:rPr>
          <w:rFonts w:eastAsia="標楷體"/>
          <w:sz w:val="24"/>
          <w:lang w:eastAsia="zh-TW"/>
        </w:rPr>
      </w:pPr>
      <w:r w:rsidRPr="00C236D3">
        <w:rPr>
          <w:rFonts w:eastAsia="標楷體"/>
          <w:position w:val="-18"/>
          <w:sz w:val="24"/>
        </w:rPr>
        <w:object w:dxaOrig="3480" w:dyaOrig="480">
          <v:shape id="_x0000_i1040" type="#_x0000_t75" style="width:173.25pt;height:21.75pt" o:ole="">
            <v:imagedata r:id="rId39" o:title=""/>
          </v:shape>
          <o:OLEObject Type="Embed" ProgID="Equation.DSMT4" ShapeID="_x0000_i1040" DrawAspect="Content" ObjectID="_1700035761" r:id="rId40"/>
        </w:object>
      </w:r>
      <w:r w:rsidRPr="00C236D3">
        <w:rPr>
          <w:rFonts w:eastAsia="標楷體" w:hint="eastAsia"/>
          <w:sz w:val="24"/>
          <w:lang w:eastAsia="zh-TW"/>
        </w:rPr>
        <w:t xml:space="preserve">                         (4)</w:t>
      </w:r>
    </w:p>
    <w:p w:rsidR="000D2B6E" w:rsidRPr="00C236D3" w:rsidRDefault="000D2B6E" w:rsidP="00E90D1C">
      <w:pPr>
        <w:wordWrap w:val="0"/>
        <w:spacing w:before="100" w:beforeAutospacing="1" w:after="100" w:afterAutospacing="1" w:line="360" w:lineRule="auto"/>
        <w:ind w:right="480" w:firstLineChars="177" w:firstLine="425"/>
        <w:rPr>
          <w:rFonts w:eastAsia="標楷體"/>
          <w:color w:val="000000"/>
          <w:sz w:val="24"/>
          <w:lang w:eastAsia="zh-TW"/>
        </w:rPr>
      </w:pPr>
      <w:r w:rsidRPr="00C236D3">
        <w:rPr>
          <w:rFonts w:eastAsia="標楷體"/>
          <w:position w:val="-14"/>
          <w:sz w:val="24"/>
        </w:rPr>
        <w:object w:dxaOrig="2860" w:dyaOrig="400">
          <v:shape id="_x0000_i1041" type="#_x0000_t75" style="width:2in;height:22.5pt" o:ole="">
            <v:imagedata r:id="rId41" o:title=""/>
          </v:shape>
          <o:OLEObject Type="Embed" ProgID="Equation.DSMT4" ShapeID="_x0000_i1041" DrawAspect="Content" ObjectID="_1700035762" r:id="rId42"/>
        </w:object>
      </w:r>
      <w:r w:rsidRPr="00C236D3">
        <w:rPr>
          <w:rFonts w:eastAsia="標楷體" w:hint="eastAsia"/>
          <w:sz w:val="24"/>
          <w:lang w:eastAsia="zh-TW"/>
        </w:rPr>
        <w:t xml:space="preserve">                               (5)</w:t>
      </w:r>
    </w:p>
    <w:p w:rsidR="000D2B6E" w:rsidRPr="00C236D3" w:rsidRDefault="000D2B6E" w:rsidP="00526252">
      <w:pPr>
        <w:spacing w:before="100" w:beforeAutospacing="1" w:after="100" w:afterAutospacing="1" w:line="360" w:lineRule="auto"/>
        <w:rPr>
          <w:rFonts w:eastAsia="標楷體"/>
          <w:color w:val="000000"/>
          <w:sz w:val="24"/>
          <w:lang w:eastAsia="zh-TW"/>
        </w:rPr>
      </w:pPr>
      <w:r w:rsidRPr="00C236D3">
        <w:rPr>
          <w:rFonts w:eastAsia="標楷體" w:hint="eastAsia"/>
          <w:color w:val="000000"/>
          <w:sz w:val="24"/>
          <w:lang w:eastAsia="zh-TW"/>
        </w:rPr>
        <w:t>w</w:t>
      </w:r>
      <w:r w:rsidRPr="00C236D3">
        <w:rPr>
          <w:rFonts w:eastAsia="標楷體"/>
          <w:color w:val="000000"/>
          <w:sz w:val="24"/>
        </w:rPr>
        <w:t>here</w:t>
      </w:r>
      <w:r w:rsidRPr="00C236D3">
        <w:rPr>
          <w:rFonts w:eastAsia="標楷體"/>
          <w:position w:val="-14"/>
          <w:sz w:val="24"/>
        </w:rPr>
        <w:object w:dxaOrig="279" w:dyaOrig="400">
          <v:shape id="_x0000_i1042" type="#_x0000_t75" style="width:15pt;height:22.5pt" o:ole="">
            <v:imagedata r:id="rId43" o:title=""/>
          </v:shape>
          <o:OLEObject Type="Embed" ProgID="Equation.DSMT4" ShapeID="_x0000_i1042" DrawAspect="Content" ObjectID="_1700035763" r:id="rId44"/>
        </w:object>
      </w:r>
      <w:r w:rsidRPr="00C236D3">
        <w:rPr>
          <w:rFonts w:eastAsia="標楷體" w:hint="eastAsia"/>
          <w:sz w:val="24"/>
          <w:lang w:eastAsia="zh-TW"/>
        </w:rPr>
        <w:t xml:space="preserve">, </w:t>
      </w:r>
      <w:r w:rsidRPr="00C236D3">
        <w:rPr>
          <w:rFonts w:eastAsia="標楷體" w:hint="eastAsia"/>
          <w:color w:val="000000"/>
          <w:sz w:val="24"/>
          <w:lang w:eastAsia="zh-TW"/>
        </w:rPr>
        <w:t xml:space="preserve"> </w:t>
      </w:r>
      <w:r w:rsidRPr="00C236D3">
        <w:rPr>
          <w:rFonts w:eastAsia="標楷體"/>
          <w:position w:val="-12"/>
          <w:sz w:val="24"/>
        </w:rPr>
        <w:object w:dxaOrig="360" w:dyaOrig="380">
          <v:shape id="_x0000_i1043" type="#_x0000_t75" style="width:21.75pt;height:22.5pt" o:ole="">
            <v:imagedata r:id="rId45" o:title=""/>
          </v:shape>
          <o:OLEObject Type="Embed" ProgID="Equation.DSMT4" ShapeID="_x0000_i1043" DrawAspect="Content" ObjectID="_1700035764" r:id="rId46"/>
        </w:object>
      </w:r>
      <w:r w:rsidRPr="00C236D3">
        <w:rPr>
          <w:rFonts w:eastAsia="標楷體" w:hint="eastAsia"/>
          <w:sz w:val="24"/>
          <w:lang w:eastAsia="zh-TW"/>
        </w:rPr>
        <w:t>,</w:t>
      </w:r>
      <w:r w:rsidRPr="00C236D3">
        <w:rPr>
          <w:rFonts w:eastAsia="標楷體"/>
          <w:sz w:val="24"/>
        </w:rPr>
        <w:t xml:space="preserve"> </w:t>
      </w:r>
      <w:r w:rsidRPr="00C236D3">
        <w:rPr>
          <w:rFonts w:eastAsia="標楷體"/>
          <w:position w:val="-14"/>
          <w:sz w:val="24"/>
        </w:rPr>
        <w:object w:dxaOrig="360" w:dyaOrig="400">
          <v:shape id="_x0000_i1044" type="#_x0000_t75" style="width:21.75pt;height:22.5pt" o:ole="">
            <v:imagedata r:id="rId47" o:title=""/>
          </v:shape>
          <o:OLEObject Type="Embed" ProgID="Equation.DSMT4" ShapeID="_x0000_i1044" DrawAspect="Content" ObjectID="_1700035765" r:id="rId48"/>
        </w:object>
      </w:r>
      <w:r w:rsidRPr="00C236D3">
        <w:rPr>
          <w:rFonts w:eastAsia="標楷體"/>
          <w:color w:val="000000"/>
          <w:sz w:val="24"/>
        </w:rPr>
        <w:t xml:space="preserve">, and </w:t>
      </w:r>
      <w:r w:rsidRPr="00C236D3">
        <w:rPr>
          <w:rFonts w:eastAsia="標楷體"/>
          <w:position w:val="-12"/>
          <w:sz w:val="24"/>
        </w:rPr>
        <w:object w:dxaOrig="340" w:dyaOrig="380">
          <v:shape id="_x0000_i1045" type="#_x0000_t75" style="width:14.25pt;height:22.5pt" o:ole="">
            <v:imagedata r:id="rId49" o:title=""/>
          </v:shape>
          <o:OLEObject Type="Embed" ProgID="Equation.DSMT4" ShapeID="_x0000_i1045" DrawAspect="Content" ObjectID="_1700035766" r:id="rId50"/>
        </w:object>
      </w:r>
      <w:r w:rsidRPr="00C236D3">
        <w:rPr>
          <w:rFonts w:eastAsia="標楷體"/>
          <w:color w:val="000000"/>
          <w:sz w:val="24"/>
        </w:rPr>
        <w:t xml:space="preserve">are </w:t>
      </w:r>
      <w:r w:rsidRPr="00C236D3">
        <w:rPr>
          <w:rFonts w:eastAsia="標楷體" w:hint="eastAsia"/>
          <w:color w:val="000000"/>
          <w:sz w:val="24"/>
          <w:lang w:eastAsia="zh-TW"/>
        </w:rPr>
        <w:t xml:space="preserve">intensity or </w:t>
      </w:r>
      <w:r w:rsidRPr="00C236D3">
        <w:rPr>
          <w:rFonts w:eastAsia="標楷體"/>
          <w:color w:val="000000"/>
          <w:sz w:val="24"/>
        </w:rPr>
        <w:t xml:space="preserve">slack variables denoting, respectively, input excess, output shortfall, and </w:t>
      </w:r>
      <w:r w:rsidRPr="00C236D3">
        <w:rPr>
          <w:rFonts w:eastAsia="標楷體" w:hint="eastAsia"/>
          <w:color w:val="000000"/>
          <w:sz w:val="24"/>
          <w:lang w:eastAsia="zh-TW"/>
        </w:rPr>
        <w:t>link</w:t>
      </w:r>
      <w:r w:rsidRPr="00C236D3">
        <w:rPr>
          <w:rFonts w:eastAsia="標楷體"/>
          <w:color w:val="000000"/>
          <w:sz w:val="24"/>
        </w:rPr>
        <w:t xml:space="preserve"> excess.</w:t>
      </w:r>
      <w:r w:rsidRPr="00C236D3">
        <w:rPr>
          <w:rFonts w:eastAsia="標楷體" w:hint="eastAsia"/>
          <w:color w:val="000000"/>
          <w:sz w:val="24"/>
          <w:lang w:eastAsia="zh-TW"/>
        </w:rPr>
        <w:t xml:space="preserve"> </w:t>
      </w:r>
      <w:r w:rsidRPr="00C236D3">
        <w:rPr>
          <w:rFonts w:eastAsia="標楷體"/>
          <w:sz w:val="24"/>
          <w:lang w:eastAsia="zh-TW"/>
        </w:rPr>
        <w:t>T</w:t>
      </w:r>
      <w:r w:rsidRPr="00C236D3">
        <w:rPr>
          <w:rFonts w:eastAsia="標楷體" w:hint="eastAsia"/>
          <w:sz w:val="24"/>
          <w:lang w:eastAsia="zh-TW"/>
        </w:rPr>
        <w:t>he constraint</w:t>
      </w:r>
      <w:r w:rsidRPr="00C236D3">
        <w:rPr>
          <w:rFonts w:eastAsia="標楷體" w:hint="eastAsia"/>
          <w:color w:val="000000"/>
          <w:sz w:val="24"/>
          <w:lang w:eastAsia="zh-TW"/>
        </w:rPr>
        <w:t xml:space="preserve"> (3)</w:t>
      </w:r>
      <w:r w:rsidRPr="00C236D3">
        <w:rPr>
          <w:rFonts w:eastAsia="標楷體" w:hint="eastAsia"/>
          <w:sz w:val="24"/>
          <w:lang w:eastAsia="zh-TW"/>
        </w:rPr>
        <w:t xml:space="preserve"> is critical for the dynamic model, since it connects </w:t>
      </w:r>
      <w:r w:rsidRPr="00C236D3">
        <w:rPr>
          <w:rFonts w:eastAsia="標楷體" w:hint="eastAsia"/>
          <w:color w:val="000000"/>
          <w:sz w:val="24"/>
          <w:lang w:eastAsia="zh-TW"/>
        </w:rPr>
        <w:t xml:space="preserve">term </w:t>
      </w:r>
      <w:r w:rsidRPr="00C236D3">
        <w:rPr>
          <w:rFonts w:eastAsia="標楷體"/>
          <w:position w:val="-6"/>
          <w:sz w:val="24"/>
        </w:rPr>
        <w:object w:dxaOrig="139" w:dyaOrig="240">
          <v:shape id="_x0000_i1046" type="#_x0000_t75" style="width:6.75pt;height:15pt" o:ole="">
            <v:imagedata r:id="rId51" o:title=""/>
          </v:shape>
          <o:OLEObject Type="Embed" ProgID="Equation.DSMT4" ShapeID="_x0000_i1046" DrawAspect="Content" ObjectID="_1700035767" r:id="rId52"/>
        </w:object>
      </w:r>
      <w:r w:rsidRPr="00C236D3">
        <w:rPr>
          <w:rFonts w:eastAsia="標楷體" w:hint="eastAsia"/>
          <w:sz w:val="24"/>
          <w:lang w:eastAsia="zh-TW"/>
        </w:rPr>
        <w:t xml:space="preserve"> and term </w:t>
      </w:r>
      <w:r w:rsidRPr="00C236D3">
        <w:rPr>
          <w:rFonts w:eastAsia="標楷體"/>
          <w:position w:val="-6"/>
          <w:sz w:val="24"/>
        </w:rPr>
        <w:object w:dxaOrig="440" w:dyaOrig="279">
          <v:shape id="_x0000_i1047" type="#_x0000_t75" style="width:22.5pt;height:15pt" o:ole="">
            <v:imagedata r:id="rId53" o:title=""/>
          </v:shape>
          <o:OLEObject Type="Embed" ProgID="Equation.DSMT4" ShapeID="_x0000_i1047" DrawAspect="Content" ObjectID="_1700035768" r:id="rId54"/>
        </w:object>
      </w:r>
      <w:r w:rsidRPr="00C236D3">
        <w:rPr>
          <w:rFonts w:eastAsia="標楷體" w:hint="eastAsia"/>
          <w:sz w:val="24"/>
          <w:lang w:eastAsia="zh-TW"/>
        </w:rPr>
        <w:t xml:space="preserve"> activities.</w:t>
      </w:r>
      <w:r w:rsidRPr="00C236D3">
        <w:rPr>
          <w:rFonts w:eastAsia="標楷體" w:hint="eastAsia"/>
          <w:color w:val="000000"/>
          <w:sz w:val="24"/>
          <w:lang w:eastAsia="zh-TW"/>
        </w:rPr>
        <w:t xml:space="preserve"> </w:t>
      </w:r>
      <w:r w:rsidRPr="00C236D3">
        <w:rPr>
          <w:rFonts w:eastAsia="標楷體"/>
          <w:sz w:val="24"/>
          <w:lang w:eastAsia="zh-TW"/>
        </w:rPr>
        <w:t>T</w:t>
      </w:r>
      <w:r w:rsidRPr="00C236D3">
        <w:rPr>
          <w:rFonts w:eastAsia="標楷體" w:hint="eastAsia"/>
          <w:sz w:val="24"/>
          <w:lang w:eastAsia="zh-TW"/>
        </w:rPr>
        <w:t>he constraint</w:t>
      </w:r>
      <w:r w:rsidRPr="00C236D3">
        <w:rPr>
          <w:rFonts w:eastAsia="標楷體" w:hint="eastAsia"/>
          <w:color w:val="000000"/>
          <w:sz w:val="24"/>
          <w:lang w:eastAsia="zh-TW"/>
        </w:rPr>
        <w:t xml:space="preserve"> (4)</w:t>
      </w:r>
      <w:r w:rsidRPr="00C236D3">
        <w:rPr>
          <w:rFonts w:eastAsia="標楷體" w:hint="eastAsia"/>
          <w:sz w:val="24"/>
          <w:lang w:eastAsia="zh-TW"/>
        </w:rPr>
        <w:t xml:space="preserve"> assumes the variable returns-to-size for production. </w:t>
      </w:r>
      <w:r w:rsidR="00653BC1">
        <w:rPr>
          <w:rFonts w:eastAsia="標楷體"/>
          <w:sz w:val="24"/>
          <w:lang w:eastAsia="zh-TW"/>
        </w:rPr>
        <w:t>In other words</w:t>
      </w:r>
      <w:r w:rsidRPr="00C236D3">
        <w:rPr>
          <w:rFonts w:eastAsia="標楷體" w:hint="eastAsia"/>
          <w:sz w:val="24"/>
          <w:lang w:eastAsia="zh-TW"/>
        </w:rPr>
        <w:t>, the production frontiers are spanned by the convex hull of the existing DMUs</w:t>
      </w:r>
      <w:r w:rsidR="00653BC1">
        <w:rPr>
          <w:rFonts w:eastAsia="標楷體"/>
          <w:sz w:val="24"/>
          <w:lang w:eastAsia="zh-TW"/>
        </w:rPr>
        <w:t>, and t</w:t>
      </w:r>
      <w:r w:rsidRPr="00C236D3">
        <w:rPr>
          <w:rFonts w:eastAsia="標楷體" w:hint="eastAsia"/>
          <w:color w:val="000000"/>
          <w:sz w:val="24"/>
          <w:lang w:eastAsia="zh-TW"/>
        </w:rPr>
        <w:t xml:space="preserve">he production possibility set for the objective </w:t>
      </w:r>
      <w:r w:rsidRPr="00C236D3">
        <w:rPr>
          <w:rFonts w:eastAsia="標楷體" w:hint="eastAsia"/>
          <w:sz w:val="24"/>
          <w:lang w:eastAsia="zh-TW"/>
        </w:rPr>
        <w:t>DMU</w:t>
      </w:r>
      <w:r w:rsidRPr="00C236D3">
        <w:rPr>
          <w:rFonts w:eastAsia="標楷體"/>
          <w:i/>
          <w:sz w:val="24"/>
          <w:vertAlign w:val="subscript"/>
          <w:lang w:eastAsia="zh-TW"/>
        </w:rPr>
        <w:t>O</w:t>
      </w:r>
      <w:r w:rsidRPr="00C236D3">
        <w:rPr>
          <w:rFonts w:eastAsia="標楷體"/>
          <w:sz w:val="24"/>
        </w:rPr>
        <w:t xml:space="preserve"> </w:t>
      </w:r>
      <w:r w:rsidRPr="00C236D3">
        <w:rPr>
          <w:rFonts w:eastAsia="標楷體"/>
          <w:position w:val="-10"/>
          <w:sz w:val="24"/>
        </w:rPr>
        <w:object w:dxaOrig="1140" w:dyaOrig="320">
          <v:shape id="_x0000_i1048" type="#_x0000_t75" style="width:57pt;height:15pt" o:ole="">
            <v:imagedata r:id="rId55" o:title=""/>
          </v:shape>
          <o:OLEObject Type="Embed" ProgID="Equation.DSMT4" ShapeID="_x0000_i1048" DrawAspect="Content" ObjectID="_1700035769" r:id="rId56"/>
        </w:object>
      </w:r>
      <w:r w:rsidRPr="00C236D3">
        <w:rPr>
          <w:rFonts w:eastAsia="標楷體" w:hint="eastAsia"/>
          <w:sz w:val="24"/>
          <w:lang w:eastAsia="zh-TW"/>
        </w:rPr>
        <w:t xml:space="preserve"> is expressed by (2), (3), (4) and (5).</w:t>
      </w:r>
    </w:p>
    <w:p w:rsidR="000D2B6E" w:rsidRPr="00C236D3" w:rsidRDefault="000D2B6E" w:rsidP="00526252">
      <w:pPr>
        <w:spacing w:before="100" w:beforeAutospacing="1" w:after="100" w:afterAutospacing="1" w:line="360" w:lineRule="auto"/>
        <w:ind w:firstLine="482"/>
        <w:rPr>
          <w:rFonts w:eastAsia="標楷體"/>
          <w:color w:val="000000"/>
          <w:sz w:val="24"/>
          <w:lang w:eastAsia="zh-TW"/>
        </w:rPr>
      </w:pPr>
      <w:r w:rsidRPr="00C236D3">
        <w:rPr>
          <w:rFonts w:eastAsia="標楷體" w:hint="eastAsia"/>
          <w:color w:val="000000"/>
          <w:sz w:val="24"/>
          <w:lang w:eastAsia="zh-TW"/>
        </w:rPr>
        <w:t xml:space="preserve">Let an optimal solution (1) subject to (2), (3), (4) and (5) be </w:t>
      </w:r>
    </w:p>
    <w:p w:rsidR="000D2B6E" w:rsidRPr="00C236D3" w:rsidRDefault="000D2B6E" w:rsidP="00526252">
      <w:pPr>
        <w:spacing w:before="100" w:beforeAutospacing="1" w:after="100" w:afterAutospacing="1" w:line="360" w:lineRule="auto"/>
        <w:jc w:val="left"/>
        <w:rPr>
          <w:rFonts w:eastAsia="標楷體"/>
          <w:color w:val="FF0000"/>
          <w:sz w:val="24"/>
          <w:lang w:eastAsia="zh-TW"/>
        </w:rPr>
      </w:pPr>
      <w:r w:rsidRPr="00C236D3">
        <w:rPr>
          <w:rFonts w:eastAsia="標楷體"/>
          <w:color w:val="FF0000"/>
          <w:position w:val="-16"/>
          <w:sz w:val="24"/>
        </w:rPr>
        <w:object w:dxaOrig="7339" w:dyaOrig="440">
          <v:shape id="_x0000_i1049" type="#_x0000_t75" style="width:366.75pt;height:22.5pt" o:ole="">
            <v:imagedata r:id="rId57" o:title=""/>
          </v:shape>
          <o:OLEObject Type="Embed" ProgID="Equation.DSMT4" ShapeID="_x0000_i1049" DrawAspect="Content" ObjectID="_1700035770" r:id="rId58"/>
        </w:object>
      </w:r>
    </w:p>
    <w:p w:rsidR="000D2B6E" w:rsidRPr="00C236D3" w:rsidRDefault="000D2B6E" w:rsidP="00526252">
      <w:pPr>
        <w:spacing w:before="100" w:beforeAutospacing="1" w:after="100" w:afterAutospacing="1" w:line="360" w:lineRule="auto"/>
        <w:rPr>
          <w:rFonts w:eastAsia="標楷體"/>
          <w:color w:val="FF0000"/>
          <w:sz w:val="24"/>
          <w:lang w:eastAsia="zh-TW"/>
        </w:rPr>
      </w:pPr>
      <w:r w:rsidRPr="00C236D3">
        <w:rPr>
          <w:rFonts w:eastAsia="標楷體" w:hint="eastAsia"/>
          <w:sz w:val="24"/>
          <w:lang w:eastAsia="zh-TW"/>
        </w:rPr>
        <w:t xml:space="preserve">The output-oriented term efficiency for </w:t>
      </w:r>
      <w:r w:rsidRPr="00C236D3">
        <w:rPr>
          <w:rFonts w:eastAsia="標楷體" w:hint="eastAsia"/>
          <w:color w:val="000000"/>
          <w:sz w:val="24"/>
          <w:lang w:eastAsia="zh-TW"/>
        </w:rPr>
        <w:t>the objective</w:t>
      </w:r>
      <w:r w:rsidRPr="00C236D3">
        <w:rPr>
          <w:rFonts w:eastAsia="標楷體"/>
          <w:color w:val="000000"/>
          <w:sz w:val="24"/>
          <w:lang w:eastAsia="zh-TW"/>
        </w:rPr>
        <w:t xml:space="preserve"> </w:t>
      </w:r>
      <w:r w:rsidRPr="00C236D3">
        <w:rPr>
          <w:rFonts w:eastAsia="標楷體" w:hint="eastAsia"/>
          <w:sz w:val="24"/>
          <w:lang w:eastAsia="zh-TW"/>
        </w:rPr>
        <w:t>DMU</w:t>
      </w:r>
      <w:r w:rsidRPr="00C236D3">
        <w:rPr>
          <w:rFonts w:eastAsia="標楷體"/>
          <w:i/>
          <w:sz w:val="24"/>
          <w:vertAlign w:val="subscript"/>
          <w:lang w:eastAsia="zh-TW"/>
        </w:rPr>
        <w:t>O</w:t>
      </w:r>
      <w:r w:rsidRPr="00C236D3">
        <w:rPr>
          <w:rFonts w:eastAsia="標楷體"/>
          <w:color w:val="000000"/>
          <w:sz w:val="24"/>
          <w:lang w:eastAsia="zh-TW"/>
        </w:rPr>
        <w:t xml:space="preserve"> </w:t>
      </w:r>
      <w:r w:rsidRPr="00C236D3">
        <w:rPr>
          <w:rFonts w:eastAsia="標楷體" w:hint="eastAsia"/>
          <w:sz w:val="24"/>
          <w:lang w:eastAsia="zh-TW"/>
        </w:rPr>
        <w:t xml:space="preserve">at time </w:t>
      </w:r>
      <w:r w:rsidRPr="00C236D3">
        <w:rPr>
          <w:rFonts w:eastAsia="標楷體"/>
          <w:position w:val="-6"/>
          <w:sz w:val="24"/>
        </w:rPr>
        <w:object w:dxaOrig="139" w:dyaOrig="240">
          <v:shape id="_x0000_i1050" type="#_x0000_t75" style="width:6.75pt;height:15pt" o:ole="">
            <v:imagedata r:id="rId59" o:title=""/>
          </v:shape>
          <o:OLEObject Type="Embed" ProgID="Equation.DSMT4" ShapeID="_x0000_i1050" DrawAspect="Content" ObjectID="_1700035771" r:id="rId60"/>
        </w:object>
      </w:r>
      <w:r w:rsidRPr="00C236D3">
        <w:rPr>
          <w:rFonts w:eastAsia="標楷體" w:hint="eastAsia"/>
          <w:sz w:val="24"/>
          <w:lang w:eastAsia="zh-TW"/>
        </w:rPr>
        <w:t xml:space="preserve"> can be defined by </w:t>
      </w:r>
    </w:p>
    <w:p w:rsidR="000D2B6E" w:rsidRPr="00C236D3" w:rsidRDefault="000D2B6E" w:rsidP="00E90D1C">
      <w:pPr>
        <w:spacing w:before="100" w:beforeAutospacing="1" w:after="100" w:afterAutospacing="1" w:line="360" w:lineRule="auto"/>
        <w:ind w:right="420" w:firstLine="482"/>
        <w:rPr>
          <w:rFonts w:eastAsia="標楷體"/>
          <w:color w:val="000000"/>
          <w:sz w:val="24"/>
          <w:lang w:eastAsia="zh-TW"/>
        </w:rPr>
      </w:pPr>
      <w:r w:rsidRPr="00C236D3">
        <w:rPr>
          <w:rFonts w:eastAsia="標楷體"/>
          <w:position w:val="-32"/>
        </w:rPr>
        <w:object w:dxaOrig="5240" w:dyaOrig="760">
          <v:shape id="_x0000_i1051" type="#_x0000_t75" style="width:258.75pt;height:36pt" o:ole="">
            <v:imagedata r:id="rId61" o:title=""/>
          </v:shape>
          <o:OLEObject Type="Embed" ProgID="Equation.DSMT4" ShapeID="_x0000_i1051" DrawAspect="Content" ObjectID="_1700035772" r:id="rId62"/>
        </w:object>
      </w:r>
      <w:r w:rsidRPr="00C236D3">
        <w:rPr>
          <w:rFonts w:eastAsia="標楷體" w:hint="eastAsia"/>
          <w:lang w:eastAsia="zh-TW"/>
        </w:rPr>
        <w:t xml:space="preserve">              </w:t>
      </w:r>
      <w:r w:rsidRPr="00C236D3">
        <w:rPr>
          <w:rFonts w:eastAsia="標楷體" w:hint="eastAsia"/>
          <w:sz w:val="24"/>
          <w:lang w:eastAsia="zh-TW"/>
        </w:rPr>
        <w:t xml:space="preserve">  (6)</w:t>
      </w:r>
    </w:p>
    <w:p w:rsidR="000D2B6E" w:rsidRPr="00C236D3" w:rsidRDefault="000D2B6E" w:rsidP="00526252">
      <w:pPr>
        <w:widowControl/>
        <w:jc w:val="left"/>
        <w:rPr>
          <w:rFonts w:eastAsia="標楷體"/>
          <w:sz w:val="24"/>
          <w:lang w:eastAsia="zh-TW"/>
        </w:rPr>
      </w:pPr>
      <w:r w:rsidRPr="00C236D3">
        <w:rPr>
          <w:rFonts w:eastAsia="標楷體" w:hint="eastAsia"/>
          <w:color w:val="000000"/>
          <w:sz w:val="24"/>
          <w:lang w:eastAsia="zh-TW"/>
        </w:rPr>
        <w:t>The overall efficiency during the period (</w:t>
      </w:r>
      <w:r w:rsidRPr="00C236D3">
        <w:rPr>
          <w:rFonts w:eastAsia="標楷體"/>
          <w:position w:val="-12"/>
          <w:sz w:val="24"/>
        </w:rPr>
        <w:object w:dxaOrig="260" w:dyaOrig="380">
          <v:shape id="_x0000_i1052" type="#_x0000_t75" style="width:14.25pt;height:22.5pt" o:ole="">
            <v:imagedata r:id="rId63" o:title=""/>
          </v:shape>
          <o:OLEObject Type="Embed" ProgID="Equation.DSMT4" ShapeID="_x0000_i1052" DrawAspect="Content" ObjectID="_1700035773" r:id="rId64"/>
        </w:object>
      </w:r>
      <w:r w:rsidRPr="00C236D3">
        <w:rPr>
          <w:rFonts w:eastAsia="標楷體" w:hint="eastAsia"/>
          <w:color w:val="000000"/>
          <w:sz w:val="24"/>
          <w:lang w:eastAsia="zh-TW"/>
        </w:rPr>
        <w:t xml:space="preserve">) is the average of the term efficiencies </w:t>
      </w:r>
      <w:r w:rsidRPr="00C236D3">
        <w:rPr>
          <w:rFonts w:eastAsia="標楷體"/>
          <w:position w:val="-12"/>
          <w:sz w:val="24"/>
        </w:rPr>
        <w:object w:dxaOrig="300" w:dyaOrig="380">
          <v:shape id="_x0000_i1053" type="#_x0000_t75" style="width:15pt;height:22.5pt" o:ole="">
            <v:imagedata r:id="rId65" o:title=""/>
          </v:shape>
          <o:OLEObject Type="Embed" ProgID="Equation.DSMT4" ShapeID="_x0000_i1053" DrawAspect="Content" ObjectID="_1700035774" r:id="rId66"/>
        </w:object>
      </w:r>
      <w:r w:rsidRPr="00C236D3">
        <w:rPr>
          <w:rFonts w:eastAsia="標楷體" w:hint="eastAsia"/>
          <w:sz w:val="24"/>
          <w:lang w:eastAsia="zh-TW"/>
        </w:rPr>
        <w:t xml:space="preserve"> as described below:</w:t>
      </w:r>
    </w:p>
    <w:p w:rsidR="000D2B6E" w:rsidRPr="00C236D3" w:rsidRDefault="000D2B6E" w:rsidP="00E90D1C">
      <w:pPr>
        <w:widowControl/>
        <w:wordWrap w:val="0"/>
        <w:ind w:right="480" w:firstLineChars="150" w:firstLine="360"/>
        <w:rPr>
          <w:rFonts w:eastAsia="標楷體"/>
          <w:color w:val="000000"/>
          <w:sz w:val="24"/>
          <w:lang w:eastAsia="zh-TW"/>
        </w:rPr>
      </w:pPr>
      <w:r w:rsidRPr="00C236D3">
        <w:rPr>
          <w:rFonts w:eastAsia="標楷體"/>
          <w:position w:val="-24"/>
          <w:sz w:val="24"/>
        </w:rPr>
        <w:object w:dxaOrig="1460" w:dyaOrig="620">
          <v:shape id="_x0000_i1054" type="#_x0000_t75" style="width:1in;height:29.25pt" o:ole="">
            <v:imagedata r:id="rId67" o:title=""/>
          </v:shape>
          <o:OLEObject Type="Embed" ProgID="Equation.DSMT4" ShapeID="_x0000_i1054" DrawAspect="Content" ObjectID="_1700035775" r:id="rId68"/>
        </w:object>
      </w:r>
      <w:r w:rsidRPr="00C236D3">
        <w:rPr>
          <w:rFonts w:eastAsia="標楷體" w:hint="eastAsia"/>
          <w:sz w:val="24"/>
          <w:lang w:eastAsia="zh-TW"/>
        </w:rPr>
        <w:t xml:space="preserve">                                       (7)</w:t>
      </w:r>
    </w:p>
    <w:p w:rsidR="000D2B6E" w:rsidRDefault="000D2B6E" w:rsidP="00526252">
      <w:pPr>
        <w:spacing w:before="100" w:beforeAutospacing="1" w:after="100" w:afterAutospacing="1" w:line="360" w:lineRule="auto"/>
        <w:rPr>
          <w:rFonts w:eastAsia="標楷體"/>
          <w:b/>
          <w:iCs/>
          <w:sz w:val="24"/>
        </w:rPr>
      </w:pPr>
      <w:r w:rsidRPr="00C236D3">
        <w:rPr>
          <w:rFonts w:eastAsia="標楷體"/>
          <w:b/>
          <w:iCs/>
          <w:sz w:val="24"/>
        </w:rPr>
        <w:t xml:space="preserve">4. Empirical </w:t>
      </w:r>
      <w:r w:rsidR="004F163E">
        <w:rPr>
          <w:rFonts w:eastAsia="標楷體"/>
          <w:b/>
          <w:iCs/>
          <w:sz w:val="24"/>
        </w:rPr>
        <w:t>A</w:t>
      </w:r>
      <w:r w:rsidRPr="00C236D3">
        <w:rPr>
          <w:rFonts w:eastAsia="標楷體"/>
          <w:b/>
          <w:iCs/>
          <w:sz w:val="24"/>
        </w:rPr>
        <w:t>nalysis</w:t>
      </w:r>
    </w:p>
    <w:p w:rsidR="000D2B6E" w:rsidRDefault="000D2B6E" w:rsidP="00526252">
      <w:pPr>
        <w:adjustRightInd w:val="0"/>
        <w:snapToGrid w:val="0"/>
        <w:spacing w:before="100" w:beforeAutospacing="1" w:after="100" w:afterAutospacing="1" w:line="480" w:lineRule="auto"/>
        <w:rPr>
          <w:rFonts w:eastAsia="標楷體"/>
          <w:b/>
          <w:sz w:val="24"/>
        </w:rPr>
      </w:pPr>
      <w:r w:rsidRPr="00C236D3">
        <w:rPr>
          <w:rFonts w:eastAsia="標楷體"/>
          <w:b/>
          <w:iCs/>
          <w:sz w:val="24"/>
        </w:rPr>
        <w:t>4.1</w:t>
      </w:r>
      <w:r w:rsidRPr="00C236D3">
        <w:rPr>
          <w:rFonts w:eastAsia="標楷體"/>
          <w:b/>
          <w:sz w:val="24"/>
        </w:rPr>
        <w:t xml:space="preserve"> </w:t>
      </w:r>
      <w:r w:rsidR="007B0766">
        <w:rPr>
          <w:rFonts w:eastAsia="標楷體" w:hint="eastAsia"/>
          <w:b/>
          <w:sz w:val="24"/>
          <w:lang w:eastAsia="zh-TW"/>
        </w:rPr>
        <w:t>I</w:t>
      </w:r>
      <w:r w:rsidRPr="00F96996">
        <w:rPr>
          <w:rFonts w:eastAsia="標楷體"/>
          <w:b/>
          <w:sz w:val="24"/>
        </w:rPr>
        <w:t xml:space="preserve">ndustry </w:t>
      </w:r>
      <w:r w:rsidR="00A4450E">
        <w:rPr>
          <w:rFonts w:eastAsia="標楷體"/>
          <w:b/>
          <w:sz w:val="24"/>
        </w:rPr>
        <w:t>E</w:t>
      </w:r>
      <w:r w:rsidRPr="00F96996">
        <w:rPr>
          <w:rFonts w:eastAsia="標楷體"/>
          <w:b/>
          <w:sz w:val="24"/>
        </w:rPr>
        <w:t xml:space="preserve">fficiency </w:t>
      </w:r>
      <w:r w:rsidR="00A4450E">
        <w:rPr>
          <w:rFonts w:eastAsia="標楷體"/>
          <w:b/>
          <w:sz w:val="24"/>
        </w:rPr>
        <w:t>A</w:t>
      </w:r>
      <w:r w:rsidRPr="00F96996">
        <w:rPr>
          <w:rFonts w:eastAsia="標楷體"/>
          <w:b/>
          <w:sz w:val="24"/>
        </w:rPr>
        <w:t>nalysis</w:t>
      </w:r>
    </w:p>
    <w:p w:rsidR="002D4CFD" w:rsidRPr="002D4CFD" w:rsidRDefault="002D4CFD" w:rsidP="00653BC1">
      <w:pPr>
        <w:adjustRightInd w:val="0"/>
        <w:snapToGrid w:val="0"/>
        <w:spacing w:before="100" w:beforeAutospacing="1" w:after="100" w:afterAutospacing="1" w:line="480" w:lineRule="auto"/>
        <w:ind w:firstLine="480"/>
        <w:rPr>
          <w:rFonts w:eastAsia="DengXian"/>
          <w:sz w:val="24"/>
        </w:rPr>
      </w:pPr>
      <w:r w:rsidRPr="002D4CFD">
        <w:rPr>
          <w:rFonts w:eastAsia="DengXian"/>
          <w:sz w:val="24"/>
        </w:rPr>
        <w:t xml:space="preserve">In view of the </w:t>
      </w:r>
      <w:r w:rsidR="00653BC1" w:rsidRPr="002D4CFD">
        <w:rPr>
          <w:rFonts w:eastAsia="DengXian"/>
          <w:sz w:val="24"/>
        </w:rPr>
        <w:t>5G industry</w:t>
      </w:r>
      <w:r w:rsidR="00653BC1">
        <w:rPr>
          <w:rFonts w:eastAsia="DengXian"/>
          <w:sz w:val="24"/>
        </w:rPr>
        <w:t xml:space="preserve">’s </w:t>
      </w:r>
      <w:r w:rsidRPr="002D4CFD">
        <w:rPr>
          <w:rFonts w:eastAsia="DengXian"/>
          <w:sz w:val="24"/>
        </w:rPr>
        <w:t xml:space="preserve">rapid </w:t>
      </w:r>
      <w:r w:rsidR="004F163E">
        <w:rPr>
          <w:rFonts w:eastAsia="DengXian"/>
          <w:sz w:val="24"/>
        </w:rPr>
        <w:t>fluctuations, lo</w:t>
      </w:r>
      <w:r w:rsidRPr="002D4CFD">
        <w:rPr>
          <w:rFonts w:eastAsia="DengXian"/>
          <w:sz w:val="24"/>
        </w:rPr>
        <w:t xml:space="preserve">ng-term planning and investment are </w:t>
      </w:r>
      <w:r w:rsidR="004F163E">
        <w:rPr>
          <w:rFonts w:eastAsia="DengXian"/>
          <w:sz w:val="24"/>
        </w:rPr>
        <w:t xml:space="preserve">necessary for a company to keep abreast </w:t>
      </w:r>
      <w:r w:rsidR="00AF06C7">
        <w:rPr>
          <w:rFonts w:eastAsia="DengXian"/>
          <w:sz w:val="24"/>
        </w:rPr>
        <w:t xml:space="preserve">of </w:t>
      </w:r>
      <w:r w:rsidR="004F163E">
        <w:rPr>
          <w:rFonts w:eastAsia="DengXian"/>
          <w:sz w:val="24"/>
        </w:rPr>
        <w:t>and adapt to constant change</w:t>
      </w:r>
      <w:r w:rsidRPr="002D4CFD">
        <w:rPr>
          <w:rFonts w:eastAsia="DengXian"/>
          <w:sz w:val="24"/>
        </w:rPr>
        <w:t xml:space="preserve">. The dynamic process </w:t>
      </w:r>
      <w:r w:rsidR="00AF06C7">
        <w:rPr>
          <w:rFonts w:eastAsia="DengXian"/>
          <w:sz w:val="24"/>
        </w:rPr>
        <w:t xml:space="preserve">model </w:t>
      </w:r>
      <w:r w:rsidRPr="002D4CFD">
        <w:rPr>
          <w:rFonts w:eastAsia="DengXian"/>
          <w:sz w:val="24"/>
        </w:rPr>
        <w:t>aims to evaluate th</w:t>
      </w:r>
      <w:r w:rsidR="004F163E">
        <w:rPr>
          <w:rFonts w:eastAsia="DengXian"/>
          <w:sz w:val="24"/>
        </w:rPr>
        <w:t>ese</w:t>
      </w:r>
      <w:r w:rsidRPr="002D4CFD">
        <w:rPr>
          <w:rFonts w:eastAsia="DengXian"/>
          <w:sz w:val="24"/>
        </w:rPr>
        <w:t xml:space="preserve"> changes in the long-term relative efficiency of the 5G industry before and after the</w:t>
      </w:r>
      <w:r w:rsidR="004F163E">
        <w:rPr>
          <w:rFonts w:eastAsia="DengXian"/>
          <w:sz w:val="24"/>
        </w:rPr>
        <w:t>ir</w:t>
      </w:r>
      <w:r w:rsidRPr="002D4CFD">
        <w:rPr>
          <w:rFonts w:eastAsia="DengXian"/>
          <w:sz w:val="24"/>
        </w:rPr>
        <w:t xml:space="preserve"> implementation </w:t>
      </w:r>
      <w:r w:rsidR="004F163E">
        <w:rPr>
          <w:rFonts w:eastAsia="DengXian"/>
          <w:sz w:val="24"/>
        </w:rPr>
        <w:t xml:space="preserve">into </w:t>
      </w:r>
      <w:r w:rsidRPr="002D4CFD">
        <w:rPr>
          <w:rFonts w:eastAsia="DengXian"/>
          <w:sz w:val="24"/>
        </w:rPr>
        <w:t xml:space="preserve">the industry. Figure 2 shows the average efficiency and corresponding standard deviation of the 5G industry from the first quarter of 2018 to the fourth quarter of 2020. The average efficiency is </w:t>
      </w:r>
      <w:r w:rsidR="004F163E">
        <w:rPr>
          <w:rFonts w:eastAsia="DengXian"/>
          <w:sz w:val="24"/>
        </w:rPr>
        <w:t xml:space="preserve">shown to be </w:t>
      </w:r>
      <w:r w:rsidRPr="002D4CFD">
        <w:rPr>
          <w:rFonts w:eastAsia="DengXian"/>
          <w:sz w:val="24"/>
        </w:rPr>
        <w:t xml:space="preserve">between 0.84 and 0.87, and the trend is relatively stable with little change. These results indicate that the overall relative efficiency of R&amp;D investment in the 5G industry was relatively stable during this period; the relative efficiency standard deviation (St Dev) was between 0.22 and 0.26, </w:t>
      </w:r>
      <w:r w:rsidR="004F163E">
        <w:rPr>
          <w:rFonts w:eastAsia="DengXian"/>
          <w:sz w:val="24"/>
        </w:rPr>
        <w:t>showing</w:t>
      </w:r>
      <w:r w:rsidRPr="002D4CFD">
        <w:rPr>
          <w:rFonts w:eastAsia="DengXian"/>
          <w:sz w:val="24"/>
        </w:rPr>
        <w:t xml:space="preserve"> little change from the third quarter of 2019 to the second quarter of 2020. </w:t>
      </w:r>
      <w:r w:rsidR="004F163E">
        <w:rPr>
          <w:rFonts w:eastAsia="DengXian"/>
          <w:sz w:val="24"/>
        </w:rPr>
        <w:t>In other words, almost no differen</w:t>
      </w:r>
      <w:r w:rsidR="00AF06C7">
        <w:rPr>
          <w:rFonts w:eastAsia="DengXian"/>
          <w:sz w:val="24"/>
        </w:rPr>
        <w:t>ce</w:t>
      </w:r>
      <w:r w:rsidR="004F163E">
        <w:rPr>
          <w:rFonts w:eastAsia="DengXian"/>
          <w:sz w:val="24"/>
        </w:rPr>
        <w:t xml:space="preserve"> was detected during this period.</w:t>
      </w:r>
    </w:p>
    <w:p w:rsidR="00481ED4" w:rsidRDefault="0057039E" w:rsidP="00A4450E">
      <w:pPr>
        <w:adjustRightInd w:val="0"/>
        <w:snapToGrid w:val="0"/>
        <w:spacing w:before="100" w:beforeAutospacing="1" w:after="100" w:afterAutospacing="1" w:line="480" w:lineRule="auto"/>
        <w:jc w:val="center"/>
        <w:rPr>
          <w:rFonts w:eastAsia="標楷體"/>
          <w:sz w:val="24"/>
        </w:rPr>
      </w:pPr>
      <w:r w:rsidRPr="0057039E">
        <w:rPr>
          <w:rFonts w:eastAsia="標楷體"/>
          <w:sz w:val="24"/>
        </w:rPr>
        <w:t>[Insert Figure 2 here]</w:t>
      </w:r>
    </w:p>
    <w:p w:rsidR="002D4CFD" w:rsidRPr="002D4CFD" w:rsidRDefault="002D4CFD" w:rsidP="00526252">
      <w:pPr>
        <w:adjustRightInd w:val="0"/>
        <w:snapToGrid w:val="0"/>
        <w:spacing w:before="100" w:beforeAutospacing="1" w:after="100" w:afterAutospacing="1" w:line="480" w:lineRule="auto"/>
        <w:rPr>
          <w:rFonts w:eastAsia="DengXian"/>
          <w:sz w:val="24"/>
        </w:rPr>
      </w:pPr>
      <w:r w:rsidRPr="002D4CFD">
        <w:rPr>
          <w:rFonts w:eastAsia="DengXian"/>
          <w:sz w:val="24"/>
        </w:rPr>
        <w:t xml:space="preserve">Table 3 shows </w:t>
      </w:r>
      <w:r w:rsidR="00AF06C7" w:rsidRPr="002D4CFD">
        <w:rPr>
          <w:rFonts w:eastAsia="DengXian"/>
          <w:sz w:val="24"/>
        </w:rPr>
        <w:t>5G industry companies</w:t>
      </w:r>
      <w:r w:rsidR="00AF06C7">
        <w:rPr>
          <w:rFonts w:eastAsia="DengXian"/>
          <w:sz w:val="24"/>
        </w:rPr>
        <w:t>’</w:t>
      </w:r>
      <w:r w:rsidR="00AF06C7" w:rsidRPr="002D4CFD">
        <w:rPr>
          <w:rFonts w:eastAsia="DengXian"/>
          <w:sz w:val="24"/>
        </w:rPr>
        <w:t xml:space="preserve"> </w:t>
      </w:r>
      <w:r w:rsidRPr="002D4CFD">
        <w:rPr>
          <w:rFonts w:eastAsia="DengXian"/>
          <w:sz w:val="24"/>
        </w:rPr>
        <w:t xml:space="preserve">relative efficiency values </w:t>
      </w:r>
      <w:r w:rsidR="004F163E">
        <w:rPr>
          <w:rFonts w:eastAsia="DengXian"/>
          <w:sz w:val="24"/>
        </w:rPr>
        <w:t>prior to and</w:t>
      </w:r>
      <w:r w:rsidR="00AF06C7">
        <w:rPr>
          <w:rFonts w:eastAsia="DengXian"/>
          <w:sz w:val="24"/>
        </w:rPr>
        <w:t xml:space="preserve"> following </w:t>
      </w:r>
      <w:r w:rsidRPr="002D4CFD">
        <w:rPr>
          <w:rFonts w:eastAsia="DengXian"/>
          <w:sz w:val="24"/>
        </w:rPr>
        <w:t xml:space="preserve">the implementation of 5G R&amp;D investment in industry development. </w:t>
      </w:r>
      <w:r w:rsidR="002437FB">
        <w:rPr>
          <w:rFonts w:eastAsia="DengXian"/>
          <w:sz w:val="24"/>
        </w:rPr>
        <w:t>It is evident that the</w:t>
      </w:r>
      <w:r w:rsidRPr="002D4CFD">
        <w:rPr>
          <w:rFonts w:eastAsia="DengXian"/>
          <w:sz w:val="24"/>
        </w:rPr>
        <w:t xml:space="preserve"> </w:t>
      </w:r>
      <w:r w:rsidR="007C05FF">
        <w:rPr>
          <w:rFonts w:eastAsia="DengXian"/>
          <w:sz w:val="24"/>
        </w:rPr>
        <w:t xml:space="preserve">many </w:t>
      </w:r>
      <w:r w:rsidR="00AF06C7">
        <w:rPr>
          <w:rFonts w:eastAsia="DengXian"/>
          <w:sz w:val="24"/>
        </w:rPr>
        <w:t xml:space="preserve">companies’ </w:t>
      </w:r>
      <w:r w:rsidRPr="002D4CFD">
        <w:rPr>
          <w:rFonts w:eastAsia="DengXian"/>
          <w:sz w:val="24"/>
        </w:rPr>
        <w:t xml:space="preserve">relative efficiency values reached a value of 1. </w:t>
      </w:r>
      <w:r w:rsidR="004F163E">
        <w:rPr>
          <w:rFonts w:eastAsia="DengXian"/>
          <w:sz w:val="24"/>
        </w:rPr>
        <w:t>Simultaneously</w:t>
      </w:r>
      <w:r w:rsidRPr="002D4CFD">
        <w:rPr>
          <w:rFonts w:eastAsia="DengXian"/>
          <w:sz w:val="24"/>
        </w:rPr>
        <w:t xml:space="preserve">, the </w:t>
      </w:r>
      <w:r w:rsidR="002437FB">
        <w:rPr>
          <w:rFonts w:eastAsia="DengXian"/>
          <w:sz w:val="24"/>
        </w:rPr>
        <w:t xml:space="preserve">companies’ </w:t>
      </w:r>
      <w:r w:rsidRPr="002D4CFD">
        <w:rPr>
          <w:rFonts w:eastAsia="DengXian"/>
          <w:sz w:val="24"/>
        </w:rPr>
        <w:t>relative efficiency value</w:t>
      </w:r>
      <w:r w:rsidR="007C05FF">
        <w:rPr>
          <w:rFonts w:eastAsia="DengXian"/>
          <w:sz w:val="24"/>
        </w:rPr>
        <w:t xml:space="preserve">s following </w:t>
      </w:r>
      <w:r w:rsidRPr="002D4CFD">
        <w:rPr>
          <w:rFonts w:eastAsia="DengXian"/>
          <w:sz w:val="24"/>
        </w:rPr>
        <w:t xml:space="preserve">the implementation of 5G R&amp;D investment in industry development </w:t>
      </w:r>
      <w:r w:rsidR="004F163E">
        <w:rPr>
          <w:rFonts w:eastAsia="DengXian"/>
          <w:sz w:val="24"/>
        </w:rPr>
        <w:t>w</w:t>
      </w:r>
      <w:r w:rsidR="007C05FF">
        <w:rPr>
          <w:rFonts w:eastAsia="DengXian"/>
          <w:sz w:val="24"/>
        </w:rPr>
        <w:t>ere</w:t>
      </w:r>
      <w:r w:rsidR="004F163E">
        <w:rPr>
          <w:rFonts w:eastAsia="DengXian"/>
          <w:sz w:val="24"/>
        </w:rPr>
        <w:t xml:space="preserve"> found to be</w:t>
      </w:r>
      <w:r w:rsidRPr="002D4CFD">
        <w:rPr>
          <w:rFonts w:eastAsia="DengXian"/>
          <w:sz w:val="24"/>
        </w:rPr>
        <w:t xml:space="preserve"> lower than </w:t>
      </w:r>
      <w:r w:rsidR="007C05FF">
        <w:rPr>
          <w:rFonts w:eastAsia="DengXian"/>
          <w:sz w:val="24"/>
        </w:rPr>
        <w:t xml:space="preserve">they were </w:t>
      </w:r>
      <w:r w:rsidR="004F163E">
        <w:rPr>
          <w:rFonts w:eastAsia="DengXian"/>
          <w:sz w:val="24"/>
        </w:rPr>
        <w:t>prior to</w:t>
      </w:r>
      <w:r w:rsidRPr="002D4CFD">
        <w:rPr>
          <w:rFonts w:eastAsia="DengXian"/>
          <w:sz w:val="24"/>
        </w:rPr>
        <w:t xml:space="preserve"> the implementation of 5G R&amp;D investment in industry development. </w:t>
      </w:r>
      <w:r w:rsidR="004F163E" w:rsidRPr="002437FB">
        <w:rPr>
          <w:rFonts w:eastAsia="DengXian"/>
          <w:sz w:val="24"/>
        </w:rPr>
        <w:t xml:space="preserve">This was the case with </w:t>
      </w:r>
      <w:r w:rsidR="007C05FF">
        <w:rPr>
          <w:rFonts w:eastAsia="DengXian"/>
          <w:sz w:val="24"/>
        </w:rPr>
        <w:t xml:space="preserve">the </w:t>
      </w:r>
      <w:r w:rsidRPr="002437FB">
        <w:rPr>
          <w:rFonts w:eastAsia="DengXian"/>
          <w:sz w:val="24"/>
        </w:rPr>
        <w:t xml:space="preserve">Win Semiconductors Corp., </w:t>
      </w:r>
      <w:r w:rsidR="007C05FF">
        <w:rPr>
          <w:rFonts w:eastAsia="DengXian"/>
          <w:sz w:val="24"/>
        </w:rPr>
        <w:t xml:space="preserve">the </w:t>
      </w:r>
      <w:r w:rsidRPr="002437FB">
        <w:rPr>
          <w:rFonts w:eastAsia="DengXian"/>
          <w:sz w:val="24"/>
        </w:rPr>
        <w:t>Vanguard International Semiconductor Co., Sino-American Silicon Products</w:t>
      </w:r>
      <w:r w:rsidR="002437FB">
        <w:rPr>
          <w:rFonts w:eastAsia="DengXian"/>
          <w:sz w:val="24"/>
        </w:rPr>
        <w:t>,</w:t>
      </w:r>
      <w:r w:rsidRPr="002437FB">
        <w:rPr>
          <w:rFonts w:eastAsia="DengXian"/>
          <w:sz w:val="24"/>
        </w:rPr>
        <w:t xml:space="preserve"> Inc., Zen Ding Technology Holding Limited, and </w:t>
      </w:r>
      <w:r w:rsidR="002437FB">
        <w:rPr>
          <w:rFonts w:eastAsia="DengXian"/>
          <w:sz w:val="24"/>
        </w:rPr>
        <w:t xml:space="preserve">the </w:t>
      </w:r>
      <w:r w:rsidRPr="002437FB">
        <w:rPr>
          <w:rFonts w:eastAsia="DengXian"/>
          <w:sz w:val="24"/>
        </w:rPr>
        <w:t>Chipbond Technology Corporation</w:t>
      </w:r>
      <w:r w:rsidR="007C05FF">
        <w:rPr>
          <w:rFonts w:eastAsia="DengXian"/>
          <w:sz w:val="24"/>
        </w:rPr>
        <w:t xml:space="preserve">, as well as </w:t>
      </w:r>
      <w:r w:rsidRPr="002437FB">
        <w:rPr>
          <w:rFonts w:eastAsia="DengXian"/>
          <w:sz w:val="24"/>
        </w:rPr>
        <w:t>other five companies</w:t>
      </w:r>
      <w:r w:rsidR="007C05FF">
        <w:rPr>
          <w:rFonts w:eastAsia="DengXian"/>
          <w:sz w:val="24"/>
        </w:rPr>
        <w:t>. H</w:t>
      </w:r>
      <w:r w:rsidRPr="002437FB">
        <w:rPr>
          <w:rFonts w:eastAsia="DengXian"/>
          <w:sz w:val="24"/>
        </w:rPr>
        <w:t xml:space="preserve">owever, </w:t>
      </w:r>
      <w:r w:rsidR="00AF06C7" w:rsidRPr="002437FB">
        <w:rPr>
          <w:rFonts w:eastAsia="DengXian"/>
          <w:sz w:val="24"/>
        </w:rPr>
        <w:t xml:space="preserve">when the relative efficiencies of </w:t>
      </w:r>
      <w:r w:rsidRPr="002437FB">
        <w:rPr>
          <w:rFonts w:eastAsia="DengXian"/>
          <w:sz w:val="24"/>
        </w:rPr>
        <w:t xml:space="preserve">30 companies </w:t>
      </w:r>
      <w:r w:rsidR="00AF06C7" w:rsidRPr="002437FB">
        <w:rPr>
          <w:rFonts w:eastAsia="DengXian"/>
          <w:sz w:val="24"/>
        </w:rPr>
        <w:t xml:space="preserve">- including Hon Hai Precision Industrial Corporation, Ltd., United Microelectronics Corp., Quanta Computer, Inc., </w:t>
      </w:r>
      <w:r w:rsidR="002437FB">
        <w:rPr>
          <w:rFonts w:eastAsia="DengXian"/>
          <w:sz w:val="24"/>
        </w:rPr>
        <w:t xml:space="preserve">the </w:t>
      </w:r>
      <w:r w:rsidR="00AF06C7" w:rsidRPr="002437FB">
        <w:rPr>
          <w:rFonts w:eastAsia="DengXian"/>
          <w:sz w:val="24"/>
        </w:rPr>
        <w:t xml:space="preserve">Realtek Semiconductor Corporation, </w:t>
      </w:r>
      <w:r w:rsidR="002437FB">
        <w:rPr>
          <w:rFonts w:eastAsia="DengXian"/>
          <w:sz w:val="24"/>
        </w:rPr>
        <w:t xml:space="preserve">the </w:t>
      </w:r>
      <w:r w:rsidR="00AF06C7" w:rsidRPr="002437FB">
        <w:rPr>
          <w:rFonts w:eastAsia="DengXian"/>
          <w:sz w:val="24"/>
        </w:rPr>
        <w:t xml:space="preserve">Unimicron Technology Corporation, </w:t>
      </w:r>
      <w:r w:rsidR="002437FB">
        <w:rPr>
          <w:rFonts w:eastAsia="DengXian"/>
          <w:sz w:val="24"/>
        </w:rPr>
        <w:t xml:space="preserve">the </w:t>
      </w:r>
      <w:r w:rsidR="00AF06C7" w:rsidRPr="002437FB">
        <w:rPr>
          <w:rFonts w:eastAsia="DengXian"/>
          <w:sz w:val="24"/>
        </w:rPr>
        <w:t>Inventec Corporation, and Chroma Ate, Inc. - were compared with one other prior to</w:t>
      </w:r>
      <w:r w:rsidRPr="002437FB">
        <w:rPr>
          <w:rFonts w:eastAsia="DengXian"/>
          <w:sz w:val="24"/>
        </w:rPr>
        <w:t xml:space="preserve"> and </w:t>
      </w:r>
      <w:r w:rsidR="00AF06C7" w:rsidRPr="002437FB">
        <w:rPr>
          <w:rFonts w:eastAsia="DengXian"/>
          <w:sz w:val="24"/>
        </w:rPr>
        <w:t>following</w:t>
      </w:r>
      <w:r w:rsidRPr="002437FB">
        <w:rPr>
          <w:rFonts w:eastAsia="DengXian"/>
          <w:sz w:val="24"/>
        </w:rPr>
        <w:t xml:space="preserve"> 5G R&amp;D industrial development</w:t>
      </w:r>
      <w:r w:rsidR="00AF06C7" w:rsidRPr="002437FB">
        <w:rPr>
          <w:rFonts w:eastAsia="DengXian"/>
          <w:sz w:val="24"/>
        </w:rPr>
        <w:t xml:space="preserve"> investment</w:t>
      </w:r>
      <w:r w:rsidRPr="002437FB">
        <w:rPr>
          <w:rFonts w:eastAsia="DengXian"/>
          <w:sz w:val="24"/>
        </w:rPr>
        <w:t>, the relative efficiency of seven companies ha</w:t>
      </w:r>
      <w:r w:rsidR="00AF06C7" w:rsidRPr="002437FB">
        <w:rPr>
          <w:rFonts w:eastAsia="DengXian"/>
          <w:sz w:val="24"/>
        </w:rPr>
        <w:t>d</w:t>
      </w:r>
      <w:r w:rsidRPr="002437FB">
        <w:rPr>
          <w:rFonts w:eastAsia="DengXian"/>
          <w:sz w:val="24"/>
        </w:rPr>
        <w:t xml:space="preserve"> improved.</w:t>
      </w:r>
      <w:r w:rsidRPr="002D4CFD">
        <w:rPr>
          <w:rFonts w:eastAsia="DengXian"/>
          <w:sz w:val="24"/>
        </w:rPr>
        <w:t xml:space="preserve"> </w:t>
      </w:r>
      <w:r w:rsidR="007C05FF">
        <w:rPr>
          <w:rFonts w:eastAsia="DengXian"/>
          <w:sz w:val="24"/>
        </w:rPr>
        <w:t xml:space="preserve">In order to gain an </w:t>
      </w:r>
      <w:r w:rsidRPr="002D4CFD">
        <w:rPr>
          <w:rFonts w:eastAsia="DengXian"/>
          <w:sz w:val="24"/>
        </w:rPr>
        <w:t xml:space="preserve">understanding of whether </w:t>
      </w:r>
      <w:r w:rsidR="007C05FF">
        <w:rPr>
          <w:rFonts w:eastAsia="DengXian"/>
          <w:sz w:val="24"/>
        </w:rPr>
        <w:t xml:space="preserve">or not </w:t>
      </w:r>
      <w:r w:rsidRPr="002D4CFD">
        <w:rPr>
          <w:rFonts w:eastAsia="DengXian"/>
          <w:sz w:val="24"/>
        </w:rPr>
        <w:t xml:space="preserve">significant performance differences </w:t>
      </w:r>
      <w:r w:rsidR="007C05FF">
        <w:rPr>
          <w:rFonts w:eastAsia="DengXian"/>
          <w:sz w:val="24"/>
        </w:rPr>
        <w:t xml:space="preserve">existed </w:t>
      </w:r>
      <w:r w:rsidRPr="002D4CFD">
        <w:rPr>
          <w:rFonts w:eastAsia="DengXian"/>
          <w:sz w:val="24"/>
        </w:rPr>
        <w:t xml:space="preserve">between </w:t>
      </w:r>
      <w:r w:rsidR="007C05FF">
        <w:rPr>
          <w:rFonts w:eastAsia="DengXian"/>
          <w:sz w:val="24"/>
        </w:rPr>
        <w:t xml:space="preserve">the </w:t>
      </w:r>
      <w:r w:rsidRPr="002D4CFD">
        <w:rPr>
          <w:rFonts w:eastAsia="DengXian"/>
          <w:sz w:val="24"/>
        </w:rPr>
        <w:t xml:space="preserve">different periods, this study </w:t>
      </w:r>
      <w:r w:rsidR="007C05FF">
        <w:rPr>
          <w:rFonts w:eastAsia="DengXian"/>
          <w:sz w:val="24"/>
        </w:rPr>
        <w:t xml:space="preserve">employed Friedman’s (1937) </w:t>
      </w:r>
      <w:r w:rsidRPr="002D4CFD">
        <w:rPr>
          <w:rFonts w:eastAsia="DengXian"/>
          <w:sz w:val="24"/>
        </w:rPr>
        <w:t xml:space="preserve">two-way analysis of variance (Two-Way ANOVA). </w:t>
      </w:r>
      <w:r w:rsidR="00AF06C7">
        <w:rPr>
          <w:rFonts w:eastAsia="DengXian"/>
          <w:sz w:val="24"/>
        </w:rPr>
        <w:t xml:space="preserve">With </w:t>
      </w:r>
      <w:r w:rsidRPr="002D4CFD">
        <w:rPr>
          <w:rFonts w:eastAsia="DengXian"/>
          <w:sz w:val="24"/>
        </w:rPr>
        <w:t xml:space="preserve">the significance level </w:t>
      </w:r>
      <w:r w:rsidR="00AF06C7">
        <w:rPr>
          <w:rFonts w:eastAsia="DengXian"/>
          <w:sz w:val="24"/>
        </w:rPr>
        <w:t>under</w:t>
      </w:r>
      <w:r w:rsidRPr="002D4CFD">
        <w:rPr>
          <w:rFonts w:eastAsia="DengXian"/>
          <w:sz w:val="24"/>
        </w:rPr>
        <w:t xml:space="preserve"> 5%, this article shows </w:t>
      </w:r>
      <w:r w:rsidR="00AF06C7">
        <w:rPr>
          <w:rFonts w:eastAsia="DengXian"/>
          <w:sz w:val="24"/>
        </w:rPr>
        <w:t>that there was, indeed, a</w:t>
      </w:r>
      <w:r w:rsidRPr="002D4CFD">
        <w:rPr>
          <w:rFonts w:eastAsia="DengXian"/>
          <w:sz w:val="24"/>
        </w:rPr>
        <w:t xml:space="preserve"> significant difference in the relative efficiency of the 5G R&amp;D investment industry during th</w:t>
      </w:r>
      <w:r w:rsidR="00AF06C7">
        <w:rPr>
          <w:rFonts w:eastAsia="DengXian"/>
          <w:sz w:val="24"/>
        </w:rPr>
        <w:t>is</w:t>
      </w:r>
      <w:r w:rsidRPr="002D4CFD">
        <w:rPr>
          <w:rFonts w:eastAsia="DengXian"/>
          <w:sz w:val="24"/>
        </w:rPr>
        <w:t xml:space="preserve"> period.</w:t>
      </w:r>
    </w:p>
    <w:p w:rsidR="00F362A4" w:rsidRPr="00F362A4" w:rsidRDefault="00F362A4" w:rsidP="00A4450E">
      <w:pPr>
        <w:jc w:val="center"/>
        <w:rPr>
          <w:rFonts w:eastAsia="標楷體"/>
          <w:sz w:val="24"/>
        </w:rPr>
      </w:pPr>
      <w:r w:rsidRPr="00F362A4">
        <w:rPr>
          <w:rFonts w:eastAsia="標楷體"/>
          <w:sz w:val="24"/>
        </w:rPr>
        <w:t>. [Insert Table 3 here]</w:t>
      </w:r>
    </w:p>
    <w:p w:rsidR="002D4CFD" w:rsidRDefault="002D4CFD" w:rsidP="00AF06C7">
      <w:pPr>
        <w:adjustRightInd w:val="0"/>
        <w:snapToGrid w:val="0"/>
        <w:spacing w:before="100" w:beforeAutospacing="1" w:after="100" w:afterAutospacing="1" w:line="480" w:lineRule="auto"/>
        <w:ind w:firstLine="480"/>
        <w:rPr>
          <w:rFonts w:eastAsia="標楷體"/>
          <w:sz w:val="24"/>
          <w:lang w:eastAsia="zh-TW"/>
        </w:rPr>
      </w:pPr>
      <w:r w:rsidRPr="002D4CFD">
        <w:rPr>
          <w:rFonts w:eastAsia="標楷體"/>
          <w:sz w:val="24"/>
          <w:lang w:eastAsia="zh-TW"/>
        </w:rPr>
        <w:t xml:space="preserve">In general, TABLE 4 </w:t>
      </w:r>
      <w:r w:rsidR="00AF06C7">
        <w:rPr>
          <w:rFonts w:eastAsia="標楷體"/>
          <w:sz w:val="24"/>
          <w:lang w:eastAsia="zh-TW"/>
        </w:rPr>
        <w:t>demonstrates</w:t>
      </w:r>
      <w:r w:rsidRPr="002D4CFD">
        <w:rPr>
          <w:rFonts w:eastAsia="標楷體"/>
          <w:sz w:val="24"/>
          <w:lang w:eastAsia="zh-TW"/>
        </w:rPr>
        <w:t xml:space="preserve"> that from the first quarter of 2018 to the fourth quarter of 2020, the implementation of 5G R&amp;D investment in industrial development </w:t>
      </w:r>
      <w:r w:rsidR="00AF06C7">
        <w:rPr>
          <w:rFonts w:eastAsia="標楷體"/>
          <w:sz w:val="24"/>
          <w:lang w:eastAsia="zh-TW"/>
        </w:rPr>
        <w:t>did, indeed,</w:t>
      </w:r>
      <w:r w:rsidRPr="002D4CFD">
        <w:rPr>
          <w:rFonts w:eastAsia="標楷體"/>
          <w:sz w:val="24"/>
          <w:lang w:eastAsia="zh-TW"/>
        </w:rPr>
        <w:t xml:space="preserve"> improve</w:t>
      </w:r>
      <w:r w:rsidR="00AF06C7">
        <w:rPr>
          <w:rFonts w:eastAsia="標楷體"/>
          <w:sz w:val="24"/>
          <w:lang w:eastAsia="zh-TW"/>
        </w:rPr>
        <w:t xml:space="preserve"> </w:t>
      </w:r>
      <w:r w:rsidRPr="002D4CFD">
        <w:rPr>
          <w:rFonts w:eastAsia="標楷體"/>
          <w:sz w:val="24"/>
          <w:lang w:eastAsia="zh-TW"/>
        </w:rPr>
        <w:t xml:space="preserve">the relative efficiency of some enterprises; </w:t>
      </w:r>
      <w:r w:rsidR="00AF06C7">
        <w:rPr>
          <w:rFonts w:eastAsia="標楷體"/>
          <w:sz w:val="24"/>
          <w:lang w:eastAsia="zh-TW"/>
        </w:rPr>
        <w:t>moreover, following</w:t>
      </w:r>
      <w:r w:rsidRPr="002D4CFD">
        <w:rPr>
          <w:rFonts w:eastAsia="標楷體"/>
          <w:sz w:val="24"/>
          <w:lang w:eastAsia="zh-TW"/>
        </w:rPr>
        <w:t xml:space="preserve"> the implementation of industrial development, </w:t>
      </w:r>
      <w:r w:rsidR="00AF06C7">
        <w:rPr>
          <w:rFonts w:eastAsia="標楷體"/>
          <w:sz w:val="24"/>
          <w:lang w:eastAsia="zh-TW"/>
        </w:rPr>
        <w:t xml:space="preserve">the </w:t>
      </w:r>
      <w:r w:rsidRPr="002D4CFD">
        <w:rPr>
          <w:rFonts w:eastAsia="標楷體"/>
          <w:sz w:val="24"/>
          <w:lang w:eastAsia="zh-TW"/>
        </w:rPr>
        <w:t>5G industry-related</w:t>
      </w:r>
      <w:r w:rsidR="00AF06C7">
        <w:rPr>
          <w:rFonts w:eastAsia="標楷體"/>
          <w:sz w:val="24"/>
          <w:lang w:eastAsia="zh-TW"/>
        </w:rPr>
        <w:t xml:space="preserve"> companies’</w:t>
      </w:r>
      <w:r w:rsidRPr="002D4CFD">
        <w:rPr>
          <w:rFonts w:eastAsia="標楷體"/>
          <w:sz w:val="24"/>
          <w:lang w:eastAsia="zh-TW"/>
        </w:rPr>
        <w:t xml:space="preserve"> average overall dynamic relative efficiency </w:t>
      </w:r>
      <w:r w:rsidR="00AF06C7">
        <w:rPr>
          <w:rFonts w:eastAsia="標楷體"/>
          <w:sz w:val="24"/>
          <w:lang w:eastAsia="zh-TW"/>
        </w:rPr>
        <w:t>was</w:t>
      </w:r>
      <w:r w:rsidRPr="002D4CFD">
        <w:rPr>
          <w:rFonts w:eastAsia="標楷體"/>
          <w:sz w:val="24"/>
          <w:lang w:eastAsia="zh-TW"/>
        </w:rPr>
        <w:t xml:space="preserve"> slightly higher than </w:t>
      </w:r>
      <w:r w:rsidR="00AF06C7">
        <w:rPr>
          <w:rFonts w:eastAsia="標楷體"/>
          <w:sz w:val="24"/>
          <w:lang w:eastAsia="zh-TW"/>
        </w:rPr>
        <w:t>it was prior to</w:t>
      </w:r>
      <w:r w:rsidRPr="002D4CFD">
        <w:rPr>
          <w:rFonts w:eastAsia="標楷體"/>
          <w:sz w:val="24"/>
          <w:lang w:eastAsia="zh-TW"/>
        </w:rPr>
        <w:t xml:space="preserve"> the implementation of 5G R&amp;D investment</w:t>
      </w:r>
      <w:r w:rsidR="00AF06C7">
        <w:rPr>
          <w:rFonts w:eastAsia="標楷體"/>
          <w:sz w:val="24"/>
          <w:lang w:eastAsia="zh-TW"/>
        </w:rPr>
        <w:t xml:space="preserve">. However, </w:t>
      </w:r>
      <w:r w:rsidRPr="002D4CFD">
        <w:rPr>
          <w:rFonts w:eastAsia="標楷體"/>
          <w:sz w:val="24"/>
          <w:lang w:eastAsia="zh-TW"/>
        </w:rPr>
        <w:t xml:space="preserve">there </w:t>
      </w:r>
      <w:r w:rsidR="00AF06C7">
        <w:rPr>
          <w:rFonts w:eastAsia="標楷體"/>
          <w:sz w:val="24"/>
          <w:lang w:eastAsia="zh-TW"/>
        </w:rPr>
        <w:t>was</w:t>
      </w:r>
      <w:r w:rsidRPr="002D4CFD">
        <w:rPr>
          <w:rFonts w:eastAsia="標楷體"/>
          <w:sz w:val="24"/>
          <w:lang w:eastAsia="zh-TW"/>
        </w:rPr>
        <w:t xml:space="preserve"> no significant difference</w:t>
      </w:r>
      <w:r w:rsidR="00AF06C7">
        <w:rPr>
          <w:rFonts w:eastAsia="標楷體"/>
          <w:sz w:val="24"/>
          <w:lang w:eastAsia="zh-TW"/>
        </w:rPr>
        <w:t xml:space="preserve">, </w:t>
      </w:r>
      <w:r w:rsidR="007C05FF">
        <w:rPr>
          <w:rFonts w:eastAsia="標楷體"/>
          <w:sz w:val="24"/>
          <w:lang w:eastAsia="zh-TW"/>
        </w:rPr>
        <w:t>suggesting</w:t>
      </w:r>
      <w:r w:rsidR="00AF06C7">
        <w:rPr>
          <w:rFonts w:eastAsia="標楷體"/>
          <w:sz w:val="24"/>
          <w:lang w:eastAsia="zh-TW"/>
        </w:rPr>
        <w:t xml:space="preserve"> that</w:t>
      </w:r>
      <w:r w:rsidRPr="002D4CFD">
        <w:rPr>
          <w:rFonts w:eastAsia="標楷體"/>
          <w:sz w:val="24"/>
          <w:lang w:eastAsia="zh-TW"/>
        </w:rPr>
        <w:t xml:space="preserve"> 5G R&amp;D investment is</w:t>
      </w:r>
      <w:r w:rsidR="007C05FF">
        <w:rPr>
          <w:rFonts w:eastAsia="標楷體"/>
          <w:sz w:val="24"/>
          <w:lang w:eastAsia="zh-TW"/>
        </w:rPr>
        <w:t>, indeed,</w:t>
      </w:r>
      <w:r w:rsidRPr="002D4CFD">
        <w:rPr>
          <w:rFonts w:eastAsia="標楷體"/>
          <w:sz w:val="24"/>
          <w:lang w:eastAsia="zh-TW"/>
        </w:rPr>
        <w:t xml:space="preserve"> necessary.</w:t>
      </w:r>
    </w:p>
    <w:p w:rsidR="00F362A4" w:rsidRDefault="0057039E" w:rsidP="00526252">
      <w:pPr>
        <w:adjustRightInd w:val="0"/>
        <w:snapToGrid w:val="0"/>
        <w:spacing w:before="100" w:beforeAutospacing="1" w:after="100" w:afterAutospacing="1" w:line="480" w:lineRule="auto"/>
        <w:rPr>
          <w:rFonts w:eastAsia="標楷體"/>
          <w:sz w:val="24"/>
        </w:rPr>
      </w:pPr>
      <w:r w:rsidRPr="0057039E">
        <w:rPr>
          <w:rFonts w:eastAsia="標楷體"/>
          <w:sz w:val="24"/>
        </w:rPr>
        <w:t xml:space="preserve"> 4.2 Can we characterize 5GCs </w:t>
      </w:r>
      <w:r w:rsidR="00765895">
        <w:rPr>
          <w:rFonts w:eastAsia="標楷體"/>
          <w:sz w:val="24"/>
        </w:rPr>
        <w:t>according to</w:t>
      </w:r>
      <w:r w:rsidR="000813D1" w:rsidRPr="000813D1">
        <w:rPr>
          <w:rFonts w:eastAsia="標楷體"/>
          <w:sz w:val="24"/>
        </w:rPr>
        <w:t xml:space="preserve"> R&amp;D </w:t>
      </w:r>
      <w:r w:rsidR="00765895">
        <w:rPr>
          <w:rFonts w:eastAsia="標楷體"/>
          <w:sz w:val="24"/>
        </w:rPr>
        <w:t>e</w:t>
      </w:r>
      <w:r w:rsidR="000813D1" w:rsidRPr="000813D1">
        <w:rPr>
          <w:rFonts w:eastAsia="標楷體"/>
          <w:sz w:val="24"/>
        </w:rPr>
        <w:t>xpenditures</w:t>
      </w:r>
      <w:r w:rsidRPr="0057039E">
        <w:rPr>
          <w:rFonts w:eastAsia="標楷體"/>
          <w:sz w:val="24"/>
        </w:rPr>
        <w:t xml:space="preserve">? </w:t>
      </w:r>
    </w:p>
    <w:p w:rsidR="00765895" w:rsidRDefault="004F163E" w:rsidP="004F163E">
      <w:pPr>
        <w:adjustRightInd w:val="0"/>
        <w:snapToGrid w:val="0"/>
        <w:spacing w:before="100" w:beforeAutospacing="1" w:after="100" w:afterAutospacing="1" w:line="480" w:lineRule="auto"/>
        <w:ind w:firstLine="480"/>
        <w:rPr>
          <w:rFonts w:eastAsia="DengXian"/>
          <w:sz w:val="24"/>
        </w:rPr>
      </w:pPr>
      <w:r>
        <w:rPr>
          <w:rFonts w:eastAsia="DengXian"/>
          <w:sz w:val="24"/>
        </w:rPr>
        <w:t xml:space="preserve">Overall, it was </w:t>
      </w:r>
      <w:r w:rsidR="00765895">
        <w:rPr>
          <w:rFonts w:eastAsia="DengXian"/>
          <w:sz w:val="24"/>
        </w:rPr>
        <w:t>discovered</w:t>
      </w:r>
      <w:r>
        <w:rPr>
          <w:rFonts w:eastAsia="DengXian"/>
          <w:sz w:val="24"/>
        </w:rPr>
        <w:t xml:space="preserve"> that</w:t>
      </w:r>
      <w:r w:rsidR="002D4CFD" w:rsidRPr="002D4CFD">
        <w:rPr>
          <w:rFonts w:eastAsia="DengXian"/>
          <w:sz w:val="24"/>
        </w:rPr>
        <w:t xml:space="preserve"> </w:t>
      </w:r>
      <w:r w:rsidRPr="002D4CFD">
        <w:rPr>
          <w:rFonts w:eastAsia="DengXian"/>
          <w:sz w:val="24"/>
        </w:rPr>
        <w:t xml:space="preserve">5G R&amp;D expenditure </w:t>
      </w:r>
      <w:r>
        <w:rPr>
          <w:rFonts w:eastAsia="DengXian"/>
          <w:sz w:val="24"/>
        </w:rPr>
        <w:t xml:space="preserve">plays a vital role in a company’s ability to </w:t>
      </w:r>
      <w:r w:rsidR="002D4CFD" w:rsidRPr="002D4CFD">
        <w:rPr>
          <w:rFonts w:eastAsia="DengXian"/>
          <w:sz w:val="24"/>
        </w:rPr>
        <w:t xml:space="preserve">face drastic environmental </w:t>
      </w:r>
      <w:r w:rsidR="00765895">
        <w:rPr>
          <w:rFonts w:eastAsia="DengXian"/>
          <w:sz w:val="24"/>
        </w:rPr>
        <w:t xml:space="preserve">fluctuations, </w:t>
      </w:r>
      <w:r w:rsidR="002D4CFD" w:rsidRPr="002D4CFD">
        <w:rPr>
          <w:rFonts w:eastAsia="DengXian"/>
          <w:sz w:val="24"/>
        </w:rPr>
        <w:t xml:space="preserve">maintain </w:t>
      </w:r>
      <w:r w:rsidR="00765895">
        <w:rPr>
          <w:rFonts w:eastAsia="DengXian"/>
          <w:sz w:val="24"/>
        </w:rPr>
        <w:t xml:space="preserve">its competitive marketplace </w:t>
      </w:r>
      <w:r w:rsidR="002D4CFD" w:rsidRPr="002D4CFD">
        <w:rPr>
          <w:rFonts w:eastAsia="DengXian"/>
          <w:sz w:val="24"/>
        </w:rPr>
        <w:t>standin</w:t>
      </w:r>
      <w:r w:rsidR="00765895">
        <w:rPr>
          <w:rFonts w:eastAsia="DengXian"/>
          <w:sz w:val="24"/>
        </w:rPr>
        <w:t xml:space="preserve">g, and sink or swim amidst cut-throat competition. In the end, a company’s </w:t>
      </w:r>
      <w:r w:rsidR="002D4CFD" w:rsidRPr="002D4CFD">
        <w:rPr>
          <w:rFonts w:eastAsia="DengXian"/>
          <w:sz w:val="24"/>
        </w:rPr>
        <w:t xml:space="preserve">management team is the ultimate decision maker in deciding whether </w:t>
      </w:r>
      <w:r w:rsidR="00765895">
        <w:rPr>
          <w:rFonts w:eastAsia="DengXian"/>
          <w:sz w:val="24"/>
        </w:rPr>
        <w:t xml:space="preserve">or not </w:t>
      </w:r>
      <w:r w:rsidR="002D4CFD" w:rsidRPr="002D4CFD">
        <w:rPr>
          <w:rFonts w:eastAsia="DengXian"/>
          <w:sz w:val="24"/>
        </w:rPr>
        <w:t xml:space="preserve">to invest in 5G R&amp;D activities. </w:t>
      </w:r>
    </w:p>
    <w:p w:rsidR="002D4CFD" w:rsidRPr="002D4CFD" w:rsidRDefault="002D4CFD" w:rsidP="004F163E">
      <w:pPr>
        <w:adjustRightInd w:val="0"/>
        <w:snapToGrid w:val="0"/>
        <w:spacing w:before="100" w:beforeAutospacing="1" w:after="100" w:afterAutospacing="1" w:line="480" w:lineRule="auto"/>
        <w:ind w:firstLine="480"/>
        <w:rPr>
          <w:rFonts w:eastAsia="DengXian"/>
          <w:sz w:val="24"/>
        </w:rPr>
      </w:pPr>
      <w:r w:rsidRPr="002D4CFD">
        <w:rPr>
          <w:rFonts w:eastAsia="DengXian"/>
          <w:sz w:val="24"/>
        </w:rPr>
        <w:t>According to the Taiwan Industry Map (2021), Taiwan’s 5G industry is composed of independent production systems</w:t>
      </w:r>
      <w:r w:rsidR="00765895">
        <w:rPr>
          <w:rFonts w:eastAsia="DengXian"/>
          <w:sz w:val="24"/>
        </w:rPr>
        <w:t xml:space="preserve">, </w:t>
      </w:r>
      <w:r w:rsidRPr="002D4CFD">
        <w:rPr>
          <w:rFonts w:eastAsia="DengXian"/>
          <w:sz w:val="24"/>
        </w:rPr>
        <w:t xml:space="preserve">namely, key chips, design, manufacturing and assembly, brand terminals, and downstream category and other manufacturers. In order to explore </w:t>
      </w:r>
      <w:r w:rsidR="00765895" w:rsidRPr="002D4CFD">
        <w:rPr>
          <w:rFonts w:eastAsia="DengXian"/>
          <w:sz w:val="24"/>
        </w:rPr>
        <w:t xml:space="preserve">further </w:t>
      </w:r>
      <w:r w:rsidRPr="002D4CFD">
        <w:rPr>
          <w:rFonts w:eastAsia="DengXian"/>
          <w:sz w:val="24"/>
        </w:rPr>
        <w:t xml:space="preserve">the relationship between the relative efficiency of 5G-related companies in the industry category and </w:t>
      </w:r>
      <w:r w:rsidR="00765895">
        <w:rPr>
          <w:rFonts w:eastAsia="DengXian"/>
          <w:sz w:val="24"/>
        </w:rPr>
        <w:t xml:space="preserve">5G companies’ </w:t>
      </w:r>
      <w:r w:rsidRPr="002D4CFD">
        <w:rPr>
          <w:rFonts w:eastAsia="DengXian"/>
          <w:sz w:val="24"/>
        </w:rPr>
        <w:t xml:space="preserve">R&amp;D investment, this survey divides 5G-related companies into four major categories: </w:t>
      </w:r>
      <w:r w:rsidR="00765895">
        <w:rPr>
          <w:rFonts w:eastAsia="DengXian"/>
          <w:sz w:val="24"/>
        </w:rPr>
        <w:t xml:space="preserve">1) </w:t>
      </w:r>
      <w:r w:rsidRPr="002D4CFD">
        <w:rPr>
          <w:rFonts w:eastAsia="DengXian"/>
          <w:sz w:val="24"/>
        </w:rPr>
        <w:t>key</w:t>
      </w:r>
      <w:r w:rsidR="00765895">
        <w:rPr>
          <w:rFonts w:eastAsia="DengXian"/>
          <w:sz w:val="24"/>
        </w:rPr>
        <w:t>-</w:t>
      </w:r>
      <w:r w:rsidRPr="002D4CFD">
        <w:rPr>
          <w:rFonts w:eastAsia="DengXian"/>
          <w:sz w:val="24"/>
        </w:rPr>
        <w:t>chip</w:t>
      </w:r>
      <w:r w:rsidR="00765895">
        <w:rPr>
          <w:rFonts w:eastAsia="DengXian"/>
          <w:sz w:val="24"/>
        </w:rPr>
        <w:t xml:space="preserve">s, 2) </w:t>
      </w:r>
      <w:r w:rsidRPr="002D4CFD">
        <w:rPr>
          <w:rFonts w:eastAsia="DengXian"/>
          <w:sz w:val="24"/>
        </w:rPr>
        <w:t>design</w:t>
      </w:r>
      <w:r w:rsidR="00765895">
        <w:rPr>
          <w:rFonts w:eastAsia="DengXian"/>
          <w:sz w:val="24"/>
        </w:rPr>
        <w:t xml:space="preserve">, </w:t>
      </w:r>
      <w:r w:rsidRPr="002D4CFD">
        <w:rPr>
          <w:rFonts w:eastAsia="DengXian"/>
          <w:sz w:val="24"/>
        </w:rPr>
        <w:t xml:space="preserve">manufacturing and assembly, </w:t>
      </w:r>
      <w:r w:rsidR="00765895">
        <w:rPr>
          <w:rFonts w:eastAsia="DengXian"/>
          <w:sz w:val="24"/>
        </w:rPr>
        <w:t xml:space="preserve">3) </w:t>
      </w:r>
      <w:r w:rsidRPr="002D4CFD">
        <w:rPr>
          <w:rFonts w:eastAsia="DengXian"/>
          <w:sz w:val="24"/>
        </w:rPr>
        <w:t xml:space="preserve">brand terminals, and </w:t>
      </w:r>
      <w:r w:rsidR="00765895">
        <w:rPr>
          <w:rFonts w:eastAsia="DengXian"/>
          <w:sz w:val="24"/>
        </w:rPr>
        <w:t xml:space="preserve">4) </w:t>
      </w:r>
      <w:r w:rsidRPr="002D4CFD">
        <w:rPr>
          <w:rFonts w:eastAsia="DengXian"/>
          <w:sz w:val="24"/>
        </w:rPr>
        <w:t>downstream</w:t>
      </w:r>
      <w:r w:rsidR="00765895">
        <w:rPr>
          <w:rFonts w:eastAsia="DengXian"/>
          <w:sz w:val="24"/>
        </w:rPr>
        <w:t xml:space="preserve">, and assesses their </w:t>
      </w:r>
      <w:r w:rsidRPr="002D4CFD">
        <w:rPr>
          <w:rFonts w:eastAsia="DengXian"/>
          <w:sz w:val="24"/>
        </w:rPr>
        <w:t xml:space="preserve">relative operating efficiency </w:t>
      </w:r>
      <w:r w:rsidR="00765895">
        <w:rPr>
          <w:rFonts w:eastAsia="DengXian"/>
          <w:sz w:val="24"/>
        </w:rPr>
        <w:t xml:space="preserve">for </w:t>
      </w:r>
      <w:r w:rsidRPr="002D4CFD">
        <w:rPr>
          <w:rFonts w:eastAsia="DengXian"/>
          <w:sz w:val="24"/>
        </w:rPr>
        <w:t>each year (as shown in Table 4 and Figure 3).</w:t>
      </w:r>
    </w:p>
    <w:p w:rsidR="002D4CFD" w:rsidRPr="002D4CFD" w:rsidRDefault="002D4CFD" w:rsidP="007C05FF">
      <w:pPr>
        <w:adjustRightInd w:val="0"/>
        <w:snapToGrid w:val="0"/>
        <w:spacing w:before="100" w:beforeAutospacing="1" w:after="100" w:afterAutospacing="1" w:line="480" w:lineRule="auto"/>
        <w:ind w:firstLine="480"/>
        <w:rPr>
          <w:rFonts w:eastAsia="DengXian"/>
          <w:sz w:val="24"/>
        </w:rPr>
      </w:pPr>
      <w:r w:rsidRPr="002D4CFD">
        <w:rPr>
          <w:rFonts w:eastAsia="DengXian"/>
          <w:sz w:val="24"/>
        </w:rPr>
        <w:t>In terms of relative efficiency values</w:t>
      </w:r>
      <w:r w:rsidR="00765895">
        <w:rPr>
          <w:rFonts w:eastAsia="DengXian"/>
          <w:sz w:val="24"/>
        </w:rPr>
        <w:t xml:space="preserve">, </w:t>
      </w:r>
      <w:r w:rsidRPr="002D4CFD">
        <w:rPr>
          <w:rFonts w:eastAsia="DengXian"/>
          <w:sz w:val="24"/>
        </w:rPr>
        <w:t>from the first quarter of 2018 to the third quarter of 2019, at a statistical level of 5%, a statistically significant differen</w:t>
      </w:r>
      <w:r w:rsidR="00765895">
        <w:rPr>
          <w:rFonts w:eastAsia="DengXian"/>
          <w:sz w:val="24"/>
        </w:rPr>
        <w:t xml:space="preserve">t </w:t>
      </w:r>
      <w:r w:rsidRPr="002D4CFD">
        <w:rPr>
          <w:rFonts w:eastAsia="DengXian"/>
          <w:sz w:val="24"/>
        </w:rPr>
        <w:t>relationship</w:t>
      </w:r>
      <w:r w:rsidR="00765895">
        <w:rPr>
          <w:rFonts w:eastAsia="DengXian"/>
          <w:sz w:val="24"/>
        </w:rPr>
        <w:t xml:space="preserve"> was found</w:t>
      </w:r>
      <w:r w:rsidRPr="002D4CFD">
        <w:rPr>
          <w:rFonts w:eastAsia="DengXian"/>
          <w:sz w:val="24"/>
        </w:rPr>
        <w:t xml:space="preserve">. However, there </w:t>
      </w:r>
      <w:r w:rsidR="00765895">
        <w:rPr>
          <w:rFonts w:eastAsia="DengXian"/>
          <w:sz w:val="24"/>
        </w:rPr>
        <w:t xml:space="preserve">was </w:t>
      </w:r>
      <w:r w:rsidRPr="002D4CFD">
        <w:rPr>
          <w:rFonts w:eastAsia="DengXian"/>
          <w:sz w:val="24"/>
        </w:rPr>
        <w:t xml:space="preserve">no statistically significant difference between the fourth quarter of 2019 and the fourth quarter of 2020 at the 5% statistical level. Moreover, the relative efficiency values of the four major categories of key chips, design, manufacturing and assembly, brand terminals, and downstream </w:t>
      </w:r>
      <w:r w:rsidR="00765895">
        <w:rPr>
          <w:rFonts w:eastAsia="DengXian"/>
          <w:sz w:val="24"/>
        </w:rPr>
        <w:t xml:space="preserve">appeared to be approaching </w:t>
      </w:r>
      <w:r w:rsidRPr="002D4CFD">
        <w:rPr>
          <w:rFonts w:eastAsia="DengXian"/>
          <w:sz w:val="24"/>
        </w:rPr>
        <w:t xml:space="preserve">0.8. </w:t>
      </w:r>
      <w:r w:rsidR="00E2730F">
        <w:rPr>
          <w:rFonts w:eastAsia="DengXian"/>
          <w:sz w:val="24"/>
        </w:rPr>
        <w:t>This</w:t>
      </w:r>
      <w:r w:rsidRPr="002D4CFD">
        <w:rPr>
          <w:rFonts w:eastAsia="DengXian"/>
          <w:sz w:val="24"/>
        </w:rPr>
        <w:t xml:space="preserve"> </w:t>
      </w:r>
      <w:r w:rsidR="007C05FF">
        <w:rPr>
          <w:rFonts w:eastAsia="DengXian"/>
          <w:sz w:val="24"/>
        </w:rPr>
        <w:t>demonstrates</w:t>
      </w:r>
      <w:r w:rsidRPr="002D4CFD">
        <w:rPr>
          <w:rFonts w:eastAsia="DengXian"/>
          <w:sz w:val="24"/>
        </w:rPr>
        <w:t xml:space="preserve"> that </w:t>
      </w:r>
      <w:r w:rsidR="007C05FF" w:rsidRPr="002D4CFD">
        <w:rPr>
          <w:rFonts w:eastAsia="DengXian"/>
          <w:sz w:val="24"/>
        </w:rPr>
        <w:t>key</w:t>
      </w:r>
      <w:r w:rsidR="002E09B0">
        <w:rPr>
          <w:rFonts w:eastAsia="DengXian"/>
          <w:sz w:val="24"/>
        </w:rPr>
        <w:t>-</w:t>
      </w:r>
      <w:r w:rsidR="007C05FF" w:rsidRPr="002D4CFD">
        <w:rPr>
          <w:rFonts w:eastAsia="DengXian"/>
          <w:sz w:val="24"/>
        </w:rPr>
        <w:t>chip</w:t>
      </w:r>
      <w:r w:rsidR="002E09B0">
        <w:rPr>
          <w:rFonts w:eastAsia="DengXian"/>
          <w:sz w:val="24"/>
        </w:rPr>
        <w:t>-</w:t>
      </w:r>
      <w:r w:rsidR="007C05FF" w:rsidRPr="002D4CFD">
        <w:rPr>
          <w:rFonts w:eastAsia="DengXian"/>
          <w:sz w:val="24"/>
        </w:rPr>
        <w:t>categor</w:t>
      </w:r>
      <w:r w:rsidR="007C05FF">
        <w:rPr>
          <w:rFonts w:eastAsia="DengXian"/>
          <w:sz w:val="24"/>
        </w:rPr>
        <w:t>y companies</w:t>
      </w:r>
      <w:r w:rsidR="002E09B0">
        <w:rPr>
          <w:rFonts w:eastAsia="DengXian"/>
          <w:sz w:val="24"/>
        </w:rPr>
        <w:t>’</w:t>
      </w:r>
      <w:r w:rsidRPr="002D4CFD">
        <w:rPr>
          <w:rFonts w:eastAsia="DengXian"/>
          <w:sz w:val="24"/>
        </w:rPr>
        <w:t xml:space="preserve"> relative efficiency values </w:t>
      </w:r>
      <w:r w:rsidR="002E09B0">
        <w:rPr>
          <w:rFonts w:eastAsia="DengXian"/>
          <w:sz w:val="24"/>
        </w:rPr>
        <w:t>did</w:t>
      </w:r>
      <w:r w:rsidR="00E2730F">
        <w:rPr>
          <w:rFonts w:eastAsia="DengXian"/>
          <w:sz w:val="24"/>
        </w:rPr>
        <w:t>, indeed,</w:t>
      </w:r>
      <w:r w:rsidRPr="002D4CFD">
        <w:rPr>
          <w:rFonts w:eastAsia="DengXian"/>
          <w:sz w:val="24"/>
        </w:rPr>
        <w:t xml:space="preserve"> increase quarter by quarter, the relative efficiency values of brand terminals and downstream</w:t>
      </w:r>
      <w:r w:rsidR="002E09B0">
        <w:rPr>
          <w:rFonts w:eastAsia="DengXian"/>
          <w:sz w:val="24"/>
        </w:rPr>
        <w:t xml:space="preserve"> companies</w:t>
      </w:r>
      <w:r w:rsidRPr="002D4CFD">
        <w:rPr>
          <w:rFonts w:eastAsia="DengXian"/>
          <w:sz w:val="24"/>
        </w:rPr>
        <w:t xml:space="preserve"> </w:t>
      </w:r>
      <w:r w:rsidR="002E09B0">
        <w:rPr>
          <w:rFonts w:eastAsia="DengXian"/>
          <w:sz w:val="24"/>
        </w:rPr>
        <w:t>fell</w:t>
      </w:r>
      <w:r w:rsidRPr="002D4CFD">
        <w:rPr>
          <w:rFonts w:eastAsia="DengXian"/>
          <w:sz w:val="24"/>
        </w:rPr>
        <w:t xml:space="preserve"> quarter by quarter, while the relative efficiency values of design, manufacturing and assembly</w:t>
      </w:r>
      <w:r w:rsidR="002E09B0">
        <w:rPr>
          <w:rFonts w:eastAsia="DengXian"/>
          <w:sz w:val="24"/>
        </w:rPr>
        <w:t xml:space="preserve"> companies</w:t>
      </w:r>
      <w:r w:rsidRPr="002D4CFD">
        <w:rPr>
          <w:rFonts w:eastAsia="DengXian"/>
          <w:sz w:val="24"/>
        </w:rPr>
        <w:t xml:space="preserve"> remained stable.</w:t>
      </w:r>
    </w:p>
    <w:p w:rsidR="00F362A4" w:rsidRDefault="0057039E" w:rsidP="00A4450E">
      <w:pPr>
        <w:adjustRightInd w:val="0"/>
        <w:snapToGrid w:val="0"/>
        <w:spacing w:before="100" w:beforeAutospacing="1" w:after="100" w:afterAutospacing="1" w:line="480" w:lineRule="auto"/>
        <w:jc w:val="center"/>
        <w:rPr>
          <w:rFonts w:eastAsia="標楷體"/>
          <w:sz w:val="24"/>
        </w:rPr>
      </w:pPr>
      <w:r w:rsidRPr="0057039E">
        <w:rPr>
          <w:rFonts w:eastAsia="標楷體"/>
          <w:sz w:val="24"/>
        </w:rPr>
        <w:t xml:space="preserve">[Insert Table </w:t>
      </w:r>
      <w:r w:rsidR="00B249C7">
        <w:rPr>
          <w:rFonts w:eastAsia="標楷體"/>
          <w:sz w:val="24"/>
        </w:rPr>
        <w:t>4</w:t>
      </w:r>
      <w:r w:rsidRPr="0057039E">
        <w:rPr>
          <w:rFonts w:eastAsia="標楷體"/>
          <w:sz w:val="24"/>
        </w:rPr>
        <w:t xml:space="preserve"> here]</w:t>
      </w:r>
    </w:p>
    <w:p w:rsidR="00F362A4" w:rsidRDefault="0057039E" w:rsidP="00A4450E">
      <w:pPr>
        <w:adjustRightInd w:val="0"/>
        <w:snapToGrid w:val="0"/>
        <w:spacing w:before="100" w:beforeAutospacing="1" w:after="100" w:afterAutospacing="1" w:line="480" w:lineRule="auto"/>
        <w:jc w:val="center"/>
        <w:rPr>
          <w:rFonts w:eastAsia="標楷體"/>
          <w:sz w:val="24"/>
        </w:rPr>
      </w:pPr>
      <w:r w:rsidRPr="0057039E">
        <w:rPr>
          <w:rFonts w:eastAsia="標楷體"/>
          <w:sz w:val="24"/>
        </w:rPr>
        <w:t>[Insert Figure 3 here]</w:t>
      </w:r>
    </w:p>
    <w:p w:rsidR="002D4CFD" w:rsidRPr="002D4CFD" w:rsidRDefault="002D4CFD" w:rsidP="00E2730F">
      <w:pPr>
        <w:adjustRightInd w:val="0"/>
        <w:snapToGrid w:val="0"/>
        <w:spacing w:before="100" w:beforeAutospacing="1" w:after="100" w:afterAutospacing="1" w:line="480" w:lineRule="auto"/>
        <w:ind w:firstLine="480"/>
        <w:rPr>
          <w:rFonts w:eastAsia="DengXian"/>
          <w:sz w:val="24"/>
        </w:rPr>
      </w:pPr>
      <w:r w:rsidRPr="002D4CFD">
        <w:rPr>
          <w:rFonts w:eastAsia="DengXian"/>
          <w:sz w:val="24"/>
        </w:rPr>
        <w:t xml:space="preserve">In view of </w:t>
      </w:r>
      <w:r w:rsidR="002E09B0">
        <w:rPr>
          <w:rFonts w:eastAsia="DengXian"/>
          <w:sz w:val="24"/>
        </w:rPr>
        <w:t xml:space="preserve">the 5G industry’s </w:t>
      </w:r>
      <w:r w:rsidRPr="002D4CFD">
        <w:rPr>
          <w:rFonts w:eastAsia="DengXian"/>
          <w:sz w:val="24"/>
        </w:rPr>
        <w:t>rapid change</w:t>
      </w:r>
      <w:r w:rsidR="002E09B0">
        <w:rPr>
          <w:rFonts w:eastAsia="DengXian"/>
          <w:sz w:val="24"/>
        </w:rPr>
        <w:t>s</w:t>
      </w:r>
      <w:r w:rsidRPr="002D4CFD">
        <w:rPr>
          <w:rFonts w:eastAsia="DengXian"/>
          <w:sz w:val="24"/>
        </w:rPr>
        <w:t xml:space="preserve">, long-term planning and </w:t>
      </w:r>
      <w:r w:rsidR="002E09B0">
        <w:rPr>
          <w:rFonts w:eastAsia="DengXian"/>
          <w:sz w:val="24"/>
        </w:rPr>
        <w:t xml:space="preserve">R&amp;D </w:t>
      </w:r>
      <w:r w:rsidRPr="002D4CFD">
        <w:rPr>
          <w:rFonts w:eastAsia="DengXian"/>
          <w:sz w:val="24"/>
        </w:rPr>
        <w:t xml:space="preserve">investment </w:t>
      </w:r>
      <w:r w:rsidR="002E09B0">
        <w:rPr>
          <w:rFonts w:eastAsia="DengXian"/>
          <w:sz w:val="24"/>
        </w:rPr>
        <w:t>appear to be</w:t>
      </w:r>
      <w:r w:rsidRPr="002D4CFD">
        <w:rPr>
          <w:rFonts w:eastAsia="DengXian"/>
          <w:sz w:val="24"/>
        </w:rPr>
        <w:t xml:space="preserve"> </w:t>
      </w:r>
      <w:r w:rsidR="00E2730F">
        <w:rPr>
          <w:rFonts w:eastAsia="DengXian"/>
          <w:sz w:val="24"/>
        </w:rPr>
        <w:t xml:space="preserve">crucial </w:t>
      </w:r>
      <w:r w:rsidR="002E09B0">
        <w:rPr>
          <w:rFonts w:eastAsia="DengXian"/>
          <w:sz w:val="24"/>
        </w:rPr>
        <w:t>determiners of a company’s survival. T</w:t>
      </w:r>
      <w:r w:rsidRPr="002D4CFD">
        <w:rPr>
          <w:rFonts w:eastAsia="DengXian"/>
          <w:sz w:val="24"/>
        </w:rPr>
        <w:t>he dynamic production process</w:t>
      </w:r>
      <w:r w:rsidR="002E09B0">
        <w:rPr>
          <w:rFonts w:eastAsia="DengXian"/>
          <w:sz w:val="24"/>
        </w:rPr>
        <w:t xml:space="preserve"> described herein</w:t>
      </w:r>
      <w:r w:rsidRPr="002D4CFD">
        <w:rPr>
          <w:rFonts w:eastAsia="DengXian"/>
          <w:sz w:val="24"/>
        </w:rPr>
        <w:t xml:space="preserve"> aim</w:t>
      </w:r>
      <w:r w:rsidR="002E09B0">
        <w:rPr>
          <w:rFonts w:eastAsia="DengXian"/>
          <w:sz w:val="24"/>
        </w:rPr>
        <w:t>ed</w:t>
      </w:r>
      <w:r w:rsidRPr="002D4CFD">
        <w:rPr>
          <w:rFonts w:eastAsia="DengXian"/>
          <w:sz w:val="24"/>
        </w:rPr>
        <w:t xml:space="preserve"> to evaluate the relative efficiency of the industry's long-term operations brought about by 5G R&amp;D investment. From the first quarter of 2018 to the fourth quarter of 2020, the relative efficiency performance value of brand</w:t>
      </w:r>
      <w:r w:rsidR="002E09B0">
        <w:rPr>
          <w:rFonts w:eastAsia="DengXian"/>
          <w:sz w:val="24"/>
        </w:rPr>
        <w:t>-</w:t>
      </w:r>
      <w:r w:rsidRPr="002D4CFD">
        <w:rPr>
          <w:rFonts w:eastAsia="DengXian"/>
          <w:sz w:val="24"/>
        </w:rPr>
        <w:t>terminal compan</w:t>
      </w:r>
      <w:r w:rsidR="002E09B0">
        <w:rPr>
          <w:rFonts w:eastAsia="DengXian"/>
          <w:sz w:val="24"/>
        </w:rPr>
        <w:t>ies</w:t>
      </w:r>
      <w:r w:rsidRPr="002D4CFD">
        <w:rPr>
          <w:rFonts w:eastAsia="DengXian"/>
          <w:sz w:val="24"/>
        </w:rPr>
        <w:t xml:space="preserve"> </w:t>
      </w:r>
      <w:r w:rsidR="00E2730F">
        <w:rPr>
          <w:rFonts w:eastAsia="DengXian"/>
          <w:sz w:val="24"/>
        </w:rPr>
        <w:t xml:space="preserve">was found to be </w:t>
      </w:r>
      <w:r w:rsidRPr="002D4CFD">
        <w:rPr>
          <w:rFonts w:eastAsia="DengXian"/>
          <w:sz w:val="24"/>
        </w:rPr>
        <w:t>the highest at 0.917; the value of the design, manufacturing and assembly compan</w:t>
      </w:r>
      <w:r w:rsidR="002E09B0">
        <w:rPr>
          <w:rFonts w:eastAsia="DengXian"/>
          <w:sz w:val="24"/>
        </w:rPr>
        <w:t xml:space="preserve">ies </w:t>
      </w:r>
      <w:r w:rsidR="00E2730F">
        <w:rPr>
          <w:rFonts w:eastAsia="DengXian"/>
          <w:sz w:val="24"/>
        </w:rPr>
        <w:t>was</w:t>
      </w:r>
      <w:r w:rsidRPr="002D4CFD">
        <w:rPr>
          <w:rFonts w:eastAsia="DengXian"/>
          <w:sz w:val="24"/>
        </w:rPr>
        <w:t xml:space="preserve"> 0.882, the downstream</w:t>
      </w:r>
      <w:r w:rsidR="002E09B0">
        <w:rPr>
          <w:rFonts w:eastAsia="DengXian"/>
          <w:sz w:val="24"/>
        </w:rPr>
        <w:t xml:space="preserve"> companies’</w:t>
      </w:r>
      <w:r w:rsidRPr="002D4CFD">
        <w:rPr>
          <w:rFonts w:eastAsia="DengXian"/>
          <w:sz w:val="24"/>
        </w:rPr>
        <w:t xml:space="preserve"> relative efficiency value</w:t>
      </w:r>
      <w:r w:rsidR="002E09B0">
        <w:rPr>
          <w:rFonts w:eastAsia="DengXian"/>
          <w:sz w:val="24"/>
        </w:rPr>
        <w:t xml:space="preserve"> of </w:t>
      </w:r>
      <w:r w:rsidRPr="002D4CFD">
        <w:rPr>
          <w:rFonts w:eastAsia="DengXian"/>
          <w:sz w:val="24"/>
        </w:rPr>
        <w:t>0.869, while the key</w:t>
      </w:r>
      <w:r w:rsidR="002E09B0">
        <w:rPr>
          <w:rFonts w:eastAsia="DengXian"/>
          <w:sz w:val="24"/>
        </w:rPr>
        <w:t>-</w:t>
      </w:r>
      <w:r w:rsidRPr="002D4CFD">
        <w:rPr>
          <w:rFonts w:eastAsia="DengXian"/>
          <w:sz w:val="24"/>
        </w:rPr>
        <w:t>chip compan</w:t>
      </w:r>
      <w:r w:rsidR="002E09B0">
        <w:rPr>
          <w:rFonts w:eastAsia="DengXian"/>
          <w:sz w:val="24"/>
        </w:rPr>
        <w:t xml:space="preserve">ies’ </w:t>
      </w:r>
      <w:r w:rsidRPr="002D4CFD">
        <w:rPr>
          <w:rFonts w:eastAsia="DengXian"/>
          <w:sz w:val="24"/>
        </w:rPr>
        <w:t xml:space="preserve">value </w:t>
      </w:r>
      <w:r w:rsidR="00E2730F">
        <w:rPr>
          <w:rFonts w:eastAsia="DengXian"/>
          <w:sz w:val="24"/>
        </w:rPr>
        <w:t>was</w:t>
      </w:r>
      <w:r w:rsidRPr="002D4CFD">
        <w:rPr>
          <w:rFonts w:eastAsia="DengXian"/>
          <w:sz w:val="24"/>
        </w:rPr>
        <w:t xml:space="preserve"> only 0.638. At the 5% statistical level, a statistically significant differen</w:t>
      </w:r>
      <w:r w:rsidR="00E2730F">
        <w:rPr>
          <w:rFonts w:eastAsia="DengXian"/>
          <w:sz w:val="24"/>
        </w:rPr>
        <w:t xml:space="preserve">t </w:t>
      </w:r>
      <w:r w:rsidRPr="002D4CFD">
        <w:rPr>
          <w:rFonts w:eastAsia="DengXian"/>
          <w:sz w:val="24"/>
        </w:rPr>
        <w:t>relationship</w:t>
      </w:r>
      <w:r w:rsidR="00E2730F">
        <w:rPr>
          <w:rFonts w:eastAsia="DengXian"/>
          <w:sz w:val="24"/>
        </w:rPr>
        <w:t xml:space="preserve"> was detected between </w:t>
      </w:r>
      <w:r w:rsidRPr="002D4CFD">
        <w:rPr>
          <w:rFonts w:eastAsia="DengXian"/>
          <w:sz w:val="24"/>
        </w:rPr>
        <w:t xml:space="preserve">industries and business performance (as shown in Table 4 and Figure 3). This </w:t>
      </w:r>
      <w:r w:rsidR="00E2730F">
        <w:rPr>
          <w:rFonts w:eastAsia="DengXian"/>
          <w:sz w:val="24"/>
        </w:rPr>
        <w:t xml:space="preserve">can most likely be explained by the fact that </w:t>
      </w:r>
      <w:r w:rsidRPr="002D4CFD">
        <w:rPr>
          <w:rFonts w:eastAsia="DengXian"/>
          <w:sz w:val="24"/>
        </w:rPr>
        <w:t>the profits of the IC design, manufacturing and assembly industr</w:t>
      </w:r>
      <w:r w:rsidR="002E09B0">
        <w:rPr>
          <w:rFonts w:eastAsia="DengXian"/>
          <w:sz w:val="24"/>
        </w:rPr>
        <w:t>y</w:t>
      </w:r>
      <w:r w:rsidRPr="002D4CFD">
        <w:rPr>
          <w:rFonts w:eastAsia="DengXian"/>
          <w:sz w:val="24"/>
        </w:rPr>
        <w:t xml:space="preserve"> have been </w:t>
      </w:r>
      <w:r w:rsidR="00E2730F">
        <w:rPr>
          <w:rFonts w:eastAsia="DengXian"/>
          <w:sz w:val="24"/>
        </w:rPr>
        <w:t xml:space="preserve">recently </w:t>
      </w:r>
      <w:r w:rsidRPr="002D4CFD">
        <w:rPr>
          <w:rFonts w:eastAsia="DengXian"/>
          <w:sz w:val="24"/>
        </w:rPr>
        <w:t>pushed to new h</w:t>
      </w:r>
      <w:r w:rsidR="00E2730F">
        <w:rPr>
          <w:rFonts w:eastAsia="DengXian"/>
          <w:sz w:val="24"/>
        </w:rPr>
        <w:t xml:space="preserve">eights </w:t>
      </w:r>
      <w:r w:rsidRPr="002D4CFD">
        <w:rPr>
          <w:rFonts w:eastAsia="DengXian"/>
          <w:sz w:val="24"/>
        </w:rPr>
        <w:t>by Taiwan Semiconductor Manufacturing Co. (TSMC) and other superstar</w:t>
      </w:r>
      <w:r w:rsidR="00E2730F">
        <w:rPr>
          <w:rFonts w:eastAsia="DengXian"/>
          <w:sz w:val="24"/>
        </w:rPr>
        <w:t>-</w:t>
      </w:r>
      <w:r w:rsidRPr="002D4CFD">
        <w:rPr>
          <w:rFonts w:eastAsia="DengXian"/>
          <w:sz w:val="24"/>
        </w:rPr>
        <w:t>firms in the industry. As for key chips</w:t>
      </w:r>
      <w:r w:rsidR="00E2730F">
        <w:rPr>
          <w:rFonts w:eastAsia="DengXian"/>
          <w:sz w:val="24"/>
        </w:rPr>
        <w:t>,</w:t>
      </w:r>
      <w:r w:rsidRPr="002D4CFD">
        <w:rPr>
          <w:rFonts w:eastAsia="DengXian"/>
          <w:sz w:val="24"/>
        </w:rPr>
        <w:t xml:space="preserve"> </w:t>
      </w:r>
      <w:r w:rsidR="002E09B0">
        <w:rPr>
          <w:rFonts w:eastAsia="DengXian"/>
          <w:sz w:val="24"/>
        </w:rPr>
        <w:t>their</w:t>
      </w:r>
      <w:r w:rsidRPr="002D4CFD">
        <w:rPr>
          <w:rFonts w:eastAsia="DengXian"/>
          <w:sz w:val="24"/>
        </w:rPr>
        <w:t xml:space="preserve"> performance </w:t>
      </w:r>
      <w:r w:rsidR="002E09B0">
        <w:rPr>
          <w:rFonts w:eastAsia="DengXian"/>
          <w:sz w:val="24"/>
        </w:rPr>
        <w:t xml:space="preserve">probably </w:t>
      </w:r>
      <w:r w:rsidR="00E2730F">
        <w:rPr>
          <w:rFonts w:eastAsia="DengXian"/>
          <w:sz w:val="24"/>
        </w:rPr>
        <w:t>derives from the fact that</w:t>
      </w:r>
      <w:r w:rsidRPr="002D4CFD">
        <w:rPr>
          <w:rFonts w:eastAsia="DengXian"/>
          <w:sz w:val="24"/>
        </w:rPr>
        <w:t xml:space="preserve"> two chip manufacturing companies, Mediatek</w:t>
      </w:r>
      <w:r w:rsidR="00E2730F">
        <w:rPr>
          <w:rFonts w:eastAsia="DengXian"/>
          <w:sz w:val="24"/>
        </w:rPr>
        <w:t>,</w:t>
      </w:r>
      <w:r w:rsidRPr="002D4CFD">
        <w:rPr>
          <w:rFonts w:eastAsia="DengXian"/>
          <w:sz w:val="24"/>
        </w:rPr>
        <w:t xml:space="preserve"> Inc. and Realtek Semiconductor Corporation, </w:t>
      </w:r>
      <w:r w:rsidR="00E2730F">
        <w:rPr>
          <w:rFonts w:eastAsia="DengXian"/>
          <w:sz w:val="24"/>
        </w:rPr>
        <w:t xml:space="preserve">were successful </w:t>
      </w:r>
      <w:r w:rsidR="002E09B0">
        <w:rPr>
          <w:rFonts w:eastAsia="DengXian"/>
          <w:sz w:val="24"/>
        </w:rPr>
        <w:t xml:space="preserve">at </w:t>
      </w:r>
      <w:r w:rsidR="00E2730F">
        <w:rPr>
          <w:rFonts w:eastAsia="DengXian"/>
          <w:sz w:val="24"/>
        </w:rPr>
        <w:t xml:space="preserve">maintaining </w:t>
      </w:r>
      <w:r w:rsidR="002E09B0">
        <w:rPr>
          <w:rFonts w:eastAsia="DengXian"/>
          <w:sz w:val="24"/>
        </w:rPr>
        <w:t xml:space="preserve">positive </w:t>
      </w:r>
      <w:r w:rsidR="00E2730F">
        <w:rPr>
          <w:rFonts w:eastAsia="DengXian"/>
          <w:sz w:val="24"/>
        </w:rPr>
        <w:t xml:space="preserve">profits. </w:t>
      </w:r>
    </w:p>
    <w:p w:rsidR="00E2730F" w:rsidRDefault="00E2730F" w:rsidP="00E90D1C">
      <w:pPr>
        <w:adjustRightInd w:val="0"/>
        <w:snapToGrid w:val="0"/>
        <w:spacing w:before="100" w:beforeAutospacing="1" w:after="100" w:afterAutospacing="1" w:line="480" w:lineRule="auto"/>
        <w:ind w:firstLine="480"/>
        <w:rPr>
          <w:rFonts w:eastAsia="DengXian"/>
          <w:sz w:val="24"/>
        </w:rPr>
      </w:pPr>
      <w:r>
        <w:rPr>
          <w:rFonts w:eastAsia="DengXian"/>
          <w:sz w:val="24"/>
        </w:rPr>
        <w:t xml:space="preserve">The analysis of the </w:t>
      </w:r>
      <w:r w:rsidR="002D4CFD" w:rsidRPr="002D4CFD">
        <w:rPr>
          <w:rFonts w:eastAsia="DengXian"/>
          <w:sz w:val="24"/>
        </w:rPr>
        <w:t>operating performance of 30 5G</w:t>
      </w:r>
      <w:r>
        <w:rPr>
          <w:rFonts w:eastAsia="DengXian"/>
          <w:sz w:val="24"/>
        </w:rPr>
        <w:t>-</w:t>
      </w:r>
      <w:r w:rsidR="002D4CFD" w:rsidRPr="002D4CFD">
        <w:rPr>
          <w:rFonts w:eastAsia="DengXian"/>
          <w:sz w:val="24"/>
        </w:rPr>
        <w:t xml:space="preserve">industry companies </w:t>
      </w:r>
      <w:r>
        <w:rPr>
          <w:rFonts w:eastAsia="DengXian"/>
          <w:sz w:val="24"/>
        </w:rPr>
        <w:t>f</w:t>
      </w:r>
      <w:r w:rsidRPr="002D4CFD">
        <w:rPr>
          <w:rFonts w:eastAsia="DengXian"/>
          <w:sz w:val="24"/>
        </w:rPr>
        <w:t>rom the first quarter of 2018 to the fourth quarter of 2020</w:t>
      </w:r>
      <w:r>
        <w:rPr>
          <w:rFonts w:eastAsia="DengXian"/>
          <w:sz w:val="24"/>
        </w:rPr>
        <w:t xml:space="preserve"> </w:t>
      </w:r>
      <w:r w:rsidR="002D4CFD" w:rsidRPr="002D4CFD">
        <w:rPr>
          <w:rFonts w:eastAsia="DengXian"/>
          <w:sz w:val="24"/>
        </w:rPr>
        <w:t xml:space="preserve">is </w:t>
      </w:r>
      <w:r>
        <w:rPr>
          <w:rFonts w:eastAsia="DengXian"/>
          <w:sz w:val="24"/>
        </w:rPr>
        <w:t>depicted</w:t>
      </w:r>
      <w:r w:rsidR="002D4CFD" w:rsidRPr="002D4CFD">
        <w:rPr>
          <w:rFonts w:eastAsia="DengXian"/>
          <w:sz w:val="24"/>
        </w:rPr>
        <w:t xml:space="preserve"> in Table 5</w:t>
      </w:r>
      <w:r>
        <w:rPr>
          <w:rFonts w:eastAsia="DengXian"/>
          <w:sz w:val="24"/>
        </w:rPr>
        <w:t>.</w:t>
      </w:r>
    </w:p>
    <w:p w:rsidR="00993806" w:rsidRDefault="002D4CFD" w:rsidP="00E90D1C">
      <w:pPr>
        <w:adjustRightInd w:val="0"/>
        <w:snapToGrid w:val="0"/>
        <w:spacing w:before="100" w:beforeAutospacing="1" w:after="100" w:afterAutospacing="1" w:line="480" w:lineRule="auto"/>
        <w:ind w:firstLine="480"/>
        <w:rPr>
          <w:rFonts w:eastAsia="DengXian"/>
          <w:sz w:val="24"/>
        </w:rPr>
      </w:pPr>
      <w:r w:rsidRPr="002D4CFD">
        <w:rPr>
          <w:rFonts w:eastAsia="DengXian"/>
          <w:sz w:val="24"/>
        </w:rPr>
        <w:t>Table 5 shows the average dynamic relative efficiency of each overall sample</w:t>
      </w:r>
      <w:r w:rsidR="00E2730F">
        <w:rPr>
          <w:rFonts w:eastAsia="DengXian"/>
          <w:sz w:val="24"/>
        </w:rPr>
        <w:t xml:space="preserve"> </w:t>
      </w:r>
      <w:r w:rsidRPr="002D4CFD">
        <w:rPr>
          <w:rFonts w:eastAsia="DengXian"/>
          <w:sz w:val="24"/>
        </w:rPr>
        <w:t xml:space="preserve">and </w:t>
      </w:r>
      <w:r w:rsidR="00E2730F">
        <w:rPr>
          <w:rFonts w:eastAsia="DengXian"/>
          <w:sz w:val="24"/>
        </w:rPr>
        <w:t xml:space="preserve">makes a distinction between </w:t>
      </w:r>
      <w:r w:rsidR="00993806">
        <w:rPr>
          <w:rFonts w:eastAsia="DengXian"/>
          <w:sz w:val="24"/>
        </w:rPr>
        <w:t>a</w:t>
      </w:r>
      <w:r w:rsidRPr="002D4CFD">
        <w:rPr>
          <w:rFonts w:eastAsia="DengXian"/>
          <w:sz w:val="24"/>
        </w:rPr>
        <w:t xml:space="preserve"> compan</w:t>
      </w:r>
      <w:r w:rsidR="00993806">
        <w:rPr>
          <w:rFonts w:eastAsia="DengXian"/>
          <w:sz w:val="24"/>
        </w:rPr>
        <w:t>y’s</w:t>
      </w:r>
      <w:r w:rsidRPr="002D4CFD">
        <w:rPr>
          <w:rFonts w:eastAsia="DengXian"/>
          <w:sz w:val="24"/>
        </w:rPr>
        <w:t xml:space="preserve"> performance </w:t>
      </w:r>
      <w:r w:rsidR="00993806" w:rsidRPr="002D4CFD">
        <w:rPr>
          <w:rFonts w:eastAsia="DengXian"/>
          <w:sz w:val="24"/>
        </w:rPr>
        <w:t xml:space="preserve">in industry development </w:t>
      </w:r>
      <w:r w:rsidR="00993806">
        <w:rPr>
          <w:rFonts w:eastAsia="DengXian"/>
          <w:sz w:val="24"/>
        </w:rPr>
        <w:t xml:space="preserve">prior to </w:t>
      </w:r>
      <w:r w:rsidRPr="002D4CFD">
        <w:rPr>
          <w:rFonts w:eastAsia="DengXian"/>
          <w:sz w:val="24"/>
        </w:rPr>
        <w:t xml:space="preserve">the implementation of 5G R&amp;D investment and </w:t>
      </w:r>
      <w:r w:rsidR="00993806">
        <w:rPr>
          <w:rFonts w:eastAsia="DengXian"/>
          <w:sz w:val="24"/>
        </w:rPr>
        <w:t xml:space="preserve">its </w:t>
      </w:r>
      <w:r w:rsidRPr="002D4CFD">
        <w:rPr>
          <w:rFonts w:eastAsia="DengXian"/>
          <w:sz w:val="24"/>
        </w:rPr>
        <w:t xml:space="preserve">performance </w:t>
      </w:r>
      <w:r w:rsidR="00993806">
        <w:rPr>
          <w:rFonts w:eastAsia="DengXian"/>
          <w:sz w:val="24"/>
        </w:rPr>
        <w:t>following</w:t>
      </w:r>
      <w:r w:rsidRPr="002D4CFD">
        <w:rPr>
          <w:rFonts w:eastAsia="DengXian"/>
          <w:sz w:val="24"/>
        </w:rPr>
        <w:t xml:space="preserve"> the implementation of industry development from the overall sample. In order to </w:t>
      </w:r>
      <w:r w:rsidR="00993806">
        <w:rPr>
          <w:rFonts w:eastAsia="DengXian"/>
          <w:sz w:val="24"/>
        </w:rPr>
        <w:t>ascertain</w:t>
      </w:r>
      <w:r w:rsidRPr="002D4CFD">
        <w:rPr>
          <w:rFonts w:eastAsia="DengXian"/>
          <w:sz w:val="24"/>
        </w:rPr>
        <w:t xml:space="preserve"> whether</w:t>
      </w:r>
      <w:r w:rsidR="00993806">
        <w:rPr>
          <w:rFonts w:eastAsia="DengXian"/>
          <w:sz w:val="24"/>
        </w:rPr>
        <w:t xml:space="preserve"> not</w:t>
      </w:r>
      <w:r w:rsidRPr="002D4CFD">
        <w:rPr>
          <w:rFonts w:eastAsia="DengXian"/>
          <w:sz w:val="24"/>
        </w:rPr>
        <w:t xml:space="preserve"> there </w:t>
      </w:r>
      <w:r w:rsidR="00993806">
        <w:rPr>
          <w:rFonts w:eastAsia="DengXian"/>
          <w:sz w:val="24"/>
        </w:rPr>
        <w:t xml:space="preserve">was </w:t>
      </w:r>
      <w:r w:rsidRPr="002D4CFD">
        <w:rPr>
          <w:rFonts w:eastAsia="DengXian"/>
          <w:sz w:val="24"/>
        </w:rPr>
        <w:t xml:space="preserve">a statistically significant difference in relative efficiency before and after the implementation of industrial development, the Nonparametric Methods Kruskal-Wallis Test </w:t>
      </w:r>
      <w:r w:rsidR="00993806">
        <w:rPr>
          <w:rFonts w:eastAsia="DengXian"/>
          <w:sz w:val="24"/>
        </w:rPr>
        <w:t>was</w:t>
      </w:r>
      <w:r w:rsidRPr="002D4CFD">
        <w:rPr>
          <w:rFonts w:eastAsia="DengXian"/>
          <w:sz w:val="24"/>
        </w:rPr>
        <w:t xml:space="preserve"> used to measure the score of the non-parametric distribution function. </w:t>
      </w:r>
    </w:p>
    <w:p w:rsidR="00993806" w:rsidRDefault="002D4CFD" w:rsidP="00E90D1C">
      <w:pPr>
        <w:adjustRightInd w:val="0"/>
        <w:snapToGrid w:val="0"/>
        <w:spacing w:before="100" w:beforeAutospacing="1" w:after="100" w:afterAutospacing="1" w:line="480" w:lineRule="auto"/>
        <w:ind w:firstLine="480"/>
        <w:rPr>
          <w:rFonts w:eastAsia="DengXian"/>
          <w:sz w:val="24"/>
        </w:rPr>
      </w:pPr>
      <w:r w:rsidRPr="002D4CFD">
        <w:rPr>
          <w:rFonts w:eastAsia="DengXian"/>
          <w:sz w:val="24"/>
        </w:rPr>
        <w:t xml:space="preserve">As shown in Table 5, the average </w:t>
      </w:r>
      <w:r w:rsidR="00993806" w:rsidRPr="002D4CFD">
        <w:rPr>
          <w:rFonts w:eastAsia="DengXian"/>
          <w:sz w:val="24"/>
        </w:rPr>
        <w:t xml:space="preserve">5G industry development </w:t>
      </w:r>
      <w:r w:rsidRPr="002D4CFD">
        <w:rPr>
          <w:rFonts w:eastAsia="DengXian"/>
          <w:sz w:val="24"/>
        </w:rPr>
        <w:t xml:space="preserve">efficiency score before the implementation of R&amp;D investment </w:t>
      </w:r>
      <w:r w:rsidR="00993806">
        <w:rPr>
          <w:rFonts w:eastAsia="DengXian"/>
          <w:sz w:val="24"/>
        </w:rPr>
        <w:t>was</w:t>
      </w:r>
      <w:r w:rsidRPr="002D4CFD">
        <w:rPr>
          <w:rFonts w:eastAsia="DengXian"/>
          <w:sz w:val="24"/>
        </w:rPr>
        <w:t xml:space="preserve"> 0.827, </w:t>
      </w:r>
      <w:r w:rsidR="00993806">
        <w:rPr>
          <w:rFonts w:eastAsia="DengXian"/>
          <w:sz w:val="24"/>
        </w:rPr>
        <w:t xml:space="preserve">which is </w:t>
      </w:r>
      <w:r w:rsidRPr="002D4CFD">
        <w:rPr>
          <w:rFonts w:eastAsia="DengXian"/>
          <w:sz w:val="24"/>
        </w:rPr>
        <w:t>slightly higher than the average efficiency score of 0.824</w:t>
      </w:r>
      <w:r w:rsidR="00993806">
        <w:rPr>
          <w:rFonts w:eastAsia="DengXian"/>
          <w:sz w:val="24"/>
        </w:rPr>
        <w:t xml:space="preserve"> following</w:t>
      </w:r>
      <w:r w:rsidRPr="002D4CFD">
        <w:rPr>
          <w:rFonts w:eastAsia="DengXian"/>
          <w:sz w:val="24"/>
        </w:rPr>
        <w:t xml:space="preserve"> the implementation of industrial development</w:t>
      </w:r>
      <w:r w:rsidR="00993806">
        <w:rPr>
          <w:rFonts w:eastAsia="DengXian"/>
          <w:sz w:val="24"/>
        </w:rPr>
        <w:t xml:space="preserve">; however, as far as </w:t>
      </w:r>
      <w:r w:rsidRPr="002D4CFD">
        <w:rPr>
          <w:rFonts w:eastAsia="DengXian"/>
          <w:sz w:val="24"/>
        </w:rPr>
        <w:t xml:space="preserve">key chip, design, manufacturing and assembly, brand terminals, downstream and other industry categories are </w:t>
      </w:r>
      <w:r w:rsidR="00993806">
        <w:rPr>
          <w:rFonts w:eastAsia="DengXian"/>
          <w:sz w:val="24"/>
        </w:rPr>
        <w:t>concerned there was a</w:t>
      </w:r>
      <w:r w:rsidRPr="002D4CFD">
        <w:rPr>
          <w:rFonts w:eastAsia="DengXian"/>
          <w:sz w:val="24"/>
        </w:rPr>
        <w:t xml:space="preserve"> significant difference in company performance </w:t>
      </w:r>
      <w:r w:rsidR="00993806">
        <w:rPr>
          <w:rFonts w:eastAsia="DengXian"/>
          <w:sz w:val="24"/>
        </w:rPr>
        <w:t>prior to</w:t>
      </w:r>
      <w:r w:rsidRPr="002D4CFD">
        <w:rPr>
          <w:rFonts w:eastAsia="DengXian"/>
          <w:sz w:val="24"/>
        </w:rPr>
        <w:t xml:space="preserve"> the implementation of industrial development, but </w:t>
      </w:r>
      <w:r w:rsidR="00993806">
        <w:rPr>
          <w:rFonts w:eastAsia="DengXian"/>
          <w:sz w:val="24"/>
        </w:rPr>
        <w:t xml:space="preserve">there was </w:t>
      </w:r>
      <w:r w:rsidRPr="002D4CFD">
        <w:rPr>
          <w:rFonts w:eastAsia="DengXian"/>
          <w:sz w:val="24"/>
        </w:rPr>
        <w:t xml:space="preserve">no significant difference after the implementation of industrial development. </w:t>
      </w:r>
    </w:p>
    <w:p w:rsidR="00993806" w:rsidRDefault="00993806" w:rsidP="00E90D1C">
      <w:pPr>
        <w:adjustRightInd w:val="0"/>
        <w:snapToGrid w:val="0"/>
        <w:spacing w:before="100" w:beforeAutospacing="1" w:after="100" w:afterAutospacing="1" w:line="480" w:lineRule="auto"/>
        <w:ind w:firstLine="480"/>
        <w:rPr>
          <w:rFonts w:eastAsia="DengXian"/>
          <w:sz w:val="24"/>
        </w:rPr>
      </w:pPr>
      <w:r>
        <w:rPr>
          <w:rFonts w:eastAsia="DengXian"/>
          <w:sz w:val="24"/>
        </w:rPr>
        <w:t>T</w:t>
      </w:r>
      <w:r w:rsidR="002D4CFD" w:rsidRPr="002D4CFD">
        <w:rPr>
          <w:rFonts w:eastAsia="DengXian"/>
          <w:sz w:val="24"/>
        </w:rPr>
        <w:t xml:space="preserve">he performance scores of companies in </w:t>
      </w:r>
      <w:r>
        <w:rPr>
          <w:rFonts w:eastAsia="DengXian"/>
          <w:sz w:val="24"/>
        </w:rPr>
        <w:t xml:space="preserve">the </w:t>
      </w:r>
      <w:r w:rsidR="002D4CFD" w:rsidRPr="002D4CFD">
        <w:rPr>
          <w:rFonts w:eastAsia="DengXian"/>
          <w:sz w:val="24"/>
        </w:rPr>
        <w:t>key chip industry categor</w:t>
      </w:r>
      <w:r>
        <w:rPr>
          <w:rFonts w:eastAsia="DengXian"/>
          <w:sz w:val="24"/>
        </w:rPr>
        <w:t>y</w:t>
      </w:r>
      <w:r w:rsidR="002D4CFD" w:rsidRPr="002D4CFD">
        <w:rPr>
          <w:rFonts w:eastAsia="DengXian"/>
          <w:sz w:val="24"/>
        </w:rPr>
        <w:t xml:space="preserve"> increased</w:t>
      </w:r>
      <w:r>
        <w:rPr>
          <w:rFonts w:eastAsia="DengXian"/>
          <w:sz w:val="24"/>
        </w:rPr>
        <w:t xml:space="preserve"> b</w:t>
      </w:r>
      <w:r w:rsidRPr="002D4CFD">
        <w:rPr>
          <w:rFonts w:eastAsia="DengXian"/>
          <w:sz w:val="24"/>
        </w:rPr>
        <w:t>efore and after the implementation of the industry development,</w:t>
      </w:r>
      <w:r>
        <w:rPr>
          <w:rFonts w:eastAsia="DengXian"/>
          <w:sz w:val="24"/>
        </w:rPr>
        <w:t xml:space="preserve"> </w:t>
      </w:r>
      <w:r w:rsidR="002D4CFD" w:rsidRPr="002D4CFD">
        <w:rPr>
          <w:rFonts w:eastAsia="DengXian"/>
          <w:sz w:val="24"/>
        </w:rPr>
        <w:t>companies in the design, manufacturing and assembly industries</w:t>
      </w:r>
      <w:r>
        <w:rPr>
          <w:rFonts w:eastAsia="DengXian"/>
          <w:sz w:val="24"/>
        </w:rPr>
        <w:t xml:space="preserve"> category</w:t>
      </w:r>
      <w:r w:rsidR="002D4CFD" w:rsidRPr="002D4CFD">
        <w:rPr>
          <w:rFonts w:eastAsia="DengXian"/>
          <w:sz w:val="24"/>
        </w:rPr>
        <w:t xml:space="preserve"> remained stable, and the performance of</w:t>
      </w:r>
      <w:r>
        <w:rPr>
          <w:rFonts w:eastAsia="DengXian"/>
          <w:sz w:val="24"/>
        </w:rPr>
        <w:t xml:space="preserve"> industry-</w:t>
      </w:r>
      <w:r w:rsidR="002D4CFD" w:rsidRPr="002D4CFD">
        <w:rPr>
          <w:rFonts w:eastAsia="DengXian"/>
          <w:sz w:val="24"/>
        </w:rPr>
        <w:t>related companies</w:t>
      </w:r>
      <w:r>
        <w:rPr>
          <w:rFonts w:eastAsia="DengXian"/>
          <w:sz w:val="24"/>
        </w:rPr>
        <w:t>,</w:t>
      </w:r>
      <w:r w:rsidR="002D4CFD" w:rsidRPr="002D4CFD">
        <w:rPr>
          <w:rFonts w:eastAsia="DengXian"/>
          <w:sz w:val="24"/>
        </w:rPr>
        <w:t xml:space="preserve"> such as brand terminal downstream</w:t>
      </w:r>
      <w:r>
        <w:rPr>
          <w:rFonts w:eastAsia="DengXian"/>
          <w:sz w:val="24"/>
        </w:rPr>
        <w:t>,</w:t>
      </w:r>
      <w:r w:rsidR="002D4CFD" w:rsidRPr="002D4CFD">
        <w:rPr>
          <w:rFonts w:eastAsia="DengXian"/>
          <w:sz w:val="24"/>
        </w:rPr>
        <w:t xml:space="preserve"> declined. </w:t>
      </w:r>
    </w:p>
    <w:p w:rsidR="002D4CFD" w:rsidRPr="002D4CFD" w:rsidRDefault="002D4CFD" w:rsidP="00E90D1C">
      <w:pPr>
        <w:adjustRightInd w:val="0"/>
        <w:snapToGrid w:val="0"/>
        <w:spacing w:before="100" w:beforeAutospacing="1" w:after="100" w:afterAutospacing="1" w:line="480" w:lineRule="auto"/>
        <w:ind w:firstLine="480"/>
        <w:rPr>
          <w:rFonts w:eastAsia="DengXian"/>
          <w:sz w:val="24"/>
        </w:rPr>
      </w:pPr>
      <w:r w:rsidRPr="002D4CFD">
        <w:rPr>
          <w:rFonts w:eastAsia="DengXian"/>
          <w:sz w:val="24"/>
        </w:rPr>
        <w:t xml:space="preserve">In sum, the R&amp;D capabilities </w:t>
      </w:r>
      <w:r w:rsidR="00993806">
        <w:rPr>
          <w:rFonts w:eastAsia="DengXian"/>
          <w:sz w:val="24"/>
        </w:rPr>
        <w:t xml:space="preserve">of </w:t>
      </w:r>
      <w:r w:rsidRPr="002D4CFD">
        <w:rPr>
          <w:rFonts w:eastAsia="DengXian"/>
          <w:sz w:val="24"/>
        </w:rPr>
        <w:t xml:space="preserve">the </w:t>
      </w:r>
      <w:r w:rsidR="00993806" w:rsidRPr="002D4CFD">
        <w:rPr>
          <w:rFonts w:eastAsia="DengXian"/>
          <w:sz w:val="24"/>
        </w:rPr>
        <w:t xml:space="preserve">5G industry </w:t>
      </w:r>
      <w:r w:rsidRPr="002D4CFD">
        <w:rPr>
          <w:rFonts w:eastAsia="DengXian"/>
          <w:sz w:val="24"/>
        </w:rPr>
        <w:t xml:space="preserve">key wafer </w:t>
      </w:r>
      <w:r w:rsidR="00AB51AA">
        <w:rPr>
          <w:rFonts w:eastAsia="DengXian"/>
          <w:sz w:val="24"/>
        </w:rPr>
        <w:t xml:space="preserve">companies examined </w:t>
      </w:r>
      <w:r w:rsidRPr="002D4CFD">
        <w:rPr>
          <w:rFonts w:eastAsia="DengXian"/>
          <w:sz w:val="24"/>
        </w:rPr>
        <w:t xml:space="preserve">in this sample </w:t>
      </w:r>
      <w:r w:rsidR="00AB51AA">
        <w:rPr>
          <w:rFonts w:eastAsia="DengXian"/>
          <w:sz w:val="24"/>
        </w:rPr>
        <w:t>were successful as obtaining</w:t>
      </w:r>
      <w:r w:rsidRPr="002D4CFD">
        <w:rPr>
          <w:rFonts w:eastAsia="DengXian"/>
          <w:sz w:val="24"/>
        </w:rPr>
        <w:t xml:space="preserve"> the funds required for R&amp;D investment due to </w:t>
      </w:r>
      <w:r w:rsidR="00AB51AA">
        <w:rPr>
          <w:rFonts w:eastAsia="DengXian"/>
          <w:sz w:val="24"/>
        </w:rPr>
        <w:t xml:space="preserve">the </w:t>
      </w:r>
      <w:r w:rsidRPr="002D4CFD">
        <w:rPr>
          <w:rFonts w:eastAsia="DengXian"/>
          <w:sz w:val="24"/>
        </w:rPr>
        <w:t>abundan</w:t>
      </w:r>
      <w:r w:rsidR="00AB51AA">
        <w:rPr>
          <w:rFonts w:eastAsia="DengXian"/>
          <w:sz w:val="24"/>
        </w:rPr>
        <w:t>ce of</w:t>
      </w:r>
      <w:r w:rsidRPr="002D4CFD">
        <w:rPr>
          <w:rFonts w:eastAsia="DengXian"/>
          <w:sz w:val="24"/>
        </w:rPr>
        <w:t xml:space="preserve"> resource advantages</w:t>
      </w:r>
      <w:r w:rsidR="00AB51AA">
        <w:rPr>
          <w:rFonts w:eastAsia="DengXian"/>
          <w:sz w:val="24"/>
        </w:rPr>
        <w:t>,</w:t>
      </w:r>
      <w:r w:rsidRPr="002D4CFD">
        <w:rPr>
          <w:rFonts w:eastAsia="DengXian"/>
          <w:sz w:val="24"/>
        </w:rPr>
        <w:t xml:space="preserve"> such as talent, capital, technology and management capabilities. </w:t>
      </w:r>
      <w:r w:rsidR="00AB51AA">
        <w:rPr>
          <w:rFonts w:eastAsia="DengXian"/>
          <w:sz w:val="24"/>
        </w:rPr>
        <w:t xml:space="preserve">These, subsequently, increased a </w:t>
      </w:r>
      <w:r w:rsidRPr="002D4CFD">
        <w:rPr>
          <w:rFonts w:eastAsia="DengXian"/>
          <w:sz w:val="24"/>
        </w:rPr>
        <w:t>company’s overall performance by improving key technologies and</w:t>
      </w:r>
      <w:r w:rsidR="00AB51AA">
        <w:rPr>
          <w:rFonts w:eastAsia="DengXian"/>
          <w:sz w:val="24"/>
        </w:rPr>
        <w:t xml:space="preserve"> implementing them in to</w:t>
      </w:r>
      <w:r w:rsidRPr="002D4CFD">
        <w:rPr>
          <w:rFonts w:eastAsia="DengXian"/>
          <w:sz w:val="24"/>
        </w:rPr>
        <w:t xml:space="preserve"> the company’s internal network</w:t>
      </w:r>
      <w:r w:rsidR="00AB51AA">
        <w:rPr>
          <w:rFonts w:eastAsia="DengXian"/>
          <w:sz w:val="24"/>
        </w:rPr>
        <w:t>.</w:t>
      </w:r>
    </w:p>
    <w:p w:rsidR="009860C3" w:rsidRDefault="0057039E" w:rsidP="00A4450E">
      <w:pPr>
        <w:adjustRightInd w:val="0"/>
        <w:snapToGrid w:val="0"/>
        <w:spacing w:before="100" w:beforeAutospacing="1" w:after="100" w:afterAutospacing="1" w:line="480" w:lineRule="auto"/>
        <w:jc w:val="center"/>
        <w:rPr>
          <w:rFonts w:eastAsia="標楷體"/>
          <w:sz w:val="24"/>
        </w:rPr>
      </w:pPr>
      <w:r w:rsidRPr="0057039E">
        <w:rPr>
          <w:rFonts w:eastAsia="標楷體"/>
          <w:sz w:val="24"/>
        </w:rPr>
        <w:t>[Insert Table 5 here]</w:t>
      </w:r>
    </w:p>
    <w:p w:rsidR="002D4CFD" w:rsidRPr="002D4CFD" w:rsidRDefault="002D4CFD" w:rsidP="00526252">
      <w:pPr>
        <w:adjustRightInd w:val="0"/>
        <w:snapToGrid w:val="0"/>
        <w:spacing w:before="100" w:beforeAutospacing="1" w:after="100" w:afterAutospacing="1" w:line="480" w:lineRule="auto"/>
        <w:rPr>
          <w:rFonts w:eastAsia="DengXian"/>
          <w:sz w:val="24"/>
        </w:rPr>
      </w:pPr>
      <w:r w:rsidRPr="002D4CFD">
        <w:rPr>
          <w:rFonts w:eastAsia="DengXian"/>
          <w:sz w:val="24"/>
        </w:rPr>
        <w:t xml:space="preserve">The results </w:t>
      </w:r>
      <w:r w:rsidR="00AB51AA">
        <w:rPr>
          <w:rFonts w:eastAsia="DengXian"/>
          <w:sz w:val="24"/>
        </w:rPr>
        <w:t>of</w:t>
      </w:r>
      <w:r w:rsidRPr="002D4CFD">
        <w:rPr>
          <w:rFonts w:eastAsia="DengXian"/>
          <w:sz w:val="24"/>
        </w:rPr>
        <w:t xml:space="preserve"> Table 4 and Table 5 support </w:t>
      </w:r>
      <w:r w:rsidR="00AB51AA">
        <w:rPr>
          <w:rFonts w:eastAsia="DengXian"/>
          <w:sz w:val="24"/>
        </w:rPr>
        <w:t xml:space="preserve">the notion </w:t>
      </w:r>
      <w:r w:rsidRPr="002D4CFD">
        <w:rPr>
          <w:rFonts w:eastAsia="DengXian"/>
          <w:sz w:val="24"/>
        </w:rPr>
        <w:t xml:space="preserve">that </w:t>
      </w:r>
      <w:r w:rsidR="00AB51AA" w:rsidRPr="002D4CFD">
        <w:rPr>
          <w:rFonts w:eastAsia="DengXian"/>
          <w:sz w:val="24"/>
        </w:rPr>
        <w:t>5G</w:t>
      </w:r>
      <w:r w:rsidR="00AB51AA">
        <w:rPr>
          <w:rFonts w:eastAsia="DengXian"/>
          <w:sz w:val="24"/>
        </w:rPr>
        <w:t>-</w:t>
      </w:r>
      <w:r w:rsidR="00AB51AA" w:rsidRPr="002D4CFD">
        <w:rPr>
          <w:rFonts w:eastAsia="DengXian"/>
          <w:sz w:val="24"/>
        </w:rPr>
        <w:t>industry companies</w:t>
      </w:r>
      <w:r w:rsidR="00AB51AA">
        <w:rPr>
          <w:rFonts w:eastAsia="DengXian"/>
          <w:sz w:val="24"/>
        </w:rPr>
        <w:t>’</w:t>
      </w:r>
      <w:r w:rsidRPr="002D4CFD">
        <w:rPr>
          <w:rFonts w:eastAsia="DengXian"/>
          <w:sz w:val="24"/>
        </w:rPr>
        <w:t xml:space="preserve"> overall dynamic efficiency is related to </w:t>
      </w:r>
      <w:r w:rsidR="00AB51AA">
        <w:rPr>
          <w:rFonts w:eastAsia="DengXian"/>
          <w:sz w:val="24"/>
        </w:rPr>
        <w:t xml:space="preserve">its </w:t>
      </w:r>
      <w:r w:rsidRPr="002D4CFD">
        <w:rPr>
          <w:rFonts w:eastAsia="DengXian"/>
          <w:sz w:val="24"/>
        </w:rPr>
        <w:t xml:space="preserve">company category model before and after the implementation of industrial development. The estimated p-value range of the K-W test </w:t>
      </w:r>
      <w:r w:rsidR="00AB51AA">
        <w:rPr>
          <w:rFonts w:eastAsia="DengXian"/>
          <w:sz w:val="24"/>
        </w:rPr>
        <w:t>was</w:t>
      </w:r>
      <w:r w:rsidRPr="002D4CFD">
        <w:rPr>
          <w:rFonts w:eastAsia="DengXian"/>
          <w:sz w:val="24"/>
        </w:rPr>
        <w:t xml:space="preserve"> less than 0.05 overall, indicating that the null hypothesis of equal distribution cannot be rejected. </w:t>
      </w:r>
      <w:r w:rsidR="00AB51AA">
        <w:rPr>
          <w:rFonts w:eastAsia="DengXian"/>
          <w:sz w:val="24"/>
        </w:rPr>
        <w:t>In</w:t>
      </w:r>
      <w:r w:rsidR="00AB51AA" w:rsidRPr="002D4CFD">
        <w:rPr>
          <w:rFonts w:eastAsia="DengXian"/>
          <w:sz w:val="24"/>
        </w:rPr>
        <w:t>dustry</w:t>
      </w:r>
      <w:r w:rsidRPr="002D4CFD">
        <w:rPr>
          <w:rFonts w:eastAsia="DengXian"/>
          <w:sz w:val="24"/>
        </w:rPr>
        <w:t xml:space="preserve"> development </w:t>
      </w:r>
      <w:r w:rsidR="00AB51AA">
        <w:rPr>
          <w:rFonts w:eastAsia="DengXian"/>
          <w:sz w:val="24"/>
        </w:rPr>
        <w:t>was shown to be</w:t>
      </w:r>
      <w:r w:rsidRPr="002D4CFD">
        <w:rPr>
          <w:rFonts w:eastAsia="DengXian"/>
          <w:sz w:val="24"/>
        </w:rPr>
        <w:t xml:space="preserve"> less than 0.05 </w:t>
      </w:r>
      <w:r w:rsidR="00AB51AA">
        <w:rPr>
          <w:rFonts w:eastAsia="DengXian"/>
          <w:sz w:val="24"/>
        </w:rPr>
        <w:t>prior to</w:t>
      </w:r>
      <w:r w:rsidRPr="002D4CFD">
        <w:rPr>
          <w:rFonts w:eastAsia="DengXian"/>
          <w:sz w:val="24"/>
        </w:rPr>
        <w:t xml:space="preserve"> the implementation, indicating that the scale of R&amp;D and enterprise types are significantly positively correlated. The average efficiency of companies with high </w:t>
      </w:r>
      <w:r w:rsidR="00AB51AA">
        <w:rPr>
          <w:rFonts w:eastAsia="DengXian"/>
          <w:sz w:val="24"/>
        </w:rPr>
        <w:t xml:space="preserve">levels of </w:t>
      </w:r>
      <w:r w:rsidRPr="002D4CFD">
        <w:rPr>
          <w:rFonts w:eastAsia="DengXian"/>
          <w:sz w:val="24"/>
        </w:rPr>
        <w:t xml:space="preserve">R&amp;D </w:t>
      </w:r>
      <w:r w:rsidR="00AB51AA" w:rsidRPr="002D4CFD">
        <w:rPr>
          <w:rFonts w:eastAsia="DengXian"/>
          <w:sz w:val="24"/>
        </w:rPr>
        <w:t>in the post-industrial development period</w:t>
      </w:r>
      <w:r w:rsidR="00AB51AA">
        <w:rPr>
          <w:rFonts w:eastAsia="DengXian"/>
          <w:sz w:val="24"/>
        </w:rPr>
        <w:t xml:space="preserve"> was</w:t>
      </w:r>
      <w:r w:rsidRPr="002D4CFD">
        <w:rPr>
          <w:rFonts w:eastAsia="DengXian"/>
          <w:sz w:val="24"/>
        </w:rPr>
        <w:t xml:space="preserve"> higher than that of companies with low investment, and the difference </w:t>
      </w:r>
      <w:r w:rsidR="00AB51AA">
        <w:rPr>
          <w:rFonts w:eastAsia="DengXian"/>
          <w:sz w:val="24"/>
        </w:rPr>
        <w:t>was</w:t>
      </w:r>
      <w:r w:rsidRPr="002D4CFD">
        <w:rPr>
          <w:rFonts w:eastAsia="DengXian"/>
          <w:sz w:val="24"/>
        </w:rPr>
        <w:t xml:space="preserve"> very </w:t>
      </w:r>
      <w:r w:rsidR="00AB51AA">
        <w:rPr>
          <w:rFonts w:eastAsia="DengXian"/>
          <w:sz w:val="24"/>
        </w:rPr>
        <w:t>significant</w:t>
      </w:r>
      <w:r w:rsidRPr="002D4CFD">
        <w:rPr>
          <w:rFonts w:eastAsia="DengXian"/>
          <w:sz w:val="24"/>
        </w:rPr>
        <w:t>. The results</w:t>
      </w:r>
      <w:r w:rsidR="003F4BBD">
        <w:rPr>
          <w:rFonts w:eastAsia="DengXian"/>
          <w:sz w:val="24"/>
        </w:rPr>
        <w:t>, therefore,</w:t>
      </w:r>
      <w:r w:rsidRPr="002D4CFD">
        <w:rPr>
          <w:rFonts w:eastAsia="DengXian"/>
          <w:sz w:val="24"/>
        </w:rPr>
        <w:t xml:space="preserve"> confirm that downstream companies are farther from the effective frontier and have lower R&amp;D scale efficiency than key chip companies. However, the results of dynamic allocation efficiency</w:t>
      </w:r>
      <w:r w:rsidR="003F4BBD">
        <w:rPr>
          <w:rFonts w:eastAsia="DengXian"/>
          <w:sz w:val="24"/>
        </w:rPr>
        <w:t xml:space="preserve">, as shown </w:t>
      </w:r>
      <w:r w:rsidRPr="002D4CFD">
        <w:rPr>
          <w:rFonts w:eastAsia="DengXian"/>
          <w:sz w:val="24"/>
        </w:rPr>
        <w:t xml:space="preserve">in Tables 4 and 5 show that when selecting input and output combinations that minimize the inefficiency of R&amp;D capabilities, 5G downstream companies </w:t>
      </w:r>
      <w:r w:rsidR="003F4BBD">
        <w:rPr>
          <w:rFonts w:eastAsia="DengXian"/>
          <w:sz w:val="24"/>
        </w:rPr>
        <w:t>encounter</w:t>
      </w:r>
      <w:r w:rsidRPr="002D4CFD">
        <w:rPr>
          <w:rFonts w:eastAsia="DengXian"/>
          <w:sz w:val="24"/>
        </w:rPr>
        <w:t xml:space="preserve"> more problems with relatively low efficiency.</w:t>
      </w:r>
    </w:p>
    <w:p w:rsidR="009860C3" w:rsidRPr="00A4450E" w:rsidRDefault="0057039E" w:rsidP="009860C3">
      <w:pPr>
        <w:pStyle w:val="affe"/>
        <w:numPr>
          <w:ilvl w:val="0"/>
          <w:numId w:val="9"/>
        </w:numPr>
        <w:adjustRightInd w:val="0"/>
        <w:snapToGrid w:val="0"/>
        <w:spacing w:before="100" w:beforeAutospacing="1" w:after="100" w:afterAutospacing="1" w:line="480" w:lineRule="auto"/>
        <w:ind w:leftChars="0"/>
        <w:rPr>
          <w:rFonts w:eastAsia="標楷體"/>
          <w:b/>
          <w:sz w:val="24"/>
        </w:rPr>
      </w:pPr>
      <w:r w:rsidRPr="00A4450E">
        <w:rPr>
          <w:rFonts w:eastAsia="標楷體"/>
          <w:b/>
          <w:sz w:val="24"/>
        </w:rPr>
        <w:t>Conclusion</w:t>
      </w:r>
    </w:p>
    <w:p w:rsidR="002E09B0" w:rsidRDefault="002D4CFD" w:rsidP="00A4450E">
      <w:pPr>
        <w:pStyle w:val="affe"/>
        <w:adjustRightInd w:val="0"/>
        <w:snapToGrid w:val="0"/>
        <w:spacing w:before="100" w:beforeAutospacing="1" w:after="100" w:afterAutospacing="1" w:line="480" w:lineRule="auto"/>
        <w:ind w:leftChars="0" w:left="0" w:firstLine="426"/>
        <w:rPr>
          <w:rFonts w:eastAsia="DengXian"/>
          <w:sz w:val="24"/>
        </w:rPr>
      </w:pPr>
      <w:r w:rsidRPr="002D4CFD">
        <w:rPr>
          <w:rFonts w:eastAsia="DengXian"/>
          <w:sz w:val="24"/>
        </w:rPr>
        <w:t xml:space="preserve">This article </w:t>
      </w:r>
      <w:r w:rsidR="00E90D1C">
        <w:rPr>
          <w:rFonts w:eastAsia="DengXian"/>
          <w:sz w:val="24"/>
        </w:rPr>
        <w:t xml:space="preserve">offers </w:t>
      </w:r>
      <w:r w:rsidRPr="002D4CFD">
        <w:rPr>
          <w:rFonts w:eastAsia="DengXian"/>
          <w:sz w:val="24"/>
        </w:rPr>
        <w:t xml:space="preserve">three </w:t>
      </w:r>
      <w:r w:rsidR="003F4BBD">
        <w:rPr>
          <w:rFonts w:eastAsia="DengXian"/>
          <w:sz w:val="24"/>
        </w:rPr>
        <w:t xml:space="preserve">key </w:t>
      </w:r>
      <w:r w:rsidRPr="002D4CFD">
        <w:rPr>
          <w:rFonts w:eastAsia="DengXian"/>
          <w:sz w:val="24"/>
        </w:rPr>
        <w:t xml:space="preserve">contributions to our </w:t>
      </w:r>
      <w:r w:rsidR="00E90D1C">
        <w:rPr>
          <w:rFonts w:eastAsia="DengXian"/>
          <w:sz w:val="24"/>
        </w:rPr>
        <w:t xml:space="preserve">current </w:t>
      </w:r>
      <w:r w:rsidRPr="002D4CFD">
        <w:rPr>
          <w:rFonts w:eastAsia="DengXian"/>
          <w:sz w:val="24"/>
        </w:rPr>
        <w:t xml:space="preserve">understanding of the </w:t>
      </w:r>
      <w:r w:rsidR="00E90D1C">
        <w:rPr>
          <w:rFonts w:eastAsia="DengXian"/>
          <w:sz w:val="24"/>
        </w:rPr>
        <w:t xml:space="preserve">relative </w:t>
      </w:r>
      <w:r w:rsidRPr="002D4CFD">
        <w:rPr>
          <w:rFonts w:eastAsia="DengXian"/>
          <w:sz w:val="24"/>
        </w:rPr>
        <w:t>efficiency of the 5G industry. First, it</w:t>
      </w:r>
      <w:r w:rsidR="003F4BBD">
        <w:rPr>
          <w:rFonts w:eastAsia="DengXian"/>
          <w:sz w:val="24"/>
        </w:rPr>
        <w:t xml:space="preserve"> addresses a lacuna in the literature by focusing on the </w:t>
      </w:r>
      <w:r w:rsidR="003F4BBD" w:rsidRPr="002D4CFD">
        <w:rPr>
          <w:rFonts w:eastAsia="DengXian"/>
          <w:sz w:val="24"/>
        </w:rPr>
        <w:t>dynamic relative efficiency</w:t>
      </w:r>
      <w:r w:rsidRPr="002D4CFD">
        <w:rPr>
          <w:rFonts w:eastAsia="DengXian"/>
          <w:sz w:val="24"/>
        </w:rPr>
        <w:t xml:space="preserve"> </w:t>
      </w:r>
      <w:r w:rsidR="003F4BBD">
        <w:rPr>
          <w:rFonts w:eastAsia="DengXian"/>
          <w:sz w:val="24"/>
        </w:rPr>
        <w:t>of</w:t>
      </w:r>
      <w:r w:rsidRPr="002D4CFD">
        <w:rPr>
          <w:rFonts w:eastAsia="DengXian"/>
          <w:sz w:val="24"/>
        </w:rPr>
        <w:t xml:space="preserve"> companies in the 5G industry</w:t>
      </w:r>
      <w:r w:rsidR="003F4BBD">
        <w:rPr>
          <w:rFonts w:eastAsia="DengXian"/>
          <w:sz w:val="24"/>
        </w:rPr>
        <w:t xml:space="preserve">, an </w:t>
      </w:r>
      <w:r w:rsidRPr="002D4CFD">
        <w:rPr>
          <w:rFonts w:eastAsia="DengXian"/>
          <w:sz w:val="24"/>
        </w:rPr>
        <w:t xml:space="preserve">industry </w:t>
      </w:r>
      <w:r w:rsidR="003F4BBD">
        <w:rPr>
          <w:rFonts w:eastAsia="DengXian"/>
          <w:sz w:val="24"/>
        </w:rPr>
        <w:t>occupying</w:t>
      </w:r>
      <w:r w:rsidRPr="002D4CFD">
        <w:rPr>
          <w:rFonts w:eastAsia="DengXian"/>
          <w:sz w:val="24"/>
        </w:rPr>
        <w:t xml:space="preserve"> a pivotal position in the international economy</w:t>
      </w:r>
      <w:r w:rsidR="003F4BBD">
        <w:rPr>
          <w:rFonts w:eastAsia="DengXian"/>
          <w:sz w:val="24"/>
        </w:rPr>
        <w:t xml:space="preserve">. </w:t>
      </w:r>
      <w:r w:rsidRPr="002D4CFD">
        <w:rPr>
          <w:rFonts w:eastAsia="DengXian"/>
          <w:sz w:val="24"/>
        </w:rPr>
        <w:t>Second, it reveals the importance of the DEA dynamic analysis</w:t>
      </w:r>
      <w:r w:rsidR="003F4BBD">
        <w:rPr>
          <w:rFonts w:eastAsia="DengXian"/>
          <w:sz w:val="24"/>
        </w:rPr>
        <w:t>’ ability to calculate the</w:t>
      </w:r>
      <w:r w:rsidRPr="002D4CFD">
        <w:rPr>
          <w:rFonts w:eastAsia="DengXian"/>
          <w:sz w:val="24"/>
        </w:rPr>
        <w:t xml:space="preserve"> carry-over function </w:t>
      </w:r>
      <w:r w:rsidR="003F4BBD">
        <w:rPr>
          <w:rFonts w:eastAsia="DengXian"/>
          <w:sz w:val="24"/>
        </w:rPr>
        <w:t>when</w:t>
      </w:r>
      <w:r w:rsidRPr="002D4CFD">
        <w:rPr>
          <w:rFonts w:eastAsia="DengXian"/>
          <w:sz w:val="24"/>
        </w:rPr>
        <w:t xml:space="preserve"> assessing </w:t>
      </w:r>
      <w:r w:rsidR="003F4BBD">
        <w:rPr>
          <w:rFonts w:eastAsia="DengXian"/>
          <w:sz w:val="24"/>
        </w:rPr>
        <w:t>a company’s</w:t>
      </w:r>
      <w:r w:rsidRPr="002D4CFD">
        <w:rPr>
          <w:rFonts w:eastAsia="DengXian"/>
          <w:sz w:val="24"/>
        </w:rPr>
        <w:t xml:space="preserve"> potential industrial development </w:t>
      </w:r>
      <w:r w:rsidR="003F4BBD">
        <w:rPr>
          <w:rFonts w:eastAsia="DengXian"/>
          <w:sz w:val="24"/>
        </w:rPr>
        <w:t>competency</w:t>
      </w:r>
      <w:r w:rsidRPr="002E09B0">
        <w:rPr>
          <w:rFonts w:eastAsia="DengXian"/>
          <w:sz w:val="24"/>
        </w:rPr>
        <w:t xml:space="preserve">. </w:t>
      </w:r>
      <w:r w:rsidR="003F4BBD" w:rsidRPr="002E09B0">
        <w:rPr>
          <w:rFonts w:eastAsia="DengXian"/>
          <w:sz w:val="24"/>
        </w:rPr>
        <w:t>Lastly, it</w:t>
      </w:r>
      <w:r w:rsidRPr="002E09B0">
        <w:rPr>
          <w:rFonts w:eastAsia="DengXian"/>
          <w:sz w:val="24"/>
        </w:rPr>
        <w:t xml:space="preserve"> </w:t>
      </w:r>
      <w:r w:rsidR="003F4BBD" w:rsidRPr="002E09B0">
        <w:rPr>
          <w:rFonts w:eastAsia="DengXian"/>
          <w:sz w:val="24"/>
        </w:rPr>
        <w:t xml:space="preserve">shedding light on how </w:t>
      </w:r>
      <w:r w:rsidR="002E09B0">
        <w:rPr>
          <w:rFonts w:eastAsia="DengXian"/>
          <w:sz w:val="24"/>
        </w:rPr>
        <w:t>to analyze</w:t>
      </w:r>
      <w:r w:rsidR="003F4BBD" w:rsidRPr="002E09B0">
        <w:rPr>
          <w:rFonts w:eastAsia="DengXian"/>
          <w:sz w:val="24"/>
        </w:rPr>
        <w:t xml:space="preserve"> </w:t>
      </w:r>
      <w:r w:rsidRPr="002E09B0">
        <w:rPr>
          <w:rFonts w:eastAsia="DengXian"/>
          <w:sz w:val="24"/>
        </w:rPr>
        <w:t>upper and lower related variables.</w:t>
      </w:r>
      <w:r w:rsidRPr="002D4CFD">
        <w:rPr>
          <w:rFonts w:eastAsia="DengXian"/>
          <w:sz w:val="24"/>
        </w:rPr>
        <w:t xml:space="preserve"> </w:t>
      </w:r>
    </w:p>
    <w:p w:rsidR="002D4CFD" w:rsidRPr="003F4BBD" w:rsidRDefault="002E09B0" w:rsidP="00A4450E">
      <w:pPr>
        <w:pStyle w:val="affe"/>
        <w:adjustRightInd w:val="0"/>
        <w:snapToGrid w:val="0"/>
        <w:spacing w:before="100" w:beforeAutospacing="1" w:after="100" w:afterAutospacing="1" w:line="480" w:lineRule="auto"/>
        <w:ind w:leftChars="0" w:left="0" w:firstLine="426"/>
        <w:rPr>
          <w:rFonts w:eastAsia="DengXian"/>
          <w:sz w:val="24"/>
        </w:rPr>
      </w:pPr>
      <w:r>
        <w:rPr>
          <w:rFonts w:eastAsia="DengXian"/>
          <w:sz w:val="24"/>
        </w:rPr>
        <w:t>W</w:t>
      </w:r>
      <w:r w:rsidR="002D4CFD" w:rsidRPr="002D4CFD">
        <w:rPr>
          <w:rFonts w:eastAsia="DengXian"/>
          <w:sz w:val="24"/>
        </w:rPr>
        <w:t>ith regard</w:t>
      </w:r>
      <w:r>
        <w:rPr>
          <w:rFonts w:eastAsia="DengXian"/>
          <w:sz w:val="24"/>
        </w:rPr>
        <w:t>s</w:t>
      </w:r>
      <w:r w:rsidR="002D4CFD" w:rsidRPr="002D4CFD">
        <w:rPr>
          <w:rFonts w:eastAsia="DengXian"/>
          <w:sz w:val="24"/>
        </w:rPr>
        <w:t xml:space="preserve"> to th</w:t>
      </w:r>
      <w:r>
        <w:rPr>
          <w:rFonts w:eastAsia="DengXian"/>
          <w:sz w:val="24"/>
        </w:rPr>
        <w:t xml:space="preserve">is study’s </w:t>
      </w:r>
      <w:r w:rsidR="002D4CFD" w:rsidRPr="002D4CFD">
        <w:rPr>
          <w:rFonts w:eastAsia="DengXian"/>
          <w:sz w:val="24"/>
        </w:rPr>
        <w:t>incidental contribution to 5G-related industries, it provides empirical e</w:t>
      </w:r>
      <w:r>
        <w:rPr>
          <w:rFonts w:eastAsia="DengXian"/>
          <w:sz w:val="24"/>
        </w:rPr>
        <w:t>vident proving</w:t>
      </w:r>
      <w:r w:rsidR="002D4CFD" w:rsidRPr="002D4CFD">
        <w:rPr>
          <w:rFonts w:eastAsia="DengXian"/>
          <w:sz w:val="24"/>
        </w:rPr>
        <w:t xml:space="preserve"> that </w:t>
      </w:r>
      <w:r w:rsidR="003F4BBD" w:rsidRPr="002D4CFD">
        <w:rPr>
          <w:rFonts w:eastAsia="DengXian"/>
          <w:sz w:val="24"/>
        </w:rPr>
        <w:t xml:space="preserve">5G R&amp;D investment industry companies are usually relatively efficient </w:t>
      </w:r>
      <w:r w:rsidR="003F4BBD">
        <w:rPr>
          <w:rFonts w:eastAsia="DengXian"/>
          <w:sz w:val="24"/>
        </w:rPr>
        <w:t>following</w:t>
      </w:r>
      <w:r w:rsidR="002D4CFD" w:rsidRPr="002D4CFD">
        <w:rPr>
          <w:rFonts w:eastAsia="DengXian"/>
          <w:sz w:val="24"/>
        </w:rPr>
        <w:t xml:space="preserve"> the implementation of industrial development, because industrial development </w:t>
      </w:r>
      <w:r w:rsidR="003F4BBD">
        <w:rPr>
          <w:rFonts w:eastAsia="DengXian"/>
          <w:sz w:val="24"/>
        </w:rPr>
        <w:t xml:space="preserve">is </w:t>
      </w:r>
      <w:r w:rsidR="002D4CFD" w:rsidRPr="002D4CFD">
        <w:rPr>
          <w:rFonts w:eastAsia="DengXian"/>
          <w:sz w:val="24"/>
        </w:rPr>
        <w:t xml:space="preserve">affected </w:t>
      </w:r>
      <w:r w:rsidR="003F4BBD">
        <w:rPr>
          <w:rFonts w:eastAsia="DengXian"/>
          <w:sz w:val="24"/>
        </w:rPr>
        <w:t xml:space="preserve">positively </w:t>
      </w:r>
      <w:r w:rsidR="002D4CFD" w:rsidRPr="002D4CFD">
        <w:rPr>
          <w:rFonts w:eastAsia="DengXian"/>
          <w:sz w:val="24"/>
        </w:rPr>
        <w:t>by R&amp;D</w:t>
      </w:r>
      <w:r w:rsidR="003F4BBD">
        <w:rPr>
          <w:rFonts w:eastAsia="DengXian"/>
          <w:sz w:val="24"/>
        </w:rPr>
        <w:t>. In other words, i</w:t>
      </w:r>
      <w:r w:rsidR="002D4CFD" w:rsidRPr="003F4BBD">
        <w:rPr>
          <w:rFonts w:eastAsia="DengXian"/>
          <w:sz w:val="24"/>
        </w:rPr>
        <w:t xml:space="preserve">nvestment </w:t>
      </w:r>
      <w:r w:rsidR="003F4BBD">
        <w:rPr>
          <w:rFonts w:eastAsia="DengXian"/>
          <w:sz w:val="24"/>
        </w:rPr>
        <w:t xml:space="preserve">was found to be a bellwether of success and survival </w:t>
      </w:r>
      <w:r w:rsidR="002D4CFD" w:rsidRPr="003F4BBD">
        <w:rPr>
          <w:rFonts w:eastAsia="DengXian"/>
          <w:sz w:val="24"/>
        </w:rPr>
        <w:t>in the 5G industry</w:t>
      </w:r>
      <w:r w:rsidR="00AF1040">
        <w:rPr>
          <w:rFonts w:eastAsia="DengXian"/>
          <w:sz w:val="24"/>
        </w:rPr>
        <w:t>,</w:t>
      </w:r>
      <w:r w:rsidR="003F4BBD">
        <w:rPr>
          <w:rFonts w:eastAsia="DengXian"/>
          <w:sz w:val="24"/>
        </w:rPr>
        <w:t xml:space="preserve"> and a company’s</w:t>
      </w:r>
      <w:r w:rsidR="002D4CFD" w:rsidRPr="003F4BBD">
        <w:rPr>
          <w:rFonts w:eastAsia="DengXian"/>
          <w:sz w:val="24"/>
        </w:rPr>
        <w:t xml:space="preserve"> market value </w:t>
      </w:r>
      <w:r w:rsidR="00AF1040">
        <w:rPr>
          <w:rFonts w:eastAsia="DengXian"/>
          <w:sz w:val="24"/>
        </w:rPr>
        <w:t>was shown to be</w:t>
      </w:r>
      <w:r w:rsidR="002D4CFD" w:rsidRPr="003F4BBD">
        <w:rPr>
          <w:rFonts w:eastAsia="DengXian"/>
          <w:sz w:val="24"/>
        </w:rPr>
        <w:t xml:space="preserve"> positively correlated with</w:t>
      </w:r>
      <w:r w:rsidR="00E2458F">
        <w:rPr>
          <w:rFonts w:eastAsia="DengXian"/>
          <w:sz w:val="24"/>
        </w:rPr>
        <w:t xml:space="preserve"> its subsequent</w:t>
      </w:r>
      <w:r w:rsidR="002D4CFD" w:rsidRPr="003F4BBD">
        <w:rPr>
          <w:rFonts w:eastAsia="DengXian"/>
          <w:sz w:val="24"/>
        </w:rPr>
        <w:t xml:space="preserve"> R&amp;D capabilities.</w:t>
      </w:r>
      <w:r w:rsidR="003F4BBD">
        <w:rPr>
          <w:rFonts w:eastAsia="DengXian"/>
          <w:sz w:val="24"/>
        </w:rPr>
        <w:t xml:space="preserve"> Moreover</w:t>
      </w:r>
      <w:r w:rsidR="002D4CFD" w:rsidRPr="003F4BBD">
        <w:rPr>
          <w:rFonts w:eastAsia="DengXian"/>
          <w:sz w:val="24"/>
        </w:rPr>
        <w:t xml:space="preserve">, the 5G industry </w:t>
      </w:r>
      <w:r w:rsidR="00E2458F">
        <w:rPr>
          <w:rFonts w:eastAsia="DengXian"/>
          <w:sz w:val="24"/>
        </w:rPr>
        <w:t xml:space="preserve">displays positive </w:t>
      </w:r>
      <w:r w:rsidR="002D4CFD" w:rsidRPr="003F4BBD">
        <w:rPr>
          <w:rFonts w:eastAsia="DengXian"/>
          <w:sz w:val="24"/>
        </w:rPr>
        <w:t>economies of scale in terms of operating expenses</w:t>
      </w:r>
      <w:r w:rsidR="00AF1040">
        <w:rPr>
          <w:rFonts w:eastAsia="DengXian"/>
          <w:sz w:val="24"/>
        </w:rPr>
        <w:t xml:space="preserve">, and </w:t>
      </w:r>
      <w:r w:rsidR="002D4CFD" w:rsidRPr="003F4BBD">
        <w:rPr>
          <w:rFonts w:eastAsia="DengXian"/>
          <w:sz w:val="24"/>
        </w:rPr>
        <w:t xml:space="preserve">R&amp;D </w:t>
      </w:r>
      <w:r w:rsidR="00AF1040">
        <w:rPr>
          <w:rFonts w:eastAsia="DengXian"/>
          <w:sz w:val="24"/>
        </w:rPr>
        <w:t xml:space="preserve">investment </w:t>
      </w:r>
      <w:r w:rsidR="002D4CFD" w:rsidRPr="003F4BBD">
        <w:rPr>
          <w:rFonts w:eastAsia="DengXian"/>
          <w:sz w:val="24"/>
        </w:rPr>
        <w:t xml:space="preserve">capabilities </w:t>
      </w:r>
      <w:r w:rsidR="00AF1040">
        <w:rPr>
          <w:rFonts w:eastAsia="DengXian"/>
          <w:sz w:val="24"/>
        </w:rPr>
        <w:t xml:space="preserve">have an </w:t>
      </w:r>
      <w:r w:rsidR="002D4CFD" w:rsidRPr="003F4BBD">
        <w:rPr>
          <w:rFonts w:eastAsia="DengXian"/>
          <w:sz w:val="24"/>
        </w:rPr>
        <w:t xml:space="preserve">important impact on performance (Chou et al., 2012). Compared with the 15 constituents of the Taiwan 50 Index and the non-Taiwan 50 Index constituents, the overall operating efficiency of the Taiwan 50 Index constituent stocks </w:t>
      </w:r>
      <w:r w:rsidR="00AF1040">
        <w:rPr>
          <w:rFonts w:eastAsia="DengXian"/>
          <w:sz w:val="24"/>
        </w:rPr>
        <w:t>was found to be</w:t>
      </w:r>
      <w:r w:rsidR="002D4CFD" w:rsidRPr="003F4BBD">
        <w:rPr>
          <w:rFonts w:eastAsia="DengXian"/>
          <w:sz w:val="24"/>
        </w:rPr>
        <w:t xml:space="preserve"> higher.</w:t>
      </w:r>
    </w:p>
    <w:p w:rsidR="002D4CFD" w:rsidRPr="009860C3" w:rsidRDefault="00AF1040" w:rsidP="00A4450E">
      <w:pPr>
        <w:pStyle w:val="affe"/>
        <w:adjustRightInd w:val="0"/>
        <w:snapToGrid w:val="0"/>
        <w:spacing w:before="100" w:beforeAutospacing="1" w:after="100" w:afterAutospacing="1" w:line="480" w:lineRule="auto"/>
        <w:ind w:leftChars="0" w:left="0" w:firstLine="426"/>
        <w:rPr>
          <w:rFonts w:eastAsia="標楷體"/>
          <w:sz w:val="24"/>
          <w:lang w:eastAsia="zh-TW"/>
        </w:rPr>
      </w:pPr>
      <w:r>
        <w:rPr>
          <w:rFonts w:eastAsia="標楷體"/>
          <w:sz w:val="24"/>
          <w:lang w:eastAsia="zh-TW"/>
        </w:rPr>
        <w:t>As far as the entire sample is concerned</w:t>
      </w:r>
      <w:r w:rsidR="002D4CFD" w:rsidRPr="002D4CFD">
        <w:rPr>
          <w:rFonts w:eastAsia="標楷體"/>
          <w:sz w:val="24"/>
          <w:lang w:eastAsia="zh-TW"/>
        </w:rPr>
        <w:t xml:space="preserve">, the </w:t>
      </w:r>
      <w:r w:rsidR="00E2458F">
        <w:rPr>
          <w:rFonts w:eastAsia="標楷體"/>
          <w:sz w:val="24"/>
          <w:lang w:eastAsia="zh-TW"/>
        </w:rPr>
        <w:t xml:space="preserve">present </w:t>
      </w:r>
      <w:r w:rsidR="002D4CFD" w:rsidRPr="002D4CFD">
        <w:rPr>
          <w:rFonts w:eastAsia="標楷體"/>
          <w:sz w:val="24"/>
          <w:lang w:eastAsia="zh-TW"/>
        </w:rPr>
        <w:t xml:space="preserve">analysis </w:t>
      </w:r>
      <w:r w:rsidR="003F4BBD">
        <w:rPr>
          <w:rFonts w:eastAsia="標楷體"/>
          <w:sz w:val="24"/>
          <w:lang w:eastAsia="zh-TW"/>
        </w:rPr>
        <w:t>demonstrates</w:t>
      </w:r>
      <w:r w:rsidR="002D4CFD" w:rsidRPr="002D4CFD">
        <w:rPr>
          <w:rFonts w:eastAsia="標楷體"/>
          <w:sz w:val="24"/>
          <w:lang w:eastAsia="zh-TW"/>
        </w:rPr>
        <w:t xml:space="preserve"> that there is</w:t>
      </w:r>
      <w:r w:rsidR="003F4BBD">
        <w:rPr>
          <w:rFonts w:eastAsia="標楷體"/>
          <w:sz w:val="24"/>
          <w:lang w:eastAsia="zh-TW"/>
        </w:rPr>
        <w:t>, indeed,</w:t>
      </w:r>
      <w:r w:rsidR="002D4CFD" w:rsidRPr="002D4CFD">
        <w:rPr>
          <w:rFonts w:eastAsia="標楷體"/>
          <w:sz w:val="24"/>
          <w:lang w:eastAsia="zh-TW"/>
        </w:rPr>
        <w:t xml:space="preserve"> a significant difference in the relationship between study scale and efficiency. As more research funds support </w:t>
      </w:r>
      <w:r>
        <w:rPr>
          <w:rFonts w:eastAsia="標楷體"/>
          <w:sz w:val="24"/>
          <w:lang w:eastAsia="zh-TW"/>
        </w:rPr>
        <w:t xml:space="preserve">future </w:t>
      </w:r>
      <w:r w:rsidR="002D4CFD" w:rsidRPr="002D4CFD">
        <w:rPr>
          <w:rFonts w:eastAsia="標楷體"/>
          <w:sz w:val="24"/>
          <w:lang w:eastAsia="zh-TW"/>
        </w:rPr>
        <w:t xml:space="preserve">projects, the 5G industry will </w:t>
      </w:r>
      <w:r>
        <w:rPr>
          <w:rFonts w:eastAsia="標楷體"/>
          <w:sz w:val="24"/>
          <w:lang w:eastAsia="zh-TW"/>
        </w:rPr>
        <w:t xml:space="preserve">undoubtedly </w:t>
      </w:r>
      <w:r w:rsidR="002D4CFD" w:rsidRPr="002D4CFD">
        <w:rPr>
          <w:rFonts w:eastAsia="標楷體"/>
          <w:sz w:val="24"/>
          <w:lang w:eastAsia="zh-TW"/>
        </w:rPr>
        <w:t xml:space="preserve">contribute to </w:t>
      </w:r>
      <w:r>
        <w:rPr>
          <w:rFonts w:eastAsia="標楷體"/>
          <w:sz w:val="24"/>
          <w:lang w:eastAsia="zh-TW"/>
        </w:rPr>
        <w:t xml:space="preserve">yet </w:t>
      </w:r>
      <w:r w:rsidR="002D4CFD" w:rsidRPr="002D4CFD">
        <w:rPr>
          <w:rFonts w:eastAsia="標楷體"/>
          <w:sz w:val="24"/>
          <w:lang w:eastAsia="zh-TW"/>
        </w:rPr>
        <w:t xml:space="preserve">further growth. </w:t>
      </w:r>
      <w:r w:rsidR="00E2458F">
        <w:rPr>
          <w:rFonts w:eastAsia="標楷體"/>
          <w:sz w:val="24"/>
          <w:lang w:eastAsia="zh-TW"/>
        </w:rPr>
        <w:t>More</w:t>
      </w:r>
      <w:r w:rsidR="002D4CFD" w:rsidRPr="002D4CFD">
        <w:rPr>
          <w:rFonts w:eastAsia="標楷體"/>
          <w:sz w:val="24"/>
          <w:lang w:eastAsia="zh-TW"/>
        </w:rPr>
        <w:t xml:space="preserve"> research is necessary </w:t>
      </w:r>
      <w:r>
        <w:rPr>
          <w:rFonts w:eastAsia="標楷體"/>
          <w:sz w:val="24"/>
          <w:lang w:eastAsia="zh-TW"/>
        </w:rPr>
        <w:t>that</w:t>
      </w:r>
      <w:r w:rsidR="002D4CFD" w:rsidRPr="002D4CFD">
        <w:rPr>
          <w:rFonts w:eastAsia="標楷體"/>
          <w:sz w:val="24"/>
          <w:lang w:eastAsia="zh-TW"/>
        </w:rPr>
        <w:t xml:space="preserve"> evaluate</w:t>
      </w:r>
      <w:r>
        <w:rPr>
          <w:rFonts w:eastAsia="標楷體"/>
          <w:sz w:val="24"/>
          <w:lang w:eastAsia="zh-TW"/>
        </w:rPr>
        <w:t>s</w:t>
      </w:r>
      <w:r w:rsidR="00E2458F">
        <w:rPr>
          <w:rFonts w:eastAsia="標楷體"/>
          <w:sz w:val="24"/>
          <w:lang w:eastAsia="zh-TW"/>
        </w:rPr>
        <w:t xml:space="preserve"> more succinctly</w:t>
      </w:r>
      <w:r w:rsidR="002D4CFD" w:rsidRPr="002D4CFD">
        <w:rPr>
          <w:rFonts w:eastAsia="標楷體"/>
          <w:sz w:val="24"/>
          <w:lang w:eastAsia="zh-TW"/>
        </w:rPr>
        <w:t xml:space="preserve"> the role of carry-over </w:t>
      </w:r>
      <w:r>
        <w:rPr>
          <w:rFonts w:eastAsia="標楷體"/>
          <w:sz w:val="24"/>
          <w:lang w:eastAsia="zh-TW"/>
        </w:rPr>
        <w:t xml:space="preserve">variables </w:t>
      </w:r>
      <w:r w:rsidR="002D4CFD" w:rsidRPr="002D4CFD">
        <w:rPr>
          <w:rFonts w:eastAsia="標楷體"/>
          <w:sz w:val="24"/>
          <w:lang w:eastAsia="zh-TW"/>
        </w:rPr>
        <w:t xml:space="preserve">in distinguishing and predicting technological development. One </w:t>
      </w:r>
      <w:r>
        <w:rPr>
          <w:rFonts w:eastAsia="標楷體"/>
          <w:sz w:val="24"/>
          <w:lang w:eastAsia="zh-TW"/>
        </w:rPr>
        <w:t xml:space="preserve">such </w:t>
      </w:r>
      <w:r w:rsidR="002D4CFD" w:rsidRPr="002D4CFD">
        <w:rPr>
          <w:rFonts w:eastAsia="標楷體"/>
          <w:sz w:val="24"/>
          <w:lang w:eastAsia="zh-TW"/>
        </w:rPr>
        <w:t xml:space="preserve">possibility </w:t>
      </w:r>
      <w:r>
        <w:rPr>
          <w:rFonts w:eastAsia="標楷體"/>
          <w:sz w:val="24"/>
          <w:lang w:eastAsia="zh-TW"/>
        </w:rPr>
        <w:t>for future studies would be to</w:t>
      </w:r>
      <w:r w:rsidR="002D4CFD" w:rsidRPr="002D4CFD">
        <w:rPr>
          <w:rFonts w:eastAsia="標楷體"/>
          <w:sz w:val="24"/>
          <w:lang w:eastAsia="zh-TW"/>
        </w:rPr>
        <w:t xml:space="preserve"> combine data</w:t>
      </w:r>
      <w:r>
        <w:rPr>
          <w:rFonts w:eastAsia="標楷體"/>
          <w:sz w:val="24"/>
          <w:lang w:eastAsia="zh-TW"/>
        </w:rPr>
        <w:t>-</w:t>
      </w:r>
      <w:r w:rsidR="002D4CFD" w:rsidRPr="002D4CFD">
        <w:rPr>
          <w:rFonts w:eastAsia="標楷體"/>
          <w:sz w:val="24"/>
          <w:lang w:eastAsia="zh-TW"/>
        </w:rPr>
        <w:t>mining techniques with a large</w:t>
      </w:r>
      <w:r>
        <w:rPr>
          <w:rFonts w:eastAsia="標楷體"/>
          <w:sz w:val="24"/>
          <w:lang w:eastAsia="zh-TW"/>
        </w:rPr>
        <w:t>r</w:t>
      </w:r>
      <w:r w:rsidR="002D4CFD" w:rsidRPr="002D4CFD">
        <w:rPr>
          <w:rFonts w:eastAsia="標楷體"/>
          <w:sz w:val="24"/>
          <w:lang w:eastAsia="zh-TW"/>
        </w:rPr>
        <w:t xml:space="preserve"> number of context variables to identify the most relevant techniques.</w:t>
      </w:r>
    </w:p>
    <w:p w:rsidR="000D2B6E" w:rsidRPr="00C236D3" w:rsidRDefault="000D2B6E" w:rsidP="00526252">
      <w:pPr>
        <w:snapToGrid w:val="0"/>
        <w:spacing w:before="100" w:beforeAutospacing="1" w:after="100" w:afterAutospacing="1"/>
        <w:jc w:val="center"/>
        <w:outlineLvl w:val="0"/>
        <w:rPr>
          <w:rFonts w:eastAsia="標楷體"/>
          <w:b/>
          <w:bCs/>
          <w:sz w:val="24"/>
        </w:rPr>
      </w:pPr>
      <w:r w:rsidRPr="00C236D3">
        <w:rPr>
          <w:rFonts w:eastAsia="標楷體"/>
          <w:b/>
          <w:bCs/>
          <w:sz w:val="24"/>
        </w:rPr>
        <w:t>References</w:t>
      </w:r>
    </w:p>
    <w:p w:rsidR="00B2131E" w:rsidRPr="00E2458F" w:rsidRDefault="00B2131E" w:rsidP="00800F4B">
      <w:pPr>
        <w:pStyle w:val="EndNoteBibliography"/>
        <w:ind w:left="720" w:hanging="720"/>
        <w:rPr>
          <w:rFonts w:eastAsia="標楷體"/>
        </w:rPr>
      </w:pPr>
      <w:r w:rsidRPr="00E2458F">
        <w:rPr>
          <w:rFonts w:eastAsia="標楷體"/>
        </w:rPr>
        <w:t>Campbell, K., Diffley, J., Flanagan, B., Morelli, B., O’Neil, B., &amp; Sideco, F. (2017). The 5G economy: How 5G technology will contribute to the global economy.</w:t>
      </w:r>
      <w:r w:rsidRPr="00E2458F">
        <w:rPr>
          <w:rFonts w:eastAsia="標楷體"/>
          <w:i/>
        </w:rPr>
        <w:t xml:space="preserve"> IHS Economics and IHS Technology</w:t>
      </w:r>
      <w:r w:rsidR="00DA25A5" w:rsidRPr="00E2458F">
        <w:rPr>
          <w:rFonts w:eastAsia="標楷體"/>
          <w:i/>
        </w:rPr>
        <w:t>, (4)</w:t>
      </w:r>
      <w:r w:rsidRPr="00E2458F">
        <w:rPr>
          <w:rFonts w:eastAsia="標楷體"/>
        </w:rPr>
        <w:t>, 16.</w:t>
      </w:r>
    </w:p>
    <w:p w:rsidR="00B2131E" w:rsidRPr="00E2458F" w:rsidRDefault="00B2131E" w:rsidP="00526252">
      <w:pPr>
        <w:pStyle w:val="EndNoteBibliography"/>
        <w:ind w:left="720" w:hanging="720"/>
        <w:rPr>
          <w:rFonts w:eastAsia="標楷體"/>
        </w:rPr>
      </w:pPr>
      <w:r w:rsidRPr="00E2458F">
        <w:rPr>
          <w:rFonts w:eastAsia="標楷體" w:hint="eastAsia"/>
        </w:rPr>
        <w:t>Chen, P.</w:t>
      </w:r>
      <w:r w:rsidR="00DA25A5" w:rsidRPr="00E2458F">
        <w:rPr>
          <w:rFonts w:eastAsia="標楷體"/>
        </w:rPr>
        <w:t xml:space="preserve"> </w:t>
      </w:r>
      <w:r w:rsidRPr="00E2458F">
        <w:rPr>
          <w:rFonts w:eastAsia="標楷體" w:hint="eastAsia"/>
        </w:rPr>
        <w:t>Y. and Chiang, H. C.</w:t>
      </w:r>
      <w:r w:rsidR="009E7246" w:rsidRPr="00E2458F">
        <w:rPr>
          <w:rFonts w:eastAsia="DengXian" w:hint="eastAsia"/>
        </w:rPr>
        <w:t xml:space="preserve"> </w:t>
      </w:r>
      <w:r w:rsidR="009E7246" w:rsidRPr="00E2458F">
        <w:rPr>
          <w:rFonts w:eastAsia="DengXian"/>
        </w:rPr>
        <w:t xml:space="preserve">(2018). </w:t>
      </w:r>
      <w:r w:rsidRPr="00E2458F">
        <w:rPr>
          <w:rFonts w:eastAsia="標楷體" w:hint="eastAsia"/>
        </w:rPr>
        <w:t xml:space="preserve">The </w:t>
      </w:r>
      <w:r w:rsidR="00DA25A5" w:rsidRPr="00E2458F">
        <w:rPr>
          <w:rFonts w:eastAsia="標楷體"/>
        </w:rPr>
        <w:t>e</w:t>
      </w:r>
      <w:r w:rsidRPr="00E2458F">
        <w:rPr>
          <w:rFonts w:eastAsia="標楷體" w:hint="eastAsia"/>
        </w:rPr>
        <w:t xml:space="preserve">fficiency </w:t>
      </w:r>
      <w:r w:rsidR="00DA25A5" w:rsidRPr="00E2458F">
        <w:rPr>
          <w:rFonts w:eastAsia="標楷體"/>
        </w:rPr>
        <w:t>a</w:t>
      </w:r>
      <w:r w:rsidRPr="00E2458F">
        <w:rPr>
          <w:rFonts w:eastAsia="標楷體" w:hint="eastAsia"/>
        </w:rPr>
        <w:t>nalysis of Taiwan</w:t>
      </w:r>
      <w:r w:rsidR="00DA25A5" w:rsidRPr="00E2458F">
        <w:rPr>
          <w:rFonts w:eastAsia="標楷體"/>
        </w:rPr>
        <w:t>’s</w:t>
      </w:r>
      <w:r w:rsidRPr="00E2458F">
        <w:rPr>
          <w:rFonts w:eastAsia="標楷體" w:hint="eastAsia"/>
        </w:rPr>
        <w:t xml:space="preserve"> </w:t>
      </w:r>
      <w:r w:rsidR="00DA25A5" w:rsidRPr="00E2458F">
        <w:rPr>
          <w:rFonts w:eastAsia="標楷體"/>
        </w:rPr>
        <w:t>a</w:t>
      </w:r>
      <w:r w:rsidRPr="00E2458F">
        <w:rPr>
          <w:rFonts w:eastAsia="標楷體" w:hint="eastAsia"/>
        </w:rPr>
        <w:t xml:space="preserve">rtificial </w:t>
      </w:r>
      <w:r w:rsidR="00DA25A5" w:rsidRPr="00E2458F">
        <w:rPr>
          <w:rFonts w:eastAsia="標楷體"/>
        </w:rPr>
        <w:t>i</w:t>
      </w:r>
      <w:r w:rsidRPr="00E2458F">
        <w:rPr>
          <w:rFonts w:eastAsia="標楷體" w:hint="eastAsia"/>
        </w:rPr>
        <w:t xml:space="preserve">ntelligence </w:t>
      </w:r>
      <w:r w:rsidR="00DA25A5" w:rsidRPr="00E2458F">
        <w:rPr>
          <w:rFonts w:eastAsia="標楷體"/>
        </w:rPr>
        <w:t>i</w:t>
      </w:r>
      <w:r w:rsidRPr="00E2458F">
        <w:rPr>
          <w:rFonts w:eastAsia="標楷體" w:hint="eastAsia"/>
        </w:rPr>
        <w:t xml:space="preserve">ndustry. </w:t>
      </w:r>
      <w:r w:rsidRPr="00E2458F">
        <w:rPr>
          <w:rFonts w:eastAsia="標楷體" w:hint="eastAsia"/>
          <w:i/>
        </w:rPr>
        <w:t>Management Information Computing,</w:t>
      </w:r>
      <w:r w:rsidR="009E7246" w:rsidRPr="00E2458F">
        <w:rPr>
          <w:rFonts w:eastAsia="標楷體"/>
          <w:i/>
        </w:rPr>
        <w:t xml:space="preserve"> </w:t>
      </w:r>
      <w:r w:rsidR="009E7246" w:rsidRPr="00E2458F">
        <w:rPr>
          <w:rFonts w:eastAsia="標楷體"/>
        </w:rPr>
        <w:t xml:space="preserve">7(2), </w:t>
      </w:r>
      <w:r w:rsidRPr="00E2458F">
        <w:rPr>
          <w:rFonts w:eastAsia="標楷體" w:hint="eastAsia"/>
        </w:rPr>
        <w:t>332-341.</w:t>
      </w:r>
    </w:p>
    <w:p w:rsidR="00B2131E" w:rsidRPr="00E2458F" w:rsidRDefault="00B2131E" w:rsidP="00526252">
      <w:pPr>
        <w:pStyle w:val="EndNoteBibliography"/>
        <w:ind w:left="720" w:hanging="720"/>
      </w:pPr>
      <w:r w:rsidRPr="00E2458F">
        <w:t xml:space="preserve">Chou, Y.-C., Shao, B. B., &amp; Lin, W. T. (2012). Performance evaluation of production of IT capital goods across OECD countries: A stochastic frontier approach to Malmquist </w:t>
      </w:r>
      <w:r w:rsidR="00AF1040" w:rsidRPr="00E2458F">
        <w:t>I</w:t>
      </w:r>
      <w:r w:rsidRPr="00E2458F">
        <w:t xml:space="preserve">ndex. </w:t>
      </w:r>
      <w:r w:rsidRPr="00E2458F">
        <w:rPr>
          <w:i/>
        </w:rPr>
        <w:t>Decision Support Systems, 54</w:t>
      </w:r>
      <w:r w:rsidRPr="00E2458F">
        <w:t xml:space="preserve">(1), 173-184. </w:t>
      </w:r>
    </w:p>
    <w:p w:rsidR="00B2131E" w:rsidRPr="00E2458F" w:rsidRDefault="00B2131E" w:rsidP="00526252">
      <w:pPr>
        <w:pStyle w:val="EndNoteBibliography"/>
        <w:ind w:left="720" w:hanging="720"/>
      </w:pPr>
      <w:r w:rsidRPr="00E2458F">
        <w:t xml:space="preserve">Debnath, R. M., &amp; Shankar, R. (2008). Benchmarking telecommunication service in India: </w:t>
      </w:r>
      <w:r w:rsidR="00DA25A5" w:rsidRPr="00E2458F">
        <w:t>A</w:t>
      </w:r>
      <w:r w:rsidRPr="00E2458F">
        <w:t xml:space="preserve">n application of data envelopment analysis. </w:t>
      </w:r>
      <w:r w:rsidRPr="00E2458F">
        <w:rPr>
          <w:i/>
        </w:rPr>
        <w:t>Benchmarking: An International Journal</w:t>
      </w:r>
      <w:r w:rsidRPr="00E2458F">
        <w:t xml:space="preserve">. </w:t>
      </w:r>
    </w:p>
    <w:p w:rsidR="00B2131E" w:rsidRPr="00E2458F" w:rsidRDefault="00B2131E" w:rsidP="00526252">
      <w:pPr>
        <w:pStyle w:val="EndNoteBibliography"/>
        <w:ind w:left="720" w:hanging="720"/>
        <w:rPr>
          <w:rFonts w:eastAsia="標楷體"/>
        </w:rPr>
      </w:pPr>
      <w:r w:rsidRPr="00E2458F">
        <w:rPr>
          <w:rFonts w:eastAsia="標楷體"/>
        </w:rPr>
        <w:t>Diaz-Balteiro, L., Herruzo, A. C., Martinez, M.</w:t>
      </w:r>
      <w:r w:rsidR="00DA25A5" w:rsidRPr="00E2458F">
        <w:rPr>
          <w:rFonts w:eastAsia="標楷體"/>
        </w:rPr>
        <w:t>,</w:t>
      </w:r>
      <w:r w:rsidRPr="00E2458F">
        <w:rPr>
          <w:rFonts w:eastAsia="標楷體"/>
        </w:rPr>
        <w:t xml:space="preserve"> </w:t>
      </w:r>
      <w:r w:rsidR="00DA25A5" w:rsidRPr="00E2458F">
        <w:rPr>
          <w:rFonts w:eastAsia="標楷體"/>
        </w:rPr>
        <w:t>&amp;</w:t>
      </w:r>
      <w:r w:rsidRPr="00E2458F">
        <w:rPr>
          <w:rFonts w:eastAsia="標楷體"/>
        </w:rPr>
        <w:t xml:space="preserve"> Gonzalez-Pachon, J.</w:t>
      </w:r>
      <w:r w:rsidR="009E7246" w:rsidRPr="00E2458F">
        <w:rPr>
          <w:rFonts w:eastAsia="DengXian" w:hint="eastAsia"/>
        </w:rPr>
        <w:t xml:space="preserve"> </w:t>
      </w:r>
      <w:r w:rsidR="009E7246" w:rsidRPr="00E2458F">
        <w:rPr>
          <w:rFonts w:eastAsia="DengXian"/>
        </w:rPr>
        <w:t>(2006).</w:t>
      </w:r>
      <w:r w:rsidRPr="00E2458F">
        <w:rPr>
          <w:rFonts w:eastAsia="標楷體"/>
        </w:rPr>
        <w:t xml:space="preserve"> An</w:t>
      </w:r>
      <w:r w:rsidR="009E7246" w:rsidRPr="00E2458F">
        <w:rPr>
          <w:rFonts w:eastAsia="標楷體"/>
        </w:rPr>
        <w:t xml:space="preserve"> </w:t>
      </w:r>
      <w:r w:rsidRPr="00E2458F">
        <w:rPr>
          <w:rFonts w:eastAsia="標楷體"/>
        </w:rPr>
        <w:t>analysis of productive efficiency and innovation activity using DEA</w:t>
      </w:r>
      <w:r w:rsidR="00DA25A5" w:rsidRPr="00E2458F">
        <w:rPr>
          <w:rFonts w:eastAsia="標楷體"/>
        </w:rPr>
        <w:t xml:space="preserve">: </w:t>
      </w:r>
      <w:r w:rsidRPr="00E2458F">
        <w:rPr>
          <w:rFonts w:eastAsia="標楷體"/>
        </w:rPr>
        <w:t xml:space="preserve">An application to Spain’s wood-based industry. </w:t>
      </w:r>
      <w:r w:rsidRPr="00E2458F">
        <w:rPr>
          <w:rFonts w:eastAsia="標楷體"/>
          <w:i/>
        </w:rPr>
        <w:t>F</w:t>
      </w:r>
      <w:r w:rsidRPr="00E2458F">
        <w:rPr>
          <w:rFonts w:eastAsia="標楷體"/>
        </w:rPr>
        <w:t>o</w:t>
      </w:r>
      <w:r w:rsidRPr="00E2458F">
        <w:rPr>
          <w:rFonts w:eastAsia="標楷體"/>
          <w:i/>
        </w:rPr>
        <w:t>rest Policy and Economics</w:t>
      </w:r>
      <w:r w:rsidRPr="00E2458F">
        <w:rPr>
          <w:rFonts w:eastAsia="標楷體"/>
        </w:rPr>
        <w:t xml:space="preserve">, </w:t>
      </w:r>
      <w:r w:rsidRPr="00E2458F">
        <w:rPr>
          <w:rFonts w:eastAsia="標楷體"/>
          <w:i/>
        </w:rPr>
        <w:t>8</w:t>
      </w:r>
      <w:r w:rsidR="00914A45" w:rsidRPr="00E2458F">
        <w:rPr>
          <w:rFonts w:eastAsia="標楷體" w:hint="eastAsia"/>
          <w:lang w:eastAsia="zh-TW"/>
        </w:rPr>
        <w:t>(</w:t>
      </w:r>
      <w:r w:rsidR="00914A45" w:rsidRPr="00E2458F">
        <w:rPr>
          <w:rFonts w:eastAsia="標楷體"/>
          <w:lang w:eastAsia="zh-TW"/>
        </w:rPr>
        <w:t xml:space="preserve">6), </w:t>
      </w:r>
      <w:r w:rsidRPr="00E2458F">
        <w:rPr>
          <w:rFonts w:eastAsia="標楷體"/>
        </w:rPr>
        <w:t>762-773.</w:t>
      </w:r>
    </w:p>
    <w:p w:rsidR="00B2131E" w:rsidRPr="00E2458F" w:rsidRDefault="00B2131E" w:rsidP="00526252">
      <w:pPr>
        <w:pStyle w:val="EndNoteBibliography"/>
        <w:ind w:left="720" w:hanging="720"/>
        <w:rPr>
          <w:rFonts w:eastAsia="標楷體"/>
        </w:rPr>
      </w:pPr>
      <w:r w:rsidRPr="00E2458F">
        <w:rPr>
          <w:rFonts w:eastAsia="標楷體"/>
        </w:rPr>
        <w:t xml:space="preserve">Eberhart, A., Maxwell, </w:t>
      </w:r>
      <w:r w:rsidR="00DA25A5" w:rsidRPr="00E2458F">
        <w:rPr>
          <w:rFonts w:eastAsia="標楷體"/>
        </w:rPr>
        <w:t>W., &amp;</w:t>
      </w:r>
      <w:r w:rsidRPr="00E2458F">
        <w:rPr>
          <w:rFonts w:eastAsia="標楷體"/>
        </w:rPr>
        <w:t xml:space="preserve"> Siddique</w:t>
      </w:r>
      <w:r w:rsidR="00DA25A5" w:rsidRPr="00E2458F">
        <w:rPr>
          <w:rFonts w:eastAsia="標楷體"/>
        </w:rPr>
        <w:t>, A.</w:t>
      </w:r>
      <w:r w:rsidR="00914A45" w:rsidRPr="00E2458F">
        <w:rPr>
          <w:rFonts w:eastAsia="標楷體" w:hint="eastAsia"/>
          <w:lang w:eastAsia="zh-TW"/>
        </w:rPr>
        <w:t xml:space="preserve"> </w:t>
      </w:r>
      <w:r w:rsidR="00914A45" w:rsidRPr="00E2458F">
        <w:rPr>
          <w:rFonts w:eastAsia="標楷體"/>
          <w:lang w:eastAsia="zh-TW"/>
        </w:rPr>
        <w:t xml:space="preserve">(2008). </w:t>
      </w:r>
      <w:r w:rsidRPr="00E2458F">
        <w:rPr>
          <w:rFonts w:eastAsia="標楷體"/>
        </w:rPr>
        <w:t xml:space="preserve">A reexamination of the tradeoff between the future benefit and riskiness of R&amp;D increases. </w:t>
      </w:r>
      <w:r w:rsidRPr="00E2458F">
        <w:rPr>
          <w:rFonts w:eastAsia="標楷體"/>
          <w:i/>
        </w:rPr>
        <w:t>Journal of Accounting Research,</w:t>
      </w:r>
      <w:r w:rsidR="00914A45" w:rsidRPr="00E2458F">
        <w:rPr>
          <w:rFonts w:eastAsia="標楷體"/>
          <w:i/>
        </w:rPr>
        <w:t xml:space="preserve"> 46</w:t>
      </w:r>
      <w:r w:rsidR="00914A45" w:rsidRPr="00E2458F">
        <w:rPr>
          <w:rFonts w:eastAsia="標楷體"/>
        </w:rPr>
        <w:t>(1)</w:t>
      </w:r>
      <w:r w:rsidRPr="00E2458F">
        <w:rPr>
          <w:rFonts w:eastAsia="標楷體"/>
        </w:rPr>
        <w:t>, 27-52.</w:t>
      </w:r>
    </w:p>
    <w:p w:rsidR="00B2131E" w:rsidRPr="00E2458F" w:rsidRDefault="00B2131E" w:rsidP="00526252">
      <w:pPr>
        <w:pStyle w:val="EndNoteBibliography"/>
        <w:ind w:left="720" w:hanging="720"/>
      </w:pPr>
      <w:r w:rsidRPr="00E2458F">
        <w:t>Fang, H.</w:t>
      </w:r>
      <w:r w:rsidR="00DA25A5" w:rsidRPr="00E2458F">
        <w:t xml:space="preserve"> </w:t>
      </w:r>
      <w:r w:rsidRPr="00E2458F">
        <w:t>H., Lee, H.</w:t>
      </w:r>
      <w:r w:rsidR="00DA25A5" w:rsidRPr="00E2458F">
        <w:t xml:space="preserve"> </w:t>
      </w:r>
      <w:r w:rsidRPr="00E2458F">
        <w:t>S., Hwang, S.-N., &amp; Chung, C.</w:t>
      </w:r>
      <w:r w:rsidR="00AF1040" w:rsidRPr="00E2458F">
        <w:t xml:space="preserve"> </w:t>
      </w:r>
      <w:r w:rsidRPr="00E2458F">
        <w:t xml:space="preserve">C. (2013). A slacks-based measure of super-efficiency in data envelopment analysis: An alternative approach. </w:t>
      </w:r>
      <w:r w:rsidRPr="00E2458F">
        <w:rPr>
          <w:i/>
        </w:rPr>
        <w:t>Omega, 41</w:t>
      </w:r>
      <w:r w:rsidRPr="00E2458F">
        <w:t xml:space="preserve">(4), 731-734. </w:t>
      </w:r>
    </w:p>
    <w:p w:rsidR="00B2131E" w:rsidRPr="00E2458F" w:rsidRDefault="00B2131E" w:rsidP="00526252">
      <w:pPr>
        <w:pStyle w:val="EndNoteBibliography"/>
        <w:ind w:left="720" w:hanging="720"/>
      </w:pPr>
      <w:r w:rsidRPr="00E2458F">
        <w:t xml:space="preserve">Friedman, M. (1937). The use of ranks to avoid the assumption of normality implicit in the analysis of variance. </w:t>
      </w:r>
      <w:r w:rsidRPr="00E2458F">
        <w:rPr>
          <w:i/>
        </w:rPr>
        <w:t xml:space="preserve">Journal of the </w:t>
      </w:r>
      <w:r w:rsidR="00DA25A5" w:rsidRPr="00E2458F">
        <w:rPr>
          <w:i/>
        </w:rPr>
        <w:t>A</w:t>
      </w:r>
      <w:r w:rsidRPr="00E2458F">
        <w:rPr>
          <w:i/>
        </w:rPr>
        <w:t>merican statistical association, 32</w:t>
      </w:r>
      <w:r w:rsidRPr="00E2458F">
        <w:t xml:space="preserve">(200), 675-701. </w:t>
      </w:r>
    </w:p>
    <w:p w:rsidR="00B2131E" w:rsidRPr="00E2458F" w:rsidRDefault="00B2131E" w:rsidP="00526252">
      <w:pPr>
        <w:pStyle w:val="EndNoteBibliography"/>
        <w:ind w:left="720" w:hanging="720"/>
      </w:pPr>
      <w:r w:rsidRPr="00E2458F">
        <w:t>Gerpott, T. J., &amp; Ahmadi, N. (2015). Advancement of indices assessing a nation</w:t>
      </w:r>
      <w:r w:rsidR="00DA25A5" w:rsidRPr="00E2458F">
        <w:t>’s</w:t>
      </w:r>
      <w:r w:rsidRPr="00E2458F">
        <w:t xml:space="preserve"> telecommunications development status: A PLS structural equation analysis of over 100 countries. </w:t>
      </w:r>
      <w:r w:rsidRPr="00E2458F">
        <w:rPr>
          <w:i/>
        </w:rPr>
        <w:t>Telecommunications Policy, 39</w:t>
      </w:r>
      <w:r w:rsidRPr="00E2458F">
        <w:t xml:space="preserve">(2), 93-111. </w:t>
      </w:r>
    </w:p>
    <w:p w:rsidR="00B2131E" w:rsidRPr="00E2458F" w:rsidRDefault="00B2131E" w:rsidP="00526252">
      <w:pPr>
        <w:pStyle w:val="EndNoteBibliography"/>
        <w:ind w:left="720" w:hanging="720"/>
        <w:rPr>
          <w:rFonts w:eastAsia="標楷體"/>
        </w:rPr>
      </w:pPr>
      <w:r w:rsidRPr="00E2458F">
        <w:rPr>
          <w:rFonts w:eastAsia="標楷體"/>
        </w:rPr>
        <w:t xml:space="preserve">Golany, B., &amp; Roll, Y. (1989). An application procedure for DEA. </w:t>
      </w:r>
      <w:r w:rsidRPr="00E2458F">
        <w:rPr>
          <w:rFonts w:eastAsia="標楷體"/>
          <w:i/>
        </w:rPr>
        <w:t>Omega, 17</w:t>
      </w:r>
      <w:r w:rsidRPr="00E2458F">
        <w:rPr>
          <w:rFonts w:eastAsia="標楷體"/>
        </w:rPr>
        <w:t xml:space="preserve">(3), 237-250. </w:t>
      </w:r>
    </w:p>
    <w:p w:rsidR="00B2131E" w:rsidRPr="00E2458F" w:rsidRDefault="00B2131E" w:rsidP="00526252">
      <w:pPr>
        <w:pStyle w:val="EndNoteBibliography"/>
        <w:ind w:left="720" w:hanging="720"/>
      </w:pPr>
      <w:r w:rsidRPr="00E2458F">
        <w:t xml:space="preserve">Harb, G. (2017). The economic impact of the Internet penetration rate and telecom investments in Arab and Middle Eastern countries. </w:t>
      </w:r>
      <w:r w:rsidRPr="00E2458F">
        <w:rPr>
          <w:i/>
        </w:rPr>
        <w:t xml:space="preserve">Economic </w:t>
      </w:r>
      <w:r w:rsidR="00DA25A5" w:rsidRPr="00E2458F">
        <w:rPr>
          <w:i/>
        </w:rPr>
        <w:t>A</w:t>
      </w:r>
      <w:r w:rsidRPr="00E2458F">
        <w:rPr>
          <w:i/>
        </w:rPr>
        <w:t xml:space="preserve">nalysis and </w:t>
      </w:r>
      <w:r w:rsidR="00DA25A5" w:rsidRPr="00E2458F">
        <w:rPr>
          <w:i/>
        </w:rPr>
        <w:t>P</w:t>
      </w:r>
      <w:r w:rsidRPr="00E2458F">
        <w:rPr>
          <w:i/>
        </w:rPr>
        <w:t>olicy, 56</w:t>
      </w:r>
      <w:r w:rsidRPr="00E2458F">
        <w:t xml:space="preserve">, 148-162. </w:t>
      </w:r>
    </w:p>
    <w:p w:rsidR="00B2131E" w:rsidRPr="00E2458F" w:rsidRDefault="00B2131E" w:rsidP="00526252">
      <w:pPr>
        <w:pStyle w:val="EndNoteBibliography"/>
        <w:ind w:left="720" w:hanging="720"/>
        <w:rPr>
          <w:rFonts w:eastAsia="標楷體"/>
        </w:rPr>
      </w:pPr>
      <w:r w:rsidRPr="00E2458F">
        <w:rPr>
          <w:rFonts w:eastAsia="標楷體" w:hint="eastAsia"/>
        </w:rPr>
        <w:t>Hashimoto, A.</w:t>
      </w:r>
      <w:r w:rsidR="00DA25A5" w:rsidRPr="00E2458F">
        <w:rPr>
          <w:rFonts w:eastAsia="標楷體"/>
        </w:rPr>
        <w:t>,</w:t>
      </w:r>
      <w:r w:rsidR="00914A45" w:rsidRPr="00E2458F">
        <w:rPr>
          <w:rFonts w:eastAsia="標楷體"/>
        </w:rPr>
        <w:t xml:space="preserve"> &amp;</w:t>
      </w:r>
      <w:r w:rsidRPr="00E2458F">
        <w:rPr>
          <w:rFonts w:eastAsia="標楷體" w:hint="eastAsia"/>
        </w:rPr>
        <w:t xml:space="preserve"> Haneda, S.</w:t>
      </w:r>
      <w:r w:rsidR="00914A45" w:rsidRPr="00E2458F">
        <w:rPr>
          <w:rFonts w:eastAsia="標楷體" w:hint="eastAsia"/>
          <w:lang w:eastAsia="zh-TW"/>
        </w:rPr>
        <w:t xml:space="preserve"> </w:t>
      </w:r>
      <w:r w:rsidR="00914A45" w:rsidRPr="00E2458F">
        <w:rPr>
          <w:rFonts w:eastAsia="標楷體"/>
          <w:lang w:eastAsia="zh-TW"/>
        </w:rPr>
        <w:t>(2008).</w:t>
      </w:r>
      <w:r w:rsidRPr="00E2458F">
        <w:rPr>
          <w:rFonts w:eastAsia="標楷體" w:hint="eastAsia"/>
        </w:rPr>
        <w:t xml:space="preserve"> Measuring the change in R&amp;D efficiency of the Japanese pharmaceutical industry. </w:t>
      </w:r>
      <w:r w:rsidRPr="00E2458F">
        <w:rPr>
          <w:rFonts w:eastAsia="標楷體" w:hint="eastAsia"/>
          <w:i/>
        </w:rPr>
        <w:t>Research Policy</w:t>
      </w:r>
      <w:r w:rsidR="008306B1" w:rsidRPr="00E2458F">
        <w:rPr>
          <w:rFonts w:eastAsia="標楷體"/>
        </w:rPr>
        <w:t xml:space="preserve">, </w:t>
      </w:r>
      <w:r w:rsidRPr="00E2458F">
        <w:rPr>
          <w:rFonts w:eastAsia="標楷體" w:hint="eastAsia"/>
          <w:i/>
        </w:rPr>
        <w:t>37</w:t>
      </w:r>
      <w:r w:rsidRPr="00E2458F">
        <w:rPr>
          <w:rFonts w:eastAsia="標楷體" w:hint="eastAsia"/>
        </w:rPr>
        <w:t>, 1829-1836.</w:t>
      </w:r>
    </w:p>
    <w:p w:rsidR="00B2131E" w:rsidRPr="00E2458F" w:rsidRDefault="00B2131E" w:rsidP="00526252">
      <w:pPr>
        <w:pStyle w:val="EndNoteBibliography"/>
        <w:ind w:left="720" w:hanging="720"/>
      </w:pPr>
      <w:r w:rsidRPr="00E2458F">
        <w:t xml:space="preserve">Homburg, C. (2001). Using data envelopment analysis to benchmark activities. </w:t>
      </w:r>
      <w:r w:rsidRPr="00E2458F">
        <w:rPr>
          <w:i/>
        </w:rPr>
        <w:t xml:space="preserve">International </w:t>
      </w:r>
      <w:r w:rsidR="00DA25A5" w:rsidRPr="00E2458F">
        <w:rPr>
          <w:i/>
        </w:rPr>
        <w:t>J</w:t>
      </w:r>
      <w:r w:rsidRPr="00E2458F">
        <w:rPr>
          <w:i/>
        </w:rPr>
        <w:t xml:space="preserve">ournal of </w:t>
      </w:r>
      <w:r w:rsidR="00DA25A5" w:rsidRPr="00E2458F">
        <w:rPr>
          <w:i/>
        </w:rPr>
        <w:t>P</w:t>
      </w:r>
      <w:r w:rsidRPr="00E2458F">
        <w:rPr>
          <w:i/>
        </w:rPr>
        <w:t xml:space="preserve">roduction </w:t>
      </w:r>
      <w:r w:rsidR="00DA25A5" w:rsidRPr="00E2458F">
        <w:rPr>
          <w:i/>
        </w:rPr>
        <w:t>E</w:t>
      </w:r>
      <w:r w:rsidRPr="00E2458F">
        <w:rPr>
          <w:i/>
        </w:rPr>
        <w:t>conomics, 73</w:t>
      </w:r>
      <w:r w:rsidRPr="00E2458F">
        <w:t xml:space="preserve">(1), 51-58. </w:t>
      </w:r>
    </w:p>
    <w:p w:rsidR="00B2131E" w:rsidRPr="00E2458F" w:rsidRDefault="00B2131E" w:rsidP="00526252">
      <w:pPr>
        <w:pStyle w:val="EndNoteBibliography"/>
        <w:ind w:left="720" w:hanging="720"/>
        <w:rPr>
          <w:rFonts w:eastAsia="標楷體"/>
        </w:rPr>
      </w:pPr>
      <w:r w:rsidRPr="00E2458F">
        <w:rPr>
          <w:rFonts w:eastAsia="標楷體"/>
        </w:rPr>
        <w:t xml:space="preserve">Hung, S. W., He, D. S., &amp; Lu, W. M. (2014). Evaluating the dynamic performances of business groups from the carry-over perspective: A case study of Taiwan's semiconductor industry. </w:t>
      </w:r>
      <w:r w:rsidRPr="00E2458F">
        <w:rPr>
          <w:rFonts w:eastAsia="標楷體"/>
          <w:i/>
        </w:rPr>
        <w:t>Omega-International Journal of Management Science, 46</w:t>
      </w:r>
      <w:r w:rsidRPr="00E2458F">
        <w:rPr>
          <w:rFonts w:eastAsia="標楷體"/>
        </w:rPr>
        <w:t>, 1-10.</w:t>
      </w:r>
    </w:p>
    <w:p w:rsidR="00B2131E" w:rsidRPr="00E2458F" w:rsidRDefault="00B2131E" w:rsidP="00526252">
      <w:pPr>
        <w:pStyle w:val="EndNoteBibliography"/>
        <w:ind w:left="720" w:hanging="720"/>
      </w:pPr>
      <w:r w:rsidRPr="00E2458F">
        <w:t>Industrial Economic Research Center</w:t>
      </w:r>
      <w:r w:rsidR="00EA7A24" w:rsidRPr="00E2458F">
        <w:t>.</w:t>
      </w:r>
      <w:r w:rsidRPr="00E2458F">
        <w:t xml:space="preserve"> (2021). Taiwan Industry Map</w:t>
      </w:r>
      <w:r w:rsidRPr="00E2458F">
        <w:rPr>
          <w:rFonts w:asciiTheme="minorEastAsia" w:eastAsiaTheme="minorEastAsia" w:hAnsiTheme="minorEastAsia" w:hint="eastAsia"/>
          <w:lang w:eastAsia="zh-TW"/>
        </w:rPr>
        <w:t>.</w:t>
      </w:r>
    </w:p>
    <w:p w:rsidR="00B2131E" w:rsidRPr="00E2458F" w:rsidRDefault="00B2131E" w:rsidP="00526252">
      <w:pPr>
        <w:pStyle w:val="EndNoteBibliography"/>
        <w:ind w:left="720" w:hanging="720"/>
      </w:pPr>
      <w:r w:rsidRPr="00E2458F">
        <w:t xml:space="preserve">Jia, W. (2016). </w:t>
      </w:r>
      <w:r w:rsidRPr="00E2458F">
        <w:rPr>
          <w:i/>
        </w:rPr>
        <w:t>Enlightenment from the innovative application of 4G communication technology in the mobile library.</w:t>
      </w:r>
      <w:r w:rsidRPr="00E2458F">
        <w:t xml:space="preserve"> Paper presented at the 2016 International Conference on Smart City and Systems Engineering (ICSCSE).</w:t>
      </w:r>
    </w:p>
    <w:p w:rsidR="00B2131E" w:rsidRPr="00E2458F" w:rsidRDefault="00B2131E" w:rsidP="00526252">
      <w:pPr>
        <w:pStyle w:val="EndNoteBibliography"/>
        <w:ind w:left="720" w:hanging="720"/>
      </w:pPr>
      <w:r w:rsidRPr="00E2458F">
        <w:t>Kotabe, M.</w:t>
      </w:r>
      <w:r w:rsidR="00DA25A5" w:rsidRPr="00E2458F">
        <w:t>,</w:t>
      </w:r>
      <w:r w:rsidRPr="00E2458F">
        <w:t xml:space="preserve"> </w:t>
      </w:r>
      <w:r w:rsidR="00DA25A5" w:rsidRPr="00E2458F">
        <w:t>&amp;</w:t>
      </w:r>
      <w:r w:rsidRPr="00E2458F">
        <w:t xml:space="preserve"> Zhao, </w:t>
      </w:r>
      <w:r w:rsidRPr="00E2458F">
        <w:rPr>
          <w:rFonts w:eastAsia="標楷體"/>
        </w:rPr>
        <w:t>H.</w:t>
      </w:r>
      <w:r w:rsidR="00DC725C" w:rsidRPr="00E2458F">
        <w:rPr>
          <w:rFonts w:eastAsia="標楷體" w:hint="eastAsia"/>
          <w:lang w:eastAsia="zh-TW"/>
        </w:rPr>
        <w:t xml:space="preserve"> </w:t>
      </w:r>
      <w:r w:rsidR="00DC725C" w:rsidRPr="00E2458F">
        <w:rPr>
          <w:rFonts w:eastAsia="標楷體"/>
          <w:lang w:eastAsia="zh-TW"/>
        </w:rPr>
        <w:t xml:space="preserve">(2002). </w:t>
      </w:r>
      <w:r w:rsidRPr="00E2458F">
        <w:t xml:space="preserve">A Taxonomy of </w:t>
      </w:r>
      <w:r w:rsidR="00DA25A5" w:rsidRPr="00E2458F">
        <w:t>s</w:t>
      </w:r>
      <w:r w:rsidRPr="00E2458F">
        <w:t xml:space="preserve">ourcing </w:t>
      </w:r>
      <w:r w:rsidR="00DA25A5" w:rsidRPr="00E2458F">
        <w:t>s</w:t>
      </w:r>
      <w:r w:rsidRPr="00E2458F">
        <w:t xml:space="preserve">trategic </w:t>
      </w:r>
      <w:r w:rsidR="00DA25A5" w:rsidRPr="00E2458F">
        <w:t>t</w:t>
      </w:r>
      <w:r w:rsidRPr="00E2458F">
        <w:t xml:space="preserve">ypes for MNCs </w:t>
      </w:r>
      <w:r w:rsidR="00DA25A5" w:rsidRPr="00E2458F">
        <w:t>o</w:t>
      </w:r>
      <w:r w:rsidRPr="00E2458F">
        <w:t xml:space="preserve">perating in China. </w:t>
      </w:r>
      <w:r w:rsidRPr="00E2458F">
        <w:rPr>
          <w:i/>
        </w:rPr>
        <w:t>Asia Pacific Journal of Management, 19</w:t>
      </w:r>
      <w:r w:rsidR="00DC725C" w:rsidRPr="00E2458F">
        <w:rPr>
          <w:rFonts w:eastAsiaTheme="minorEastAsia" w:hint="eastAsia"/>
          <w:lang w:eastAsia="zh-TW"/>
        </w:rPr>
        <w:t>(</w:t>
      </w:r>
      <w:r w:rsidR="00DC725C" w:rsidRPr="00E2458F">
        <w:rPr>
          <w:rFonts w:eastAsiaTheme="minorEastAsia"/>
          <w:lang w:eastAsia="zh-TW"/>
        </w:rPr>
        <w:t xml:space="preserve">1), </w:t>
      </w:r>
      <w:r w:rsidRPr="00E2458F">
        <w:t>11–27.</w:t>
      </w:r>
    </w:p>
    <w:p w:rsidR="00B2131E" w:rsidRPr="00E2458F" w:rsidRDefault="00B2131E" w:rsidP="00526252">
      <w:pPr>
        <w:pStyle w:val="EndNoteBibliography"/>
        <w:ind w:left="720" w:hanging="720"/>
      </w:pPr>
      <w:r w:rsidRPr="00E2458F">
        <w:t xml:space="preserve">Kumar, A., Shankar, R., &amp; Debnath, R. M. (2015). Analyzing customer preference and measuring relative efficiency in telecom sector: A hybrid fuzzy AHP/DEA study. </w:t>
      </w:r>
      <w:r w:rsidRPr="00E2458F">
        <w:rPr>
          <w:i/>
        </w:rPr>
        <w:t>Telematics and Informatics, 32</w:t>
      </w:r>
      <w:r w:rsidRPr="00E2458F">
        <w:t xml:space="preserve">(3), 447-462. </w:t>
      </w:r>
    </w:p>
    <w:p w:rsidR="00B2131E" w:rsidRPr="00E2458F" w:rsidRDefault="00B2131E" w:rsidP="00526252">
      <w:pPr>
        <w:pStyle w:val="EndNoteBibliography"/>
        <w:ind w:left="720" w:hanging="720"/>
        <w:rPr>
          <w:rFonts w:eastAsia="標楷體"/>
        </w:rPr>
      </w:pPr>
      <w:r w:rsidRPr="00E2458F">
        <w:rPr>
          <w:rFonts w:eastAsia="標楷體" w:hint="eastAsia"/>
        </w:rPr>
        <w:t>Lu, C.</w:t>
      </w:r>
      <w:r w:rsidR="00AF1040" w:rsidRPr="00E2458F">
        <w:rPr>
          <w:rFonts w:eastAsia="標楷體"/>
        </w:rPr>
        <w:t xml:space="preserve"> </w:t>
      </w:r>
      <w:r w:rsidRPr="00E2458F">
        <w:rPr>
          <w:rFonts w:eastAsia="標楷體" w:hint="eastAsia"/>
        </w:rPr>
        <w:t xml:space="preserve">C., Kao, L. J. </w:t>
      </w:r>
      <w:r w:rsidR="008306B1" w:rsidRPr="00E2458F">
        <w:rPr>
          <w:rFonts w:eastAsia="標楷體"/>
        </w:rPr>
        <w:t>&amp;</w:t>
      </w:r>
      <w:r w:rsidRPr="00E2458F">
        <w:rPr>
          <w:rFonts w:eastAsia="標楷體" w:hint="eastAsia"/>
        </w:rPr>
        <w:t xml:space="preserve"> Fu, H. P.</w:t>
      </w:r>
      <w:r w:rsidR="00DA25A5" w:rsidRPr="00E2458F">
        <w:rPr>
          <w:rFonts w:eastAsia="DengXian" w:hint="eastAsia"/>
        </w:rPr>
        <w:t xml:space="preserve"> </w:t>
      </w:r>
      <w:r w:rsidR="00DA25A5" w:rsidRPr="00E2458F">
        <w:rPr>
          <w:rFonts w:eastAsia="DengXian"/>
        </w:rPr>
        <w:t xml:space="preserve">(2016). </w:t>
      </w:r>
      <w:r w:rsidRPr="00E2458F">
        <w:rPr>
          <w:rFonts w:eastAsia="標楷體" w:hint="eastAsia"/>
        </w:rPr>
        <w:t xml:space="preserve">Applying Independent Component Analysis and DEA to </w:t>
      </w:r>
      <w:r w:rsidR="00DA25A5" w:rsidRPr="00E2458F">
        <w:rPr>
          <w:rFonts w:eastAsia="標楷體"/>
        </w:rPr>
        <w:t>m</w:t>
      </w:r>
      <w:r w:rsidRPr="00E2458F">
        <w:rPr>
          <w:rFonts w:eastAsia="標楷體" w:hint="eastAsia"/>
        </w:rPr>
        <w:t xml:space="preserve">easure </w:t>
      </w:r>
      <w:r w:rsidR="00DA25A5" w:rsidRPr="00E2458F">
        <w:rPr>
          <w:rFonts w:eastAsia="標楷體"/>
        </w:rPr>
        <w:t>e</w:t>
      </w:r>
      <w:r w:rsidRPr="00E2458F">
        <w:rPr>
          <w:rFonts w:eastAsia="標楷體" w:hint="eastAsia"/>
        </w:rPr>
        <w:t xml:space="preserve">fficiencies of the </w:t>
      </w:r>
      <w:r w:rsidR="00DA25A5" w:rsidRPr="00E2458F">
        <w:rPr>
          <w:rFonts w:eastAsia="標楷體"/>
        </w:rPr>
        <w:t>m</w:t>
      </w:r>
      <w:r w:rsidRPr="00E2458F">
        <w:rPr>
          <w:rFonts w:eastAsia="標楷體" w:hint="eastAsia"/>
        </w:rPr>
        <w:t xml:space="preserve">edium-size </w:t>
      </w:r>
      <w:r w:rsidR="00DA25A5" w:rsidRPr="00E2458F">
        <w:rPr>
          <w:rFonts w:eastAsia="標楷體"/>
        </w:rPr>
        <w:t>s</w:t>
      </w:r>
      <w:r w:rsidRPr="00E2458F">
        <w:rPr>
          <w:rFonts w:eastAsia="標楷體" w:hint="eastAsia"/>
        </w:rPr>
        <w:t xml:space="preserve">emiconductor </w:t>
      </w:r>
      <w:r w:rsidR="00DA25A5" w:rsidRPr="00E2458F">
        <w:rPr>
          <w:rFonts w:eastAsia="標楷體"/>
        </w:rPr>
        <w:t>p</w:t>
      </w:r>
      <w:r w:rsidRPr="00E2458F">
        <w:rPr>
          <w:rFonts w:eastAsia="標楷體" w:hint="eastAsia"/>
        </w:rPr>
        <w:t xml:space="preserve">ackaging and </w:t>
      </w:r>
      <w:r w:rsidR="00DA25A5" w:rsidRPr="00E2458F">
        <w:rPr>
          <w:rFonts w:eastAsia="標楷體"/>
        </w:rPr>
        <w:t>t</w:t>
      </w:r>
      <w:r w:rsidRPr="00E2458F">
        <w:rPr>
          <w:rFonts w:eastAsia="標楷體" w:hint="eastAsia"/>
        </w:rPr>
        <w:t xml:space="preserve">esting </w:t>
      </w:r>
      <w:r w:rsidR="00DA25A5" w:rsidRPr="00E2458F">
        <w:rPr>
          <w:rFonts w:eastAsia="標楷體"/>
        </w:rPr>
        <w:t>c</w:t>
      </w:r>
      <w:r w:rsidRPr="00E2458F">
        <w:rPr>
          <w:rFonts w:eastAsia="標楷體" w:hint="eastAsia"/>
        </w:rPr>
        <w:t xml:space="preserve">ompanies in Taiwan. </w:t>
      </w:r>
      <w:r w:rsidRPr="00E2458F">
        <w:rPr>
          <w:rFonts w:eastAsia="標楷體" w:hint="eastAsia"/>
          <w:i/>
        </w:rPr>
        <w:t>Sun Yat-sen Management Review, 24</w:t>
      </w:r>
      <w:r w:rsidR="008306B1" w:rsidRPr="00E2458F">
        <w:rPr>
          <w:rFonts w:eastAsia="標楷體" w:hint="eastAsia"/>
          <w:lang w:eastAsia="zh-TW"/>
        </w:rPr>
        <w:t>(</w:t>
      </w:r>
      <w:r w:rsidR="008306B1" w:rsidRPr="00E2458F">
        <w:rPr>
          <w:rFonts w:eastAsia="標楷體"/>
          <w:lang w:eastAsia="zh-TW"/>
        </w:rPr>
        <w:t xml:space="preserve">3), </w:t>
      </w:r>
      <w:r w:rsidRPr="00E2458F">
        <w:rPr>
          <w:rFonts w:eastAsia="標楷體" w:hint="eastAsia"/>
        </w:rPr>
        <w:t>503-530.</w:t>
      </w:r>
    </w:p>
    <w:p w:rsidR="00B2131E" w:rsidRPr="00E2458F" w:rsidRDefault="00B2131E" w:rsidP="00526252">
      <w:pPr>
        <w:pStyle w:val="EndNoteBibliography"/>
        <w:ind w:left="720" w:hanging="720"/>
      </w:pPr>
      <w:r w:rsidRPr="00E2458F">
        <w:t>Lu, W.</w:t>
      </w:r>
      <w:r w:rsidR="00AF1040" w:rsidRPr="00E2458F">
        <w:t xml:space="preserve"> </w:t>
      </w:r>
      <w:r w:rsidRPr="00E2458F">
        <w:t>M., &amp; Hung, S.</w:t>
      </w:r>
      <w:r w:rsidR="00AF1040" w:rsidRPr="00E2458F">
        <w:t xml:space="preserve"> </w:t>
      </w:r>
      <w:r w:rsidRPr="00E2458F">
        <w:t xml:space="preserve">W. (2011). Exploring the operating efficiency of </w:t>
      </w:r>
      <w:r w:rsidR="00DA25A5" w:rsidRPr="00E2458F">
        <w:t>t</w:t>
      </w:r>
      <w:r w:rsidRPr="00E2458F">
        <w:t xml:space="preserve">echnology </w:t>
      </w:r>
      <w:r w:rsidR="00DA25A5" w:rsidRPr="00E2458F">
        <w:t>d</w:t>
      </w:r>
      <w:r w:rsidRPr="00E2458F">
        <w:t xml:space="preserve">evelopment </w:t>
      </w:r>
      <w:r w:rsidR="00DA25A5" w:rsidRPr="00E2458F">
        <w:t>p</w:t>
      </w:r>
      <w:r w:rsidRPr="00E2458F">
        <w:t>rograms by an intellectual capital perspective</w:t>
      </w:r>
      <w:r w:rsidR="00AF1040" w:rsidRPr="00E2458F">
        <w:t xml:space="preserve"> - </w:t>
      </w:r>
      <w:r w:rsidRPr="00E2458F">
        <w:t xml:space="preserve">A case study of Taiwan. </w:t>
      </w:r>
      <w:r w:rsidRPr="00E2458F">
        <w:rPr>
          <w:i/>
        </w:rPr>
        <w:t>Technovation, 31</w:t>
      </w:r>
      <w:r w:rsidRPr="00E2458F">
        <w:t xml:space="preserve">(8), 374-383. </w:t>
      </w:r>
    </w:p>
    <w:p w:rsidR="00B2131E" w:rsidRPr="00E2458F" w:rsidRDefault="00B2131E" w:rsidP="00526252">
      <w:pPr>
        <w:pStyle w:val="EndNoteBibliography"/>
        <w:ind w:left="720" w:hanging="720"/>
        <w:rPr>
          <w:rFonts w:eastAsia="標楷體"/>
        </w:rPr>
      </w:pPr>
      <w:r w:rsidRPr="00E2458F">
        <w:rPr>
          <w:rFonts w:eastAsia="標楷體" w:hint="eastAsia"/>
        </w:rPr>
        <w:t>Pandit, S., Wasley, C. E.</w:t>
      </w:r>
      <w:r w:rsidR="00AF1040" w:rsidRPr="00E2458F">
        <w:rPr>
          <w:rFonts w:eastAsia="標楷體"/>
        </w:rPr>
        <w:t>,</w:t>
      </w:r>
      <w:r w:rsidRPr="00E2458F">
        <w:rPr>
          <w:rFonts w:eastAsia="標楷體" w:hint="eastAsia"/>
        </w:rPr>
        <w:t xml:space="preserve"> </w:t>
      </w:r>
      <w:r w:rsidR="008306B1" w:rsidRPr="00E2458F">
        <w:rPr>
          <w:rFonts w:eastAsia="標楷體"/>
        </w:rPr>
        <w:t>&amp;</w:t>
      </w:r>
      <w:r w:rsidRPr="00E2458F">
        <w:rPr>
          <w:rFonts w:eastAsia="標楷體" w:hint="eastAsia"/>
        </w:rPr>
        <w:t xml:space="preserve"> Zach, T.</w:t>
      </w:r>
      <w:r w:rsidR="00DA25A5" w:rsidRPr="00E2458F">
        <w:rPr>
          <w:rFonts w:eastAsia="DengXian" w:hint="eastAsia"/>
        </w:rPr>
        <w:t xml:space="preserve"> </w:t>
      </w:r>
      <w:r w:rsidR="00DA25A5" w:rsidRPr="00E2458F">
        <w:rPr>
          <w:rFonts w:eastAsia="DengXian"/>
        </w:rPr>
        <w:t>(2011).</w:t>
      </w:r>
      <w:r w:rsidRPr="00E2458F">
        <w:rPr>
          <w:rFonts w:eastAsia="標楷體" w:hint="eastAsia"/>
        </w:rPr>
        <w:t xml:space="preserve"> The effect of research and development</w:t>
      </w:r>
      <w:r w:rsidR="00DA25A5" w:rsidRPr="00E2458F">
        <w:rPr>
          <w:rFonts w:eastAsia="DengXian" w:hint="eastAsia"/>
        </w:rPr>
        <w:t xml:space="preserve"> </w:t>
      </w:r>
      <w:r w:rsidR="00DA25A5" w:rsidRPr="00E2458F">
        <w:rPr>
          <w:rFonts w:eastAsia="DengXian"/>
        </w:rPr>
        <w:t xml:space="preserve">(R&amp;D) </w:t>
      </w:r>
      <w:r w:rsidR="00AF1040" w:rsidRPr="00E2458F">
        <w:rPr>
          <w:rFonts w:eastAsia="標楷體"/>
        </w:rPr>
        <w:t>i</w:t>
      </w:r>
      <w:r w:rsidRPr="00E2458F">
        <w:rPr>
          <w:rFonts w:eastAsia="標楷體" w:hint="eastAsia"/>
        </w:rPr>
        <w:t>nputs and outputs on the relation between the uncertainty of future operating performance and R&amp;D expenditures.</w:t>
      </w:r>
      <w:r w:rsidRPr="00E2458F">
        <w:rPr>
          <w:rFonts w:eastAsia="標楷體" w:hint="eastAsia"/>
          <w:i/>
        </w:rPr>
        <w:t xml:space="preserve"> Journal of Accounting,</w:t>
      </w:r>
      <w:r w:rsidR="00DA25A5" w:rsidRPr="00E2458F">
        <w:rPr>
          <w:rFonts w:eastAsia="標楷體"/>
          <w:i/>
        </w:rPr>
        <w:t xml:space="preserve"> </w:t>
      </w:r>
      <w:r w:rsidRPr="00E2458F">
        <w:rPr>
          <w:rFonts w:eastAsia="標楷體" w:hint="eastAsia"/>
          <w:i/>
        </w:rPr>
        <w:t>Auditing &amp; Finance</w:t>
      </w:r>
      <w:r w:rsidR="008306B1" w:rsidRPr="00E2458F">
        <w:rPr>
          <w:rFonts w:eastAsia="標楷體"/>
          <w:i/>
        </w:rPr>
        <w:t>, 26</w:t>
      </w:r>
      <w:r w:rsidR="008306B1" w:rsidRPr="00E2458F">
        <w:rPr>
          <w:rFonts w:eastAsia="標楷體"/>
        </w:rPr>
        <w:t>(1)</w:t>
      </w:r>
      <w:r w:rsidRPr="00E2458F">
        <w:rPr>
          <w:rFonts w:eastAsia="標楷體" w:hint="eastAsia"/>
        </w:rPr>
        <w:t>, 12</w:t>
      </w:r>
      <w:r w:rsidRPr="00E2458F">
        <w:rPr>
          <w:rFonts w:eastAsia="標楷體"/>
        </w:rPr>
        <w:t>1-144.</w:t>
      </w:r>
    </w:p>
    <w:p w:rsidR="00B2131E" w:rsidRPr="00E2458F" w:rsidRDefault="00B2131E" w:rsidP="00526252">
      <w:pPr>
        <w:pStyle w:val="EndNoteBibliography"/>
        <w:ind w:left="720" w:hanging="720"/>
        <w:rPr>
          <w:rFonts w:eastAsia="標楷體"/>
        </w:rPr>
      </w:pPr>
      <w:r w:rsidRPr="00E2458F">
        <w:rPr>
          <w:rFonts w:eastAsia="標楷體" w:hint="eastAsia"/>
        </w:rPr>
        <w:t>Seiford, L.</w:t>
      </w:r>
      <w:r w:rsidR="00DA25A5" w:rsidRPr="00E2458F">
        <w:rPr>
          <w:rFonts w:eastAsia="標楷體"/>
        </w:rPr>
        <w:t xml:space="preserve"> </w:t>
      </w:r>
      <w:r w:rsidRPr="00E2458F">
        <w:rPr>
          <w:rFonts w:eastAsia="標楷體" w:hint="eastAsia"/>
        </w:rPr>
        <w:t>M.</w:t>
      </w:r>
      <w:r w:rsidR="00DA25A5" w:rsidRPr="00E2458F">
        <w:rPr>
          <w:rFonts w:eastAsia="標楷體"/>
        </w:rPr>
        <w:t xml:space="preserve">, </w:t>
      </w:r>
      <w:r w:rsidR="008306B1" w:rsidRPr="00E2458F">
        <w:rPr>
          <w:rFonts w:eastAsia="標楷體"/>
        </w:rPr>
        <w:t>&amp;</w:t>
      </w:r>
      <w:r w:rsidRPr="00E2458F">
        <w:rPr>
          <w:rFonts w:eastAsia="標楷體" w:hint="eastAsia"/>
        </w:rPr>
        <w:t xml:space="preserve"> Zhu J.</w:t>
      </w:r>
      <w:r w:rsidR="00DA25A5" w:rsidRPr="00E2458F">
        <w:rPr>
          <w:rFonts w:eastAsia="DengXian" w:hint="eastAsia"/>
        </w:rPr>
        <w:t xml:space="preserve"> </w:t>
      </w:r>
      <w:r w:rsidR="00DA25A5" w:rsidRPr="00E2458F">
        <w:rPr>
          <w:rFonts w:eastAsia="DengXian"/>
        </w:rPr>
        <w:t xml:space="preserve">(1999). </w:t>
      </w:r>
      <w:r w:rsidRPr="00E2458F">
        <w:rPr>
          <w:rFonts w:eastAsia="標楷體" w:hint="eastAsia"/>
        </w:rPr>
        <w:t xml:space="preserve">Profitability and marketability of the top 55 U.S. commercial banks. </w:t>
      </w:r>
      <w:r w:rsidRPr="00E2458F">
        <w:rPr>
          <w:rFonts w:eastAsia="標楷體" w:hint="eastAsia"/>
          <w:i/>
        </w:rPr>
        <w:t>Management Science, 45</w:t>
      </w:r>
      <w:r w:rsidR="00DA25A5" w:rsidRPr="00E2458F">
        <w:rPr>
          <w:rFonts w:eastAsia="DengXian" w:hint="eastAsia"/>
        </w:rPr>
        <w:t>(</w:t>
      </w:r>
      <w:r w:rsidR="00DA25A5" w:rsidRPr="00E2458F">
        <w:rPr>
          <w:rFonts w:eastAsia="DengXian"/>
        </w:rPr>
        <w:t xml:space="preserve">9), </w:t>
      </w:r>
      <w:r w:rsidRPr="00E2458F">
        <w:rPr>
          <w:rFonts w:eastAsia="標楷體" w:hint="eastAsia"/>
        </w:rPr>
        <w:t>1270-1288.</w:t>
      </w:r>
    </w:p>
    <w:p w:rsidR="00B2131E" w:rsidRPr="00E2458F" w:rsidRDefault="00B2131E" w:rsidP="00526252">
      <w:pPr>
        <w:pStyle w:val="EndNoteBibliography"/>
        <w:ind w:left="720" w:hanging="720"/>
      </w:pPr>
      <w:r w:rsidRPr="00E2458F">
        <w:t xml:space="preserve">Tone, K. (2001). A slacks-based measure of efficiency in data envelopment analysis. </w:t>
      </w:r>
      <w:r w:rsidRPr="00E2458F">
        <w:rPr>
          <w:i/>
        </w:rPr>
        <w:t>European Journal of Operational Research, 130</w:t>
      </w:r>
      <w:r w:rsidRPr="00E2458F">
        <w:t xml:space="preserve">(3), 498-509. </w:t>
      </w:r>
    </w:p>
    <w:p w:rsidR="00B2131E" w:rsidRPr="00E2458F" w:rsidRDefault="00B2131E" w:rsidP="00526252">
      <w:pPr>
        <w:pStyle w:val="EndNoteBibliography"/>
        <w:ind w:left="720" w:hanging="720"/>
        <w:rPr>
          <w:rFonts w:eastAsia="標楷體"/>
        </w:rPr>
      </w:pPr>
      <w:r w:rsidRPr="00E2458F">
        <w:rPr>
          <w:rFonts w:eastAsia="標楷體"/>
        </w:rPr>
        <w:t xml:space="preserve">Tone, K., &amp; Tsutsui, M. (2010). Dynamic DEA: A slacks-based measure approach. </w:t>
      </w:r>
      <w:r w:rsidRPr="00E2458F">
        <w:rPr>
          <w:rFonts w:eastAsia="標楷體"/>
          <w:i/>
        </w:rPr>
        <w:t>Omega, 38</w:t>
      </w:r>
      <w:r w:rsidRPr="00E2458F">
        <w:rPr>
          <w:rFonts w:eastAsia="標楷體"/>
        </w:rPr>
        <w:t xml:space="preserve">(3), 145-156. </w:t>
      </w:r>
    </w:p>
    <w:p w:rsidR="00B2131E" w:rsidRPr="00E2458F" w:rsidRDefault="00B2131E" w:rsidP="00526252">
      <w:pPr>
        <w:pStyle w:val="EndNoteBibliography"/>
        <w:ind w:left="720" w:hanging="720"/>
      </w:pPr>
      <w:r w:rsidRPr="00E2458F">
        <w:t xml:space="preserve">Weygandt, J. J., Kimmel, P. D., &amp; Kieso, D. E. (2018). </w:t>
      </w:r>
      <w:r w:rsidRPr="00E2458F">
        <w:rPr>
          <w:i/>
        </w:rPr>
        <w:t>Financial and managerial accounting</w:t>
      </w:r>
      <w:r w:rsidRPr="00E2458F">
        <w:t>: John Wiley &amp; Sons.</w:t>
      </w:r>
    </w:p>
    <w:p w:rsidR="00B2131E" w:rsidRPr="00E2458F" w:rsidRDefault="00B2131E" w:rsidP="00526252">
      <w:pPr>
        <w:pStyle w:val="EndNoteBibliography"/>
        <w:ind w:left="720" w:hanging="720"/>
      </w:pPr>
      <w:r w:rsidRPr="00E2458F">
        <w:t>Yang, H.</w:t>
      </w:r>
      <w:r w:rsidR="00AF1040" w:rsidRPr="00E2458F">
        <w:t xml:space="preserve"> </w:t>
      </w:r>
      <w:r w:rsidRPr="00E2458F">
        <w:t>H., &amp; Chang, C.</w:t>
      </w:r>
      <w:r w:rsidR="00AF1040" w:rsidRPr="00E2458F">
        <w:t xml:space="preserve"> </w:t>
      </w:r>
      <w:r w:rsidRPr="00E2458F">
        <w:t xml:space="preserve">Y. (2009). Using DEA window analysis to measure efficiencies of Taiwan's integrated telecommunication firms. </w:t>
      </w:r>
      <w:r w:rsidRPr="00E2458F">
        <w:rPr>
          <w:i/>
        </w:rPr>
        <w:t>Telecommunications Policy, 33</w:t>
      </w:r>
      <w:r w:rsidRPr="00E2458F">
        <w:t xml:space="preserve">(1-2), 98-108. </w:t>
      </w:r>
    </w:p>
    <w:p w:rsidR="00B2131E" w:rsidRPr="00E2458F" w:rsidRDefault="00B2131E" w:rsidP="00526252">
      <w:pPr>
        <w:pStyle w:val="EndNoteBibliography"/>
        <w:ind w:left="720" w:hanging="720"/>
        <w:rPr>
          <w:rFonts w:eastAsia="標楷體"/>
        </w:rPr>
      </w:pPr>
      <w:r w:rsidRPr="00E2458F">
        <w:rPr>
          <w:rFonts w:eastAsia="標楷體"/>
        </w:rPr>
        <w:t>Yang, X., &amp; Morita, H. (2013). Efficiency improvement from multiple perspectives: An application to</w:t>
      </w:r>
      <w:r w:rsidR="00E2458F">
        <w:rPr>
          <w:rFonts w:eastAsia="標楷體"/>
        </w:rPr>
        <w:t xml:space="preserve"> the</w:t>
      </w:r>
      <w:r w:rsidRPr="00E2458F">
        <w:rPr>
          <w:rFonts w:eastAsia="標楷體"/>
        </w:rPr>
        <w:t xml:space="preserve"> Japanese banking industry. </w:t>
      </w:r>
      <w:r w:rsidRPr="00E2458F">
        <w:rPr>
          <w:rFonts w:eastAsia="標楷體"/>
          <w:i/>
        </w:rPr>
        <w:t>Omega, 41</w:t>
      </w:r>
      <w:r w:rsidRPr="00E2458F">
        <w:rPr>
          <w:rFonts w:eastAsia="標楷體"/>
        </w:rPr>
        <w:t xml:space="preserve">(3), 501-509. </w:t>
      </w:r>
    </w:p>
    <w:p w:rsidR="000D2B6E" w:rsidRPr="00E2458F" w:rsidRDefault="000D2B6E">
      <w:pPr>
        <w:widowControl/>
        <w:jc w:val="left"/>
        <w:rPr>
          <w:rFonts w:eastAsia="標楷體"/>
        </w:rPr>
      </w:pPr>
      <w:r w:rsidRPr="00E2458F">
        <w:rPr>
          <w:rFonts w:eastAsia="標楷體"/>
        </w:rPr>
        <w:br w:type="page"/>
      </w:r>
    </w:p>
    <w:p w:rsidR="000D2B6E" w:rsidRPr="00C236D3" w:rsidRDefault="000D2B6E" w:rsidP="00526252">
      <w:pPr>
        <w:tabs>
          <w:tab w:val="left" w:pos="3555"/>
        </w:tabs>
        <w:spacing w:after="80"/>
        <w:jc w:val="center"/>
        <w:rPr>
          <w:rFonts w:eastAsia="標楷體"/>
          <w:sz w:val="20"/>
          <w:lang w:val="sv-SE"/>
        </w:rPr>
      </w:pPr>
    </w:p>
    <w:p w:rsidR="000D2B6E" w:rsidRDefault="00002888" w:rsidP="00526252">
      <w:pPr>
        <w:widowControl/>
        <w:jc w:val="left"/>
        <w:rPr>
          <w:rFonts w:eastAsia="標楷體"/>
        </w:rPr>
      </w:pPr>
      <w:r>
        <w:object w:dxaOrig="12496" w:dyaOrig="5910">
          <v:shape id="_x0000_i1055" type="#_x0000_t75" style="width:414.75pt;height:196.5pt" o:ole="">
            <v:imagedata r:id="rId69" o:title=""/>
          </v:shape>
          <o:OLEObject Type="Embed" ProgID="Visio.Drawing.15" ShapeID="_x0000_i1055" DrawAspect="Content" ObjectID="_1700035776" r:id="rId70"/>
        </w:object>
      </w:r>
    </w:p>
    <w:p w:rsidR="000D2B6E" w:rsidRDefault="000D2B6E" w:rsidP="00526252">
      <w:pPr>
        <w:widowControl/>
        <w:jc w:val="left"/>
        <w:rPr>
          <w:rFonts w:eastAsia="標楷體"/>
        </w:rPr>
      </w:pPr>
    </w:p>
    <w:p w:rsidR="000D2B6E" w:rsidRPr="00C236D3" w:rsidRDefault="000D2B6E" w:rsidP="00526252">
      <w:pPr>
        <w:widowControl/>
        <w:jc w:val="left"/>
        <w:rPr>
          <w:rFonts w:eastAsia="標楷體"/>
        </w:rPr>
      </w:pPr>
    </w:p>
    <w:p w:rsidR="000D2B6E" w:rsidRPr="00C236D3" w:rsidRDefault="000D2B6E" w:rsidP="00526252">
      <w:pPr>
        <w:spacing w:after="80" w:line="240" w:lineRule="exact"/>
        <w:jc w:val="center"/>
        <w:outlineLvl w:val="0"/>
        <w:rPr>
          <w:rFonts w:eastAsia="標楷體"/>
          <w:sz w:val="20"/>
          <w:lang w:val="en-GB"/>
        </w:rPr>
      </w:pPr>
      <w:r w:rsidRPr="00C236D3">
        <w:rPr>
          <w:rFonts w:eastAsia="標楷體"/>
          <w:sz w:val="20"/>
          <w:szCs w:val="22"/>
        </w:rPr>
        <w:t xml:space="preserve">Figure </w:t>
      </w:r>
      <w:r>
        <w:rPr>
          <w:rFonts w:eastAsia="標楷體" w:hint="eastAsia"/>
          <w:sz w:val="20"/>
          <w:szCs w:val="22"/>
          <w:lang w:eastAsia="zh-TW"/>
        </w:rPr>
        <w:t>1</w:t>
      </w:r>
      <w:r w:rsidRPr="00C236D3">
        <w:rPr>
          <w:rFonts w:eastAsia="標楷體"/>
          <w:sz w:val="20"/>
          <w:szCs w:val="22"/>
        </w:rPr>
        <w:t>. Dynamic production process</w:t>
      </w:r>
    </w:p>
    <w:p w:rsidR="000D2B6E" w:rsidRPr="00C236D3" w:rsidRDefault="000D2B6E" w:rsidP="00526252">
      <w:pPr>
        <w:spacing w:after="80" w:line="240" w:lineRule="exact"/>
        <w:rPr>
          <w:rFonts w:eastAsia="標楷體"/>
          <w:iCs/>
          <w:sz w:val="20"/>
        </w:rPr>
      </w:pPr>
    </w:p>
    <w:p w:rsidR="000D2B6E" w:rsidRPr="00C236D3" w:rsidRDefault="000D2B6E" w:rsidP="00526252">
      <w:pPr>
        <w:ind w:firstLine="240"/>
        <w:jc w:val="center"/>
        <w:rPr>
          <w:rFonts w:eastAsia="標楷體"/>
          <w:sz w:val="20"/>
          <w:szCs w:val="20"/>
        </w:rPr>
      </w:pPr>
      <w:r>
        <w:rPr>
          <w:noProof/>
          <w:lang w:eastAsia="zh-TW"/>
        </w:rPr>
        <w:drawing>
          <wp:inline distT="0" distB="0" distL="0" distR="0" wp14:anchorId="1A64A57B" wp14:editId="222D1AF4">
            <wp:extent cx="4572000" cy="274320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D2B6E" w:rsidRPr="00C236D3" w:rsidRDefault="000D2B6E" w:rsidP="00526252">
      <w:pPr>
        <w:jc w:val="center"/>
        <w:rPr>
          <w:rStyle w:val="affb"/>
          <w:rFonts w:eastAsia="標楷體"/>
          <w:b w:val="0"/>
          <w:sz w:val="20"/>
        </w:rPr>
      </w:pPr>
      <w:r w:rsidRPr="00C236D3">
        <w:rPr>
          <w:rFonts w:eastAsia="標楷體"/>
          <w:sz w:val="20"/>
          <w:szCs w:val="20"/>
        </w:rPr>
        <w:t xml:space="preserve">Fig. </w:t>
      </w:r>
      <w:r>
        <w:rPr>
          <w:rFonts w:eastAsia="標楷體" w:hint="eastAsia"/>
          <w:sz w:val="20"/>
          <w:szCs w:val="20"/>
          <w:lang w:eastAsia="zh-TW"/>
        </w:rPr>
        <w:t>2</w:t>
      </w:r>
      <w:r w:rsidRPr="00C236D3">
        <w:rPr>
          <w:rFonts w:eastAsia="標楷體"/>
          <w:sz w:val="20"/>
          <w:szCs w:val="20"/>
        </w:rPr>
        <w:t>.</w:t>
      </w:r>
      <w:r w:rsidRPr="00C236D3">
        <w:rPr>
          <w:rStyle w:val="affb"/>
          <w:rFonts w:eastAsia="標楷體"/>
          <w:sz w:val="20"/>
        </w:rPr>
        <w:t xml:space="preserve"> </w:t>
      </w:r>
      <w:r w:rsidRPr="00C236D3">
        <w:rPr>
          <w:rStyle w:val="affb"/>
          <w:rFonts w:eastAsia="標楷體"/>
          <w:b w:val="0"/>
          <w:sz w:val="20"/>
        </w:rPr>
        <w:t>Compar</w:t>
      </w:r>
      <w:r w:rsidR="00AF1040">
        <w:rPr>
          <w:rStyle w:val="affb"/>
          <w:rFonts w:eastAsia="標楷體"/>
          <w:b w:val="0"/>
          <w:sz w:val="20"/>
        </w:rPr>
        <w:t>ison of the</w:t>
      </w:r>
      <w:r w:rsidRPr="00C236D3">
        <w:rPr>
          <w:rStyle w:val="affb"/>
          <w:rFonts w:eastAsia="標楷體"/>
          <w:b w:val="0"/>
          <w:sz w:val="20"/>
        </w:rPr>
        <w:t xml:space="preserve"> efficiency of the Mean and </w:t>
      </w:r>
      <w:r w:rsidRPr="0096652B">
        <w:rPr>
          <w:rStyle w:val="affb"/>
          <w:rFonts w:eastAsia="標楷體"/>
          <w:b w:val="0"/>
          <w:sz w:val="20"/>
        </w:rPr>
        <w:t>Standard Deviation</w:t>
      </w:r>
    </w:p>
    <w:p w:rsidR="000D2B6E" w:rsidRPr="00C236D3" w:rsidRDefault="000D2B6E" w:rsidP="00526252">
      <w:pPr>
        <w:widowControl/>
        <w:jc w:val="center"/>
        <w:rPr>
          <w:rStyle w:val="affb"/>
          <w:rFonts w:eastAsia="標楷體"/>
          <w:b w:val="0"/>
          <w:sz w:val="20"/>
        </w:rPr>
      </w:pPr>
      <w:r w:rsidRPr="00C236D3">
        <w:rPr>
          <w:rFonts w:eastAsia="標楷體"/>
        </w:rPr>
        <w:br w:type="page"/>
      </w:r>
    </w:p>
    <w:p w:rsidR="000D2B6E" w:rsidRPr="00C236D3" w:rsidRDefault="000D2B6E" w:rsidP="00526252">
      <w:pPr>
        <w:widowControl/>
        <w:jc w:val="center"/>
        <w:rPr>
          <w:rFonts w:eastAsia="標楷體"/>
        </w:rPr>
      </w:pPr>
    </w:p>
    <w:p w:rsidR="00FF28F2" w:rsidRDefault="00FF28F2" w:rsidP="00FF28F2">
      <w:pPr>
        <w:widowControl/>
        <w:jc w:val="center"/>
        <w:rPr>
          <w:rFonts w:eastAsia="DengXian"/>
          <w:sz w:val="20"/>
          <w:szCs w:val="20"/>
        </w:rPr>
      </w:pPr>
      <w:r>
        <w:rPr>
          <w:noProof/>
          <w:lang w:eastAsia="zh-TW"/>
        </w:rPr>
        <w:drawing>
          <wp:inline distT="0" distB="0" distL="0" distR="0" wp14:anchorId="305DC287" wp14:editId="17FC7E67">
            <wp:extent cx="4572000" cy="2743200"/>
            <wp:effectExtent l="0" t="0" r="0" b="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FF28F2" w:rsidRPr="007B6849" w:rsidRDefault="00FF28F2" w:rsidP="00FF28F2">
      <w:pPr>
        <w:jc w:val="center"/>
        <w:rPr>
          <w:rStyle w:val="affb"/>
          <w:rFonts w:eastAsia="標楷體"/>
          <w:b w:val="0"/>
          <w:sz w:val="20"/>
        </w:rPr>
      </w:pPr>
      <w:r w:rsidRPr="007B6849">
        <w:rPr>
          <w:rFonts w:eastAsia="標楷體"/>
          <w:b/>
          <w:sz w:val="20"/>
          <w:szCs w:val="20"/>
        </w:rPr>
        <w:t xml:space="preserve">Fig. </w:t>
      </w:r>
      <w:r w:rsidRPr="007B6849">
        <w:rPr>
          <w:rFonts w:eastAsia="標楷體" w:hint="eastAsia"/>
          <w:b/>
          <w:sz w:val="20"/>
          <w:szCs w:val="20"/>
          <w:lang w:eastAsia="zh-TW"/>
        </w:rPr>
        <w:t>3</w:t>
      </w:r>
      <w:r w:rsidRPr="007B6849">
        <w:rPr>
          <w:rFonts w:eastAsia="標楷體"/>
          <w:b/>
          <w:sz w:val="20"/>
          <w:szCs w:val="20"/>
        </w:rPr>
        <w:t>.</w:t>
      </w:r>
      <w:r w:rsidRPr="007B6849">
        <w:rPr>
          <w:rStyle w:val="affb"/>
          <w:rFonts w:eastAsia="標楷體"/>
          <w:b w:val="0"/>
          <w:sz w:val="20"/>
        </w:rPr>
        <w:t xml:space="preserve"> </w:t>
      </w:r>
      <w:r w:rsidR="007B6849">
        <w:rPr>
          <w:rStyle w:val="affb"/>
          <w:rFonts w:eastAsia="標楷體" w:hint="eastAsia"/>
          <w:b w:val="0"/>
          <w:sz w:val="20"/>
          <w:lang w:eastAsia="zh-TW"/>
        </w:rPr>
        <w:t>E</w:t>
      </w:r>
      <w:r w:rsidR="007B6849" w:rsidRPr="007B6849">
        <w:rPr>
          <w:rStyle w:val="affb"/>
          <w:rFonts w:eastAsia="標楷體"/>
          <w:b w:val="0"/>
          <w:sz w:val="20"/>
          <w:lang w:eastAsia="zh-TW"/>
        </w:rPr>
        <w:t>fficiency value</w:t>
      </w:r>
      <w:r w:rsidR="00F74C7F">
        <w:rPr>
          <w:rStyle w:val="affb"/>
          <w:rFonts w:eastAsia="標楷體"/>
          <w:b w:val="0"/>
          <w:sz w:val="20"/>
          <w:lang w:eastAsia="zh-TW"/>
        </w:rPr>
        <w:t xml:space="preserve">s for </w:t>
      </w:r>
      <w:r w:rsidR="007B6849" w:rsidRPr="007B6849">
        <w:rPr>
          <w:rStyle w:val="affb"/>
          <w:rFonts w:eastAsia="標楷體"/>
          <w:b w:val="0"/>
          <w:sz w:val="20"/>
          <w:lang w:eastAsia="zh-TW"/>
        </w:rPr>
        <w:t>each category from 2018 to 2020</w:t>
      </w:r>
    </w:p>
    <w:p w:rsidR="00FF28F2" w:rsidRPr="00FF28F2" w:rsidRDefault="00FF28F2" w:rsidP="00FF28F2">
      <w:pPr>
        <w:widowControl/>
        <w:jc w:val="center"/>
        <w:rPr>
          <w:rFonts w:eastAsia="DengXian"/>
          <w:sz w:val="20"/>
          <w:szCs w:val="20"/>
        </w:rPr>
      </w:pPr>
    </w:p>
    <w:p w:rsidR="00A05D1F" w:rsidRPr="00C236D3" w:rsidRDefault="00FF28F2" w:rsidP="00A05D1F">
      <w:pPr>
        <w:spacing w:after="80" w:line="240" w:lineRule="exact"/>
        <w:outlineLvl w:val="0"/>
        <w:rPr>
          <w:rFonts w:eastAsia="標楷體"/>
          <w:sz w:val="20"/>
          <w:szCs w:val="20"/>
        </w:rPr>
      </w:pPr>
      <w:r>
        <w:rPr>
          <w:rFonts w:eastAsia="標楷體"/>
          <w:sz w:val="20"/>
          <w:szCs w:val="20"/>
        </w:rPr>
        <w:br w:type="page"/>
      </w:r>
      <w:r w:rsidR="00A05D1F" w:rsidRPr="00C236D3">
        <w:rPr>
          <w:rFonts w:eastAsia="標楷體"/>
          <w:sz w:val="20"/>
          <w:szCs w:val="20"/>
        </w:rPr>
        <w:t xml:space="preserve">Table 1. </w:t>
      </w:r>
      <w:r w:rsidR="006628B5">
        <w:rPr>
          <w:rFonts w:eastAsia="標楷體"/>
          <w:sz w:val="20"/>
          <w:szCs w:val="20"/>
        </w:rPr>
        <w:t>V</w:t>
      </w:r>
      <w:r w:rsidR="00A05D1F" w:rsidRPr="00C236D3">
        <w:rPr>
          <w:rFonts w:eastAsia="標楷體"/>
          <w:sz w:val="20"/>
          <w:szCs w:val="20"/>
        </w:rPr>
        <w:t xml:space="preserve">ariables </w:t>
      </w:r>
      <w:r w:rsidR="00F74C7F" w:rsidRPr="00C236D3">
        <w:rPr>
          <w:rFonts w:eastAsia="標楷體"/>
          <w:sz w:val="20"/>
          <w:szCs w:val="20"/>
        </w:rPr>
        <w:t xml:space="preserve">Classification </w:t>
      </w:r>
      <w:r w:rsidR="00A05D1F" w:rsidRPr="00C236D3">
        <w:rPr>
          <w:rFonts w:eastAsia="標楷體"/>
          <w:sz w:val="20"/>
          <w:szCs w:val="20"/>
        </w:rPr>
        <w:t xml:space="preserve">in </w:t>
      </w:r>
      <w:r w:rsidR="00F74C7F" w:rsidRPr="00C236D3">
        <w:rPr>
          <w:rFonts w:eastAsia="標楷體" w:hint="eastAsia"/>
          <w:sz w:val="20"/>
          <w:szCs w:val="20"/>
          <w:lang w:eastAsia="zh-TW"/>
        </w:rPr>
        <w:t>5</w:t>
      </w:r>
      <w:r w:rsidR="00F74C7F" w:rsidRPr="00C236D3">
        <w:rPr>
          <w:rFonts w:eastAsia="標楷體"/>
          <w:sz w:val="20"/>
          <w:szCs w:val="20"/>
          <w:lang w:eastAsia="zh-TW"/>
        </w:rPr>
        <w:t>G</w:t>
      </w:r>
      <w:r w:rsidR="00F74C7F" w:rsidRPr="00C236D3">
        <w:rPr>
          <w:rFonts w:eastAsia="標楷體"/>
          <w:sz w:val="20"/>
          <w:szCs w:val="20"/>
        </w:rPr>
        <w:t xml:space="preserve"> </w:t>
      </w:r>
      <w:r w:rsidR="00F74C7F">
        <w:rPr>
          <w:rFonts w:eastAsia="標楷體"/>
          <w:sz w:val="20"/>
          <w:szCs w:val="20"/>
        </w:rPr>
        <w:t>C</w:t>
      </w:r>
      <w:r w:rsidR="00F74C7F" w:rsidRPr="00C236D3">
        <w:rPr>
          <w:rFonts w:eastAsia="標楷體"/>
          <w:sz w:val="20"/>
          <w:szCs w:val="20"/>
        </w:rPr>
        <w:t>ompanies</w:t>
      </w:r>
      <w:r w:rsidR="00F74C7F">
        <w:rPr>
          <w:rFonts w:eastAsia="標楷體"/>
          <w:sz w:val="20"/>
          <w:szCs w:val="20"/>
        </w:rPr>
        <w:t>’</w:t>
      </w:r>
      <w:r w:rsidR="00A05D1F" w:rsidRPr="00C236D3">
        <w:rPr>
          <w:rFonts w:eastAsia="標楷體"/>
          <w:sz w:val="20"/>
          <w:szCs w:val="20"/>
        </w:rPr>
        <w:t xml:space="preserve"> </w:t>
      </w:r>
      <w:r w:rsidR="006628B5">
        <w:rPr>
          <w:rFonts w:eastAsia="標楷體"/>
          <w:sz w:val="20"/>
          <w:szCs w:val="20"/>
        </w:rPr>
        <w:t>D</w:t>
      </w:r>
      <w:r w:rsidR="00A05D1F" w:rsidRPr="00C236D3">
        <w:rPr>
          <w:rFonts w:eastAsia="標楷體"/>
          <w:sz w:val="20"/>
          <w:szCs w:val="20"/>
        </w:rPr>
        <w:t>ynamic</w:t>
      </w:r>
      <w:r w:rsidR="006628B5">
        <w:rPr>
          <w:rFonts w:eastAsia="標楷體"/>
          <w:sz w:val="20"/>
          <w:szCs w:val="20"/>
        </w:rPr>
        <w:t xml:space="preserve"> P</w:t>
      </w:r>
      <w:r w:rsidR="00A05D1F" w:rsidRPr="00C236D3">
        <w:rPr>
          <w:rFonts w:eastAsia="標楷體"/>
          <w:sz w:val="20"/>
          <w:szCs w:val="20"/>
        </w:rPr>
        <w:t>roduction</w:t>
      </w:r>
      <w:r w:rsidR="006628B5">
        <w:rPr>
          <w:rFonts w:eastAsia="標楷體"/>
          <w:sz w:val="20"/>
          <w:szCs w:val="20"/>
        </w:rPr>
        <w:t xml:space="preserve"> P</w:t>
      </w:r>
      <w:r w:rsidR="00A05D1F" w:rsidRPr="00C236D3">
        <w:rPr>
          <w:rFonts w:eastAsia="標楷體"/>
          <w:sz w:val="20"/>
          <w:szCs w:val="20"/>
        </w:rPr>
        <w:t>rocess</w:t>
      </w:r>
      <w:r w:rsidR="00F74C7F">
        <w:rPr>
          <w:rFonts w:eastAsia="標楷體"/>
          <w:sz w:val="20"/>
          <w:szCs w:val="20"/>
        </w:rPr>
        <w:t>es</w:t>
      </w:r>
      <w:r w:rsidR="00A05D1F" w:rsidRPr="00C236D3">
        <w:rPr>
          <w:rFonts w:eastAsia="標楷體"/>
          <w:sz w:val="20"/>
          <w:szCs w:val="20"/>
        </w:rPr>
        <w:t xml:space="preserve"> </w:t>
      </w:r>
    </w:p>
    <w:tbl>
      <w:tblPr>
        <w:tblW w:w="92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3402"/>
        <w:gridCol w:w="1451"/>
      </w:tblGrid>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rPr>
                <w:rFonts w:eastAsia="標楷體"/>
                <w:sz w:val="20"/>
                <w:szCs w:val="20"/>
              </w:rPr>
            </w:pPr>
            <w:r w:rsidRPr="00C236D3">
              <w:rPr>
                <w:rFonts w:eastAsia="標楷體"/>
                <w:sz w:val="20"/>
                <w:szCs w:val="20"/>
              </w:rPr>
              <w:t>Variables</w:t>
            </w:r>
          </w:p>
        </w:tc>
        <w:tc>
          <w:tcPr>
            <w:tcW w:w="2268"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rPr>
                <w:rFonts w:eastAsia="標楷體"/>
                <w:sz w:val="20"/>
                <w:szCs w:val="20"/>
              </w:rPr>
            </w:pPr>
            <w:r w:rsidRPr="00C236D3">
              <w:rPr>
                <w:rFonts w:eastAsia="標楷體"/>
                <w:sz w:val="20"/>
                <w:szCs w:val="20"/>
              </w:rPr>
              <w:t>Financial statement</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rPr>
                <w:rFonts w:eastAsia="標楷體"/>
                <w:sz w:val="20"/>
                <w:szCs w:val="20"/>
              </w:rPr>
            </w:pPr>
            <w:r w:rsidRPr="00C236D3">
              <w:rPr>
                <w:rFonts w:eastAsia="標楷體"/>
                <w:sz w:val="20"/>
                <w:szCs w:val="20"/>
              </w:rPr>
              <w:t>Temporary or permanent accounts</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rPr>
                <w:rFonts w:eastAsia="標楷體"/>
                <w:sz w:val="20"/>
                <w:szCs w:val="20"/>
              </w:rPr>
            </w:pPr>
            <w:r w:rsidRPr="00C236D3">
              <w:rPr>
                <w:rFonts w:eastAsia="標楷體"/>
                <w:sz w:val="20"/>
                <w:szCs w:val="20"/>
              </w:rPr>
              <w:t>Carry-over</w:t>
            </w:r>
          </w:p>
        </w:tc>
      </w:tr>
      <w:tr w:rsidR="00A05D1F" w:rsidRPr="00C236D3" w:rsidTr="002E18C1">
        <w:tc>
          <w:tcPr>
            <w:tcW w:w="4390" w:type="dxa"/>
            <w:gridSpan w:val="2"/>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b/>
                <w:sz w:val="20"/>
                <w:szCs w:val="20"/>
              </w:rPr>
              <w:t>Input</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rPr>
                <w:rFonts w:eastAsia="標楷體"/>
                <w:sz w:val="20"/>
                <w:szCs w:val="20"/>
              </w:rPr>
            </w:pP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sz w:val="20"/>
                <w:szCs w:val="20"/>
              </w:rPr>
              <w:t>Employees</w:t>
            </w:r>
          </w:p>
        </w:tc>
        <w:tc>
          <w:tcPr>
            <w:tcW w:w="2268"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x</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A05D1F" w:rsidP="002E18C1">
            <w:pPr>
              <w:widowControl/>
              <w:jc w:val="left"/>
              <w:rPr>
                <w:rFonts w:eastAsia="標楷體"/>
                <w:sz w:val="20"/>
                <w:szCs w:val="20"/>
              </w:rPr>
            </w:pPr>
            <w:r w:rsidRPr="00C236D3">
              <w:rPr>
                <w:rFonts w:eastAsia="標楷體"/>
                <w:sz w:val="20"/>
                <w:szCs w:val="20"/>
              </w:rPr>
              <w:t>Employees: The total number of full-time employees.</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jc w:val="left"/>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C32171" w:rsidP="002E18C1">
            <w:pPr>
              <w:widowControl/>
              <w:rPr>
                <w:rFonts w:eastAsia="標楷體"/>
                <w:sz w:val="20"/>
                <w:szCs w:val="20"/>
              </w:rPr>
            </w:pPr>
            <w:r>
              <w:rPr>
                <w:rFonts w:eastAsia="標楷體"/>
                <w:sz w:val="20"/>
                <w:szCs w:val="20"/>
              </w:rPr>
              <w:t xml:space="preserve"> R &amp; D Expenditures</w:t>
            </w:r>
          </w:p>
        </w:tc>
        <w:tc>
          <w:tcPr>
            <w:tcW w:w="2268"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x</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C32171" w:rsidP="002E18C1">
            <w:pPr>
              <w:widowControl/>
              <w:jc w:val="left"/>
              <w:rPr>
                <w:rFonts w:eastAsia="標楷體"/>
                <w:sz w:val="20"/>
                <w:szCs w:val="20"/>
              </w:rPr>
            </w:pPr>
            <w:r>
              <w:rPr>
                <w:rFonts w:eastAsia="標楷體"/>
                <w:sz w:val="20"/>
                <w:szCs w:val="20"/>
              </w:rPr>
              <w:t xml:space="preserve"> R &amp; D Expenditures</w:t>
            </w:r>
            <w:r w:rsidR="00A05D1F" w:rsidRPr="00C236D3">
              <w:rPr>
                <w:rFonts w:eastAsia="標楷體"/>
                <w:sz w:val="20"/>
                <w:szCs w:val="20"/>
              </w:rPr>
              <w:t xml:space="preserve"> (Unit: Thousands</w:t>
            </w:r>
            <w:r w:rsidR="00A05D1F" w:rsidRPr="00C236D3">
              <w:rPr>
                <w:rFonts w:eastAsia="標楷體" w:hint="eastAsia"/>
                <w:sz w:val="20"/>
                <w:szCs w:val="20"/>
                <w:lang w:eastAsia="zh-TW"/>
              </w:rPr>
              <w:t xml:space="preserve"> N</w:t>
            </w:r>
            <w:r w:rsidR="00A05D1F" w:rsidRPr="00C236D3">
              <w:rPr>
                <w:rFonts w:eastAsia="標楷體"/>
                <w:sz w:val="20"/>
                <w:szCs w:val="20"/>
                <w:lang w:eastAsia="zh-TW"/>
              </w:rPr>
              <w:t>TD</w:t>
            </w:r>
            <w:r w:rsidR="00A05D1F" w:rsidRPr="00C236D3">
              <w:rPr>
                <w:rFonts w:eastAsia="標楷體"/>
                <w:sz w:val="20"/>
                <w:szCs w:val="20"/>
              </w:rPr>
              <w:t>)</w:t>
            </w:r>
            <w:r w:rsidR="00A05D1F" w:rsidRPr="008A00CA">
              <w:rPr>
                <w:rFonts w:eastAsia="標楷體"/>
                <w:sz w:val="20"/>
                <w:szCs w:val="20"/>
              </w:rPr>
              <w:t xml:space="preserve">: the </w:t>
            </w:r>
            <w:r w:rsidR="00F74C7F" w:rsidRPr="008A00CA">
              <w:rPr>
                <w:rFonts w:eastAsia="標楷體"/>
                <w:sz w:val="20"/>
                <w:szCs w:val="20"/>
              </w:rPr>
              <w:t>funding</w:t>
            </w:r>
            <w:r w:rsidR="00A05D1F" w:rsidRPr="008A00CA">
              <w:rPr>
                <w:rFonts w:eastAsia="標楷體"/>
                <w:sz w:val="20"/>
                <w:szCs w:val="20"/>
              </w:rPr>
              <w:t xml:space="preserve"> spent on creative work undertaken</w:t>
            </w:r>
            <w:r w:rsidR="008A00CA">
              <w:rPr>
                <w:rFonts w:eastAsia="標楷體"/>
                <w:sz w:val="20"/>
                <w:szCs w:val="20"/>
              </w:rPr>
              <w:t xml:space="preserve"> </w:t>
            </w:r>
            <w:r w:rsidR="00A05D1F" w:rsidRPr="008A00CA">
              <w:rPr>
                <w:rFonts w:eastAsia="標楷體"/>
                <w:sz w:val="20"/>
                <w:szCs w:val="20"/>
              </w:rPr>
              <w:t xml:space="preserve">on a systematic basis to increase the stock of knowledge and </w:t>
            </w:r>
            <w:r w:rsidR="00F74C7F" w:rsidRPr="008A00CA">
              <w:rPr>
                <w:rFonts w:eastAsia="標楷體"/>
                <w:sz w:val="20"/>
                <w:szCs w:val="20"/>
              </w:rPr>
              <w:t>utilize</w:t>
            </w:r>
            <w:r w:rsidR="00A05D1F" w:rsidRPr="008A00CA">
              <w:rPr>
                <w:rFonts w:eastAsia="標楷體"/>
                <w:sz w:val="20"/>
                <w:szCs w:val="20"/>
              </w:rPr>
              <w:t xml:space="preserve"> this knowledge to devise new applications.</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jc w:val="left"/>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sz w:val="20"/>
                <w:szCs w:val="20"/>
              </w:rPr>
              <w:t>Operating Expenses</w:t>
            </w:r>
          </w:p>
        </w:tc>
        <w:tc>
          <w:tcPr>
            <w:tcW w:w="2268"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x</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A05D1F" w:rsidP="00641D9E">
            <w:pPr>
              <w:widowControl/>
              <w:rPr>
                <w:rFonts w:eastAsia="標楷體"/>
                <w:sz w:val="20"/>
                <w:szCs w:val="20"/>
              </w:rPr>
            </w:pPr>
            <w:r w:rsidRPr="00C236D3">
              <w:rPr>
                <w:rFonts w:eastAsia="標楷體"/>
                <w:sz w:val="20"/>
                <w:szCs w:val="20"/>
              </w:rPr>
              <w:t xml:space="preserve">Operating Expenses (Unit: Thousands NTD): </w:t>
            </w:r>
            <w:r w:rsidR="00641D9E" w:rsidRPr="00641D9E">
              <w:rPr>
                <w:rFonts w:eastAsia="標楷體"/>
                <w:sz w:val="20"/>
                <w:szCs w:val="20"/>
              </w:rPr>
              <w:t>is an ongoing cost for running a product, business, or system</w:t>
            </w:r>
            <w:r w:rsidRPr="00C236D3">
              <w:rPr>
                <w:rFonts w:eastAsia="標楷體"/>
                <w:sz w:val="20"/>
                <w:szCs w:val="20"/>
              </w:rPr>
              <w:t>.</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p>
        </w:tc>
      </w:tr>
      <w:tr w:rsidR="00A05D1F" w:rsidRPr="00C236D3" w:rsidTr="002E18C1">
        <w:tc>
          <w:tcPr>
            <w:tcW w:w="4390" w:type="dxa"/>
            <w:gridSpan w:val="2"/>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b/>
                <w:sz w:val="20"/>
                <w:szCs w:val="20"/>
              </w:rPr>
              <w:t>Carry-over</w:t>
            </w:r>
            <w:r w:rsidR="00DC725C">
              <w:rPr>
                <w:rFonts w:eastAsia="標楷體"/>
                <w:b/>
                <w:sz w:val="20"/>
                <w:szCs w:val="20"/>
              </w:rPr>
              <w:t xml:space="preserve"> </w:t>
            </w:r>
            <w:r w:rsidRPr="00C236D3">
              <w:rPr>
                <w:rFonts w:eastAsia="標楷體"/>
                <w:b/>
                <w:sz w:val="20"/>
                <w:szCs w:val="20"/>
              </w:rPr>
              <w:t>(Input variable)</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sz w:val="20"/>
                <w:szCs w:val="20"/>
              </w:rPr>
              <w:t>Liabilities</w:t>
            </w:r>
          </w:p>
        </w:tc>
        <w:tc>
          <w:tcPr>
            <w:tcW w:w="2268"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Balance Sheet</w:t>
            </w:r>
          </w:p>
        </w:tc>
        <w:tc>
          <w:tcPr>
            <w:tcW w:w="3402"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Permanent</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A05D1F" w:rsidP="00641D9E">
            <w:pPr>
              <w:widowControl/>
              <w:rPr>
                <w:rFonts w:eastAsia="標楷體"/>
                <w:sz w:val="20"/>
                <w:szCs w:val="20"/>
              </w:rPr>
            </w:pPr>
            <w:r w:rsidRPr="00C236D3">
              <w:rPr>
                <w:rFonts w:eastAsia="標楷體"/>
                <w:sz w:val="20"/>
                <w:szCs w:val="20"/>
              </w:rPr>
              <w:t>Liabilities (Unit: Thousands NTD):</w:t>
            </w:r>
            <w:r w:rsidR="00641D9E">
              <w:t xml:space="preserve"> </w:t>
            </w:r>
            <w:r w:rsidR="00641D9E" w:rsidRPr="00641D9E">
              <w:rPr>
                <w:rFonts w:eastAsia="標楷體"/>
                <w:sz w:val="20"/>
                <w:szCs w:val="20"/>
              </w:rPr>
              <w:t>is defined as the future sacrifices of economic benefits that the entity is obliged to make to other entities as a result of past transactions or other past events, the settlement of which may result in the transfer or use of assets, provision of services or other yielding of economic benefits in the future.</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sz w:val="20"/>
                <w:szCs w:val="20"/>
              </w:rPr>
              <w:t>Stockholder Equity</w:t>
            </w:r>
          </w:p>
        </w:tc>
        <w:tc>
          <w:tcPr>
            <w:tcW w:w="2268"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Balance Sheet</w:t>
            </w:r>
          </w:p>
        </w:tc>
        <w:tc>
          <w:tcPr>
            <w:tcW w:w="3402"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Permanent</w:t>
            </w:r>
          </w:p>
        </w:tc>
        <w:tc>
          <w:tcPr>
            <w:tcW w:w="1451"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A05D1F" w:rsidP="003C71B3">
            <w:pPr>
              <w:widowControl/>
              <w:rPr>
                <w:rFonts w:eastAsia="標楷體"/>
                <w:sz w:val="20"/>
                <w:szCs w:val="20"/>
              </w:rPr>
            </w:pPr>
            <w:r w:rsidRPr="00C236D3">
              <w:rPr>
                <w:rFonts w:eastAsia="標楷體"/>
                <w:sz w:val="20"/>
                <w:szCs w:val="20"/>
              </w:rPr>
              <w:t xml:space="preserve">Stockholder Equity (Unit: Thousands NTD): </w:t>
            </w:r>
            <w:r w:rsidR="003C71B3" w:rsidRPr="003C71B3">
              <w:rPr>
                <w:rFonts w:eastAsia="標楷體"/>
                <w:sz w:val="20"/>
                <w:szCs w:val="20"/>
              </w:rPr>
              <w:t>is ownership of assets that may have debts or other liabilities attached to them. Equity is measured for accounting purposes by subtracting liabilities from the value of the assets</w:t>
            </w:r>
            <w:r w:rsidRPr="00C236D3">
              <w:rPr>
                <w:rFonts w:eastAsia="標楷體"/>
                <w:sz w:val="20"/>
                <w:szCs w:val="20"/>
              </w:rPr>
              <w:t>.</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p>
        </w:tc>
      </w:tr>
      <w:tr w:rsidR="00A05D1F" w:rsidRPr="00C236D3" w:rsidTr="002E18C1">
        <w:tc>
          <w:tcPr>
            <w:tcW w:w="4390" w:type="dxa"/>
            <w:gridSpan w:val="2"/>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b/>
                <w:sz w:val="20"/>
                <w:szCs w:val="20"/>
              </w:rPr>
              <w:t>Output</w:t>
            </w:r>
          </w:p>
        </w:tc>
        <w:tc>
          <w:tcPr>
            <w:tcW w:w="3402"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p>
        </w:tc>
        <w:tc>
          <w:tcPr>
            <w:tcW w:w="1451"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sz w:val="20"/>
                <w:szCs w:val="20"/>
              </w:rPr>
              <w:t>Revenue</w:t>
            </w:r>
          </w:p>
        </w:tc>
        <w:tc>
          <w:tcPr>
            <w:tcW w:w="2268"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rPr>
                <w:rFonts w:eastAsia="標楷體"/>
                <w:sz w:val="20"/>
                <w:szCs w:val="20"/>
              </w:rPr>
            </w:pPr>
            <w:r w:rsidRPr="00C236D3">
              <w:rPr>
                <w:rFonts w:eastAsia="標楷體"/>
                <w:sz w:val="20"/>
                <w:szCs w:val="20"/>
              </w:rPr>
              <w:t>Income Statement</w:t>
            </w:r>
          </w:p>
        </w:tc>
        <w:tc>
          <w:tcPr>
            <w:tcW w:w="3402"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Temporary</w:t>
            </w:r>
          </w:p>
        </w:tc>
        <w:tc>
          <w:tcPr>
            <w:tcW w:w="1451"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x</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A05D1F" w:rsidP="00CA1F3B">
            <w:pPr>
              <w:widowControl/>
              <w:jc w:val="left"/>
              <w:rPr>
                <w:rFonts w:eastAsia="標楷體"/>
                <w:sz w:val="20"/>
                <w:szCs w:val="20"/>
              </w:rPr>
            </w:pPr>
            <w:r w:rsidRPr="00C236D3">
              <w:rPr>
                <w:rFonts w:eastAsia="標楷體"/>
                <w:sz w:val="20"/>
                <w:szCs w:val="20"/>
              </w:rPr>
              <w:t xml:space="preserve">Revenues (Unit: Thousands NTD): </w:t>
            </w:r>
            <w:r w:rsidR="00CA1F3B" w:rsidRPr="00CA1F3B">
              <w:rPr>
                <w:rFonts w:eastAsia="標楷體"/>
                <w:sz w:val="20"/>
                <w:szCs w:val="20"/>
              </w:rPr>
              <w:t>is the total amount of income generated by the sale of goods and services related to the primary operations of the business</w:t>
            </w:r>
            <w:r w:rsidRPr="00C236D3">
              <w:rPr>
                <w:rFonts w:eastAsia="標楷體"/>
                <w:sz w:val="20"/>
                <w:szCs w:val="20"/>
              </w:rPr>
              <w:t>.</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jc w:val="left"/>
              <w:rPr>
                <w:rFonts w:eastAsia="標楷體"/>
                <w:sz w:val="20"/>
                <w:szCs w:val="20"/>
              </w:rPr>
            </w:pPr>
          </w:p>
        </w:tc>
      </w:tr>
      <w:tr w:rsidR="00A05D1F" w:rsidRPr="00C236D3" w:rsidTr="002E18C1">
        <w:tc>
          <w:tcPr>
            <w:tcW w:w="2122" w:type="dxa"/>
            <w:tcBorders>
              <w:top w:val="single" w:sz="4" w:space="0" w:color="auto"/>
              <w:left w:val="nil"/>
              <w:bottom w:val="single" w:sz="4" w:space="0" w:color="auto"/>
              <w:right w:val="nil"/>
            </w:tcBorders>
            <w:shd w:val="clear" w:color="auto" w:fill="auto"/>
          </w:tcPr>
          <w:p w:rsidR="00A05D1F" w:rsidRPr="00C236D3" w:rsidRDefault="00A05D1F" w:rsidP="002E18C1">
            <w:pPr>
              <w:widowControl/>
              <w:rPr>
                <w:rFonts w:eastAsia="標楷體"/>
                <w:sz w:val="20"/>
                <w:szCs w:val="20"/>
              </w:rPr>
            </w:pPr>
            <w:r w:rsidRPr="00C236D3">
              <w:rPr>
                <w:rFonts w:eastAsia="標楷體"/>
                <w:sz w:val="20"/>
                <w:szCs w:val="20"/>
              </w:rPr>
              <w:t>Market Value</w:t>
            </w:r>
          </w:p>
        </w:tc>
        <w:tc>
          <w:tcPr>
            <w:tcW w:w="2268"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rPr>
                <w:rFonts w:eastAsia="標楷體"/>
                <w:sz w:val="20"/>
                <w:szCs w:val="20"/>
              </w:rPr>
            </w:pPr>
            <w:r w:rsidRPr="00C236D3">
              <w:rPr>
                <w:rFonts w:eastAsia="標楷體"/>
                <w:sz w:val="20"/>
                <w:szCs w:val="20"/>
              </w:rPr>
              <w:t>Income Statement</w:t>
            </w:r>
          </w:p>
        </w:tc>
        <w:tc>
          <w:tcPr>
            <w:tcW w:w="3402"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None</w:t>
            </w:r>
          </w:p>
        </w:tc>
        <w:tc>
          <w:tcPr>
            <w:tcW w:w="1451" w:type="dxa"/>
            <w:tcBorders>
              <w:top w:val="single" w:sz="4" w:space="0" w:color="auto"/>
              <w:left w:val="nil"/>
              <w:bottom w:val="single" w:sz="4" w:space="0" w:color="auto"/>
              <w:right w:val="nil"/>
            </w:tcBorders>
            <w:shd w:val="clear" w:color="auto" w:fill="auto"/>
            <w:vAlign w:val="center"/>
          </w:tcPr>
          <w:p w:rsidR="00A05D1F" w:rsidRPr="00C236D3" w:rsidRDefault="00A05D1F" w:rsidP="002E18C1">
            <w:pPr>
              <w:widowControl/>
              <w:ind w:firstLine="240"/>
              <w:jc w:val="center"/>
              <w:rPr>
                <w:rFonts w:eastAsia="標楷體"/>
                <w:sz w:val="20"/>
                <w:szCs w:val="20"/>
              </w:rPr>
            </w:pPr>
            <w:r w:rsidRPr="00C236D3">
              <w:rPr>
                <w:rFonts w:eastAsia="標楷體"/>
                <w:sz w:val="20"/>
                <w:szCs w:val="20"/>
              </w:rPr>
              <w:t>x</w:t>
            </w:r>
          </w:p>
        </w:tc>
      </w:tr>
      <w:tr w:rsidR="00A05D1F" w:rsidRPr="00C236D3" w:rsidTr="002E18C1">
        <w:tc>
          <w:tcPr>
            <w:tcW w:w="7792" w:type="dxa"/>
            <w:gridSpan w:val="3"/>
            <w:tcBorders>
              <w:top w:val="single" w:sz="4" w:space="0" w:color="auto"/>
              <w:left w:val="nil"/>
              <w:bottom w:val="single" w:sz="4" w:space="0" w:color="auto"/>
              <w:right w:val="nil"/>
            </w:tcBorders>
            <w:shd w:val="clear" w:color="auto" w:fill="auto"/>
          </w:tcPr>
          <w:p w:rsidR="00A05D1F" w:rsidRPr="00C236D3" w:rsidRDefault="00A05D1F" w:rsidP="002E18C1">
            <w:pPr>
              <w:widowControl/>
              <w:jc w:val="left"/>
              <w:rPr>
                <w:rFonts w:eastAsia="標楷體"/>
                <w:sz w:val="20"/>
                <w:szCs w:val="20"/>
              </w:rPr>
            </w:pPr>
            <w:r w:rsidRPr="00C236D3">
              <w:rPr>
                <w:rFonts w:eastAsia="標楷體"/>
                <w:sz w:val="20"/>
                <w:szCs w:val="20"/>
              </w:rPr>
              <w:t xml:space="preserve">Market value (Unit: Thousands NTD): </w:t>
            </w:r>
            <w:r w:rsidR="00CA1F3B" w:rsidRPr="00CA1F3B">
              <w:rPr>
                <w:rFonts w:eastAsia="標楷體"/>
                <w:sz w:val="20"/>
                <w:szCs w:val="20"/>
              </w:rPr>
              <w:t>refers to accounting for the "fair value" of an asset or liability based on the current market price, or the price for similar assets and liabilities, or based on another objectively assessed "fair" value.</w:t>
            </w:r>
          </w:p>
        </w:tc>
        <w:tc>
          <w:tcPr>
            <w:tcW w:w="1451" w:type="dxa"/>
            <w:tcBorders>
              <w:top w:val="single" w:sz="4" w:space="0" w:color="auto"/>
              <w:left w:val="nil"/>
              <w:bottom w:val="single" w:sz="4" w:space="0" w:color="auto"/>
              <w:right w:val="nil"/>
            </w:tcBorders>
            <w:shd w:val="clear" w:color="auto" w:fill="auto"/>
          </w:tcPr>
          <w:p w:rsidR="00A05D1F" w:rsidRPr="00C236D3" w:rsidRDefault="00A05D1F" w:rsidP="002E18C1">
            <w:pPr>
              <w:widowControl/>
              <w:jc w:val="left"/>
              <w:rPr>
                <w:rFonts w:eastAsia="標楷體"/>
                <w:sz w:val="20"/>
                <w:szCs w:val="20"/>
              </w:rPr>
            </w:pPr>
          </w:p>
        </w:tc>
      </w:tr>
    </w:tbl>
    <w:p w:rsidR="00A05D1F" w:rsidRPr="00C236D3" w:rsidRDefault="00A05D1F" w:rsidP="00A05D1F">
      <w:pPr>
        <w:widowControl/>
        <w:jc w:val="left"/>
        <w:rPr>
          <w:rFonts w:eastAsia="標楷體"/>
          <w:sz w:val="20"/>
          <w:szCs w:val="20"/>
        </w:rPr>
      </w:pPr>
      <w:r w:rsidRPr="00C236D3">
        <w:rPr>
          <w:rFonts w:eastAsia="標楷體"/>
          <w:sz w:val="20"/>
          <w:szCs w:val="20"/>
        </w:rPr>
        <w:br w:type="page"/>
      </w:r>
    </w:p>
    <w:p w:rsidR="00A05D1F" w:rsidRPr="00C236D3" w:rsidRDefault="00A05D1F" w:rsidP="00A05D1F">
      <w:pPr>
        <w:jc w:val="left"/>
        <w:rPr>
          <w:rFonts w:eastAsia="標楷體"/>
          <w:sz w:val="20"/>
          <w:szCs w:val="20"/>
        </w:rPr>
      </w:pPr>
      <w:r w:rsidRPr="00C236D3">
        <w:rPr>
          <w:rFonts w:eastAsia="標楷體"/>
          <w:sz w:val="20"/>
          <w:szCs w:val="20"/>
        </w:rPr>
        <w:t xml:space="preserve">Table </w:t>
      </w:r>
      <w:r>
        <w:rPr>
          <w:rFonts w:eastAsia="標楷體" w:hint="eastAsia"/>
          <w:sz w:val="20"/>
          <w:szCs w:val="20"/>
          <w:lang w:eastAsia="zh-TW"/>
        </w:rPr>
        <w:t>2</w:t>
      </w:r>
      <w:r w:rsidRPr="00C236D3">
        <w:rPr>
          <w:rFonts w:eastAsia="標楷體"/>
          <w:sz w:val="20"/>
          <w:szCs w:val="20"/>
        </w:rPr>
        <w:t xml:space="preserve"> </w:t>
      </w:r>
      <w:r w:rsidR="00F74C7F">
        <w:rPr>
          <w:rFonts w:eastAsia="標楷體"/>
          <w:sz w:val="20"/>
          <w:szCs w:val="20"/>
        </w:rPr>
        <w:t xml:space="preserve">Sample’s </w:t>
      </w:r>
      <w:r w:rsidRPr="00C236D3">
        <w:rPr>
          <w:rFonts w:eastAsia="標楷體"/>
          <w:sz w:val="20"/>
          <w:szCs w:val="20"/>
        </w:rPr>
        <w:t xml:space="preserve">Descriptive </w:t>
      </w:r>
      <w:r w:rsidR="00F74C7F">
        <w:rPr>
          <w:rFonts w:eastAsia="標楷體"/>
          <w:sz w:val="20"/>
          <w:szCs w:val="20"/>
        </w:rPr>
        <w:t>S</w:t>
      </w:r>
      <w:r w:rsidRPr="00C236D3">
        <w:rPr>
          <w:rFonts w:eastAsia="標楷體"/>
          <w:sz w:val="20"/>
          <w:szCs w:val="20"/>
        </w:rPr>
        <w:t xml:space="preserve">tatistics </w:t>
      </w:r>
    </w:p>
    <w:tbl>
      <w:tblPr>
        <w:tblW w:w="5124" w:type="pct"/>
        <w:tblLook w:val="04A0" w:firstRow="1" w:lastRow="0" w:firstColumn="1" w:lastColumn="0" w:noHBand="0" w:noVBand="1"/>
      </w:tblPr>
      <w:tblGrid>
        <w:gridCol w:w="1138"/>
        <w:gridCol w:w="816"/>
        <w:gridCol w:w="1027"/>
        <w:gridCol w:w="1272"/>
        <w:gridCol w:w="1026"/>
        <w:gridCol w:w="1251"/>
        <w:gridCol w:w="1251"/>
        <w:gridCol w:w="1116"/>
        <w:gridCol w:w="1116"/>
      </w:tblGrid>
      <w:tr w:rsidR="00A05D1F" w:rsidRPr="00C236D3" w:rsidTr="002E18C1">
        <w:tc>
          <w:tcPr>
            <w:tcW w:w="668" w:type="pct"/>
            <w:vMerge w:val="restart"/>
            <w:tcBorders>
              <w:top w:val="single" w:sz="4" w:space="0" w:color="auto"/>
            </w:tcBorders>
            <w:shd w:val="clear" w:color="auto" w:fill="auto"/>
          </w:tcPr>
          <w:p w:rsidR="00A05D1F" w:rsidRPr="00C236D3" w:rsidRDefault="00A05D1F" w:rsidP="002E18C1">
            <w:pPr>
              <w:jc w:val="center"/>
              <w:rPr>
                <w:rFonts w:eastAsia="標楷體"/>
                <w:sz w:val="20"/>
                <w:szCs w:val="20"/>
              </w:rPr>
            </w:pPr>
            <w:r w:rsidRPr="00C236D3">
              <w:rPr>
                <w:rFonts w:eastAsia="標楷體"/>
                <w:sz w:val="20"/>
                <w:szCs w:val="20"/>
              </w:rPr>
              <w:t>Descriptive</w:t>
            </w:r>
          </w:p>
        </w:tc>
        <w:tc>
          <w:tcPr>
            <w:tcW w:w="479" w:type="pct"/>
            <w:vMerge w:val="restart"/>
            <w:tcBorders>
              <w:top w:val="single" w:sz="4" w:space="0" w:color="auto"/>
            </w:tcBorders>
            <w:shd w:val="clear" w:color="auto" w:fill="auto"/>
          </w:tcPr>
          <w:p w:rsidR="00A05D1F" w:rsidRPr="00C236D3" w:rsidRDefault="00A05D1F" w:rsidP="002E18C1">
            <w:pPr>
              <w:jc w:val="center"/>
              <w:rPr>
                <w:rFonts w:eastAsia="標楷體"/>
                <w:sz w:val="20"/>
                <w:szCs w:val="20"/>
                <w:lang w:eastAsia="zh-TW"/>
              </w:rPr>
            </w:pPr>
            <w:r>
              <w:rPr>
                <w:rFonts w:eastAsia="標楷體"/>
                <w:sz w:val="20"/>
                <w:szCs w:val="20"/>
                <w:lang w:eastAsia="zh-TW"/>
              </w:rPr>
              <w:t>Term</w:t>
            </w:r>
          </w:p>
        </w:tc>
        <w:tc>
          <w:tcPr>
            <w:tcW w:w="1771" w:type="pct"/>
            <w:gridSpan w:val="3"/>
            <w:tcBorders>
              <w:top w:val="single" w:sz="4" w:space="0" w:color="auto"/>
            </w:tcBorders>
            <w:shd w:val="clear" w:color="auto" w:fill="auto"/>
          </w:tcPr>
          <w:p w:rsidR="00A05D1F" w:rsidRPr="00C236D3" w:rsidRDefault="00A05D1F" w:rsidP="002E18C1">
            <w:pPr>
              <w:jc w:val="center"/>
              <w:rPr>
                <w:rFonts w:eastAsia="標楷體"/>
                <w:sz w:val="20"/>
                <w:szCs w:val="20"/>
              </w:rPr>
            </w:pPr>
            <w:r w:rsidRPr="00C236D3">
              <w:rPr>
                <w:rFonts w:eastAsia="標楷體"/>
                <w:sz w:val="20"/>
                <w:szCs w:val="20"/>
              </w:rPr>
              <w:t>Ordinary input</w:t>
            </w:r>
          </w:p>
        </w:tc>
        <w:tc>
          <w:tcPr>
            <w:tcW w:w="1070" w:type="pct"/>
            <w:gridSpan w:val="2"/>
            <w:tcBorders>
              <w:top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Ordinary output</w:t>
            </w:r>
          </w:p>
        </w:tc>
        <w:tc>
          <w:tcPr>
            <w:tcW w:w="1011" w:type="pct"/>
            <w:gridSpan w:val="2"/>
            <w:tcBorders>
              <w:top w:val="single" w:sz="4" w:space="0" w:color="auto"/>
            </w:tcBorders>
            <w:shd w:val="clear" w:color="auto" w:fill="auto"/>
          </w:tcPr>
          <w:p w:rsidR="00A05D1F" w:rsidRPr="00C236D3" w:rsidRDefault="00A05D1F" w:rsidP="002E18C1">
            <w:pPr>
              <w:jc w:val="center"/>
              <w:rPr>
                <w:rFonts w:eastAsia="標楷體"/>
                <w:sz w:val="20"/>
                <w:szCs w:val="20"/>
              </w:rPr>
            </w:pPr>
            <w:r w:rsidRPr="00C236D3">
              <w:rPr>
                <w:rFonts w:eastAsia="標楷體"/>
                <w:sz w:val="20"/>
                <w:szCs w:val="20"/>
              </w:rPr>
              <w:t>Carry-over</w:t>
            </w:r>
          </w:p>
        </w:tc>
      </w:tr>
      <w:tr w:rsidR="00A05D1F" w:rsidRPr="00C236D3" w:rsidTr="002E18C1">
        <w:tc>
          <w:tcPr>
            <w:tcW w:w="668" w:type="pct"/>
            <w:vMerge/>
            <w:tcBorders>
              <w:bottom w:val="single" w:sz="4" w:space="0" w:color="auto"/>
            </w:tcBorders>
            <w:shd w:val="clear" w:color="auto" w:fill="auto"/>
          </w:tcPr>
          <w:p w:rsidR="00A05D1F" w:rsidRPr="00C236D3" w:rsidRDefault="00A05D1F" w:rsidP="002E18C1">
            <w:pPr>
              <w:jc w:val="center"/>
              <w:rPr>
                <w:rFonts w:eastAsia="標楷體"/>
                <w:sz w:val="20"/>
                <w:szCs w:val="20"/>
              </w:rPr>
            </w:pPr>
          </w:p>
        </w:tc>
        <w:tc>
          <w:tcPr>
            <w:tcW w:w="479" w:type="pct"/>
            <w:vMerge/>
            <w:tcBorders>
              <w:bottom w:val="single" w:sz="4" w:space="0" w:color="auto"/>
            </w:tcBorders>
            <w:shd w:val="clear" w:color="auto" w:fill="auto"/>
          </w:tcPr>
          <w:p w:rsidR="00A05D1F" w:rsidRPr="00C236D3" w:rsidRDefault="00A05D1F" w:rsidP="002E18C1">
            <w:pPr>
              <w:jc w:val="center"/>
              <w:rPr>
                <w:rFonts w:eastAsia="標楷體"/>
                <w:sz w:val="20"/>
                <w:szCs w:val="20"/>
              </w:rPr>
            </w:pPr>
          </w:p>
        </w:tc>
        <w:tc>
          <w:tcPr>
            <w:tcW w:w="603" w:type="pct"/>
            <w:tcBorders>
              <w:bottom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Employee</w:t>
            </w:r>
          </w:p>
        </w:tc>
        <w:tc>
          <w:tcPr>
            <w:tcW w:w="571" w:type="pct"/>
            <w:tcBorders>
              <w:bottom w:val="single" w:sz="4" w:space="0" w:color="auto"/>
            </w:tcBorders>
            <w:shd w:val="clear" w:color="auto" w:fill="auto"/>
          </w:tcPr>
          <w:p w:rsidR="00A05D1F" w:rsidRPr="00C236D3" w:rsidRDefault="00C32171" w:rsidP="002E18C1">
            <w:pPr>
              <w:jc w:val="left"/>
              <w:rPr>
                <w:rFonts w:eastAsia="標楷體"/>
                <w:sz w:val="20"/>
                <w:szCs w:val="20"/>
              </w:rPr>
            </w:pPr>
            <w:r>
              <w:rPr>
                <w:rFonts w:eastAsia="標楷體"/>
                <w:sz w:val="20"/>
                <w:szCs w:val="20"/>
              </w:rPr>
              <w:t xml:space="preserve"> R &amp; D Expenditures</w:t>
            </w:r>
          </w:p>
        </w:tc>
        <w:tc>
          <w:tcPr>
            <w:tcW w:w="597" w:type="pct"/>
            <w:tcBorders>
              <w:bottom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Operating Expenses</w:t>
            </w:r>
          </w:p>
        </w:tc>
        <w:tc>
          <w:tcPr>
            <w:tcW w:w="538" w:type="pct"/>
            <w:tcBorders>
              <w:bottom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Revenue</w:t>
            </w:r>
          </w:p>
        </w:tc>
        <w:tc>
          <w:tcPr>
            <w:tcW w:w="532" w:type="pct"/>
            <w:tcBorders>
              <w:bottom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Market Value</w:t>
            </w:r>
          </w:p>
        </w:tc>
        <w:tc>
          <w:tcPr>
            <w:tcW w:w="532" w:type="pct"/>
            <w:tcBorders>
              <w:bottom w:val="single" w:sz="4" w:space="0" w:color="auto"/>
            </w:tcBorders>
            <w:shd w:val="clear" w:color="auto" w:fill="auto"/>
          </w:tcPr>
          <w:p w:rsidR="00A05D1F" w:rsidRPr="00C236D3" w:rsidRDefault="00A05D1F" w:rsidP="002E18C1">
            <w:pPr>
              <w:jc w:val="center"/>
              <w:rPr>
                <w:rFonts w:eastAsia="標楷體"/>
                <w:sz w:val="20"/>
                <w:szCs w:val="20"/>
              </w:rPr>
            </w:pPr>
            <w:r w:rsidRPr="00C236D3">
              <w:rPr>
                <w:rFonts w:eastAsia="標楷體"/>
                <w:sz w:val="20"/>
                <w:szCs w:val="20"/>
              </w:rPr>
              <w:t>Liability</w:t>
            </w:r>
          </w:p>
        </w:tc>
        <w:tc>
          <w:tcPr>
            <w:tcW w:w="479" w:type="pct"/>
            <w:tcBorders>
              <w:bottom w:val="single" w:sz="4" w:space="0" w:color="auto"/>
            </w:tcBorders>
            <w:shd w:val="clear" w:color="auto" w:fill="auto"/>
          </w:tcPr>
          <w:p w:rsidR="00A05D1F" w:rsidRPr="00C236D3" w:rsidRDefault="00A05D1F" w:rsidP="002E18C1">
            <w:pPr>
              <w:jc w:val="center"/>
              <w:rPr>
                <w:rFonts w:eastAsia="標楷體"/>
                <w:sz w:val="20"/>
                <w:szCs w:val="20"/>
              </w:rPr>
            </w:pPr>
            <w:r w:rsidRPr="00C236D3">
              <w:rPr>
                <w:rFonts w:eastAsia="標楷體"/>
                <w:sz w:val="20"/>
                <w:szCs w:val="20"/>
              </w:rPr>
              <w:t>Equity</w:t>
            </w:r>
          </w:p>
        </w:tc>
      </w:tr>
      <w:tr w:rsidR="00A05D1F" w:rsidRPr="00C236D3" w:rsidTr="002E18C1">
        <w:tc>
          <w:tcPr>
            <w:tcW w:w="668" w:type="pct"/>
            <w:vMerge w:val="restart"/>
            <w:tcBorders>
              <w:top w:val="single" w:sz="4" w:space="0" w:color="auto"/>
            </w:tcBorders>
            <w:shd w:val="clear" w:color="auto" w:fill="auto"/>
          </w:tcPr>
          <w:p w:rsidR="00A05D1F" w:rsidRPr="00C236D3" w:rsidRDefault="00A05D1F" w:rsidP="002E18C1">
            <w:pPr>
              <w:jc w:val="right"/>
              <w:rPr>
                <w:rFonts w:eastAsia="標楷體"/>
                <w:sz w:val="20"/>
                <w:szCs w:val="20"/>
              </w:rPr>
            </w:pPr>
            <w:r w:rsidRPr="00C236D3">
              <w:rPr>
                <w:rFonts w:eastAsia="標楷體"/>
                <w:sz w:val="20"/>
                <w:szCs w:val="20"/>
              </w:rPr>
              <w:t>Mean</w:t>
            </w:r>
          </w:p>
        </w:tc>
        <w:tc>
          <w:tcPr>
            <w:tcW w:w="479" w:type="pct"/>
            <w:tcBorders>
              <w:top w:val="single" w:sz="4" w:space="0" w:color="auto"/>
            </w:tcBorders>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201801</w:t>
            </w:r>
          </w:p>
        </w:tc>
        <w:tc>
          <w:tcPr>
            <w:tcW w:w="603" w:type="pct"/>
            <w:tcBorders>
              <w:top w:val="single" w:sz="4" w:space="0" w:color="auto"/>
            </w:tcBorders>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47,742 </w:t>
            </w:r>
          </w:p>
        </w:tc>
        <w:tc>
          <w:tcPr>
            <w:tcW w:w="571"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2,579,010 </w:t>
            </w:r>
          </w:p>
        </w:tc>
        <w:tc>
          <w:tcPr>
            <w:tcW w:w="597"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4,882,263 </w:t>
            </w:r>
          </w:p>
        </w:tc>
        <w:tc>
          <w:tcPr>
            <w:tcW w:w="538"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90,892,532 </w:t>
            </w:r>
          </w:p>
        </w:tc>
        <w:tc>
          <w:tcPr>
            <w:tcW w:w="532"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384,422,809 </w:t>
            </w:r>
          </w:p>
        </w:tc>
        <w:tc>
          <w:tcPr>
            <w:tcW w:w="532"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143,833,025 </w:t>
            </w:r>
          </w:p>
        </w:tc>
        <w:tc>
          <w:tcPr>
            <w:tcW w:w="479"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154,362,359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201802</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47,698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5,295,542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10,182,966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184,901,921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360,457,856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164,961,935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151,458,528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201803</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47,711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8,283,010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15,856,935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298,111,013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383,363,269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178,247,506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155,619,420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201804</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42,998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11,754,437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22,164,190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433,153,767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328,212,349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170,222,022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162,732,803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201901</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43,016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2,768,613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5,102,320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91,411,329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366,091,209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153,229,725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169,560,862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201902</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43,053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5,772,852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10,631,682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191,608,901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364,852,580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172,802,635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158,701,718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201903</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43,055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9,000,757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16,517,062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305,928,601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398,091,876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178,445,986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162,538,691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201904</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44,836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12,745,569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23,156,352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438,233,326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474,776,831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172,938,715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167,574,223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202001</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44,861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3,018,784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5,333,060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87,753,715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389,547,081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164,597,713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168,967,535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202002</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44,879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6,375,932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11,191,981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194,329,955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466,776,981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181,222,566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167,093,579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202003</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44,862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10,230,599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17,782,442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312,738,493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568,540,596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191,458,321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174,131,079 </w:t>
            </w:r>
          </w:p>
        </w:tc>
      </w:tr>
      <w:tr w:rsidR="00A05D1F" w:rsidRPr="00C236D3" w:rsidTr="002E18C1">
        <w:tc>
          <w:tcPr>
            <w:tcW w:w="668" w:type="pct"/>
            <w:vMerge/>
            <w:tcBorders>
              <w:bottom w:val="single" w:sz="4" w:space="0" w:color="auto"/>
            </w:tcBorders>
            <w:shd w:val="clear" w:color="auto" w:fill="auto"/>
          </w:tcPr>
          <w:p w:rsidR="00A05D1F" w:rsidRPr="00C236D3" w:rsidRDefault="00A05D1F" w:rsidP="002E18C1">
            <w:pPr>
              <w:jc w:val="left"/>
              <w:rPr>
                <w:rFonts w:eastAsia="標楷體"/>
                <w:sz w:val="20"/>
                <w:szCs w:val="20"/>
              </w:rPr>
            </w:pPr>
          </w:p>
        </w:tc>
        <w:tc>
          <w:tcPr>
            <w:tcW w:w="479" w:type="pct"/>
            <w:shd w:val="clear" w:color="auto" w:fill="auto"/>
            <w:vAlign w:val="center"/>
          </w:tcPr>
          <w:p w:rsidR="00A05D1F" w:rsidRPr="00C236D3" w:rsidRDefault="00A05D1F" w:rsidP="002E18C1">
            <w:pPr>
              <w:jc w:val="center"/>
              <w:rPr>
                <w:rFonts w:eastAsia="標楷體"/>
                <w:sz w:val="20"/>
                <w:szCs w:val="20"/>
              </w:rPr>
            </w:pPr>
            <w:r w:rsidRPr="00C236D3">
              <w:rPr>
                <w:rFonts w:eastAsia="標楷體"/>
                <w:sz w:val="20"/>
                <w:szCs w:val="20"/>
              </w:rPr>
              <w:t>202004</w:t>
            </w:r>
          </w:p>
        </w:tc>
        <w:tc>
          <w:tcPr>
            <w:tcW w:w="603" w:type="pct"/>
            <w:tcBorders>
              <w:bottom w:val="single" w:sz="4" w:space="0" w:color="auto"/>
            </w:tcBorders>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44,862 </w:t>
            </w:r>
          </w:p>
        </w:tc>
        <w:tc>
          <w:tcPr>
            <w:tcW w:w="571"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14,445,889 </w:t>
            </w:r>
          </w:p>
        </w:tc>
        <w:tc>
          <w:tcPr>
            <w:tcW w:w="597"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25,006,474 </w:t>
            </w:r>
          </w:p>
        </w:tc>
        <w:tc>
          <w:tcPr>
            <w:tcW w:w="538"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461,363,934 </w:t>
            </w:r>
          </w:p>
        </w:tc>
        <w:tc>
          <w:tcPr>
            <w:tcW w:w="532"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688,405,556 </w:t>
            </w:r>
          </w:p>
        </w:tc>
        <w:tc>
          <w:tcPr>
            <w:tcW w:w="532"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207,091,058 </w:t>
            </w:r>
          </w:p>
        </w:tc>
        <w:tc>
          <w:tcPr>
            <w:tcW w:w="479"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183,809,824 </w:t>
            </w:r>
          </w:p>
        </w:tc>
      </w:tr>
      <w:tr w:rsidR="00A05D1F" w:rsidRPr="00C236D3" w:rsidTr="002E18C1">
        <w:tc>
          <w:tcPr>
            <w:tcW w:w="668" w:type="pct"/>
            <w:vMerge w:val="restart"/>
            <w:tcBorders>
              <w:top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Standard deviation</w:t>
            </w:r>
          </w:p>
        </w:tc>
        <w:tc>
          <w:tcPr>
            <w:tcW w:w="479" w:type="pct"/>
            <w:tcBorders>
              <w:top w:val="single" w:sz="4" w:space="0" w:color="auto"/>
            </w:tcBorders>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201801</w:t>
            </w:r>
          </w:p>
        </w:tc>
        <w:tc>
          <w:tcPr>
            <w:tcW w:w="603" w:type="pct"/>
            <w:tcBorders>
              <w:top w:val="single" w:sz="4" w:space="0" w:color="auto"/>
            </w:tcBorders>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145,240 </w:t>
            </w:r>
          </w:p>
        </w:tc>
        <w:tc>
          <w:tcPr>
            <w:tcW w:w="571"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4,976,608 </w:t>
            </w:r>
          </w:p>
        </w:tc>
        <w:tc>
          <w:tcPr>
            <w:tcW w:w="597"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8,467,901 </w:t>
            </w:r>
          </w:p>
        </w:tc>
        <w:tc>
          <w:tcPr>
            <w:tcW w:w="538"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196,398,336 </w:t>
            </w:r>
          </w:p>
        </w:tc>
        <w:tc>
          <w:tcPr>
            <w:tcW w:w="532"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1,174,900,024 </w:t>
            </w:r>
          </w:p>
        </w:tc>
        <w:tc>
          <w:tcPr>
            <w:tcW w:w="532"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287,620,655 </w:t>
            </w:r>
          </w:p>
        </w:tc>
        <w:tc>
          <w:tcPr>
            <w:tcW w:w="479" w:type="pct"/>
            <w:tcBorders>
              <w:top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350,012,940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201802</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145,246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10,083,388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17,810,788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400,333,550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1,029,545,614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326,177,343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345,743,816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201803</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145,244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15,757,663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27,941,731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658,043,772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1,240,010,060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401,055,997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352,273,927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201804</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121,217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22,742,780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40,245,334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995,568,093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1,060,031,038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380,116,425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372,997,029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201901</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121,215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5,245,983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8,892,507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200,359,980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1,152,619,940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310,223,487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389,055,263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201902</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121,210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10,824,444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18,488,488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420,035,730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1,122,480,585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340,856,029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358,420,843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201903</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121,210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17,051,307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29,026,123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680,714,562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1,275,089,936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386,845,702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361,656,822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201904</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136,738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24,485,089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41,719,016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1,004,768,262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1,553,027,384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363,726,488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372,572,475 </w:t>
            </w:r>
          </w:p>
        </w:tc>
      </w:tr>
      <w:tr w:rsidR="00A05D1F" w:rsidRPr="00C236D3" w:rsidTr="002E18C1">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202001</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136,736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5,770,590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8,906,651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180,080,204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1,283,689,325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319,276,862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376,873,984 </w:t>
            </w:r>
          </w:p>
        </w:tc>
      </w:tr>
      <w:tr w:rsidR="00A05D1F" w:rsidRPr="00C236D3" w:rsidTr="002E18C1">
        <w:trPr>
          <w:trHeight w:val="412"/>
        </w:trPr>
        <w:tc>
          <w:tcPr>
            <w:tcW w:w="668" w:type="pct"/>
            <w:vMerge/>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rPr>
            </w:pPr>
            <w:r w:rsidRPr="00C236D3">
              <w:rPr>
                <w:rFonts w:eastAsia="標楷體"/>
                <w:sz w:val="20"/>
                <w:szCs w:val="20"/>
              </w:rPr>
              <w:t>202002</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136,734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12,100,377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18,888,630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398,152,306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1,467,686,467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341,064,517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378,651,665 </w:t>
            </w:r>
          </w:p>
        </w:tc>
      </w:tr>
      <w:tr w:rsidR="00A05D1F" w:rsidRPr="00C236D3" w:rsidTr="002E18C1">
        <w:trPr>
          <w:trHeight w:val="412"/>
        </w:trPr>
        <w:tc>
          <w:tcPr>
            <w:tcW w:w="668" w:type="pct"/>
            <w:shd w:val="clear" w:color="auto" w:fill="auto"/>
          </w:tcPr>
          <w:p w:rsidR="00A05D1F" w:rsidRPr="00C236D3" w:rsidRDefault="00A05D1F" w:rsidP="002E18C1">
            <w:pPr>
              <w:jc w:val="left"/>
              <w:rPr>
                <w:rFonts w:eastAsia="標楷體"/>
                <w:sz w:val="20"/>
                <w:szCs w:val="20"/>
              </w:rPr>
            </w:pPr>
          </w:p>
        </w:tc>
        <w:tc>
          <w:tcPr>
            <w:tcW w:w="479" w:type="pct"/>
            <w:shd w:val="clear" w:color="auto" w:fill="auto"/>
          </w:tcPr>
          <w:p w:rsidR="00A05D1F" w:rsidRPr="00C236D3" w:rsidRDefault="00A05D1F" w:rsidP="002E18C1">
            <w:pPr>
              <w:jc w:val="left"/>
              <w:rPr>
                <w:rFonts w:eastAsia="標楷體"/>
                <w:sz w:val="20"/>
                <w:szCs w:val="20"/>
                <w:lang w:eastAsia="zh-TW"/>
              </w:rPr>
            </w:pPr>
            <w:r>
              <w:rPr>
                <w:rFonts w:eastAsia="標楷體" w:hint="eastAsia"/>
                <w:sz w:val="20"/>
                <w:szCs w:val="20"/>
                <w:lang w:eastAsia="zh-TW"/>
              </w:rPr>
              <w:t>2</w:t>
            </w:r>
            <w:r>
              <w:rPr>
                <w:rFonts w:eastAsia="標楷體"/>
                <w:sz w:val="20"/>
                <w:szCs w:val="20"/>
                <w:lang w:eastAsia="zh-TW"/>
              </w:rPr>
              <w:t>02003</w:t>
            </w:r>
          </w:p>
        </w:tc>
        <w:tc>
          <w:tcPr>
            <w:tcW w:w="603" w:type="pct"/>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136,736 </w:t>
            </w:r>
          </w:p>
        </w:tc>
        <w:tc>
          <w:tcPr>
            <w:tcW w:w="571"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19,615,828 </w:t>
            </w:r>
          </w:p>
        </w:tc>
        <w:tc>
          <w:tcPr>
            <w:tcW w:w="597"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30,419,681 </w:t>
            </w:r>
          </w:p>
        </w:tc>
        <w:tc>
          <w:tcPr>
            <w:tcW w:w="538"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645,757,054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2,028,070,717 </w:t>
            </w:r>
          </w:p>
        </w:tc>
        <w:tc>
          <w:tcPr>
            <w:tcW w:w="532"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384,099,821 </w:t>
            </w:r>
          </w:p>
        </w:tc>
        <w:tc>
          <w:tcPr>
            <w:tcW w:w="479" w:type="pct"/>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392,741,403 </w:t>
            </w:r>
          </w:p>
        </w:tc>
      </w:tr>
      <w:tr w:rsidR="00A05D1F" w:rsidRPr="00C236D3" w:rsidTr="002E18C1">
        <w:trPr>
          <w:trHeight w:val="412"/>
        </w:trPr>
        <w:tc>
          <w:tcPr>
            <w:tcW w:w="668" w:type="pct"/>
            <w:tcBorders>
              <w:bottom w:val="single" w:sz="4" w:space="0" w:color="auto"/>
            </w:tcBorders>
            <w:shd w:val="clear" w:color="auto" w:fill="auto"/>
          </w:tcPr>
          <w:p w:rsidR="00A05D1F" w:rsidRPr="00C236D3" w:rsidRDefault="00A05D1F" w:rsidP="002E18C1">
            <w:pPr>
              <w:jc w:val="left"/>
              <w:rPr>
                <w:rFonts w:eastAsia="標楷體"/>
                <w:sz w:val="20"/>
                <w:szCs w:val="20"/>
              </w:rPr>
            </w:pPr>
          </w:p>
        </w:tc>
        <w:tc>
          <w:tcPr>
            <w:tcW w:w="479" w:type="pct"/>
            <w:tcBorders>
              <w:bottom w:val="single" w:sz="4" w:space="0" w:color="auto"/>
            </w:tcBorders>
            <w:shd w:val="clear" w:color="auto" w:fill="auto"/>
          </w:tcPr>
          <w:p w:rsidR="00A05D1F" w:rsidRPr="00C236D3" w:rsidRDefault="00A05D1F" w:rsidP="002E18C1">
            <w:pPr>
              <w:jc w:val="left"/>
              <w:rPr>
                <w:rFonts w:eastAsia="標楷體"/>
                <w:sz w:val="20"/>
                <w:szCs w:val="20"/>
                <w:lang w:eastAsia="zh-TW"/>
              </w:rPr>
            </w:pPr>
            <w:r>
              <w:rPr>
                <w:rFonts w:eastAsia="標楷體" w:hint="eastAsia"/>
                <w:sz w:val="20"/>
                <w:szCs w:val="20"/>
                <w:lang w:eastAsia="zh-TW"/>
              </w:rPr>
              <w:t>2</w:t>
            </w:r>
            <w:r>
              <w:rPr>
                <w:rFonts w:eastAsia="標楷體"/>
                <w:sz w:val="20"/>
                <w:szCs w:val="20"/>
                <w:lang w:eastAsia="zh-TW"/>
              </w:rPr>
              <w:t>02004</w:t>
            </w:r>
          </w:p>
        </w:tc>
        <w:tc>
          <w:tcPr>
            <w:tcW w:w="603" w:type="pct"/>
            <w:tcBorders>
              <w:bottom w:val="single" w:sz="4" w:space="0" w:color="auto"/>
            </w:tcBorders>
            <w:shd w:val="clear" w:color="auto" w:fill="auto"/>
            <w:vAlign w:val="center"/>
          </w:tcPr>
          <w:p w:rsidR="00A05D1F" w:rsidRPr="000D29A5" w:rsidRDefault="00A05D1F" w:rsidP="002E18C1">
            <w:pPr>
              <w:widowControl/>
              <w:adjustRightInd w:val="0"/>
              <w:snapToGrid w:val="0"/>
              <w:spacing w:line="240" w:lineRule="atLeast"/>
              <w:jc w:val="right"/>
              <w:rPr>
                <w:rFonts w:eastAsia="新細明體"/>
                <w:sz w:val="18"/>
                <w:szCs w:val="18"/>
                <w:lang w:eastAsia="zh-TW"/>
              </w:rPr>
            </w:pPr>
            <w:r w:rsidRPr="000D29A5">
              <w:rPr>
                <w:sz w:val="18"/>
                <w:szCs w:val="18"/>
              </w:rPr>
              <w:t xml:space="preserve">                                     136,736 </w:t>
            </w:r>
          </w:p>
        </w:tc>
        <w:tc>
          <w:tcPr>
            <w:tcW w:w="571"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27,887,389 </w:t>
            </w:r>
          </w:p>
        </w:tc>
        <w:tc>
          <w:tcPr>
            <w:tcW w:w="597"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43,568,856 </w:t>
            </w:r>
          </w:p>
        </w:tc>
        <w:tc>
          <w:tcPr>
            <w:tcW w:w="538"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1,015,955,694 </w:t>
            </w:r>
          </w:p>
        </w:tc>
        <w:tc>
          <w:tcPr>
            <w:tcW w:w="532"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2,483,528,498 </w:t>
            </w:r>
          </w:p>
        </w:tc>
        <w:tc>
          <w:tcPr>
            <w:tcW w:w="532"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426,365,694 </w:t>
            </w:r>
          </w:p>
        </w:tc>
        <w:tc>
          <w:tcPr>
            <w:tcW w:w="479" w:type="pct"/>
            <w:tcBorders>
              <w:bottom w:val="single" w:sz="4" w:space="0" w:color="auto"/>
            </w:tcBorders>
            <w:shd w:val="clear" w:color="auto" w:fill="auto"/>
            <w:vAlign w:val="center"/>
          </w:tcPr>
          <w:p w:rsidR="00A05D1F" w:rsidRPr="000D29A5" w:rsidRDefault="00A05D1F" w:rsidP="002E18C1">
            <w:pPr>
              <w:adjustRightInd w:val="0"/>
              <w:snapToGrid w:val="0"/>
              <w:spacing w:line="240" w:lineRule="atLeast"/>
              <w:jc w:val="right"/>
              <w:rPr>
                <w:sz w:val="18"/>
                <w:szCs w:val="18"/>
              </w:rPr>
            </w:pPr>
            <w:r w:rsidRPr="000D29A5">
              <w:rPr>
                <w:sz w:val="18"/>
                <w:szCs w:val="18"/>
              </w:rPr>
              <w:t xml:space="preserve">                          412,368,381 </w:t>
            </w:r>
          </w:p>
        </w:tc>
      </w:tr>
    </w:tbl>
    <w:p w:rsidR="00A05D1F" w:rsidRPr="00C236D3" w:rsidRDefault="00A05D1F" w:rsidP="00A05D1F">
      <w:pPr>
        <w:adjustRightInd w:val="0"/>
        <w:snapToGrid w:val="0"/>
        <w:spacing w:line="240" w:lineRule="atLeast"/>
        <w:rPr>
          <w:rFonts w:eastAsia="標楷體"/>
          <w:sz w:val="20"/>
          <w:szCs w:val="20"/>
        </w:rPr>
      </w:pPr>
    </w:p>
    <w:p w:rsidR="00A05D1F" w:rsidRPr="00C236D3" w:rsidRDefault="00A05D1F" w:rsidP="00A05D1F">
      <w:pPr>
        <w:adjustRightInd w:val="0"/>
        <w:snapToGrid w:val="0"/>
        <w:spacing w:line="240" w:lineRule="atLeast"/>
        <w:rPr>
          <w:rFonts w:eastAsia="標楷體"/>
          <w:sz w:val="20"/>
          <w:szCs w:val="20"/>
        </w:rPr>
      </w:pPr>
    </w:p>
    <w:p w:rsidR="00A05D1F" w:rsidRPr="00C236D3" w:rsidRDefault="00A05D1F" w:rsidP="00A05D1F">
      <w:pPr>
        <w:widowControl/>
        <w:jc w:val="left"/>
        <w:rPr>
          <w:rFonts w:eastAsia="標楷體"/>
          <w:sz w:val="20"/>
          <w:szCs w:val="20"/>
        </w:rPr>
      </w:pPr>
      <w:r w:rsidRPr="00C236D3">
        <w:rPr>
          <w:rFonts w:eastAsia="標楷體"/>
          <w:sz w:val="20"/>
          <w:szCs w:val="20"/>
        </w:rPr>
        <w:br w:type="page"/>
      </w:r>
    </w:p>
    <w:p w:rsidR="00A05D1F" w:rsidRPr="006628B5" w:rsidRDefault="00A05D1F" w:rsidP="00A05D1F">
      <w:pPr>
        <w:adjustRightInd w:val="0"/>
        <w:snapToGrid w:val="0"/>
        <w:spacing w:line="240" w:lineRule="atLeast"/>
        <w:rPr>
          <w:rFonts w:eastAsia="標楷體"/>
          <w:sz w:val="20"/>
          <w:szCs w:val="20"/>
        </w:rPr>
      </w:pPr>
      <w:r w:rsidRPr="006628B5">
        <w:rPr>
          <w:rFonts w:eastAsia="標楷體"/>
          <w:sz w:val="20"/>
          <w:szCs w:val="20"/>
        </w:rPr>
        <w:t>Table 3 5G Industry Relative Efficiency Value</w:t>
      </w:r>
      <w:r w:rsidR="006628B5">
        <w:rPr>
          <w:rFonts w:eastAsia="標楷體"/>
          <w:sz w:val="20"/>
          <w:szCs w:val="20"/>
        </w:rPr>
        <w:t>s</w:t>
      </w:r>
    </w:p>
    <w:tbl>
      <w:tblPr>
        <w:tblW w:w="5000" w:type="pct"/>
        <w:tblCellMar>
          <w:left w:w="28" w:type="dxa"/>
          <w:right w:w="28" w:type="dxa"/>
        </w:tblCellMar>
        <w:tblLook w:val="04A0" w:firstRow="1" w:lastRow="0" w:firstColumn="1" w:lastColumn="0" w:noHBand="0" w:noVBand="1"/>
      </w:tblPr>
      <w:tblGrid>
        <w:gridCol w:w="3510"/>
        <w:gridCol w:w="1103"/>
        <w:gridCol w:w="2523"/>
        <w:gridCol w:w="2502"/>
      </w:tblGrid>
      <w:tr w:rsidR="006628B5" w:rsidRPr="006628B5" w:rsidTr="002E18C1">
        <w:trPr>
          <w:trHeight w:val="315"/>
        </w:trPr>
        <w:tc>
          <w:tcPr>
            <w:tcW w:w="2154" w:type="pct"/>
            <w:vMerge w:val="restart"/>
            <w:tcBorders>
              <w:top w:val="single" w:sz="4" w:space="0" w:color="auto"/>
              <w:bottom w:val="single" w:sz="4" w:space="0" w:color="auto"/>
            </w:tcBorders>
            <w:shd w:val="clear" w:color="000000" w:fill="FFFFFF"/>
            <w:noWrap/>
            <w:vAlign w:val="center"/>
            <w:hideMark/>
          </w:tcPr>
          <w:p w:rsidR="00A05D1F" w:rsidRPr="006628B5" w:rsidRDefault="00A05D1F" w:rsidP="002E18C1">
            <w:pPr>
              <w:widowControl/>
              <w:adjustRightInd w:val="0"/>
              <w:snapToGrid w:val="0"/>
              <w:spacing w:line="240" w:lineRule="atLeast"/>
              <w:jc w:val="center"/>
              <w:rPr>
                <w:rFonts w:eastAsia="標楷體"/>
                <w:kern w:val="0"/>
                <w:sz w:val="20"/>
                <w:szCs w:val="20"/>
                <w:lang w:eastAsia="zh-TW"/>
              </w:rPr>
            </w:pPr>
            <w:r w:rsidRPr="006628B5">
              <w:rPr>
                <w:rFonts w:eastAsia="標楷體"/>
                <w:kern w:val="0"/>
                <w:sz w:val="20"/>
                <w:szCs w:val="20"/>
                <w:lang w:eastAsia="zh-TW"/>
              </w:rPr>
              <w:t>Company</w:t>
            </w:r>
          </w:p>
        </w:tc>
        <w:tc>
          <w:tcPr>
            <w:tcW w:w="2846" w:type="pct"/>
            <w:gridSpan w:val="3"/>
            <w:tcBorders>
              <w:top w:val="single" w:sz="4" w:space="0" w:color="auto"/>
              <w:bottom w:val="single" w:sz="4" w:space="0" w:color="auto"/>
            </w:tcBorders>
            <w:shd w:val="clear" w:color="000000" w:fill="FFFFFF"/>
            <w:noWrap/>
            <w:vAlign w:val="center"/>
          </w:tcPr>
          <w:p w:rsidR="00A05D1F" w:rsidRPr="006628B5" w:rsidRDefault="00A05D1F" w:rsidP="002E18C1">
            <w:pPr>
              <w:widowControl/>
              <w:adjustRightInd w:val="0"/>
              <w:snapToGrid w:val="0"/>
              <w:spacing w:line="240" w:lineRule="atLeast"/>
              <w:jc w:val="center"/>
              <w:rPr>
                <w:rFonts w:eastAsia="標楷體"/>
                <w:kern w:val="0"/>
                <w:sz w:val="20"/>
                <w:szCs w:val="20"/>
              </w:rPr>
            </w:pPr>
            <w:r w:rsidRPr="006628B5">
              <w:rPr>
                <w:rFonts w:eastAsia="標楷體" w:hint="eastAsia"/>
                <w:sz w:val="20"/>
                <w:szCs w:val="20"/>
                <w:lang w:eastAsia="zh-TW"/>
              </w:rPr>
              <w:t>I</w:t>
            </w:r>
            <w:r w:rsidRPr="006628B5">
              <w:rPr>
                <w:rFonts w:eastAsia="標楷體"/>
                <w:sz w:val="20"/>
                <w:szCs w:val="20"/>
              </w:rPr>
              <w:t>ndustry Relative Efficiency Value</w:t>
            </w:r>
            <w:r w:rsidRPr="006628B5">
              <w:rPr>
                <w:rFonts w:eastAsia="標楷體"/>
                <w:kern w:val="0"/>
                <w:sz w:val="20"/>
                <w:szCs w:val="20"/>
              </w:rPr>
              <w:t xml:space="preserve"> Mean</w:t>
            </w:r>
          </w:p>
        </w:tc>
      </w:tr>
      <w:tr w:rsidR="006628B5" w:rsidRPr="006628B5" w:rsidTr="002E18C1">
        <w:trPr>
          <w:trHeight w:val="315"/>
        </w:trPr>
        <w:tc>
          <w:tcPr>
            <w:tcW w:w="2154" w:type="pct"/>
            <w:vMerge/>
            <w:tcBorders>
              <w:bottom w:val="single" w:sz="4" w:space="0" w:color="auto"/>
            </w:tcBorders>
            <w:shd w:val="clear" w:color="000000" w:fill="FFFFFF"/>
            <w:noWrap/>
            <w:vAlign w:val="center"/>
          </w:tcPr>
          <w:p w:rsidR="00A05D1F" w:rsidRPr="006628B5" w:rsidRDefault="00A05D1F" w:rsidP="002E18C1">
            <w:pPr>
              <w:widowControl/>
              <w:adjustRightInd w:val="0"/>
              <w:snapToGrid w:val="0"/>
              <w:spacing w:line="240" w:lineRule="atLeast"/>
              <w:jc w:val="center"/>
              <w:rPr>
                <w:rFonts w:eastAsia="標楷體"/>
                <w:kern w:val="0"/>
                <w:sz w:val="20"/>
                <w:szCs w:val="20"/>
              </w:rPr>
            </w:pPr>
          </w:p>
        </w:tc>
        <w:tc>
          <w:tcPr>
            <w:tcW w:w="949" w:type="pct"/>
            <w:tcBorders>
              <w:top w:val="single" w:sz="4" w:space="0" w:color="auto"/>
              <w:bottom w:val="single" w:sz="4" w:space="0" w:color="auto"/>
            </w:tcBorders>
            <w:shd w:val="clear" w:color="000000" w:fill="FFFFFF"/>
            <w:noWrap/>
            <w:vAlign w:val="center"/>
          </w:tcPr>
          <w:p w:rsidR="00A05D1F" w:rsidRPr="006628B5" w:rsidRDefault="00A05D1F" w:rsidP="002E18C1">
            <w:pPr>
              <w:widowControl/>
              <w:adjustRightInd w:val="0"/>
              <w:snapToGrid w:val="0"/>
              <w:spacing w:line="240" w:lineRule="atLeast"/>
              <w:jc w:val="center"/>
              <w:rPr>
                <w:rFonts w:eastAsia="標楷體"/>
                <w:kern w:val="0"/>
                <w:sz w:val="20"/>
                <w:szCs w:val="20"/>
              </w:rPr>
            </w:pPr>
            <w:r w:rsidRPr="006628B5">
              <w:rPr>
                <w:rFonts w:eastAsia="標楷體"/>
                <w:kern w:val="0"/>
                <w:sz w:val="20"/>
                <w:szCs w:val="20"/>
              </w:rPr>
              <w:t>Overall Score</w:t>
            </w:r>
          </w:p>
        </w:tc>
        <w:tc>
          <w:tcPr>
            <w:tcW w:w="949" w:type="pct"/>
            <w:tcBorders>
              <w:top w:val="single" w:sz="4" w:space="0" w:color="auto"/>
              <w:bottom w:val="single" w:sz="4" w:space="0" w:color="auto"/>
            </w:tcBorders>
            <w:shd w:val="clear" w:color="000000" w:fill="FFFFFF"/>
            <w:noWrap/>
            <w:vAlign w:val="center"/>
          </w:tcPr>
          <w:p w:rsidR="00A05D1F" w:rsidRPr="006628B5" w:rsidRDefault="00A05D1F" w:rsidP="00F32139">
            <w:pPr>
              <w:widowControl/>
              <w:adjustRightInd w:val="0"/>
              <w:snapToGrid w:val="0"/>
              <w:spacing w:line="240" w:lineRule="atLeast"/>
              <w:jc w:val="center"/>
              <w:rPr>
                <w:rFonts w:eastAsia="標楷體"/>
                <w:kern w:val="0"/>
                <w:sz w:val="20"/>
                <w:szCs w:val="20"/>
              </w:rPr>
            </w:pPr>
            <w:r w:rsidRPr="006628B5">
              <w:rPr>
                <w:rFonts w:eastAsia="標楷體"/>
                <w:sz w:val="20"/>
                <w:szCs w:val="20"/>
                <w:lang w:eastAsia="zh-TW"/>
              </w:rPr>
              <w:t xml:space="preserve">Before </w:t>
            </w:r>
            <w:r w:rsidR="00C32171" w:rsidRPr="006628B5">
              <w:rPr>
                <w:rFonts w:eastAsia="標楷體"/>
                <w:sz w:val="20"/>
                <w:szCs w:val="20"/>
                <w:lang w:eastAsia="zh-TW"/>
              </w:rPr>
              <w:t>R&amp;D Expenditures</w:t>
            </w:r>
            <w:r w:rsidRPr="006628B5">
              <w:rPr>
                <w:rFonts w:eastAsia="標楷體" w:hint="eastAsia"/>
                <w:sz w:val="20"/>
                <w:szCs w:val="20"/>
                <w:lang w:eastAsia="zh-TW"/>
              </w:rPr>
              <w:t xml:space="preserve"> </w:t>
            </w:r>
            <w:r w:rsidRPr="006628B5">
              <w:rPr>
                <w:rFonts w:eastAsia="標楷體"/>
                <w:sz w:val="20"/>
                <w:szCs w:val="20"/>
                <w:lang w:eastAsia="zh-TW"/>
              </w:rPr>
              <w:t>Input</w:t>
            </w:r>
          </w:p>
        </w:tc>
        <w:tc>
          <w:tcPr>
            <w:tcW w:w="948" w:type="pct"/>
            <w:tcBorders>
              <w:top w:val="single" w:sz="4" w:space="0" w:color="auto"/>
              <w:bottom w:val="single" w:sz="4" w:space="0" w:color="auto"/>
            </w:tcBorders>
            <w:shd w:val="clear" w:color="000000" w:fill="FFFFFF"/>
            <w:noWrap/>
            <w:vAlign w:val="center"/>
          </w:tcPr>
          <w:p w:rsidR="00A05D1F" w:rsidRPr="006628B5" w:rsidRDefault="00A05D1F" w:rsidP="00F32139">
            <w:pPr>
              <w:widowControl/>
              <w:adjustRightInd w:val="0"/>
              <w:snapToGrid w:val="0"/>
              <w:spacing w:line="240" w:lineRule="atLeast"/>
              <w:jc w:val="center"/>
              <w:rPr>
                <w:rFonts w:eastAsia="標楷體"/>
                <w:kern w:val="0"/>
                <w:sz w:val="20"/>
                <w:szCs w:val="20"/>
              </w:rPr>
            </w:pPr>
            <w:r w:rsidRPr="006628B5">
              <w:rPr>
                <w:rFonts w:eastAsia="標楷體"/>
                <w:sz w:val="20"/>
                <w:szCs w:val="20"/>
              </w:rPr>
              <w:t xml:space="preserve">After </w:t>
            </w:r>
            <w:r w:rsidR="00C32171" w:rsidRPr="006628B5">
              <w:rPr>
                <w:rFonts w:eastAsia="標楷體"/>
                <w:sz w:val="20"/>
                <w:szCs w:val="20"/>
              </w:rPr>
              <w:t>R &amp; D Expenditures</w:t>
            </w:r>
            <w:r w:rsidRPr="006628B5">
              <w:rPr>
                <w:rFonts w:eastAsia="標楷體"/>
                <w:sz w:val="20"/>
                <w:szCs w:val="20"/>
              </w:rPr>
              <w:t xml:space="preserve"> Input</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widowControl/>
              <w:jc w:val="left"/>
              <w:rPr>
                <w:rFonts w:eastAsia="標楷體"/>
                <w:sz w:val="24"/>
                <w:lang w:eastAsia="zh-TW"/>
              </w:rPr>
            </w:pPr>
            <w:bookmarkStart w:id="1" w:name="_Hlk420667103"/>
            <w:r w:rsidRPr="006628B5">
              <w:rPr>
                <w:rFonts w:eastAsia="標楷體" w:hint="eastAsia"/>
              </w:rPr>
              <w:t>Taiwan Semiconductor Manufacturing Co.,</w:t>
            </w:r>
          </w:p>
        </w:tc>
        <w:tc>
          <w:tcPr>
            <w:tcW w:w="949" w:type="pct"/>
            <w:tcBorders>
              <w:top w:val="single" w:sz="4" w:space="0" w:color="auto"/>
              <w:left w:val="nil"/>
              <w:bottom w:val="nil"/>
              <w:right w:val="nil"/>
            </w:tcBorders>
            <w:shd w:val="clear" w:color="auto" w:fill="auto"/>
            <w:noWrap/>
            <w:vAlign w:val="bottom"/>
          </w:tcPr>
          <w:p w:rsidR="00A05D1F" w:rsidRPr="006628B5" w:rsidRDefault="00A05D1F" w:rsidP="002E18C1">
            <w:pPr>
              <w:widowControl/>
              <w:jc w:val="center"/>
              <w:rPr>
                <w:rFonts w:eastAsia="新細明體"/>
                <w:sz w:val="22"/>
                <w:szCs w:val="22"/>
                <w:lang w:eastAsia="zh-TW"/>
              </w:rPr>
            </w:pPr>
            <w:r w:rsidRPr="006628B5">
              <w:rPr>
                <w:rFonts w:hint="eastAsia"/>
                <w:sz w:val="22"/>
                <w:szCs w:val="22"/>
              </w:rPr>
              <w:t>1.000</w:t>
            </w:r>
          </w:p>
        </w:tc>
        <w:tc>
          <w:tcPr>
            <w:tcW w:w="949" w:type="pct"/>
            <w:tcBorders>
              <w:top w:val="single" w:sz="4" w:space="0" w:color="auto"/>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single" w:sz="4" w:space="0" w:color="auto"/>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Hon Hai Precision Ind. Co., Ltd.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0.577</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0.553</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0.831</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Mediatek Inc.</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United Microelectronics Corp.</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0.301</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0.284</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0.460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Largan Precision Co., Ltd.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Quanta Computer Inc.</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0.984</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0.983</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Taiwan Mobile Co., Ltd.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Silergy Corp.</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Realtek Semiconductor Corporation</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0.630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0.619</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0.814</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Novatek Microelectronics Corp.</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Accton Technology Corp.</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Pegatron Corporation</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Far EasTone Telecommunications Co., Ltd.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Win Semiconductors Corp.</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0.562</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0.659</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0.343</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Unimicron Technology Corp.</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0.311</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0.316</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0.417</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Vanguard International Semiconductor Co.</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0.950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0.960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0.930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Sino-American Silicon Products Inc.</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0.747</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0.798</w:t>
            </w:r>
          </w:p>
        </w:tc>
        <w:tc>
          <w:tcPr>
            <w:tcW w:w="948" w:type="pct"/>
            <w:tcBorders>
              <w:top w:val="nil"/>
              <w:left w:val="nil"/>
              <w:bottom w:val="nil"/>
              <w:right w:val="nil"/>
            </w:tcBorders>
            <w:shd w:val="clear" w:color="auto" w:fill="auto"/>
            <w:noWrap/>
            <w:vAlign w:val="bottom"/>
          </w:tcPr>
          <w:p w:rsidR="00A05D1F" w:rsidRPr="006628B5" w:rsidRDefault="004753C9" w:rsidP="002E18C1">
            <w:pPr>
              <w:jc w:val="center"/>
              <w:rPr>
                <w:sz w:val="22"/>
                <w:szCs w:val="22"/>
              </w:rPr>
            </w:pPr>
            <w:r w:rsidRPr="006628B5">
              <w:rPr>
                <w:rFonts w:hint="eastAsia"/>
                <w:sz w:val="22"/>
                <w:szCs w:val="22"/>
              </w:rPr>
              <w:t>0.643</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Compal Electronics, Inc.</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Wistron Corporation</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Walsin Technology Corporation</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Inventec Corporation</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0.909</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0.903</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0.999</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Powertech Technology Inc.</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0.923</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0.923</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Chroma Ate Inc.</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0.457</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0.459</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0.480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Zhen Ding Technology Holding Limited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0.371</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0.399</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0.313</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WPG Holdings Limited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Tripod Technology Corporation</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Compeq Manufacturing Co., Ltd.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bottom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Elite Material Co., Ltd.</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r w:rsidR="006628B5" w:rsidRPr="006628B5" w:rsidTr="002E18C1">
        <w:trPr>
          <w:trHeight w:val="315"/>
        </w:trPr>
        <w:tc>
          <w:tcPr>
            <w:tcW w:w="2154" w:type="pct"/>
            <w:tcBorders>
              <w:top w:val="nil"/>
              <w:left w:val="nil"/>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Chipbond Technology Corporation</w:t>
            </w:r>
          </w:p>
        </w:tc>
        <w:tc>
          <w:tcPr>
            <w:tcW w:w="949" w:type="pct"/>
            <w:tcBorders>
              <w:top w:val="nil"/>
              <w:left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0.608</w:t>
            </w:r>
          </w:p>
        </w:tc>
        <w:tc>
          <w:tcPr>
            <w:tcW w:w="949"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0.716</w:t>
            </w:r>
          </w:p>
        </w:tc>
        <w:tc>
          <w:tcPr>
            <w:tcW w:w="948" w:type="pct"/>
            <w:tcBorders>
              <w:top w:val="nil"/>
              <w:left w:val="nil"/>
              <w:bottom w:val="nil"/>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0.420</w:t>
            </w:r>
          </w:p>
        </w:tc>
      </w:tr>
      <w:tr w:rsidR="006628B5" w:rsidRPr="006628B5" w:rsidTr="002E18C1">
        <w:trPr>
          <w:trHeight w:val="315"/>
        </w:trPr>
        <w:tc>
          <w:tcPr>
            <w:tcW w:w="2154" w:type="pct"/>
            <w:tcBorders>
              <w:top w:val="nil"/>
              <w:left w:val="nil"/>
              <w:bottom w:val="single" w:sz="4" w:space="0" w:color="auto"/>
              <w:right w:val="nil"/>
            </w:tcBorders>
            <w:shd w:val="clear" w:color="auto" w:fill="auto"/>
            <w:noWrap/>
            <w:vAlign w:val="center"/>
          </w:tcPr>
          <w:p w:rsidR="00A05D1F" w:rsidRPr="006628B5" w:rsidRDefault="00A05D1F" w:rsidP="002E18C1">
            <w:pPr>
              <w:rPr>
                <w:rFonts w:eastAsia="標楷體"/>
              </w:rPr>
            </w:pPr>
            <w:r w:rsidRPr="006628B5">
              <w:rPr>
                <w:rFonts w:eastAsia="標楷體" w:hint="eastAsia"/>
              </w:rPr>
              <w:t>Genius Electronic Optical Co., Ltd.</w:t>
            </w:r>
          </w:p>
        </w:tc>
        <w:tc>
          <w:tcPr>
            <w:tcW w:w="949" w:type="pct"/>
            <w:tcBorders>
              <w:top w:val="nil"/>
              <w:left w:val="nil"/>
              <w:bottom w:val="single" w:sz="4" w:space="0" w:color="auto"/>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9" w:type="pct"/>
            <w:tcBorders>
              <w:top w:val="nil"/>
              <w:left w:val="nil"/>
              <w:bottom w:val="single" w:sz="4" w:space="0" w:color="auto"/>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c>
          <w:tcPr>
            <w:tcW w:w="948" w:type="pct"/>
            <w:tcBorders>
              <w:top w:val="nil"/>
              <w:left w:val="nil"/>
              <w:bottom w:val="single" w:sz="4" w:space="0" w:color="auto"/>
              <w:right w:val="nil"/>
            </w:tcBorders>
            <w:shd w:val="clear" w:color="auto" w:fill="auto"/>
            <w:noWrap/>
            <w:vAlign w:val="bottom"/>
          </w:tcPr>
          <w:p w:rsidR="00A05D1F" w:rsidRPr="006628B5" w:rsidRDefault="00A05D1F" w:rsidP="002E18C1">
            <w:pPr>
              <w:jc w:val="center"/>
              <w:rPr>
                <w:sz w:val="22"/>
                <w:szCs w:val="22"/>
              </w:rPr>
            </w:pPr>
            <w:r w:rsidRPr="006628B5">
              <w:rPr>
                <w:rFonts w:hint="eastAsia"/>
                <w:sz w:val="22"/>
                <w:szCs w:val="22"/>
              </w:rPr>
              <w:t>1.000</w:t>
            </w:r>
          </w:p>
        </w:tc>
      </w:tr>
    </w:tbl>
    <w:bookmarkEnd w:id="1"/>
    <w:p w:rsidR="00A05D1F" w:rsidRPr="006628B5" w:rsidRDefault="00A05D1F" w:rsidP="00A05D1F">
      <w:pPr>
        <w:spacing w:afterLines="50" w:after="180" w:line="240" w:lineRule="exact"/>
        <w:rPr>
          <w:rFonts w:eastAsia="標楷體"/>
          <w:sz w:val="20"/>
          <w:szCs w:val="20"/>
        </w:rPr>
      </w:pPr>
      <w:r w:rsidRPr="006628B5">
        <w:rPr>
          <w:rFonts w:eastAsia="標楷體"/>
          <w:i/>
          <w:iCs/>
          <w:sz w:val="20"/>
          <w:szCs w:val="20"/>
          <w:lang w:val="en-GB"/>
        </w:rPr>
        <w:t>Note.</w:t>
      </w:r>
      <w:r w:rsidRPr="006628B5">
        <w:rPr>
          <w:rFonts w:eastAsia="標楷體"/>
          <w:sz w:val="20"/>
          <w:szCs w:val="20"/>
          <w:lang w:val="en-GB"/>
        </w:rPr>
        <w:t xml:space="preserve"> </w:t>
      </w:r>
      <w:r w:rsidRPr="006628B5">
        <w:rPr>
          <w:rFonts w:eastAsia="標楷體"/>
          <w:sz w:val="20"/>
          <w:szCs w:val="20"/>
          <w:lang w:eastAsia="zh-TW"/>
        </w:rPr>
        <w:t xml:space="preserve">Before </w:t>
      </w:r>
      <w:r w:rsidR="00C32171" w:rsidRPr="006628B5">
        <w:rPr>
          <w:rFonts w:eastAsia="標楷體"/>
          <w:sz w:val="20"/>
          <w:szCs w:val="20"/>
          <w:lang w:eastAsia="zh-TW"/>
        </w:rPr>
        <w:t>R&amp;D Expenditures</w:t>
      </w:r>
      <w:r w:rsidRPr="006628B5">
        <w:rPr>
          <w:rFonts w:eastAsia="標楷體"/>
          <w:sz w:val="20"/>
          <w:szCs w:val="20"/>
          <w:lang w:eastAsia="zh-TW"/>
        </w:rPr>
        <w:t xml:space="preserve"> </w:t>
      </w:r>
      <w:r w:rsidR="006628B5" w:rsidRPr="006628B5">
        <w:rPr>
          <w:rFonts w:eastAsia="標楷體"/>
          <w:sz w:val="20"/>
          <w:szCs w:val="20"/>
          <w:lang w:eastAsia="zh-TW"/>
        </w:rPr>
        <w:t xml:space="preserve">as </w:t>
      </w:r>
      <w:r w:rsidRPr="006628B5">
        <w:rPr>
          <w:rFonts w:eastAsia="標楷體"/>
          <w:sz w:val="20"/>
          <w:szCs w:val="20"/>
          <w:lang w:eastAsia="zh-TW"/>
        </w:rPr>
        <w:t>Input</w:t>
      </w:r>
      <w:r w:rsidR="006628B5" w:rsidRPr="006628B5">
        <w:rPr>
          <w:rFonts w:eastAsia="標楷體"/>
          <w:sz w:val="20"/>
          <w:szCs w:val="20"/>
          <w:lang w:eastAsia="zh-TW"/>
        </w:rPr>
        <w:t>s</w:t>
      </w:r>
      <w:r w:rsidRPr="006628B5">
        <w:rPr>
          <w:rFonts w:eastAsia="標楷體"/>
          <w:sz w:val="20"/>
          <w:szCs w:val="20"/>
        </w:rPr>
        <w:t>:20</w:t>
      </w:r>
      <w:r w:rsidRPr="006628B5">
        <w:rPr>
          <w:rFonts w:eastAsia="標楷體" w:hint="eastAsia"/>
          <w:sz w:val="20"/>
          <w:szCs w:val="20"/>
          <w:lang w:eastAsia="zh-TW"/>
        </w:rPr>
        <w:t>1801</w:t>
      </w:r>
      <w:r w:rsidRPr="006628B5">
        <w:rPr>
          <w:rFonts w:eastAsia="標楷體"/>
          <w:sz w:val="20"/>
          <w:szCs w:val="20"/>
        </w:rPr>
        <w:t>-20</w:t>
      </w:r>
      <w:r w:rsidRPr="006628B5">
        <w:rPr>
          <w:rFonts w:eastAsia="標楷體" w:hint="eastAsia"/>
          <w:sz w:val="20"/>
          <w:szCs w:val="20"/>
          <w:lang w:eastAsia="zh-TW"/>
        </w:rPr>
        <w:t>2002</w:t>
      </w:r>
      <w:r w:rsidRPr="006628B5">
        <w:rPr>
          <w:rFonts w:eastAsia="標楷體"/>
          <w:sz w:val="20"/>
          <w:szCs w:val="20"/>
        </w:rPr>
        <w:t>,</w:t>
      </w:r>
      <w:r w:rsidRPr="006628B5">
        <w:rPr>
          <w:rFonts w:eastAsia="標楷體" w:hint="eastAsia"/>
          <w:kern w:val="0"/>
          <w:sz w:val="20"/>
          <w:szCs w:val="20"/>
        </w:rPr>
        <w:t xml:space="preserve"> </w:t>
      </w:r>
      <w:r w:rsidRPr="006628B5">
        <w:rPr>
          <w:rFonts w:eastAsia="標楷體"/>
          <w:sz w:val="20"/>
          <w:szCs w:val="20"/>
        </w:rPr>
        <w:t xml:space="preserve">After </w:t>
      </w:r>
      <w:r w:rsidR="00C32171" w:rsidRPr="006628B5">
        <w:rPr>
          <w:rFonts w:eastAsia="標楷體"/>
          <w:sz w:val="20"/>
          <w:szCs w:val="20"/>
        </w:rPr>
        <w:t>R&amp;D Expenditures</w:t>
      </w:r>
      <w:r w:rsidRPr="006628B5">
        <w:rPr>
          <w:rFonts w:eastAsia="標楷體"/>
          <w:sz w:val="20"/>
          <w:szCs w:val="20"/>
        </w:rPr>
        <w:t xml:space="preserve"> </w:t>
      </w:r>
      <w:r w:rsidR="006628B5" w:rsidRPr="006628B5">
        <w:rPr>
          <w:rFonts w:eastAsia="標楷體"/>
          <w:sz w:val="20"/>
          <w:szCs w:val="20"/>
        </w:rPr>
        <w:t xml:space="preserve">as </w:t>
      </w:r>
      <w:r w:rsidRPr="006628B5">
        <w:rPr>
          <w:rFonts w:eastAsia="標楷體"/>
          <w:sz w:val="20"/>
          <w:szCs w:val="20"/>
        </w:rPr>
        <w:t>Input</w:t>
      </w:r>
      <w:r w:rsidR="006628B5" w:rsidRPr="006628B5">
        <w:rPr>
          <w:rFonts w:eastAsia="標楷體"/>
          <w:sz w:val="20"/>
          <w:szCs w:val="20"/>
        </w:rPr>
        <w:t>s</w:t>
      </w:r>
      <w:r w:rsidRPr="006628B5">
        <w:rPr>
          <w:rFonts w:eastAsia="標楷體"/>
          <w:kern w:val="0"/>
          <w:sz w:val="20"/>
          <w:szCs w:val="20"/>
        </w:rPr>
        <w:t>:20</w:t>
      </w:r>
      <w:r w:rsidRPr="006628B5">
        <w:rPr>
          <w:rFonts w:eastAsia="標楷體" w:hint="eastAsia"/>
          <w:kern w:val="0"/>
          <w:sz w:val="20"/>
          <w:szCs w:val="20"/>
          <w:lang w:eastAsia="zh-TW"/>
        </w:rPr>
        <w:t>2003</w:t>
      </w:r>
      <w:r w:rsidRPr="006628B5">
        <w:rPr>
          <w:rFonts w:eastAsia="標楷體"/>
          <w:kern w:val="0"/>
          <w:sz w:val="20"/>
          <w:szCs w:val="20"/>
        </w:rPr>
        <w:t>-20</w:t>
      </w:r>
      <w:r w:rsidRPr="006628B5">
        <w:rPr>
          <w:rFonts w:eastAsia="標楷體" w:hint="eastAsia"/>
          <w:kern w:val="0"/>
          <w:sz w:val="20"/>
          <w:szCs w:val="20"/>
          <w:lang w:eastAsia="zh-TW"/>
        </w:rPr>
        <w:t>2004</w:t>
      </w:r>
      <w:r w:rsidRPr="006628B5">
        <w:rPr>
          <w:rFonts w:eastAsia="標楷體"/>
          <w:sz w:val="20"/>
          <w:szCs w:val="20"/>
        </w:rPr>
        <w:t>.</w:t>
      </w:r>
    </w:p>
    <w:p w:rsidR="00604617" w:rsidRDefault="00604617">
      <w:pPr>
        <w:widowControl/>
        <w:jc w:val="left"/>
        <w:rPr>
          <w:rFonts w:eastAsia="標楷體"/>
          <w:sz w:val="20"/>
          <w:szCs w:val="20"/>
        </w:rPr>
      </w:pPr>
      <w:r>
        <w:rPr>
          <w:rFonts w:eastAsia="標楷體"/>
          <w:sz w:val="20"/>
          <w:szCs w:val="20"/>
        </w:rPr>
        <w:br w:type="page"/>
      </w:r>
    </w:p>
    <w:p w:rsidR="00A05D1F" w:rsidRPr="00C236D3" w:rsidRDefault="00A05D1F" w:rsidP="00A05D1F">
      <w:pPr>
        <w:adjustRightInd w:val="0"/>
        <w:snapToGrid w:val="0"/>
        <w:jc w:val="left"/>
        <w:rPr>
          <w:rFonts w:eastAsia="標楷體"/>
          <w:sz w:val="20"/>
          <w:szCs w:val="20"/>
        </w:rPr>
      </w:pPr>
      <w:r w:rsidRPr="00C236D3">
        <w:rPr>
          <w:rFonts w:eastAsia="標楷體"/>
          <w:sz w:val="20"/>
          <w:szCs w:val="20"/>
        </w:rPr>
        <w:t xml:space="preserve">Table </w:t>
      </w:r>
      <w:r>
        <w:rPr>
          <w:rFonts w:eastAsia="標楷體"/>
          <w:sz w:val="20"/>
          <w:szCs w:val="20"/>
        </w:rPr>
        <w:t>4</w:t>
      </w:r>
      <w:r w:rsidRPr="00C236D3">
        <w:rPr>
          <w:rFonts w:eastAsia="標楷體"/>
          <w:sz w:val="20"/>
          <w:szCs w:val="20"/>
        </w:rPr>
        <w:t xml:space="preserve"> </w:t>
      </w:r>
      <w:r w:rsidR="00F74C7F">
        <w:rPr>
          <w:rFonts w:eastAsia="標楷體" w:hint="eastAsia"/>
          <w:sz w:val="20"/>
          <w:szCs w:val="20"/>
          <w:lang w:eastAsia="zh-TW"/>
        </w:rPr>
        <w:t>5</w:t>
      </w:r>
      <w:r w:rsidR="00F74C7F">
        <w:rPr>
          <w:rFonts w:eastAsia="標楷體"/>
          <w:sz w:val="20"/>
          <w:szCs w:val="20"/>
          <w:lang w:eastAsia="zh-TW"/>
        </w:rPr>
        <w:t>G</w:t>
      </w:r>
      <w:r w:rsidR="00F74C7F">
        <w:rPr>
          <w:rFonts w:eastAsia="標楷體"/>
          <w:sz w:val="20"/>
          <w:szCs w:val="20"/>
        </w:rPr>
        <w:t xml:space="preserve"> C</w:t>
      </w:r>
      <w:r w:rsidR="00F74C7F" w:rsidRPr="00C236D3">
        <w:rPr>
          <w:rFonts w:eastAsia="標楷體"/>
          <w:sz w:val="20"/>
          <w:szCs w:val="20"/>
        </w:rPr>
        <w:t>ompanies</w:t>
      </w:r>
      <w:r w:rsidR="00F74C7F">
        <w:rPr>
          <w:rFonts w:eastAsia="標楷體"/>
          <w:sz w:val="20"/>
          <w:szCs w:val="20"/>
        </w:rPr>
        <w:t>’</w:t>
      </w:r>
      <w:r w:rsidR="00F74C7F" w:rsidRPr="00C236D3">
        <w:rPr>
          <w:rFonts w:eastAsia="標楷體"/>
          <w:sz w:val="20"/>
          <w:szCs w:val="20"/>
        </w:rPr>
        <w:t xml:space="preserve"> </w:t>
      </w:r>
      <w:r w:rsidRPr="00C236D3">
        <w:rPr>
          <w:rFonts w:eastAsia="標楷體"/>
          <w:sz w:val="20"/>
          <w:szCs w:val="20"/>
        </w:rPr>
        <w:t xml:space="preserve">Characteristics and </w:t>
      </w:r>
      <w:r w:rsidRPr="006628B5">
        <w:rPr>
          <w:rFonts w:eastAsia="標楷體"/>
          <w:sz w:val="20"/>
          <w:szCs w:val="20"/>
        </w:rPr>
        <w:t>Relative Efficiency</w:t>
      </w:r>
      <w:r w:rsidRPr="00735454">
        <w:rPr>
          <w:rFonts w:eastAsia="標楷體"/>
          <w:color w:val="0070C0"/>
          <w:sz w:val="20"/>
          <w:szCs w:val="20"/>
        </w:rPr>
        <w:t xml:space="preserve"> </w:t>
      </w:r>
      <w:r w:rsidR="00F74C7F">
        <w:rPr>
          <w:rFonts w:eastAsia="標楷體"/>
          <w:sz w:val="20"/>
          <w:szCs w:val="20"/>
        </w:rPr>
        <w:t>Values</w:t>
      </w:r>
    </w:p>
    <w:tbl>
      <w:tblPr>
        <w:tblStyle w:val="af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369"/>
        <w:gridCol w:w="1411"/>
        <w:gridCol w:w="1413"/>
        <w:gridCol w:w="146"/>
        <w:gridCol w:w="648"/>
        <w:gridCol w:w="1858"/>
        <w:gridCol w:w="1704"/>
      </w:tblGrid>
      <w:tr w:rsidR="00A05D1F" w:rsidRPr="00C236D3" w:rsidTr="002E18C1">
        <w:tc>
          <w:tcPr>
            <w:tcW w:w="565" w:type="pct"/>
            <w:vMerge w:val="restart"/>
            <w:vAlign w:val="bottom"/>
          </w:tcPr>
          <w:p w:rsidR="00A05D1F" w:rsidRPr="00C236D3" w:rsidRDefault="00A05D1F" w:rsidP="002E18C1">
            <w:pPr>
              <w:adjustRightInd w:val="0"/>
              <w:snapToGrid w:val="0"/>
              <w:jc w:val="center"/>
              <w:rPr>
                <w:rFonts w:eastAsia="標楷體"/>
                <w:sz w:val="20"/>
                <w:szCs w:val="20"/>
                <w:lang w:eastAsia="zh-TW"/>
              </w:rPr>
            </w:pPr>
            <w:r>
              <w:rPr>
                <w:rFonts w:eastAsia="標楷體"/>
                <w:sz w:val="20"/>
                <w:szCs w:val="20"/>
                <w:lang w:eastAsia="zh-TW"/>
              </w:rPr>
              <w:t>Term</w:t>
            </w:r>
          </w:p>
        </w:tc>
        <w:tc>
          <w:tcPr>
            <w:tcW w:w="710" w:type="pct"/>
            <w:vMerge w:val="restart"/>
            <w:vAlign w:val="bottom"/>
          </w:tcPr>
          <w:p w:rsidR="00A05D1F" w:rsidRPr="00C236D3" w:rsidRDefault="00A05D1F" w:rsidP="002E18C1">
            <w:pPr>
              <w:adjustRightInd w:val="0"/>
              <w:snapToGrid w:val="0"/>
              <w:jc w:val="center"/>
              <w:rPr>
                <w:rFonts w:eastAsia="標楷體"/>
                <w:sz w:val="20"/>
                <w:szCs w:val="20"/>
                <w:lang w:eastAsia="zh-TW"/>
              </w:rPr>
            </w:pPr>
            <w:r>
              <w:rPr>
                <w:rFonts w:eastAsia="標楷體"/>
                <w:sz w:val="20"/>
                <w:szCs w:val="20"/>
                <w:lang w:eastAsia="zh-TW"/>
              </w:rPr>
              <w:t>No.</w:t>
            </w:r>
          </w:p>
        </w:tc>
        <w:tc>
          <w:tcPr>
            <w:tcW w:w="1465" w:type="pct"/>
            <w:gridSpan w:val="2"/>
            <w:tcBorders>
              <w:top w:val="single" w:sz="4" w:space="0" w:color="auto"/>
              <w:bottom w:val="nil"/>
            </w:tcBorders>
          </w:tcPr>
          <w:p w:rsidR="00A05D1F" w:rsidRPr="005722BA" w:rsidRDefault="00A05D1F" w:rsidP="002E18C1">
            <w:pPr>
              <w:adjustRightInd w:val="0"/>
              <w:snapToGrid w:val="0"/>
              <w:jc w:val="center"/>
              <w:rPr>
                <w:rFonts w:eastAsiaTheme="minorEastAsia"/>
                <w:sz w:val="20"/>
                <w:szCs w:val="20"/>
                <w:lang w:eastAsia="zh-TW"/>
              </w:rPr>
            </w:pPr>
          </w:p>
        </w:tc>
        <w:tc>
          <w:tcPr>
            <w:tcW w:w="412" w:type="pct"/>
            <w:gridSpan w:val="2"/>
            <w:tcBorders>
              <w:top w:val="single" w:sz="4" w:space="0" w:color="auto"/>
              <w:bottom w:val="nil"/>
            </w:tcBorders>
          </w:tcPr>
          <w:p w:rsidR="00A05D1F" w:rsidRPr="005722BA" w:rsidRDefault="00A05D1F" w:rsidP="002E18C1">
            <w:pPr>
              <w:adjustRightInd w:val="0"/>
              <w:snapToGrid w:val="0"/>
              <w:jc w:val="center"/>
              <w:rPr>
                <w:sz w:val="20"/>
                <w:szCs w:val="20"/>
              </w:rPr>
            </w:pPr>
          </w:p>
        </w:tc>
        <w:tc>
          <w:tcPr>
            <w:tcW w:w="1848" w:type="pct"/>
            <w:gridSpan w:val="2"/>
            <w:tcBorders>
              <w:top w:val="single" w:sz="4" w:space="0" w:color="auto"/>
              <w:bottom w:val="nil"/>
            </w:tcBorders>
          </w:tcPr>
          <w:p w:rsidR="00A05D1F" w:rsidRPr="005722BA" w:rsidRDefault="00A05D1F" w:rsidP="002E18C1">
            <w:pPr>
              <w:adjustRightInd w:val="0"/>
              <w:snapToGrid w:val="0"/>
              <w:jc w:val="center"/>
              <w:rPr>
                <w:sz w:val="20"/>
                <w:szCs w:val="20"/>
              </w:rPr>
            </w:pPr>
          </w:p>
        </w:tc>
      </w:tr>
      <w:tr w:rsidR="00A05D1F" w:rsidRPr="00C236D3" w:rsidTr="002E18C1">
        <w:tc>
          <w:tcPr>
            <w:tcW w:w="565" w:type="pct"/>
            <w:vMerge/>
          </w:tcPr>
          <w:p w:rsidR="00A05D1F" w:rsidRPr="00C236D3" w:rsidRDefault="00A05D1F" w:rsidP="002E18C1">
            <w:pPr>
              <w:adjustRightInd w:val="0"/>
              <w:snapToGrid w:val="0"/>
              <w:jc w:val="center"/>
              <w:rPr>
                <w:rFonts w:eastAsia="標楷體"/>
                <w:sz w:val="20"/>
                <w:szCs w:val="20"/>
              </w:rPr>
            </w:pPr>
          </w:p>
        </w:tc>
        <w:tc>
          <w:tcPr>
            <w:tcW w:w="710" w:type="pct"/>
            <w:vMerge/>
          </w:tcPr>
          <w:p w:rsidR="00A05D1F" w:rsidRPr="00C236D3" w:rsidRDefault="00A05D1F" w:rsidP="002E18C1">
            <w:pPr>
              <w:adjustRightInd w:val="0"/>
              <w:snapToGrid w:val="0"/>
              <w:jc w:val="center"/>
              <w:rPr>
                <w:rFonts w:eastAsia="標楷體"/>
                <w:sz w:val="20"/>
                <w:szCs w:val="20"/>
              </w:rPr>
            </w:pPr>
          </w:p>
        </w:tc>
        <w:tc>
          <w:tcPr>
            <w:tcW w:w="732" w:type="pct"/>
            <w:tcBorders>
              <w:top w:val="single" w:sz="4" w:space="0" w:color="auto"/>
              <w:bottom w:val="single" w:sz="4" w:space="0" w:color="auto"/>
            </w:tcBorders>
          </w:tcPr>
          <w:p w:rsidR="00A05D1F" w:rsidRPr="00494C05" w:rsidRDefault="00A05D1F" w:rsidP="002E18C1">
            <w:pPr>
              <w:adjustRightInd w:val="0"/>
              <w:snapToGrid w:val="0"/>
              <w:jc w:val="center"/>
              <w:rPr>
                <w:rFonts w:eastAsia="標楷體"/>
                <w:sz w:val="20"/>
                <w:szCs w:val="20"/>
              </w:rPr>
            </w:pPr>
            <w:r w:rsidRPr="004969D2">
              <w:rPr>
                <w:rFonts w:eastAsia="標楷體"/>
                <w:sz w:val="20"/>
                <w:szCs w:val="20"/>
              </w:rPr>
              <w:t>Key chip</w:t>
            </w:r>
          </w:p>
        </w:tc>
        <w:tc>
          <w:tcPr>
            <w:tcW w:w="809" w:type="pct"/>
            <w:gridSpan w:val="2"/>
            <w:tcBorders>
              <w:top w:val="single" w:sz="4" w:space="0" w:color="auto"/>
              <w:bottom w:val="single" w:sz="4" w:space="0" w:color="auto"/>
            </w:tcBorders>
          </w:tcPr>
          <w:p w:rsidR="00A05D1F" w:rsidRPr="00494C05" w:rsidRDefault="00A05D1F" w:rsidP="002E18C1">
            <w:pPr>
              <w:adjustRightInd w:val="0"/>
              <w:snapToGrid w:val="0"/>
              <w:jc w:val="center"/>
              <w:rPr>
                <w:rFonts w:eastAsia="標楷體"/>
                <w:sz w:val="20"/>
                <w:szCs w:val="20"/>
              </w:rPr>
            </w:pPr>
            <w:r w:rsidRPr="004969D2">
              <w:rPr>
                <w:rFonts w:eastAsia="標楷體"/>
                <w:sz w:val="20"/>
                <w:szCs w:val="20"/>
              </w:rPr>
              <w:t>Design, manufacture and assembly</w:t>
            </w:r>
          </w:p>
        </w:tc>
        <w:tc>
          <w:tcPr>
            <w:tcW w:w="336" w:type="pct"/>
            <w:tcBorders>
              <w:top w:val="single" w:sz="4" w:space="0" w:color="auto"/>
              <w:bottom w:val="single" w:sz="4" w:space="0" w:color="auto"/>
            </w:tcBorders>
          </w:tcPr>
          <w:p w:rsidR="00A05D1F" w:rsidRPr="00494C05" w:rsidRDefault="00A05D1F" w:rsidP="002E18C1">
            <w:pPr>
              <w:adjustRightInd w:val="0"/>
              <w:snapToGrid w:val="0"/>
              <w:jc w:val="center"/>
              <w:rPr>
                <w:rFonts w:eastAsia="標楷體"/>
                <w:sz w:val="20"/>
                <w:szCs w:val="20"/>
              </w:rPr>
            </w:pPr>
          </w:p>
        </w:tc>
        <w:tc>
          <w:tcPr>
            <w:tcW w:w="964" w:type="pct"/>
            <w:tcBorders>
              <w:top w:val="single" w:sz="4" w:space="0" w:color="auto"/>
              <w:bottom w:val="single" w:sz="4" w:space="0" w:color="auto"/>
            </w:tcBorders>
          </w:tcPr>
          <w:p w:rsidR="00A05D1F" w:rsidRPr="00494C05" w:rsidRDefault="00A05D1F" w:rsidP="002E18C1">
            <w:pPr>
              <w:adjustRightInd w:val="0"/>
              <w:snapToGrid w:val="0"/>
              <w:jc w:val="center"/>
              <w:rPr>
                <w:rFonts w:eastAsia="標楷體"/>
                <w:sz w:val="20"/>
                <w:szCs w:val="20"/>
              </w:rPr>
            </w:pPr>
            <w:r w:rsidRPr="004969D2">
              <w:rPr>
                <w:rFonts w:eastAsia="標楷體"/>
                <w:sz w:val="20"/>
                <w:szCs w:val="20"/>
              </w:rPr>
              <w:t>Brand terminal</w:t>
            </w:r>
          </w:p>
        </w:tc>
        <w:tc>
          <w:tcPr>
            <w:tcW w:w="884" w:type="pct"/>
            <w:tcBorders>
              <w:top w:val="single" w:sz="4" w:space="0" w:color="auto"/>
              <w:bottom w:val="single" w:sz="4" w:space="0" w:color="auto"/>
            </w:tcBorders>
          </w:tcPr>
          <w:p w:rsidR="00A05D1F" w:rsidRPr="00494C05" w:rsidRDefault="00A05D1F" w:rsidP="002E18C1">
            <w:pPr>
              <w:adjustRightInd w:val="0"/>
              <w:snapToGrid w:val="0"/>
              <w:jc w:val="center"/>
              <w:rPr>
                <w:rFonts w:eastAsia="標楷體"/>
                <w:sz w:val="20"/>
                <w:szCs w:val="20"/>
              </w:rPr>
            </w:pPr>
            <w:r w:rsidRPr="004969D2">
              <w:rPr>
                <w:rFonts w:eastAsia="標楷體"/>
                <w:sz w:val="20"/>
                <w:szCs w:val="20"/>
              </w:rPr>
              <w:t>Downstream</w:t>
            </w:r>
          </w:p>
        </w:tc>
      </w:tr>
      <w:tr w:rsidR="00A05D1F" w:rsidRPr="00C236D3" w:rsidTr="002E18C1">
        <w:tc>
          <w:tcPr>
            <w:tcW w:w="565" w:type="pct"/>
            <w:vMerge/>
            <w:tcBorders>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710" w:type="pct"/>
            <w:vMerge/>
            <w:tcBorders>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732" w:type="pct"/>
            <w:tcBorders>
              <w:top w:val="single" w:sz="4" w:space="0" w:color="auto"/>
              <w:bottom w:val="single" w:sz="4" w:space="0" w:color="auto"/>
            </w:tcBorders>
          </w:tcPr>
          <w:p w:rsidR="00A05D1F" w:rsidRPr="005722BA" w:rsidRDefault="00A05D1F" w:rsidP="002E18C1">
            <w:pPr>
              <w:adjustRightInd w:val="0"/>
              <w:snapToGrid w:val="0"/>
              <w:jc w:val="center"/>
              <w:rPr>
                <w:rFonts w:eastAsiaTheme="minorEastAsia"/>
                <w:sz w:val="20"/>
                <w:szCs w:val="20"/>
                <w:lang w:eastAsia="zh-TW"/>
              </w:rPr>
            </w:pPr>
            <w:r>
              <w:rPr>
                <w:rFonts w:eastAsiaTheme="minorEastAsia" w:hint="eastAsia"/>
                <w:sz w:val="20"/>
                <w:szCs w:val="20"/>
                <w:lang w:eastAsia="zh-TW"/>
              </w:rPr>
              <w:t>4</w:t>
            </w:r>
          </w:p>
        </w:tc>
        <w:tc>
          <w:tcPr>
            <w:tcW w:w="733" w:type="pct"/>
            <w:tcBorders>
              <w:top w:val="single" w:sz="4" w:space="0" w:color="auto"/>
              <w:bottom w:val="single" w:sz="4" w:space="0" w:color="auto"/>
            </w:tcBorders>
          </w:tcPr>
          <w:p w:rsidR="00A05D1F" w:rsidRPr="005722BA" w:rsidRDefault="00A05D1F" w:rsidP="002E18C1">
            <w:pPr>
              <w:adjustRightInd w:val="0"/>
              <w:snapToGrid w:val="0"/>
              <w:jc w:val="center"/>
              <w:rPr>
                <w:rFonts w:eastAsiaTheme="minorEastAsia"/>
                <w:sz w:val="20"/>
                <w:szCs w:val="20"/>
                <w:lang w:eastAsia="zh-TW"/>
              </w:rPr>
            </w:pPr>
            <w:r>
              <w:rPr>
                <w:rFonts w:eastAsiaTheme="minorEastAsia" w:hint="eastAsia"/>
                <w:sz w:val="20"/>
                <w:szCs w:val="20"/>
                <w:lang w:eastAsia="zh-TW"/>
              </w:rPr>
              <w:t>1</w:t>
            </w:r>
            <w:r>
              <w:rPr>
                <w:rFonts w:eastAsiaTheme="minorEastAsia"/>
                <w:sz w:val="20"/>
                <w:szCs w:val="20"/>
                <w:lang w:eastAsia="zh-TW"/>
              </w:rPr>
              <w:t>9</w:t>
            </w:r>
          </w:p>
        </w:tc>
        <w:tc>
          <w:tcPr>
            <w:tcW w:w="412" w:type="pct"/>
            <w:gridSpan w:val="2"/>
            <w:tcBorders>
              <w:top w:val="single" w:sz="4" w:space="0" w:color="auto"/>
              <w:bottom w:val="single" w:sz="4" w:space="0" w:color="auto"/>
            </w:tcBorders>
          </w:tcPr>
          <w:p w:rsidR="00A05D1F" w:rsidRPr="005722BA" w:rsidRDefault="00A05D1F" w:rsidP="002E18C1">
            <w:pPr>
              <w:adjustRightInd w:val="0"/>
              <w:snapToGrid w:val="0"/>
              <w:jc w:val="center"/>
              <w:rPr>
                <w:rFonts w:eastAsiaTheme="minorEastAsia"/>
                <w:sz w:val="20"/>
                <w:szCs w:val="20"/>
                <w:lang w:eastAsia="zh-TW"/>
              </w:rPr>
            </w:pPr>
          </w:p>
        </w:tc>
        <w:tc>
          <w:tcPr>
            <w:tcW w:w="964" w:type="pct"/>
            <w:tcBorders>
              <w:top w:val="single" w:sz="4" w:space="0" w:color="auto"/>
              <w:bottom w:val="single" w:sz="4" w:space="0" w:color="auto"/>
            </w:tcBorders>
          </w:tcPr>
          <w:p w:rsidR="00A05D1F" w:rsidRPr="005722BA" w:rsidRDefault="00A05D1F" w:rsidP="002E18C1">
            <w:pPr>
              <w:adjustRightInd w:val="0"/>
              <w:snapToGrid w:val="0"/>
              <w:jc w:val="center"/>
              <w:rPr>
                <w:rFonts w:eastAsiaTheme="minorEastAsia"/>
                <w:sz w:val="20"/>
                <w:szCs w:val="20"/>
                <w:lang w:eastAsia="zh-TW"/>
              </w:rPr>
            </w:pPr>
            <w:r>
              <w:rPr>
                <w:rFonts w:eastAsiaTheme="minorEastAsia" w:hint="eastAsia"/>
                <w:sz w:val="20"/>
                <w:szCs w:val="20"/>
                <w:lang w:eastAsia="zh-TW"/>
              </w:rPr>
              <w:t>4</w:t>
            </w:r>
          </w:p>
        </w:tc>
        <w:tc>
          <w:tcPr>
            <w:tcW w:w="884" w:type="pct"/>
            <w:tcBorders>
              <w:top w:val="single" w:sz="4" w:space="0" w:color="auto"/>
              <w:bottom w:val="single" w:sz="4" w:space="0" w:color="auto"/>
            </w:tcBorders>
          </w:tcPr>
          <w:p w:rsidR="00A05D1F" w:rsidRPr="005722BA" w:rsidRDefault="00A05D1F" w:rsidP="002E18C1">
            <w:pPr>
              <w:adjustRightInd w:val="0"/>
              <w:snapToGrid w:val="0"/>
              <w:jc w:val="center"/>
              <w:rPr>
                <w:rFonts w:eastAsiaTheme="minorEastAsia"/>
                <w:sz w:val="20"/>
                <w:szCs w:val="20"/>
                <w:lang w:eastAsia="zh-TW"/>
              </w:rPr>
            </w:pPr>
            <w:r>
              <w:rPr>
                <w:rFonts w:eastAsiaTheme="minorEastAsia" w:hint="eastAsia"/>
                <w:sz w:val="20"/>
                <w:szCs w:val="20"/>
                <w:lang w:eastAsia="zh-TW"/>
              </w:rPr>
              <w:t>3</w:t>
            </w: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201801</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rPr>
            </w:pPr>
            <w:r w:rsidRPr="00F71B3F">
              <w:rPr>
                <w:rFonts w:eastAsia="標楷體"/>
                <w:sz w:val="20"/>
                <w:szCs w:val="20"/>
              </w:rPr>
              <w:t>0.582</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rPr>
            </w:pPr>
            <w:r w:rsidRPr="00F71B3F">
              <w:rPr>
                <w:rFonts w:eastAsia="標楷體"/>
                <w:sz w:val="20"/>
                <w:szCs w:val="20"/>
              </w:rPr>
              <w:t>0.853</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.987</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.914</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B30449" w:rsidRDefault="00A05D1F" w:rsidP="002E18C1">
            <w:pPr>
              <w:adjustRightInd w:val="0"/>
              <w:snapToGrid w:val="0"/>
              <w:jc w:val="center"/>
              <w:rPr>
                <w:rFonts w:eastAsia="標楷體"/>
                <w:sz w:val="20"/>
                <w:szCs w:val="20"/>
                <w:vertAlign w:val="superscript"/>
                <w:lang w:eastAsia="zh-TW"/>
              </w:rPr>
            </w:pPr>
            <w:r>
              <w:rPr>
                <w:rFonts w:eastAsia="標楷體" w:hint="eastAsia"/>
                <w:sz w:val="20"/>
                <w:szCs w:val="20"/>
                <w:lang w:eastAsia="zh-TW"/>
              </w:rPr>
              <w:t>0</w:t>
            </w:r>
            <w:r>
              <w:rPr>
                <w:rFonts w:eastAsia="標楷體"/>
                <w:sz w:val="20"/>
                <w:szCs w:val="20"/>
                <w:lang w:eastAsia="zh-TW"/>
              </w:rPr>
              <w:t>.001</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201802</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.577</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.871</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.994</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.874</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.001</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201803</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.539</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.886</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.973</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.879</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.001</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201804</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.564</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.875</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.958</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.901</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.007</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201901</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.591</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.865</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.935</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.880</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.005</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201902</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.648</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.894</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.900</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.892</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8719E9" w:rsidRDefault="00A05D1F" w:rsidP="002E18C1">
            <w:pPr>
              <w:adjustRightInd w:val="0"/>
              <w:snapToGrid w:val="0"/>
              <w:jc w:val="center"/>
              <w:rPr>
                <w:rFonts w:eastAsia="標楷體"/>
                <w:sz w:val="20"/>
                <w:szCs w:val="20"/>
                <w:vertAlign w:val="superscript"/>
                <w:lang w:eastAsia="zh-TW"/>
              </w:rPr>
            </w:pPr>
            <w:r>
              <w:rPr>
                <w:rFonts w:eastAsia="標楷體" w:hint="eastAsia"/>
                <w:sz w:val="20"/>
                <w:szCs w:val="20"/>
                <w:lang w:eastAsia="zh-TW"/>
              </w:rPr>
              <w:t>0</w:t>
            </w:r>
            <w:r>
              <w:rPr>
                <w:rFonts w:eastAsia="標楷體"/>
                <w:sz w:val="20"/>
                <w:szCs w:val="20"/>
                <w:lang w:eastAsia="zh-TW"/>
              </w:rPr>
              <w:t>.035</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201903</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.639</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.878</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.900</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.864</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8719E9" w:rsidRDefault="00A05D1F" w:rsidP="002E18C1">
            <w:pPr>
              <w:adjustRightInd w:val="0"/>
              <w:snapToGrid w:val="0"/>
              <w:jc w:val="center"/>
              <w:rPr>
                <w:rFonts w:eastAsia="標楷體"/>
                <w:sz w:val="20"/>
                <w:szCs w:val="20"/>
                <w:vertAlign w:val="superscript"/>
                <w:lang w:eastAsia="zh-TW"/>
              </w:rPr>
            </w:pPr>
            <w:r>
              <w:rPr>
                <w:rFonts w:eastAsia="標楷體" w:hint="eastAsia"/>
                <w:sz w:val="20"/>
                <w:szCs w:val="20"/>
                <w:lang w:eastAsia="zh-TW"/>
              </w:rPr>
              <w:t>0</w:t>
            </w:r>
            <w:r>
              <w:rPr>
                <w:rFonts w:eastAsia="標楷體"/>
                <w:sz w:val="20"/>
                <w:szCs w:val="20"/>
                <w:lang w:eastAsia="zh-TW"/>
              </w:rPr>
              <w:t>.046</w:t>
            </w:r>
            <w:r>
              <w:rPr>
                <w:rFonts w:eastAsia="標楷體"/>
                <w:sz w:val="20"/>
                <w:szCs w:val="20"/>
                <w:vertAlign w:val="superscript"/>
                <w:lang w:eastAsia="zh-TW"/>
              </w:rPr>
              <w:t>*</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201904</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.622</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.900</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.907</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.854</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.082</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202001</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.648</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.904</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.872</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.970</w:t>
            </w:r>
          </w:p>
        </w:tc>
      </w:tr>
      <w:tr w:rsidR="00A05D1F" w:rsidRPr="00C236D3" w:rsidTr="002E18C1">
        <w:tc>
          <w:tcPr>
            <w:tcW w:w="565" w:type="pct"/>
            <w:vMerge/>
            <w:tcBorders>
              <w:top w:val="nil"/>
              <w:bottom w:val="single" w:sz="4" w:space="0" w:color="auto"/>
            </w:tcBorders>
          </w:tcPr>
          <w:p w:rsidR="00A05D1F" w:rsidRPr="00C236D3" w:rsidRDefault="00A05D1F" w:rsidP="002E18C1">
            <w:pPr>
              <w:adjustRightInd w:val="0"/>
              <w:snapToGrid w:val="0"/>
              <w:jc w:val="left"/>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.100</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202002</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.688</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.894</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.864</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.836</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.092</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202003</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.795</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.889</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.866</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.784</w:t>
            </w:r>
          </w:p>
        </w:tc>
      </w:tr>
      <w:tr w:rsidR="00A05D1F" w:rsidRPr="00C236D3" w:rsidTr="002E18C1">
        <w:tc>
          <w:tcPr>
            <w:tcW w:w="565" w:type="pct"/>
            <w:vMerge/>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.075</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202004</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.759</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.878</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.844</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.779</w:t>
            </w:r>
          </w:p>
        </w:tc>
      </w:tr>
      <w:tr w:rsidR="00A05D1F" w:rsidRPr="00C236D3" w:rsidTr="002E18C1">
        <w:tc>
          <w:tcPr>
            <w:tcW w:w="565" w:type="pct"/>
            <w:vMerge/>
            <w:tcBorders>
              <w:top w:val="nil"/>
              <w:bottom w:val="single" w:sz="4" w:space="0" w:color="auto"/>
            </w:tcBorders>
          </w:tcPr>
          <w:p w:rsidR="00A05D1F" w:rsidRPr="00C236D3" w:rsidRDefault="00A05D1F" w:rsidP="002E18C1">
            <w:pPr>
              <w:adjustRightInd w:val="0"/>
              <w:snapToGrid w:val="0"/>
              <w:jc w:val="left"/>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.109</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r w:rsidR="00A05D1F" w:rsidRPr="00C236D3" w:rsidTr="002E18C1">
        <w:tc>
          <w:tcPr>
            <w:tcW w:w="565" w:type="pct"/>
            <w:vMerge w:val="restar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202004</w:t>
            </w:r>
          </w:p>
        </w:tc>
        <w:tc>
          <w:tcPr>
            <w:tcW w:w="710" w:type="pct"/>
            <w:tcBorders>
              <w:top w:val="single" w:sz="4" w:space="0" w:color="auto"/>
              <w:bottom w:val="nil"/>
            </w:tcBorders>
            <w:vAlign w:val="center"/>
          </w:tcPr>
          <w:p w:rsidR="00A05D1F" w:rsidRPr="00891919" w:rsidRDefault="00A05D1F" w:rsidP="002E18C1">
            <w:pPr>
              <w:adjustRightInd w:val="0"/>
              <w:snapToGrid w:val="0"/>
              <w:jc w:val="center"/>
              <w:rPr>
                <w:rFonts w:eastAsia="標楷體"/>
                <w:sz w:val="20"/>
                <w:szCs w:val="20"/>
              </w:rPr>
            </w:pPr>
            <w:r w:rsidRPr="00891919">
              <w:rPr>
                <w:rFonts w:eastAsia="標楷體"/>
                <w:sz w:val="20"/>
                <w:szCs w:val="20"/>
              </w:rPr>
              <w:t>Mean</w:t>
            </w:r>
          </w:p>
        </w:tc>
        <w:tc>
          <w:tcPr>
            <w:tcW w:w="732"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.759</w:t>
            </w:r>
          </w:p>
        </w:tc>
        <w:tc>
          <w:tcPr>
            <w:tcW w:w="733"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.878</w:t>
            </w:r>
          </w:p>
        </w:tc>
        <w:tc>
          <w:tcPr>
            <w:tcW w:w="412" w:type="pct"/>
            <w:gridSpan w:val="2"/>
            <w:tcBorders>
              <w:top w:val="single" w:sz="4" w:space="0" w:color="auto"/>
              <w:bottom w:val="nil"/>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.844</w:t>
            </w:r>
          </w:p>
        </w:tc>
        <w:tc>
          <w:tcPr>
            <w:tcW w:w="884" w:type="pct"/>
            <w:tcBorders>
              <w:top w:val="single" w:sz="4" w:space="0" w:color="auto"/>
              <w:bottom w:val="nil"/>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.779</w:t>
            </w:r>
          </w:p>
        </w:tc>
      </w:tr>
      <w:tr w:rsidR="00A05D1F" w:rsidRPr="00C236D3" w:rsidTr="002E18C1">
        <w:tc>
          <w:tcPr>
            <w:tcW w:w="565" w:type="pct"/>
            <w:vMerge/>
            <w:tcBorders>
              <w:top w:val="nil"/>
              <w:bottom w:val="single" w:sz="4" w:space="0" w:color="auto"/>
            </w:tcBorders>
          </w:tcPr>
          <w:p w:rsidR="00A05D1F" w:rsidRPr="00C236D3" w:rsidRDefault="00A05D1F" w:rsidP="002E18C1">
            <w:pPr>
              <w:adjustRightInd w:val="0"/>
              <w:snapToGrid w:val="0"/>
              <w:jc w:val="left"/>
              <w:rPr>
                <w:rFonts w:eastAsia="標楷體"/>
                <w:sz w:val="20"/>
                <w:szCs w:val="20"/>
                <w:lang w:eastAsia="zh-TW"/>
              </w:rPr>
            </w:pPr>
          </w:p>
        </w:tc>
        <w:tc>
          <w:tcPr>
            <w:tcW w:w="710" w:type="pct"/>
            <w:tcBorders>
              <w:top w:val="nil"/>
              <w:bottom w:val="single" w:sz="4" w:space="0" w:color="auto"/>
            </w:tcBorders>
          </w:tcPr>
          <w:p w:rsidR="00A05D1F" w:rsidRPr="00891919" w:rsidRDefault="00A05D1F" w:rsidP="002E18C1">
            <w:pPr>
              <w:adjustRightInd w:val="0"/>
              <w:snapToGrid w:val="0"/>
              <w:jc w:val="center"/>
              <w:rPr>
                <w:rFonts w:eastAsia="標楷體"/>
                <w:sz w:val="20"/>
                <w:szCs w:val="20"/>
                <w:lang w:eastAsia="zh-TW"/>
              </w:rPr>
            </w:pPr>
            <w:r w:rsidRPr="00891919">
              <w:rPr>
                <w:rFonts w:eastAsia="標楷體"/>
                <w:sz w:val="20"/>
                <w:szCs w:val="20"/>
              </w:rPr>
              <w:t>P-value</w:t>
            </w:r>
          </w:p>
        </w:tc>
        <w:tc>
          <w:tcPr>
            <w:tcW w:w="732"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r>
              <w:rPr>
                <w:rFonts w:eastAsia="標楷體" w:hint="eastAsia"/>
                <w:sz w:val="20"/>
                <w:szCs w:val="20"/>
                <w:lang w:eastAsia="zh-TW"/>
              </w:rPr>
              <w:t>0</w:t>
            </w:r>
            <w:r>
              <w:rPr>
                <w:rFonts w:eastAsia="標楷體"/>
                <w:sz w:val="20"/>
                <w:szCs w:val="20"/>
                <w:lang w:eastAsia="zh-TW"/>
              </w:rPr>
              <w:t>.109</w:t>
            </w:r>
          </w:p>
        </w:tc>
        <w:tc>
          <w:tcPr>
            <w:tcW w:w="733"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c>
          <w:tcPr>
            <w:tcW w:w="412" w:type="pct"/>
            <w:gridSpan w:val="2"/>
            <w:tcBorders>
              <w:top w:val="nil"/>
              <w:bottom w:val="single" w:sz="4" w:space="0" w:color="auto"/>
            </w:tcBorders>
          </w:tcPr>
          <w:p w:rsidR="00A05D1F" w:rsidRPr="00C236D3" w:rsidRDefault="00A05D1F" w:rsidP="002E18C1">
            <w:pPr>
              <w:adjustRightInd w:val="0"/>
              <w:snapToGrid w:val="0"/>
              <w:jc w:val="center"/>
              <w:rPr>
                <w:rFonts w:eastAsia="標楷體"/>
                <w:sz w:val="20"/>
                <w:szCs w:val="20"/>
                <w:lang w:eastAsia="zh-TW"/>
              </w:rPr>
            </w:pPr>
          </w:p>
        </w:tc>
        <w:tc>
          <w:tcPr>
            <w:tcW w:w="96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lang w:eastAsia="zh-TW"/>
              </w:rPr>
            </w:pPr>
          </w:p>
        </w:tc>
        <w:tc>
          <w:tcPr>
            <w:tcW w:w="884" w:type="pct"/>
            <w:tcBorders>
              <w:top w:val="nil"/>
              <w:bottom w:val="single" w:sz="4" w:space="0" w:color="auto"/>
            </w:tcBorders>
            <w:vAlign w:val="center"/>
          </w:tcPr>
          <w:p w:rsidR="00A05D1F" w:rsidRPr="00C236D3" w:rsidRDefault="00A05D1F" w:rsidP="002E18C1">
            <w:pPr>
              <w:adjustRightInd w:val="0"/>
              <w:snapToGrid w:val="0"/>
              <w:jc w:val="center"/>
              <w:rPr>
                <w:rFonts w:eastAsia="標楷體"/>
                <w:sz w:val="20"/>
                <w:szCs w:val="20"/>
              </w:rPr>
            </w:pPr>
          </w:p>
        </w:tc>
      </w:tr>
    </w:tbl>
    <w:p w:rsidR="00A05D1F" w:rsidRPr="00C236D3" w:rsidRDefault="00A05D1F" w:rsidP="00A05D1F">
      <w:pPr>
        <w:adjustRightInd w:val="0"/>
        <w:snapToGrid w:val="0"/>
        <w:rPr>
          <w:rFonts w:eastAsia="標楷體"/>
          <w:sz w:val="20"/>
          <w:szCs w:val="20"/>
          <w:lang w:eastAsia="zh-TW"/>
        </w:rPr>
      </w:pPr>
      <w:r w:rsidRPr="00C236D3">
        <w:rPr>
          <w:rFonts w:eastAsia="標楷體"/>
          <w:sz w:val="20"/>
          <w:szCs w:val="20"/>
        </w:rPr>
        <w:t>Note:*p</w:t>
      </w:r>
      <w:r w:rsidRPr="00C236D3">
        <w:rPr>
          <w:rFonts w:eastAsia="標楷體"/>
          <w:sz w:val="20"/>
          <w:szCs w:val="20"/>
        </w:rPr>
        <w:t>＜</w:t>
      </w:r>
      <w:r w:rsidRPr="00C236D3">
        <w:rPr>
          <w:rFonts w:eastAsia="標楷體"/>
          <w:sz w:val="20"/>
          <w:szCs w:val="20"/>
          <w:lang w:eastAsia="zh-TW"/>
        </w:rPr>
        <w:t>0.05</w:t>
      </w:r>
    </w:p>
    <w:p w:rsidR="00A05D1F" w:rsidRPr="00C236D3" w:rsidRDefault="00A05D1F" w:rsidP="00A05D1F">
      <w:pPr>
        <w:adjustRightInd w:val="0"/>
        <w:snapToGrid w:val="0"/>
        <w:rPr>
          <w:rFonts w:eastAsia="標楷體"/>
          <w:sz w:val="20"/>
          <w:szCs w:val="20"/>
        </w:rPr>
      </w:pPr>
    </w:p>
    <w:p w:rsidR="00A05D1F" w:rsidRPr="006628B5" w:rsidRDefault="00A05D1F" w:rsidP="00A05D1F">
      <w:pPr>
        <w:adjustRightInd w:val="0"/>
        <w:snapToGrid w:val="0"/>
        <w:rPr>
          <w:rFonts w:eastAsia="標楷體"/>
          <w:sz w:val="20"/>
          <w:szCs w:val="20"/>
        </w:rPr>
      </w:pPr>
      <w:r w:rsidRPr="00C236D3">
        <w:rPr>
          <w:rFonts w:eastAsia="標楷體"/>
          <w:sz w:val="20"/>
          <w:szCs w:val="20"/>
        </w:rPr>
        <w:t xml:space="preserve">Table </w:t>
      </w:r>
      <w:r>
        <w:rPr>
          <w:rFonts w:eastAsia="標楷體"/>
          <w:sz w:val="20"/>
          <w:szCs w:val="20"/>
        </w:rPr>
        <w:t>5</w:t>
      </w:r>
      <w:r w:rsidRPr="006628B5">
        <w:rPr>
          <w:rFonts w:eastAsia="標楷體"/>
          <w:sz w:val="20"/>
          <w:szCs w:val="20"/>
        </w:rPr>
        <w:t xml:space="preserve"> Relative Efficiency </w:t>
      </w:r>
      <w:r w:rsidR="006628B5" w:rsidRPr="006628B5">
        <w:rPr>
          <w:rFonts w:eastAsia="標楷體"/>
          <w:sz w:val="20"/>
          <w:szCs w:val="20"/>
        </w:rPr>
        <w:t>between</w:t>
      </w:r>
      <w:r w:rsidRPr="006628B5">
        <w:rPr>
          <w:rFonts w:eastAsia="標楷體"/>
          <w:sz w:val="20"/>
          <w:szCs w:val="20"/>
        </w:rPr>
        <w:t xml:space="preserve"> </w:t>
      </w:r>
      <w:r w:rsidR="00F74C7F">
        <w:rPr>
          <w:rFonts w:eastAsia="標楷體"/>
          <w:sz w:val="20"/>
          <w:szCs w:val="20"/>
          <w:lang w:eastAsia="zh-TW"/>
        </w:rPr>
        <w:t xml:space="preserve">pre and post </w:t>
      </w:r>
      <w:r w:rsidR="00C32171" w:rsidRPr="006628B5">
        <w:rPr>
          <w:rFonts w:eastAsia="標楷體"/>
          <w:sz w:val="20"/>
          <w:szCs w:val="20"/>
          <w:lang w:eastAsia="zh-TW"/>
        </w:rPr>
        <w:t>R&amp;D Expenditures</w:t>
      </w:r>
      <w:r w:rsidRPr="006628B5">
        <w:rPr>
          <w:rFonts w:eastAsia="標楷體"/>
          <w:sz w:val="20"/>
          <w:szCs w:val="20"/>
          <w:lang w:eastAsia="zh-TW"/>
        </w:rPr>
        <w:t xml:space="preserve"> </w:t>
      </w:r>
      <w:r w:rsidR="006628B5" w:rsidRPr="006628B5">
        <w:rPr>
          <w:rFonts w:eastAsia="標楷體"/>
          <w:sz w:val="20"/>
          <w:szCs w:val="20"/>
          <w:lang w:eastAsia="zh-TW"/>
        </w:rPr>
        <w:t xml:space="preserve">as </w:t>
      </w:r>
      <w:r w:rsidRPr="006628B5">
        <w:rPr>
          <w:rFonts w:eastAsia="標楷體"/>
          <w:sz w:val="20"/>
          <w:szCs w:val="20"/>
          <w:lang w:eastAsia="zh-TW"/>
        </w:rPr>
        <w:t>Input</w:t>
      </w:r>
      <w:r w:rsidR="006628B5" w:rsidRPr="006628B5">
        <w:rPr>
          <w:rFonts w:eastAsia="標楷體"/>
          <w:sz w:val="20"/>
          <w:szCs w:val="20"/>
          <w:lang w:eastAsia="zh-TW"/>
        </w:rPr>
        <w:t>s</w:t>
      </w:r>
      <w:r w:rsidRPr="006628B5">
        <w:rPr>
          <w:rFonts w:eastAsia="標楷體"/>
          <w:sz w:val="20"/>
          <w:szCs w:val="20"/>
        </w:rPr>
        <w:t>.</w:t>
      </w:r>
    </w:p>
    <w:tbl>
      <w:tblPr>
        <w:tblStyle w:val="af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099"/>
        <w:gridCol w:w="1029"/>
        <w:gridCol w:w="376"/>
        <w:gridCol w:w="1029"/>
        <w:gridCol w:w="1411"/>
        <w:gridCol w:w="418"/>
        <w:gridCol w:w="1184"/>
        <w:gridCol w:w="1436"/>
      </w:tblGrid>
      <w:tr w:rsidR="006628B5" w:rsidRPr="006628B5" w:rsidTr="002E18C1">
        <w:tc>
          <w:tcPr>
            <w:tcW w:w="859" w:type="pct"/>
            <w:vMerge w:val="restart"/>
            <w:vAlign w:val="bottom"/>
          </w:tcPr>
          <w:p w:rsidR="00A05D1F" w:rsidRPr="006628B5" w:rsidRDefault="00A05D1F" w:rsidP="002E18C1">
            <w:pPr>
              <w:adjustRightInd w:val="0"/>
              <w:snapToGrid w:val="0"/>
              <w:jc w:val="center"/>
              <w:rPr>
                <w:rFonts w:eastAsia="標楷體"/>
                <w:sz w:val="20"/>
                <w:szCs w:val="20"/>
                <w:lang w:eastAsia="zh-TW"/>
              </w:rPr>
            </w:pPr>
          </w:p>
        </w:tc>
        <w:tc>
          <w:tcPr>
            <w:tcW w:w="570" w:type="pct"/>
            <w:vMerge w:val="restart"/>
            <w:vAlign w:val="bottom"/>
          </w:tcPr>
          <w:p w:rsidR="00A05D1F" w:rsidRPr="006628B5" w:rsidRDefault="00A05D1F" w:rsidP="002E18C1">
            <w:pPr>
              <w:adjustRightInd w:val="0"/>
              <w:snapToGrid w:val="0"/>
              <w:jc w:val="center"/>
              <w:rPr>
                <w:rFonts w:eastAsia="標楷體"/>
                <w:sz w:val="20"/>
                <w:szCs w:val="20"/>
                <w:lang w:eastAsia="zh-TW"/>
              </w:rPr>
            </w:pPr>
          </w:p>
        </w:tc>
        <w:tc>
          <w:tcPr>
            <w:tcW w:w="729" w:type="pct"/>
            <w:gridSpan w:val="2"/>
          </w:tcPr>
          <w:p w:rsidR="00A05D1F" w:rsidRPr="006628B5" w:rsidRDefault="00A05D1F" w:rsidP="002E18C1">
            <w:pPr>
              <w:adjustRightInd w:val="0"/>
              <w:snapToGrid w:val="0"/>
              <w:jc w:val="center"/>
              <w:rPr>
                <w:rFonts w:eastAsiaTheme="minorEastAsia"/>
                <w:sz w:val="20"/>
                <w:szCs w:val="20"/>
                <w:lang w:eastAsia="zh-TW"/>
              </w:rPr>
            </w:pPr>
          </w:p>
        </w:tc>
        <w:tc>
          <w:tcPr>
            <w:tcW w:w="1266" w:type="pct"/>
            <w:gridSpan w:val="2"/>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p>
        </w:tc>
        <w:tc>
          <w:tcPr>
            <w:tcW w:w="217" w:type="pct"/>
            <w:tcBorders>
              <w:top w:val="single" w:sz="4" w:space="0" w:color="auto"/>
              <w:bottom w:val="single" w:sz="4" w:space="0" w:color="auto"/>
            </w:tcBorders>
          </w:tcPr>
          <w:p w:rsidR="00A05D1F" w:rsidRPr="006628B5" w:rsidRDefault="00A05D1F" w:rsidP="002E18C1">
            <w:pPr>
              <w:adjustRightInd w:val="0"/>
              <w:snapToGrid w:val="0"/>
              <w:jc w:val="center"/>
              <w:rPr>
                <w:sz w:val="20"/>
                <w:szCs w:val="20"/>
              </w:rPr>
            </w:pPr>
          </w:p>
        </w:tc>
        <w:tc>
          <w:tcPr>
            <w:tcW w:w="1359" w:type="pct"/>
            <w:gridSpan w:val="2"/>
            <w:tcBorders>
              <w:top w:val="single" w:sz="4" w:space="0" w:color="auto"/>
              <w:bottom w:val="single" w:sz="4" w:space="0" w:color="auto"/>
            </w:tcBorders>
          </w:tcPr>
          <w:p w:rsidR="00A05D1F" w:rsidRPr="006628B5" w:rsidRDefault="00A05D1F" w:rsidP="002E18C1">
            <w:pPr>
              <w:adjustRightInd w:val="0"/>
              <w:snapToGrid w:val="0"/>
              <w:jc w:val="center"/>
              <w:rPr>
                <w:sz w:val="20"/>
                <w:szCs w:val="20"/>
              </w:rPr>
            </w:pPr>
          </w:p>
        </w:tc>
      </w:tr>
      <w:tr w:rsidR="006628B5" w:rsidRPr="006628B5" w:rsidTr="002E18C1">
        <w:tc>
          <w:tcPr>
            <w:tcW w:w="859" w:type="pct"/>
            <w:vMerge/>
          </w:tcPr>
          <w:p w:rsidR="00A05D1F" w:rsidRPr="006628B5" w:rsidRDefault="00A05D1F" w:rsidP="002E18C1">
            <w:pPr>
              <w:adjustRightInd w:val="0"/>
              <w:snapToGrid w:val="0"/>
              <w:jc w:val="center"/>
              <w:rPr>
                <w:rFonts w:eastAsia="標楷體"/>
                <w:sz w:val="20"/>
                <w:szCs w:val="20"/>
              </w:rPr>
            </w:pPr>
          </w:p>
        </w:tc>
        <w:tc>
          <w:tcPr>
            <w:tcW w:w="570" w:type="pct"/>
            <w:vMerge/>
          </w:tcPr>
          <w:p w:rsidR="00A05D1F" w:rsidRPr="006628B5" w:rsidRDefault="00A05D1F" w:rsidP="002E18C1">
            <w:pPr>
              <w:adjustRightInd w:val="0"/>
              <w:snapToGrid w:val="0"/>
              <w:jc w:val="center"/>
              <w:rPr>
                <w:rFonts w:eastAsia="標楷體"/>
                <w:sz w:val="20"/>
                <w:szCs w:val="20"/>
              </w:rPr>
            </w:pPr>
          </w:p>
        </w:tc>
        <w:tc>
          <w:tcPr>
            <w:tcW w:w="534" w:type="pct"/>
            <w:tcBorders>
              <w:top w:val="single" w:sz="4" w:space="0" w:color="auto"/>
              <w:bottom w:val="single" w:sz="4" w:space="0" w:color="auto"/>
            </w:tcBorders>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Overall</w:t>
            </w:r>
          </w:p>
        </w:tc>
        <w:tc>
          <w:tcPr>
            <w:tcW w:w="729" w:type="pct"/>
            <w:gridSpan w:val="2"/>
            <w:tcBorders>
              <w:top w:val="single" w:sz="4" w:space="0" w:color="auto"/>
              <w:bottom w:val="single" w:sz="4" w:space="0" w:color="auto"/>
            </w:tcBorders>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Key chip</w:t>
            </w:r>
          </w:p>
        </w:tc>
        <w:tc>
          <w:tcPr>
            <w:tcW w:w="732" w:type="pct"/>
            <w:tcBorders>
              <w:top w:val="single" w:sz="4" w:space="0" w:color="auto"/>
              <w:bottom w:val="single" w:sz="4" w:space="0" w:color="auto"/>
            </w:tcBorders>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Design, manufacture and assembly</w:t>
            </w:r>
          </w:p>
        </w:tc>
        <w:tc>
          <w:tcPr>
            <w:tcW w:w="217" w:type="pct"/>
            <w:tcBorders>
              <w:top w:val="single" w:sz="4" w:space="0" w:color="auto"/>
              <w:bottom w:val="single" w:sz="4" w:space="0" w:color="auto"/>
            </w:tcBorders>
          </w:tcPr>
          <w:p w:rsidR="00A05D1F" w:rsidRPr="006628B5" w:rsidRDefault="00A05D1F" w:rsidP="002E18C1">
            <w:pPr>
              <w:adjustRightInd w:val="0"/>
              <w:snapToGrid w:val="0"/>
              <w:jc w:val="center"/>
              <w:rPr>
                <w:rFonts w:eastAsia="標楷體"/>
                <w:sz w:val="20"/>
                <w:szCs w:val="20"/>
              </w:rPr>
            </w:pPr>
          </w:p>
        </w:tc>
        <w:tc>
          <w:tcPr>
            <w:tcW w:w="614" w:type="pct"/>
            <w:tcBorders>
              <w:top w:val="single" w:sz="4" w:space="0" w:color="auto"/>
              <w:bottom w:val="single" w:sz="4" w:space="0" w:color="auto"/>
            </w:tcBorders>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Brand terminal</w:t>
            </w:r>
          </w:p>
        </w:tc>
        <w:tc>
          <w:tcPr>
            <w:tcW w:w="745" w:type="pct"/>
            <w:tcBorders>
              <w:top w:val="single" w:sz="4" w:space="0" w:color="auto"/>
              <w:bottom w:val="single" w:sz="4" w:space="0" w:color="auto"/>
            </w:tcBorders>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Downstream</w:t>
            </w:r>
          </w:p>
        </w:tc>
      </w:tr>
      <w:tr w:rsidR="006628B5" w:rsidRPr="006628B5" w:rsidTr="002E18C1">
        <w:tc>
          <w:tcPr>
            <w:tcW w:w="859" w:type="pct"/>
            <w:vMerge/>
            <w:tcBorders>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p>
        </w:tc>
        <w:tc>
          <w:tcPr>
            <w:tcW w:w="570" w:type="pct"/>
            <w:vMerge/>
            <w:tcBorders>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p>
        </w:tc>
        <w:tc>
          <w:tcPr>
            <w:tcW w:w="534" w:type="pct"/>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r w:rsidRPr="006628B5">
              <w:rPr>
                <w:rFonts w:eastAsiaTheme="minorEastAsia" w:hint="eastAsia"/>
                <w:sz w:val="20"/>
                <w:szCs w:val="20"/>
                <w:lang w:eastAsia="zh-TW"/>
              </w:rPr>
              <w:t>30</w:t>
            </w:r>
          </w:p>
        </w:tc>
        <w:tc>
          <w:tcPr>
            <w:tcW w:w="729" w:type="pct"/>
            <w:gridSpan w:val="2"/>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r w:rsidRPr="006628B5">
              <w:rPr>
                <w:rFonts w:eastAsiaTheme="minorEastAsia" w:hint="eastAsia"/>
                <w:sz w:val="20"/>
                <w:szCs w:val="20"/>
                <w:lang w:eastAsia="zh-TW"/>
              </w:rPr>
              <w:t>4</w:t>
            </w:r>
          </w:p>
        </w:tc>
        <w:tc>
          <w:tcPr>
            <w:tcW w:w="732" w:type="pct"/>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r w:rsidRPr="006628B5">
              <w:rPr>
                <w:rFonts w:eastAsiaTheme="minorEastAsia" w:hint="eastAsia"/>
                <w:sz w:val="20"/>
                <w:szCs w:val="20"/>
                <w:lang w:eastAsia="zh-TW"/>
              </w:rPr>
              <w:t>1</w:t>
            </w:r>
            <w:r w:rsidRPr="006628B5">
              <w:rPr>
                <w:rFonts w:eastAsiaTheme="minorEastAsia"/>
                <w:sz w:val="20"/>
                <w:szCs w:val="20"/>
                <w:lang w:eastAsia="zh-TW"/>
              </w:rPr>
              <w:t>9</w:t>
            </w:r>
          </w:p>
        </w:tc>
        <w:tc>
          <w:tcPr>
            <w:tcW w:w="217" w:type="pct"/>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p>
        </w:tc>
        <w:tc>
          <w:tcPr>
            <w:tcW w:w="614" w:type="pct"/>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r w:rsidRPr="006628B5">
              <w:rPr>
                <w:rFonts w:eastAsiaTheme="minorEastAsia" w:hint="eastAsia"/>
                <w:sz w:val="20"/>
                <w:szCs w:val="20"/>
                <w:lang w:eastAsia="zh-TW"/>
              </w:rPr>
              <w:t>4</w:t>
            </w:r>
          </w:p>
        </w:tc>
        <w:tc>
          <w:tcPr>
            <w:tcW w:w="745" w:type="pct"/>
            <w:tcBorders>
              <w:top w:val="single" w:sz="4" w:space="0" w:color="auto"/>
              <w:bottom w:val="single" w:sz="4" w:space="0" w:color="auto"/>
            </w:tcBorders>
          </w:tcPr>
          <w:p w:rsidR="00A05D1F" w:rsidRPr="006628B5" w:rsidRDefault="00A05D1F" w:rsidP="002E18C1">
            <w:pPr>
              <w:adjustRightInd w:val="0"/>
              <w:snapToGrid w:val="0"/>
              <w:jc w:val="center"/>
              <w:rPr>
                <w:rFonts w:eastAsiaTheme="minorEastAsia"/>
                <w:sz w:val="20"/>
                <w:szCs w:val="20"/>
                <w:lang w:eastAsia="zh-TW"/>
              </w:rPr>
            </w:pPr>
            <w:r w:rsidRPr="006628B5">
              <w:rPr>
                <w:rFonts w:eastAsiaTheme="minorEastAsia" w:hint="eastAsia"/>
                <w:sz w:val="20"/>
                <w:szCs w:val="20"/>
                <w:lang w:eastAsia="zh-TW"/>
              </w:rPr>
              <w:t>3</w:t>
            </w:r>
          </w:p>
        </w:tc>
      </w:tr>
      <w:tr w:rsidR="006628B5" w:rsidRPr="006628B5" w:rsidTr="002E18C1">
        <w:tc>
          <w:tcPr>
            <w:tcW w:w="859" w:type="pct"/>
            <w:vMerge w:val="restart"/>
            <w:tcBorders>
              <w:top w:val="single" w:sz="4" w:space="0" w:color="auto"/>
              <w:bottom w:val="nil"/>
            </w:tcBorders>
            <w:vAlign w:val="center"/>
          </w:tcPr>
          <w:p w:rsidR="00A05D1F" w:rsidRPr="006628B5" w:rsidRDefault="00F74C7F" w:rsidP="00C32171">
            <w:pPr>
              <w:adjustRightInd w:val="0"/>
              <w:snapToGrid w:val="0"/>
              <w:jc w:val="center"/>
              <w:rPr>
                <w:rFonts w:eastAsia="標楷體"/>
                <w:sz w:val="20"/>
                <w:szCs w:val="20"/>
                <w:lang w:eastAsia="zh-TW"/>
              </w:rPr>
            </w:pPr>
            <w:r>
              <w:rPr>
                <w:rFonts w:eastAsia="標楷體"/>
                <w:sz w:val="20"/>
                <w:szCs w:val="20"/>
                <w:lang w:eastAsia="zh-TW"/>
              </w:rPr>
              <w:t xml:space="preserve">Pre </w:t>
            </w:r>
            <w:r w:rsidR="00C32171" w:rsidRPr="006628B5">
              <w:rPr>
                <w:rFonts w:eastAsia="標楷體"/>
                <w:sz w:val="20"/>
                <w:szCs w:val="20"/>
                <w:lang w:eastAsia="zh-TW"/>
              </w:rPr>
              <w:t>R&amp;D Expenditures</w:t>
            </w:r>
            <w:r w:rsidR="00A05D1F" w:rsidRPr="006628B5">
              <w:rPr>
                <w:rFonts w:eastAsia="標楷體"/>
                <w:sz w:val="20"/>
                <w:szCs w:val="20"/>
                <w:lang w:eastAsia="zh-TW"/>
              </w:rPr>
              <w:t xml:space="preserve"> Input</w:t>
            </w:r>
          </w:p>
        </w:tc>
        <w:tc>
          <w:tcPr>
            <w:tcW w:w="570"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Mean</w:t>
            </w:r>
          </w:p>
        </w:tc>
        <w:tc>
          <w:tcPr>
            <w:tcW w:w="534"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w:t>
            </w:r>
            <w:r w:rsidRPr="006628B5">
              <w:rPr>
                <w:rFonts w:eastAsia="標楷體" w:hint="eastAsia"/>
                <w:sz w:val="20"/>
                <w:szCs w:val="20"/>
                <w:lang w:eastAsia="zh-TW"/>
              </w:rPr>
              <w:t>827</w:t>
            </w:r>
          </w:p>
        </w:tc>
        <w:tc>
          <w:tcPr>
            <w:tcW w:w="729" w:type="pct"/>
            <w:gridSpan w:val="2"/>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.610</w:t>
            </w:r>
          </w:p>
        </w:tc>
        <w:tc>
          <w:tcPr>
            <w:tcW w:w="732"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.881</w:t>
            </w:r>
          </w:p>
        </w:tc>
        <w:tc>
          <w:tcPr>
            <w:tcW w:w="217" w:type="pct"/>
            <w:tcBorders>
              <w:top w:val="single" w:sz="4" w:space="0" w:color="auto"/>
              <w:bottom w:val="nil"/>
            </w:tcBorders>
          </w:tcPr>
          <w:p w:rsidR="00A05D1F" w:rsidRPr="006628B5" w:rsidRDefault="00A05D1F" w:rsidP="002E18C1">
            <w:pPr>
              <w:adjustRightInd w:val="0"/>
              <w:snapToGrid w:val="0"/>
              <w:jc w:val="center"/>
              <w:rPr>
                <w:rFonts w:eastAsia="標楷體"/>
                <w:sz w:val="20"/>
                <w:szCs w:val="20"/>
                <w:lang w:eastAsia="zh-TW"/>
              </w:rPr>
            </w:pPr>
          </w:p>
        </w:tc>
        <w:tc>
          <w:tcPr>
            <w:tcW w:w="614"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.929</w:t>
            </w:r>
          </w:p>
        </w:tc>
        <w:tc>
          <w:tcPr>
            <w:tcW w:w="745"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.882</w:t>
            </w:r>
          </w:p>
        </w:tc>
      </w:tr>
      <w:tr w:rsidR="006628B5" w:rsidRPr="006628B5" w:rsidTr="002E18C1">
        <w:tc>
          <w:tcPr>
            <w:tcW w:w="859" w:type="pct"/>
            <w:vMerge/>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c>
          <w:tcPr>
            <w:tcW w:w="570" w:type="pct"/>
            <w:tcBorders>
              <w:top w:val="nil"/>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r w:rsidRPr="006628B5">
              <w:rPr>
                <w:rFonts w:eastAsia="標楷體"/>
                <w:sz w:val="20"/>
                <w:szCs w:val="20"/>
              </w:rPr>
              <w:t>P-value</w:t>
            </w:r>
          </w:p>
        </w:tc>
        <w:tc>
          <w:tcPr>
            <w:tcW w:w="534"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r w:rsidRPr="006628B5">
              <w:rPr>
                <w:rFonts w:eastAsia="標楷體" w:hint="eastAsia"/>
                <w:sz w:val="20"/>
                <w:szCs w:val="20"/>
                <w:lang w:eastAsia="zh-TW"/>
              </w:rPr>
              <w:t>0</w:t>
            </w:r>
            <w:r w:rsidRPr="006628B5">
              <w:rPr>
                <w:rFonts w:eastAsia="標楷體"/>
                <w:sz w:val="20"/>
                <w:szCs w:val="20"/>
                <w:lang w:eastAsia="zh-TW"/>
              </w:rPr>
              <w:t>.000</w:t>
            </w:r>
            <w:r w:rsidRPr="006628B5">
              <w:rPr>
                <w:rFonts w:eastAsia="標楷體"/>
                <w:sz w:val="20"/>
                <w:szCs w:val="20"/>
                <w:vertAlign w:val="superscript"/>
                <w:lang w:eastAsia="zh-TW"/>
              </w:rPr>
              <w:t>*</w:t>
            </w:r>
          </w:p>
        </w:tc>
        <w:tc>
          <w:tcPr>
            <w:tcW w:w="729" w:type="pct"/>
            <w:gridSpan w:val="2"/>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c>
          <w:tcPr>
            <w:tcW w:w="732"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c>
          <w:tcPr>
            <w:tcW w:w="217" w:type="pct"/>
            <w:tcBorders>
              <w:top w:val="nil"/>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p>
        </w:tc>
        <w:tc>
          <w:tcPr>
            <w:tcW w:w="614"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lang w:eastAsia="zh-TW"/>
              </w:rPr>
            </w:pPr>
          </w:p>
        </w:tc>
        <w:tc>
          <w:tcPr>
            <w:tcW w:w="745"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r>
      <w:tr w:rsidR="006628B5" w:rsidRPr="006628B5" w:rsidTr="002E18C1">
        <w:tc>
          <w:tcPr>
            <w:tcW w:w="859" w:type="pct"/>
            <w:vMerge w:val="restart"/>
            <w:tcBorders>
              <w:top w:val="single" w:sz="4" w:space="0" w:color="auto"/>
              <w:bottom w:val="nil"/>
            </w:tcBorders>
            <w:vAlign w:val="center"/>
          </w:tcPr>
          <w:p w:rsidR="00A05D1F" w:rsidRPr="006628B5" w:rsidRDefault="00F74C7F" w:rsidP="00C32171">
            <w:pPr>
              <w:adjustRightInd w:val="0"/>
              <w:snapToGrid w:val="0"/>
              <w:jc w:val="center"/>
              <w:rPr>
                <w:rFonts w:eastAsia="標楷體"/>
                <w:sz w:val="20"/>
                <w:szCs w:val="20"/>
                <w:lang w:eastAsia="zh-TW"/>
              </w:rPr>
            </w:pPr>
            <w:r>
              <w:rPr>
                <w:rFonts w:eastAsia="標楷體"/>
                <w:sz w:val="20"/>
                <w:szCs w:val="20"/>
              </w:rPr>
              <w:t xml:space="preserve">Post </w:t>
            </w:r>
            <w:r w:rsidR="00C32171" w:rsidRPr="006628B5">
              <w:rPr>
                <w:rFonts w:eastAsia="標楷體"/>
                <w:sz w:val="20"/>
                <w:szCs w:val="20"/>
              </w:rPr>
              <w:t>R&amp;D Expenditures</w:t>
            </w:r>
            <w:r w:rsidR="00A05D1F" w:rsidRPr="006628B5">
              <w:rPr>
                <w:rFonts w:eastAsia="標楷體"/>
                <w:sz w:val="20"/>
                <w:szCs w:val="20"/>
              </w:rPr>
              <w:t xml:space="preserve"> Input</w:t>
            </w:r>
          </w:p>
        </w:tc>
        <w:tc>
          <w:tcPr>
            <w:tcW w:w="570"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Mean</w:t>
            </w:r>
          </w:p>
        </w:tc>
        <w:tc>
          <w:tcPr>
            <w:tcW w:w="534"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w:t>
            </w:r>
            <w:r w:rsidRPr="006628B5">
              <w:rPr>
                <w:rFonts w:eastAsia="標楷體" w:hint="eastAsia"/>
                <w:sz w:val="20"/>
                <w:szCs w:val="20"/>
                <w:lang w:eastAsia="zh-TW"/>
              </w:rPr>
              <w:t>824</w:t>
            </w:r>
          </w:p>
        </w:tc>
        <w:tc>
          <w:tcPr>
            <w:tcW w:w="729" w:type="pct"/>
            <w:gridSpan w:val="2"/>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.777</w:t>
            </w:r>
          </w:p>
        </w:tc>
        <w:tc>
          <w:tcPr>
            <w:tcW w:w="732"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.883</w:t>
            </w:r>
          </w:p>
        </w:tc>
        <w:tc>
          <w:tcPr>
            <w:tcW w:w="217" w:type="pct"/>
            <w:tcBorders>
              <w:top w:val="single" w:sz="4" w:space="0" w:color="auto"/>
              <w:bottom w:val="nil"/>
            </w:tcBorders>
          </w:tcPr>
          <w:p w:rsidR="00A05D1F" w:rsidRPr="006628B5" w:rsidRDefault="00A05D1F" w:rsidP="002E18C1">
            <w:pPr>
              <w:adjustRightInd w:val="0"/>
              <w:snapToGrid w:val="0"/>
              <w:jc w:val="center"/>
              <w:rPr>
                <w:rFonts w:eastAsia="標楷體"/>
                <w:sz w:val="20"/>
                <w:szCs w:val="20"/>
                <w:lang w:eastAsia="zh-TW"/>
              </w:rPr>
            </w:pPr>
          </w:p>
        </w:tc>
        <w:tc>
          <w:tcPr>
            <w:tcW w:w="614"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.855</w:t>
            </w:r>
          </w:p>
        </w:tc>
        <w:tc>
          <w:tcPr>
            <w:tcW w:w="745"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.781</w:t>
            </w:r>
          </w:p>
        </w:tc>
      </w:tr>
      <w:tr w:rsidR="006628B5" w:rsidRPr="006628B5" w:rsidTr="002E18C1">
        <w:tc>
          <w:tcPr>
            <w:tcW w:w="859" w:type="pct"/>
            <w:vMerge/>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lang w:eastAsia="zh-TW"/>
              </w:rPr>
            </w:pPr>
          </w:p>
        </w:tc>
        <w:tc>
          <w:tcPr>
            <w:tcW w:w="570" w:type="pct"/>
            <w:tcBorders>
              <w:top w:val="nil"/>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r w:rsidRPr="006628B5">
              <w:rPr>
                <w:rFonts w:eastAsia="標楷體"/>
                <w:sz w:val="20"/>
                <w:szCs w:val="20"/>
              </w:rPr>
              <w:t>P-value</w:t>
            </w:r>
          </w:p>
        </w:tc>
        <w:tc>
          <w:tcPr>
            <w:tcW w:w="534"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vertAlign w:val="superscript"/>
                <w:lang w:eastAsia="zh-TW"/>
              </w:rPr>
            </w:pPr>
            <w:r w:rsidRPr="006628B5">
              <w:rPr>
                <w:rFonts w:eastAsia="標楷體"/>
                <w:sz w:val="20"/>
                <w:szCs w:val="20"/>
                <w:lang w:eastAsia="zh-TW"/>
              </w:rPr>
              <w:t>0.</w:t>
            </w:r>
            <w:r w:rsidRPr="006628B5">
              <w:rPr>
                <w:rFonts w:eastAsia="標楷體" w:hint="eastAsia"/>
                <w:sz w:val="20"/>
                <w:szCs w:val="20"/>
                <w:lang w:eastAsia="zh-TW"/>
              </w:rPr>
              <w:t>2</w:t>
            </w:r>
            <w:r w:rsidRPr="006628B5">
              <w:rPr>
                <w:rFonts w:eastAsia="標楷體"/>
                <w:sz w:val="20"/>
                <w:szCs w:val="20"/>
                <w:lang w:eastAsia="zh-TW"/>
              </w:rPr>
              <w:t>40</w:t>
            </w:r>
            <w:r w:rsidRPr="006628B5">
              <w:rPr>
                <w:rFonts w:eastAsia="標楷體"/>
                <w:sz w:val="20"/>
                <w:szCs w:val="20"/>
                <w:vertAlign w:val="superscript"/>
                <w:lang w:eastAsia="zh-TW"/>
              </w:rPr>
              <w:t>*</w:t>
            </w:r>
          </w:p>
        </w:tc>
        <w:tc>
          <w:tcPr>
            <w:tcW w:w="729" w:type="pct"/>
            <w:gridSpan w:val="2"/>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vertAlign w:val="superscript"/>
                <w:lang w:eastAsia="zh-TW"/>
              </w:rPr>
            </w:pPr>
          </w:p>
        </w:tc>
        <w:tc>
          <w:tcPr>
            <w:tcW w:w="732"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c>
          <w:tcPr>
            <w:tcW w:w="217" w:type="pct"/>
            <w:tcBorders>
              <w:top w:val="nil"/>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p>
        </w:tc>
        <w:tc>
          <w:tcPr>
            <w:tcW w:w="614"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lang w:eastAsia="zh-TW"/>
              </w:rPr>
            </w:pPr>
          </w:p>
        </w:tc>
        <w:tc>
          <w:tcPr>
            <w:tcW w:w="745"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r>
      <w:tr w:rsidR="006628B5" w:rsidRPr="006628B5" w:rsidTr="002E18C1">
        <w:tc>
          <w:tcPr>
            <w:tcW w:w="859" w:type="pct"/>
            <w:vMerge w:val="restar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sz w:val="20"/>
                <w:szCs w:val="20"/>
              </w:rPr>
              <w:t>Overall score</w:t>
            </w:r>
          </w:p>
        </w:tc>
        <w:tc>
          <w:tcPr>
            <w:tcW w:w="570"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rPr>
            </w:pPr>
            <w:r w:rsidRPr="006628B5">
              <w:rPr>
                <w:rFonts w:eastAsia="標楷體"/>
                <w:sz w:val="20"/>
                <w:szCs w:val="20"/>
              </w:rPr>
              <w:t>Mean</w:t>
            </w:r>
          </w:p>
        </w:tc>
        <w:tc>
          <w:tcPr>
            <w:tcW w:w="534"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w:t>
            </w:r>
            <w:r w:rsidRPr="006628B5">
              <w:rPr>
                <w:rFonts w:eastAsia="標楷體" w:hint="eastAsia"/>
                <w:sz w:val="20"/>
                <w:szCs w:val="20"/>
                <w:lang w:eastAsia="zh-TW"/>
              </w:rPr>
              <w:t>826</w:t>
            </w:r>
          </w:p>
        </w:tc>
        <w:tc>
          <w:tcPr>
            <w:tcW w:w="729" w:type="pct"/>
            <w:gridSpan w:val="2"/>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.638</w:t>
            </w:r>
          </w:p>
        </w:tc>
        <w:tc>
          <w:tcPr>
            <w:tcW w:w="732"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.882</w:t>
            </w:r>
          </w:p>
        </w:tc>
        <w:tc>
          <w:tcPr>
            <w:tcW w:w="217" w:type="pct"/>
            <w:tcBorders>
              <w:top w:val="single" w:sz="4" w:space="0" w:color="auto"/>
              <w:bottom w:val="nil"/>
            </w:tcBorders>
          </w:tcPr>
          <w:p w:rsidR="00A05D1F" w:rsidRPr="006628B5" w:rsidRDefault="00A05D1F" w:rsidP="002E18C1">
            <w:pPr>
              <w:adjustRightInd w:val="0"/>
              <w:snapToGrid w:val="0"/>
              <w:jc w:val="center"/>
              <w:rPr>
                <w:rFonts w:eastAsia="標楷體"/>
                <w:sz w:val="20"/>
                <w:szCs w:val="20"/>
                <w:lang w:eastAsia="zh-TW"/>
              </w:rPr>
            </w:pPr>
          </w:p>
        </w:tc>
        <w:tc>
          <w:tcPr>
            <w:tcW w:w="614"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.917</w:t>
            </w:r>
          </w:p>
        </w:tc>
        <w:tc>
          <w:tcPr>
            <w:tcW w:w="745" w:type="pct"/>
            <w:tcBorders>
              <w:top w:val="single" w:sz="4" w:space="0" w:color="auto"/>
              <w:bottom w:val="nil"/>
            </w:tcBorders>
            <w:vAlign w:val="center"/>
          </w:tcPr>
          <w:p w:rsidR="00A05D1F" w:rsidRPr="006628B5" w:rsidRDefault="00A05D1F" w:rsidP="002E18C1">
            <w:pPr>
              <w:adjustRightInd w:val="0"/>
              <w:snapToGrid w:val="0"/>
              <w:jc w:val="center"/>
              <w:rPr>
                <w:rFonts w:eastAsia="標楷體"/>
                <w:sz w:val="20"/>
                <w:szCs w:val="20"/>
                <w:lang w:eastAsia="zh-TW"/>
              </w:rPr>
            </w:pPr>
            <w:r w:rsidRPr="006628B5">
              <w:rPr>
                <w:rFonts w:eastAsia="標楷體" w:hint="eastAsia"/>
                <w:sz w:val="20"/>
                <w:szCs w:val="20"/>
                <w:lang w:eastAsia="zh-TW"/>
              </w:rPr>
              <w:t>0</w:t>
            </w:r>
            <w:r w:rsidRPr="006628B5">
              <w:rPr>
                <w:rFonts w:eastAsia="標楷體"/>
                <w:sz w:val="20"/>
                <w:szCs w:val="20"/>
                <w:lang w:eastAsia="zh-TW"/>
              </w:rPr>
              <w:t>.869</w:t>
            </w:r>
          </w:p>
        </w:tc>
      </w:tr>
      <w:tr w:rsidR="006628B5" w:rsidRPr="006628B5" w:rsidTr="002E18C1">
        <w:tc>
          <w:tcPr>
            <w:tcW w:w="859" w:type="pct"/>
            <w:vMerge/>
            <w:tcBorders>
              <w:top w:val="nil"/>
              <w:bottom w:val="single" w:sz="4" w:space="0" w:color="auto"/>
            </w:tcBorders>
          </w:tcPr>
          <w:p w:rsidR="00A05D1F" w:rsidRPr="006628B5" w:rsidRDefault="00A05D1F" w:rsidP="002E18C1">
            <w:pPr>
              <w:adjustRightInd w:val="0"/>
              <w:snapToGrid w:val="0"/>
              <w:jc w:val="left"/>
              <w:rPr>
                <w:rFonts w:eastAsia="標楷體"/>
                <w:sz w:val="20"/>
                <w:szCs w:val="20"/>
                <w:lang w:eastAsia="zh-TW"/>
              </w:rPr>
            </w:pPr>
          </w:p>
        </w:tc>
        <w:tc>
          <w:tcPr>
            <w:tcW w:w="570" w:type="pct"/>
            <w:tcBorders>
              <w:top w:val="nil"/>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r w:rsidRPr="006628B5">
              <w:rPr>
                <w:rFonts w:eastAsia="標楷體"/>
                <w:sz w:val="20"/>
                <w:szCs w:val="20"/>
              </w:rPr>
              <w:t>P-value</w:t>
            </w:r>
          </w:p>
        </w:tc>
        <w:tc>
          <w:tcPr>
            <w:tcW w:w="534"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vertAlign w:val="superscript"/>
                <w:lang w:eastAsia="zh-TW"/>
              </w:rPr>
            </w:pPr>
            <w:r w:rsidRPr="006628B5">
              <w:rPr>
                <w:rFonts w:eastAsia="標楷體" w:hint="eastAsia"/>
                <w:sz w:val="20"/>
                <w:szCs w:val="20"/>
                <w:lang w:eastAsia="zh-TW"/>
              </w:rPr>
              <w:t>0</w:t>
            </w:r>
            <w:r w:rsidRPr="006628B5">
              <w:rPr>
                <w:rFonts w:eastAsia="標楷體"/>
                <w:sz w:val="20"/>
                <w:szCs w:val="20"/>
                <w:lang w:eastAsia="zh-TW"/>
              </w:rPr>
              <w:t>.000</w:t>
            </w:r>
            <w:r w:rsidRPr="006628B5">
              <w:rPr>
                <w:rFonts w:eastAsia="標楷體"/>
                <w:sz w:val="20"/>
                <w:szCs w:val="20"/>
                <w:vertAlign w:val="superscript"/>
                <w:lang w:eastAsia="zh-TW"/>
              </w:rPr>
              <w:t>*</w:t>
            </w:r>
          </w:p>
        </w:tc>
        <w:tc>
          <w:tcPr>
            <w:tcW w:w="729" w:type="pct"/>
            <w:gridSpan w:val="2"/>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vertAlign w:val="superscript"/>
                <w:lang w:eastAsia="zh-TW"/>
              </w:rPr>
            </w:pPr>
          </w:p>
        </w:tc>
        <w:tc>
          <w:tcPr>
            <w:tcW w:w="732"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c>
          <w:tcPr>
            <w:tcW w:w="217" w:type="pct"/>
            <w:tcBorders>
              <w:top w:val="nil"/>
              <w:bottom w:val="single" w:sz="4" w:space="0" w:color="auto"/>
            </w:tcBorders>
          </w:tcPr>
          <w:p w:rsidR="00A05D1F" w:rsidRPr="006628B5" w:rsidRDefault="00A05D1F" w:rsidP="002E18C1">
            <w:pPr>
              <w:adjustRightInd w:val="0"/>
              <w:snapToGrid w:val="0"/>
              <w:jc w:val="center"/>
              <w:rPr>
                <w:rFonts w:eastAsia="標楷體"/>
                <w:sz w:val="20"/>
                <w:szCs w:val="20"/>
                <w:lang w:eastAsia="zh-TW"/>
              </w:rPr>
            </w:pPr>
          </w:p>
        </w:tc>
        <w:tc>
          <w:tcPr>
            <w:tcW w:w="614"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lang w:eastAsia="zh-TW"/>
              </w:rPr>
            </w:pPr>
          </w:p>
        </w:tc>
        <w:tc>
          <w:tcPr>
            <w:tcW w:w="745" w:type="pct"/>
            <w:tcBorders>
              <w:top w:val="nil"/>
              <w:bottom w:val="single" w:sz="4" w:space="0" w:color="auto"/>
            </w:tcBorders>
            <w:vAlign w:val="center"/>
          </w:tcPr>
          <w:p w:rsidR="00A05D1F" w:rsidRPr="006628B5" w:rsidRDefault="00A05D1F" w:rsidP="002E18C1">
            <w:pPr>
              <w:adjustRightInd w:val="0"/>
              <w:snapToGrid w:val="0"/>
              <w:jc w:val="center"/>
              <w:rPr>
                <w:rFonts w:eastAsia="標楷體"/>
                <w:sz w:val="20"/>
                <w:szCs w:val="20"/>
              </w:rPr>
            </w:pPr>
          </w:p>
        </w:tc>
      </w:tr>
    </w:tbl>
    <w:p w:rsidR="00A05D1F" w:rsidRPr="006628B5" w:rsidRDefault="00A05D1F" w:rsidP="00A05D1F">
      <w:pPr>
        <w:adjustRightInd w:val="0"/>
        <w:snapToGrid w:val="0"/>
      </w:pPr>
      <w:r w:rsidRPr="006628B5">
        <w:rPr>
          <w:rFonts w:eastAsia="標楷體"/>
          <w:sz w:val="20"/>
          <w:szCs w:val="20"/>
        </w:rPr>
        <w:t>Note: *p</w:t>
      </w:r>
      <w:r w:rsidRPr="006628B5">
        <w:rPr>
          <w:rFonts w:eastAsia="標楷體"/>
          <w:sz w:val="20"/>
          <w:szCs w:val="20"/>
        </w:rPr>
        <w:t>＜</w:t>
      </w:r>
      <w:r w:rsidRPr="006628B5">
        <w:rPr>
          <w:rFonts w:eastAsia="標楷體"/>
          <w:sz w:val="20"/>
          <w:szCs w:val="20"/>
          <w:lang w:eastAsia="zh-TW"/>
        </w:rPr>
        <w:t>0.05</w:t>
      </w:r>
    </w:p>
    <w:p w:rsidR="00FF28F2" w:rsidRPr="006628B5" w:rsidRDefault="00FF28F2" w:rsidP="00FF28F2">
      <w:pPr>
        <w:widowControl/>
        <w:jc w:val="center"/>
        <w:rPr>
          <w:rFonts w:eastAsia="標楷體"/>
          <w:sz w:val="20"/>
          <w:szCs w:val="20"/>
        </w:rPr>
      </w:pPr>
    </w:p>
    <w:sectPr w:rsidR="00FF28F2" w:rsidRPr="006628B5" w:rsidSect="00604617">
      <w:footerReference w:type="default" r:id="rId7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24" w:rsidRDefault="00002B24">
      <w:r>
        <w:separator/>
      </w:r>
    </w:p>
  </w:endnote>
  <w:endnote w:type="continuationSeparator" w:id="0">
    <w:p w:rsidR="00002B24" w:rsidRDefault="0000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otumChe">
    <w:charset w:val="81"/>
    <w:family w:val="modern"/>
    <w:pitch w:val="fixed"/>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9725"/>
      <w:docPartObj>
        <w:docPartGallery w:val="Page Numbers (Bottom of Page)"/>
        <w:docPartUnique/>
      </w:docPartObj>
    </w:sdtPr>
    <w:sdtEndPr/>
    <w:sdtContent>
      <w:p w:rsidR="00263A65" w:rsidRDefault="00263A65">
        <w:pPr>
          <w:pStyle w:val="a5"/>
          <w:jc w:val="center"/>
        </w:pPr>
        <w:r>
          <w:fldChar w:fldCharType="begin"/>
        </w:r>
        <w:r>
          <w:instrText>PAGE   \* MERGEFORMAT</w:instrText>
        </w:r>
        <w:r>
          <w:fldChar w:fldCharType="separate"/>
        </w:r>
        <w:r w:rsidR="00002B24" w:rsidRPr="00002B24">
          <w:rPr>
            <w:noProof/>
            <w:lang w:val="zh-TW" w:eastAsia="zh-TW"/>
          </w:rPr>
          <w:t>1</w:t>
        </w:r>
        <w:r>
          <w:rPr>
            <w:noProof/>
            <w:lang w:val="zh-TW" w:eastAsia="zh-TW"/>
          </w:rPr>
          <w:fldChar w:fldCharType="end"/>
        </w:r>
      </w:p>
    </w:sdtContent>
  </w:sdt>
  <w:p w:rsidR="00263A65" w:rsidRDefault="00263A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24" w:rsidRDefault="00002B24">
      <w:r>
        <w:separator/>
      </w:r>
    </w:p>
  </w:footnote>
  <w:footnote w:type="continuationSeparator" w:id="0">
    <w:p w:rsidR="00002B24" w:rsidRDefault="0000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64C2B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D36F04"/>
    <w:multiLevelType w:val="hybridMultilevel"/>
    <w:tmpl w:val="CDFCB630"/>
    <w:lvl w:ilvl="0" w:tplc="F7089146">
      <w:numFmt w:val="bullet"/>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B96636"/>
    <w:multiLevelType w:val="hybridMultilevel"/>
    <w:tmpl w:val="97C280DC"/>
    <w:lvl w:ilvl="0" w:tplc="5BC03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B90CDA"/>
    <w:multiLevelType w:val="hybridMultilevel"/>
    <w:tmpl w:val="525618DA"/>
    <w:lvl w:ilvl="0" w:tplc="ED405064">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F3A71E5"/>
    <w:multiLevelType w:val="hybridMultilevel"/>
    <w:tmpl w:val="86306004"/>
    <w:lvl w:ilvl="0" w:tplc="272E96E6">
      <w:start w:val="5"/>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0974C72"/>
    <w:multiLevelType w:val="hybridMultilevel"/>
    <w:tmpl w:val="CD4ED3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741628"/>
    <w:multiLevelType w:val="hybridMultilevel"/>
    <w:tmpl w:val="78AAAF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3A201B6"/>
    <w:multiLevelType w:val="hybridMultilevel"/>
    <w:tmpl w:val="C0D6827E"/>
    <w:lvl w:ilvl="0" w:tplc="89AAB328">
      <w:start w:val="1"/>
      <w:numFmt w:val="decimal"/>
      <w:lvlText w:val="[%1]"/>
      <w:lvlJc w:val="left"/>
      <w:pPr>
        <w:ind w:left="482" w:hanging="480"/>
      </w:pPr>
      <w:rPr>
        <w:rFonts w:ascii="Times New Roman" w:hAnsi="Times New Roman" w:cs="Times New Roman" w:hint="eastAsia"/>
      </w:rPr>
    </w:lvl>
    <w:lvl w:ilvl="1" w:tplc="04090019">
      <w:start w:val="1"/>
      <w:numFmt w:val="ideographTraditional"/>
      <w:lvlText w:val="%2、"/>
      <w:lvlJc w:val="left"/>
      <w:pPr>
        <w:ind w:left="962" w:hanging="480"/>
      </w:pPr>
      <w:rPr>
        <w:rFonts w:ascii="Times New Roman" w:hAnsi="Times New Roman" w:cs="Times New Roman"/>
      </w:rPr>
    </w:lvl>
    <w:lvl w:ilvl="2" w:tplc="0409001B">
      <w:start w:val="1"/>
      <w:numFmt w:val="lowerRoman"/>
      <w:lvlText w:val="%3."/>
      <w:lvlJc w:val="right"/>
      <w:pPr>
        <w:ind w:left="1442" w:hanging="480"/>
      </w:pPr>
      <w:rPr>
        <w:rFonts w:ascii="Times New Roman" w:hAnsi="Times New Roman" w:cs="Times New Roman"/>
      </w:rPr>
    </w:lvl>
    <w:lvl w:ilvl="3" w:tplc="0409000F">
      <w:start w:val="1"/>
      <w:numFmt w:val="decimal"/>
      <w:lvlText w:val="%4."/>
      <w:lvlJc w:val="left"/>
      <w:pPr>
        <w:ind w:left="1922" w:hanging="480"/>
      </w:pPr>
      <w:rPr>
        <w:rFonts w:ascii="Times New Roman" w:hAnsi="Times New Roman" w:cs="Times New Roman"/>
      </w:rPr>
    </w:lvl>
    <w:lvl w:ilvl="4" w:tplc="04090019">
      <w:start w:val="1"/>
      <w:numFmt w:val="ideographTraditional"/>
      <w:lvlText w:val="%5、"/>
      <w:lvlJc w:val="left"/>
      <w:pPr>
        <w:ind w:left="2402" w:hanging="480"/>
      </w:pPr>
      <w:rPr>
        <w:rFonts w:ascii="Times New Roman" w:hAnsi="Times New Roman" w:cs="Times New Roman"/>
      </w:rPr>
    </w:lvl>
    <w:lvl w:ilvl="5" w:tplc="0409001B">
      <w:start w:val="1"/>
      <w:numFmt w:val="lowerRoman"/>
      <w:lvlText w:val="%6."/>
      <w:lvlJc w:val="right"/>
      <w:pPr>
        <w:ind w:left="2882" w:hanging="480"/>
      </w:pPr>
      <w:rPr>
        <w:rFonts w:ascii="Times New Roman" w:hAnsi="Times New Roman" w:cs="Times New Roman"/>
      </w:rPr>
    </w:lvl>
    <w:lvl w:ilvl="6" w:tplc="0409000F">
      <w:start w:val="1"/>
      <w:numFmt w:val="decimal"/>
      <w:lvlText w:val="%7."/>
      <w:lvlJc w:val="left"/>
      <w:pPr>
        <w:ind w:left="3362" w:hanging="480"/>
      </w:pPr>
      <w:rPr>
        <w:rFonts w:ascii="Times New Roman" w:hAnsi="Times New Roman" w:cs="Times New Roman"/>
      </w:rPr>
    </w:lvl>
    <w:lvl w:ilvl="7" w:tplc="04090019">
      <w:start w:val="1"/>
      <w:numFmt w:val="ideographTraditional"/>
      <w:lvlText w:val="%8、"/>
      <w:lvlJc w:val="left"/>
      <w:pPr>
        <w:ind w:left="3842" w:hanging="480"/>
      </w:pPr>
      <w:rPr>
        <w:rFonts w:ascii="Times New Roman" w:hAnsi="Times New Roman" w:cs="Times New Roman"/>
      </w:rPr>
    </w:lvl>
    <w:lvl w:ilvl="8" w:tplc="0409001B">
      <w:start w:val="1"/>
      <w:numFmt w:val="lowerRoman"/>
      <w:lvlText w:val="%9."/>
      <w:lvlJc w:val="right"/>
      <w:pPr>
        <w:ind w:left="4322" w:hanging="480"/>
      </w:pPr>
      <w:rPr>
        <w:rFonts w:ascii="Times New Roman" w:hAnsi="Times New Roman" w:cs="Times New Roman"/>
      </w:rPr>
    </w:lvl>
  </w:abstractNum>
  <w:abstractNum w:abstractNumId="9"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4"/>
  </w:num>
  <w:num w:numId="4">
    <w:abstractNumId w:val="6"/>
  </w:num>
  <w:num w:numId="5">
    <w:abstractNumId w:val="1"/>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2B6E"/>
    <w:rsid w:val="00002888"/>
    <w:rsid w:val="00002B24"/>
    <w:rsid w:val="000040CB"/>
    <w:rsid w:val="00022827"/>
    <w:rsid w:val="0003057B"/>
    <w:rsid w:val="000311A4"/>
    <w:rsid w:val="00051AA5"/>
    <w:rsid w:val="00051D91"/>
    <w:rsid w:val="000555D0"/>
    <w:rsid w:val="00060A34"/>
    <w:rsid w:val="00062E40"/>
    <w:rsid w:val="000653E6"/>
    <w:rsid w:val="00076F09"/>
    <w:rsid w:val="000813D1"/>
    <w:rsid w:val="00087AA0"/>
    <w:rsid w:val="0009390C"/>
    <w:rsid w:val="000A52BB"/>
    <w:rsid w:val="000B47D2"/>
    <w:rsid w:val="000D0197"/>
    <w:rsid w:val="000D2B6E"/>
    <w:rsid w:val="000E520E"/>
    <w:rsid w:val="0010105D"/>
    <w:rsid w:val="00107FE2"/>
    <w:rsid w:val="00110373"/>
    <w:rsid w:val="00126D32"/>
    <w:rsid w:val="00131375"/>
    <w:rsid w:val="001455DF"/>
    <w:rsid w:val="001568F4"/>
    <w:rsid w:val="0016200D"/>
    <w:rsid w:val="0017410D"/>
    <w:rsid w:val="0017477A"/>
    <w:rsid w:val="001750D5"/>
    <w:rsid w:val="00185070"/>
    <w:rsid w:val="0019104A"/>
    <w:rsid w:val="001938BB"/>
    <w:rsid w:val="001A131E"/>
    <w:rsid w:val="001B2B79"/>
    <w:rsid w:val="001D3D8D"/>
    <w:rsid w:val="001E56B1"/>
    <w:rsid w:val="001E6649"/>
    <w:rsid w:val="001F1809"/>
    <w:rsid w:val="001F519F"/>
    <w:rsid w:val="00202095"/>
    <w:rsid w:val="00207943"/>
    <w:rsid w:val="002302A2"/>
    <w:rsid w:val="002437FB"/>
    <w:rsid w:val="00262026"/>
    <w:rsid w:val="00263A65"/>
    <w:rsid w:val="00272CCE"/>
    <w:rsid w:val="00285E65"/>
    <w:rsid w:val="002C2075"/>
    <w:rsid w:val="002C4EC8"/>
    <w:rsid w:val="002C6479"/>
    <w:rsid w:val="002D4CFD"/>
    <w:rsid w:val="002E09B0"/>
    <w:rsid w:val="002E18C1"/>
    <w:rsid w:val="002F140A"/>
    <w:rsid w:val="002F70EB"/>
    <w:rsid w:val="00304B4D"/>
    <w:rsid w:val="00311BE4"/>
    <w:rsid w:val="003136A0"/>
    <w:rsid w:val="00314125"/>
    <w:rsid w:val="00316A5A"/>
    <w:rsid w:val="003419FB"/>
    <w:rsid w:val="0034525A"/>
    <w:rsid w:val="00376594"/>
    <w:rsid w:val="003A428B"/>
    <w:rsid w:val="003C4AF0"/>
    <w:rsid w:val="003C71B3"/>
    <w:rsid w:val="003C7A95"/>
    <w:rsid w:val="003D1679"/>
    <w:rsid w:val="003D1ADB"/>
    <w:rsid w:val="003E49B3"/>
    <w:rsid w:val="003F435F"/>
    <w:rsid w:val="003F4BBD"/>
    <w:rsid w:val="00400D8F"/>
    <w:rsid w:val="0040386D"/>
    <w:rsid w:val="0041175A"/>
    <w:rsid w:val="00414C93"/>
    <w:rsid w:val="00420940"/>
    <w:rsid w:val="004262D8"/>
    <w:rsid w:val="00446C66"/>
    <w:rsid w:val="00472706"/>
    <w:rsid w:val="004753C9"/>
    <w:rsid w:val="00481ED4"/>
    <w:rsid w:val="004969D2"/>
    <w:rsid w:val="004A29F4"/>
    <w:rsid w:val="004C250C"/>
    <w:rsid w:val="004D314B"/>
    <w:rsid w:val="004E5C5E"/>
    <w:rsid w:val="004E6524"/>
    <w:rsid w:val="004F163E"/>
    <w:rsid w:val="004F5B31"/>
    <w:rsid w:val="004F61BE"/>
    <w:rsid w:val="0050248D"/>
    <w:rsid w:val="0050361B"/>
    <w:rsid w:val="00526252"/>
    <w:rsid w:val="005447A8"/>
    <w:rsid w:val="00544E1C"/>
    <w:rsid w:val="00546647"/>
    <w:rsid w:val="00547D45"/>
    <w:rsid w:val="0055531A"/>
    <w:rsid w:val="005642C3"/>
    <w:rsid w:val="0057039E"/>
    <w:rsid w:val="005861A0"/>
    <w:rsid w:val="00590637"/>
    <w:rsid w:val="0059535F"/>
    <w:rsid w:val="00596C23"/>
    <w:rsid w:val="005A1455"/>
    <w:rsid w:val="005B727F"/>
    <w:rsid w:val="005E37BD"/>
    <w:rsid w:val="005F0540"/>
    <w:rsid w:val="005F2A39"/>
    <w:rsid w:val="005F5C79"/>
    <w:rsid w:val="00604617"/>
    <w:rsid w:val="0062088E"/>
    <w:rsid w:val="00624D6C"/>
    <w:rsid w:val="00627BC7"/>
    <w:rsid w:val="00630460"/>
    <w:rsid w:val="00641D9E"/>
    <w:rsid w:val="00646D96"/>
    <w:rsid w:val="00653BC1"/>
    <w:rsid w:val="00655928"/>
    <w:rsid w:val="0066037F"/>
    <w:rsid w:val="006628B5"/>
    <w:rsid w:val="00663AEF"/>
    <w:rsid w:val="0067362F"/>
    <w:rsid w:val="00674223"/>
    <w:rsid w:val="006919DA"/>
    <w:rsid w:val="006A7B54"/>
    <w:rsid w:val="006B0B77"/>
    <w:rsid w:val="006B71CE"/>
    <w:rsid w:val="006D64C4"/>
    <w:rsid w:val="006F3506"/>
    <w:rsid w:val="0071429A"/>
    <w:rsid w:val="00725F11"/>
    <w:rsid w:val="00735663"/>
    <w:rsid w:val="00754A7A"/>
    <w:rsid w:val="00755A80"/>
    <w:rsid w:val="007571BD"/>
    <w:rsid w:val="00765895"/>
    <w:rsid w:val="007772A4"/>
    <w:rsid w:val="00790A31"/>
    <w:rsid w:val="007A0115"/>
    <w:rsid w:val="007B0766"/>
    <w:rsid w:val="007B2BE0"/>
    <w:rsid w:val="007B6849"/>
    <w:rsid w:val="007C05FF"/>
    <w:rsid w:val="007C2929"/>
    <w:rsid w:val="00800F4B"/>
    <w:rsid w:val="008306B1"/>
    <w:rsid w:val="00840500"/>
    <w:rsid w:val="0086232B"/>
    <w:rsid w:val="00867218"/>
    <w:rsid w:val="00875218"/>
    <w:rsid w:val="008A00CA"/>
    <w:rsid w:val="008A4B66"/>
    <w:rsid w:val="008B0226"/>
    <w:rsid w:val="008B1AC8"/>
    <w:rsid w:val="008B2FB6"/>
    <w:rsid w:val="008D021F"/>
    <w:rsid w:val="008D122E"/>
    <w:rsid w:val="008E6FF1"/>
    <w:rsid w:val="00902FB0"/>
    <w:rsid w:val="00904681"/>
    <w:rsid w:val="00904DAE"/>
    <w:rsid w:val="00914A45"/>
    <w:rsid w:val="00930EED"/>
    <w:rsid w:val="00933317"/>
    <w:rsid w:val="00934EE6"/>
    <w:rsid w:val="0095205E"/>
    <w:rsid w:val="00956985"/>
    <w:rsid w:val="0096652B"/>
    <w:rsid w:val="009674CE"/>
    <w:rsid w:val="009822E9"/>
    <w:rsid w:val="009860C3"/>
    <w:rsid w:val="009927E6"/>
    <w:rsid w:val="00993806"/>
    <w:rsid w:val="009A4203"/>
    <w:rsid w:val="009A46AC"/>
    <w:rsid w:val="009B2021"/>
    <w:rsid w:val="009B5523"/>
    <w:rsid w:val="009E57C6"/>
    <w:rsid w:val="009E7246"/>
    <w:rsid w:val="009F5103"/>
    <w:rsid w:val="00A05D1F"/>
    <w:rsid w:val="00A14F66"/>
    <w:rsid w:val="00A2440B"/>
    <w:rsid w:val="00A26BF6"/>
    <w:rsid w:val="00A35671"/>
    <w:rsid w:val="00A4450E"/>
    <w:rsid w:val="00A515FD"/>
    <w:rsid w:val="00A5569D"/>
    <w:rsid w:val="00A855B5"/>
    <w:rsid w:val="00AB51AA"/>
    <w:rsid w:val="00AB634F"/>
    <w:rsid w:val="00AB720A"/>
    <w:rsid w:val="00AD4876"/>
    <w:rsid w:val="00AD680A"/>
    <w:rsid w:val="00AE2C99"/>
    <w:rsid w:val="00AF06C7"/>
    <w:rsid w:val="00AF1040"/>
    <w:rsid w:val="00B06BD1"/>
    <w:rsid w:val="00B123E7"/>
    <w:rsid w:val="00B17117"/>
    <w:rsid w:val="00B2131E"/>
    <w:rsid w:val="00B249C7"/>
    <w:rsid w:val="00B346CF"/>
    <w:rsid w:val="00B527B0"/>
    <w:rsid w:val="00B5785E"/>
    <w:rsid w:val="00B87BE3"/>
    <w:rsid w:val="00B95181"/>
    <w:rsid w:val="00BA0B5E"/>
    <w:rsid w:val="00BA2E54"/>
    <w:rsid w:val="00BB5F80"/>
    <w:rsid w:val="00BC18A5"/>
    <w:rsid w:val="00BC4486"/>
    <w:rsid w:val="00BC628D"/>
    <w:rsid w:val="00BC6EAF"/>
    <w:rsid w:val="00BD1D7F"/>
    <w:rsid w:val="00BD4A19"/>
    <w:rsid w:val="00BE45CD"/>
    <w:rsid w:val="00C05551"/>
    <w:rsid w:val="00C13B22"/>
    <w:rsid w:val="00C27E42"/>
    <w:rsid w:val="00C32171"/>
    <w:rsid w:val="00C46E62"/>
    <w:rsid w:val="00C53F1F"/>
    <w:rsid w:val="00C66D5E"/>
    <w:rsid w:val="00C84352"/>
    <w:rsid w:val="00C9511F"/>
    <w:rsid w:val="00CA1F3B"/>
    <w:rsid w:val="00CB2856"/>
    <w:rsid w:val="00CC6697"/>
    <w:rsid w:val="00CD4B85"/>
    <w:rsid w:val="00D012A0"/>
    <w:rsid w:val="00D0558A"/>
    <w:rsid w:val="00D06BF9"/>
    <w:rsid w:val="00D23735"/>
    <w:rsid w:val="00D32C0E"/>
    <w:rsid w:val="00D43C93"/>
    <w:rsid w:val="00D50BF5"/>
    <w:rsid w:val="00D6045E"/>
    <w:rsid w:val="00D6153B"/>
    <w:rsid w:val="00D6415B"/>
    <w:rsid w:val="00D72762"/>
    <w:rsid w:val="00DA25A5"/>
    <w:rsid w:val="00DB75D0"/>
    <w:rsid w:val="00DC725C"/>
    <w:rsid w:val="00DD74B6"/>
    <w:rsid w:val="00DF0B9B"/>
    <w:rsid w:val="00DF5487"/>
    <w:rsid w:val="00E074C2"/>
    <w:rsid w:val="00E20FBD"/>
    <w:rsid w:val="00E2458F"/>
    <w:rsid w:val="00E2730F"/>
    <w:rsid w:val="00E278F7"/>
    <w:rsid w:val="00E31833"/>
    <w:rsid w:val="00E32795"/>
    <w:rsid w:val="00E35944"/>
    <w:rsid w:val="00E360BC"/>
    <w:rsid w:val="00E42596"/>
    <w:rsid w:val="00E60CB6"/>
    <w:rsid w:val="00E63582"/>
    <w:rsid w:val="00E65175"/>
    <w:rsid w:val="00E7750B"/>
    <w:rsid w:val="00E8667D"/>
    <w:rsid w:val="00E90D1C"/>
    <w:rsid w:val="00EA7A24"/>
    <w:rsid w:val="00ED7C7E"/>
    <w:rsid w:val="00EE5E28"/>
    <w:rsid w:val="00F01BB6"/>
    <w:rsid w:val="00F0543A"/>
    <w:rsid w:val="00F32139"/>
    <w:rsid w:val="00F362A4"/>
    <w:rsid w:val="00F64A2A"/>
    <w:rsid w:val="00F73856"/>
    <w:rsid w:val="00F74C7F"/>
    <w:rsid w:val="00FC3833"/>
    <w:rsid w:val="00FD0DFE"/>
    <w:rsid w:val="00FD2295"/>
    <w:rsid w:val="00FE24DE"/>
    <w:rsid w:val="00FE66FC"/>
    <w:rsid w:val="00FF21C5"/>
    <w:rsid w:val="00FF28F2"/>
    <w:rsid w:val="00FF3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C35D-33B4-450B-AC8A-4D59BE6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6E"/>
    <w:pPr>
      <w:widowControl w:val="0"/>
      <w:jc w:val="both"/>
    </w:pPr>
    <w:rPr>
      <w:rFonts w:ascii="Times New Roman" w:eastAsia="SimSun" w:hAnsi="Times New Roman" w:cs="Times New Roman"/>
      <w:sz w:val="21"/>
      <w:szCs w:val="24"/>
      <w:lang w:eastAsia="zh-CN"/>
    </w:rPr>
  </w:style>
  <w:style w:type="paragraph" w:styleId="1">
    <w:name w:val="heading 1"/>
    <w:basedOn w:val="a"/>
    <w:next w:val="a"/>
    <w:link w:val="10"/>
    <w:qFormat/>
    <w:rsid w:val="000D2B6E"/>
    <w:pPr>
      <w:keepNext/>
      <w:widowControl/>
      <w:overflowPunct w:val="0"/>
      <w:autoSpaceDE w:val="0"/>
      <w:autoSpaceDN w:val="0"/>
      <w:adjustRightInd w:val="0"/>
      <w:spacing w:after="160" w:line="280" w:lineRule="exact"/>
      <w:textAlignment w:val="baseline"/>
      <w:outlineLvl w:val="0"/>
    </w:pPr>
    <w:rPr>
      <w:b/>
      <w:bCs/>
      <w:kern w:val="0"/>
      <w:sz w:val="22"/>
      <w:szCs w:val="22"/>
      <w:lang w:val="en-GB"/>
    </w:rPr>
  </w:style>
  <w:style w:type="paragraph" w:styleId="20">
    <w:name w:val="heading 2"/>
    <w:basedOn w:val="a"/>
    <w:next w:val="a"/>
    <w:link w:val="21"/>
    <w:qFormat/>
    <w:rsid w:val="000D2B6E"/>
    <w:pPr>
      <w:keepNext/>
      <w:jc w:val="center"/>
      <w:outlineLvl w:val="1"/>
    </w:pPr>
    <w:rPr>
      <w:spacing w:val="-20"/>
      <w:sz w:val="40"/>
      <w:szCs w:val="40"/>
    </w:rPr>
  </w:style>
  <w:style w:type="paragraph" w:styleId="3">
    <w:name w:val="heading 3"/>
    <w:basedOn w:val="a"/>
    <w:next w:val="a"/>
    <w:link w:val="30"/>
    <w:qFormat/>
    <w:rsid w:val="000D2B6E"/>
    <w:pPr>
      <w:keepNext/>
      <w:spacing w:after="120" w:line="220" w:lineRule="exact"/>
      <w:outlineLvl w:val="2"/>
    </w:pPr>
    <w:rPr>
      <w:b/>
      <w:color w:val="000000"/>
      <w:sz w:val="22"/>
      <w:szCs w:val="22"/>
    </w:rPr>
  </w:style>
  <w:style w:type="paragraph" w:styleId="4">
    <w:name w:val="heading 4"/>
    <w:basedOn w:val="a"/>
    <w:next w:val="a"/>
    <w:link w:val="40"/>
    <w:qFormat/>
    <w:rsid w:val="000D2B6E"/>
    <w:pPr>
      <w:keepNext/>
      <w:ind w:firstLine="284"/>
      <w:outlineLvl w:val="3"/>
    </w:pPr>
    <w:rPr>
      <w:b/>
      <w:bCs/>
      <w:sz w:val="18"/>
    </w:rPr>
  </w:style>
  <w:style w:type="paragraph" w:styleId="5">
    <w:name w:val="heading 5"/>
    <w:basedOn w:val="a"/>
    <w:next w:val="a"/>
    <w:link w:val="50"/>
    <w:qFormat/>
    <w:rsid w:val="000D2B6E"/>
    <w:pPr>
      <w:keepNext/>
      <w:widowControl/>
      <w:overflowPunct w:val="0"/>
      <w:autoSpaceDE w:val="0"/>
      <w:autoSpaceDN w:val="0"/>
      <w:adjustRightInd w:val="0"/>
      <w:spacing w:after="160" w:line="280" w:lineRule="exact"/>
      <w:textAlignment w:val="baseline"/>
      <w:outlineLvl w:val="4"/>
    </w:pPr>
    <w:rPr>
      <w:i/>
      <w:iCs/>
      <w:kern w:val="0"/>
      <w:sz w:val="22"/>
      <w:szCs w:val="22"/>
      <w:lang w:val="en-GB"/>
    </w:rPr>
  </w:style>
  <w:style w:type="paragraph" w:styleId="6">
    <w:name w:val="heading 6"/>
    <w:basedOn w:val="a"/>
    <w:next w:val="a"/>
    <w:link w:val="60"/>
    <w:qFormat/>
    <w:rsid w:val="000D2B6E"/>
    <w:pPr>
      <w:keepNext/>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D2B6E"/>
    <w:rPr>
      <w:rFonts w:ascii="Times New Roman" w:eastAsia="SimSun" w:hAnsi="Times New Roman" w:cs="Times New Roman"/>
      <w:b/>
      <w:bCs/>
      <w:kern w:val="0"/>
      <w:sz w:val="22"/>
      <w:lang w:val="en-GB" w:eastAsia="zh-CN"/>
    </w:rPr>
  </w:style>
  <w:style w:type="character" w:customStyle="1" w:styleId="21">
    <w:name w:val="標題 2 字元"/>
    <w:basedOn w:val="a0"/>
    <w:link w:val="20"/>
    <w:rsid w:val="000D2B6E"/>
    <w:rPr>
      <w:rFonts w:ascii="Times New Roman" w:eastAsia="SimSun" w:hAnsi="Times New Roman" w:cs="Times New Roman"/>
      <w:spacing w:val="-20"/>
      <w:sz w:val="40"/>
      <w:szCs w:val="40"/>
      <w:lang w:eastAsia="zh-CN"/>
    </w:rPr>
  </w:style>
  <w:style w:type="character" w:customStyle="1" w:styleId="30">
    <w:name w:val="標題 3 字元"/>
    <w:basedOn w:val="a0"/>
    <w:link w:val="3"/>
    <w:rsid w:val="000D2B6E"/>
    <w:rPr>
      <w:rFonts w:ascii="Times New Roman" w:eastAsia="SimSun" w:hAnsi="Times New Roman" w:cs="Times New Roman"/>
      <w:b/>
      <w:color w:val="000000"/>
      <w:sz w:val="22"/>
      <w:lang w:eastAsia="zh-CN"/>
    </w:rPr>
  </w:style>
  <w:style w:type="character" w:customStyle="1" w:styleId="40">
    <w:name w:val="標題 4 字元"/>
    <w:basedOn w:val="a0"/>
    <w:link w:val="4"/>
    <w:rsid w:val="000D2B6E"/>
    <w:rPr>
      <w:rFonts w:ascii="Times New Roman" w:eastAsia="SimSun" w:hAnsi="Times New Roman" w:cs="Times New Roman"/>
      <w:b/>
      <w:bCs/>
      <w:sz w:val="18"/>
      <w:szCs w:val="24"/>
      <w:lang w:eastAsia="zh-CN"/>
    </w:rPr>
  </w:style>
  <w:style w:type="character" w:customStyle="1" w:styleId="50">
    <w:name w:val="標題 5 字元"/>
    <w:basedOn w:val="a0"/>
    <w:link w:val="5"/>
    <w:rsid w:val="000D2B6E"/>
    <w:rPr>
      <w:rFonts w:ascii="Times New Roman" w:eastAsia="SimSun" w:hAnsi="Times New Roman" w:cs="Times New Roman"/>
      <w:i/>
      <w:iCs/>
      <w:kern w:val="0"/>
      <w:sz w:val="22"/>
      <w:lang w:val="en-GB" w:eastAsia="zh-CN"/>
    </w:rPr>
  </w:style>
  <w:style w:type="character" w:customStyle="1" w:styleId="60">
    <w:name w:val="標題 6 字元"/>
    <w:basedOn w:val="a0"/>
    <w:link w:val="6"/>
    <w:rsid w:val="000D2B6E"/>
    <w:rPr>
      <w:rFonts w:ascii="Times New Roman" w:eastAsia="SimSun" w:hAnsi="Times New Roman" w:cs="Times New Roman"/>
      <w:i/>
      <w:iCs/>
      <w:sz w:val="20"/>
      <w:szCs w:val="24"/>
      <w:lang w:eastAsia="zh-CN"/>
    </w:rPr>
  </w:style>
  <w:style w:type="paragraph" w:styleId="a3">
    <w:name w:val="header"/>
    <w:basedOn w:val="a"/>
    <w:link w:val="a4"/>
    <w:uiPriority w:val="99"/>
    <w:rsid w:val="000D2B6E"/>
    <w:pPr>
      <w:pBdr>
        <w:bottom w:val="single" w:sz="6" w:space="1" w:color="auto"/>
      </w:pBdr>
      <w:tabs>
        <w:tab w:val="center" w:pos="4153"/>
        <w:tab w:val="right" w:pos="8306"/>
      </w:tabs>
      <w:snapToGrid w:val="0"/>
      <w:jc w:val="center"/>
    </w:pPr>
    <w:rPr>
      <w:sz w:val="18"/>
      <w:szCs w:val="18"/>
    </w:rPr>
  </w:style>
  <w:style w:type="character" w:customStyle="1" w:styleId="a4">
    <w:name w:val="頁首 字元"/>
    <w:link w:val="a3"/>
    <w:uiPriority w:val="99"/>
    <w:rsid w:val="000D2B6E"/>
    <w:rPr>
      <w:rFonts w:ascii="Times New Roman" w:eastAsia="SimSun" w:hAnsi="Times New Roman" w:cs="Times New Roman"/>
      <w:sz w:val="18"/>
      <w:szCs w:val="18"/>
      <w:lang w:eastAsia="zh-CN"/>
    </w:rPr>
  </w:style>
  <w:style w:type="paragraph" w:styleId="a5">
    <w:name w:val="footer"/>
    <w:basedOn w:val="a"/>
    <w:link w:val="a6"/>
    <w:uiPriority w:val="99"/>
    <w:rsid w:val="000D2B6E"/>
    <w:pPr>
      <w:tabs>
        <w:tab w:val="center" w:pos="4153"/>
        <w:tab w:val="right" w:pos="8306"/>
      </w:tabs>
      <w:snapToGrid w:val="0"/>
      <w:jc w:val="left"/>
    </w:pPr>
    <w:rPr>
      <w:sz w:val="18"/>
      <w:szCs w:val="18"/>
    </w:rPr>
  </w:style>
  <w:style w:type="character" w:customStyle="1" w:styleId="a6">
    <w:name w:val="頁尾 字元"/>
    <w:link w:val="a5"/>
    <w:uiPriority w:val="99"/>
    <w:rsid w:val="000D2B6E"/>
    <w:rPr>
      <w:rFonts w:ascii="Times New Roman" w:eastAsia="SimSun" w:hAnsi="Times New Roman" w:cs="Times New Roman"/>
      <w:sz w:val="18"/>
      <w:szCs w:val="18"/>
      <w:lang w:eastAsia="zh-CN"/>
    </w:rPr>
  </w:style>
  <w:style w:type="character" w:styleId="a7">
    <w:name w:val="page number"/>
    <w:basedOn w:val="a0"/>
    <w:rsid w:val="000D2B6E"/>
  </w:style>
  <w:style w:type="paragraph" w:customStyle="1" w:styleId="HHeaderspecial2">
    <w:name w:val="HHeader special 2"/>
    <w:basedOn w:val="a"/>
    <w:rsid w:val="000D2B6E"/>
    <w:pPr>
      <w:widowControl/>
      <w:overflowPunct w:val="0"/>
      <w:autoSpaceDE w:val="0"/>
      <w:autoSpaceDN w:val="0"/>
      <w:adjustRightInd w:val="0"/>
      <w:spacing w:after="260" w:line="260" w:lineRule="atLeast"/>
      <w:textAlignment w:val="baseline"/>
    </w:pPr>
    <w:rPr>
      <w:rFonts w:ascii="Arial" w:hAnsi="Arial"/>
      <w:b/>
      <w:kern w:val="0"/>
      <w:sz w:val="36"/>
      <w:szCs w:val="20"/>
      <w:lang w:val="en-GB" w:eastAsia="en-US"/>
    </w:rPr>
  </w:style>
  <w:style w:type="paragraph" w:styleId="a8">
    <w:name w:val="footnote text"/>
    <w:basedOn w:val="a"/>
    <w:link w:val="a9"/>
    <w:semiHidden/>
    <w:rsid w:val="000D2B6E"/>
    <w:pPr>
      <w:snapToGrid w:val="0"/>
      <w:jc w:val="left"/>
    </w:pPr>
    <w:rPr>
      <w:sz w:val="18"/>
      <w:szCs w:val="18"/>
    </w:rPr>
  </w:style>
  <w:style w:type="character" w:customStyle="1" w:styleId="a9">
    <w:name w:val="註腳文字 字元"/>
    <w:basedOn w:val="a0"/>
    <w:link w:val="a8"/>
    <w:semiHidden/>
    <w:rsid w:val="000D2B6E"/>
    <w:rPr>
      <w:rFonts w:ascii="Times New Roman" w:eastAsia="SimSun" w:hAnsi="Times New Roman" w:cs="Times New Roman"/>
      <w:sz w:val="18"/>
      <w:szCs w:val="18"/>
      <w:lang w:eastAsia="zh-CN"/>
    </w:rPr>
  </w:style>
  <w:style w:type="character" w:styleId="aa">
    <w:name w:val="footnote reference"/>
    <w:semiHidden/>
    <w:rsid w:val="000D2B6E"/>
    <w:rPr>
      <w:vertAlign w:val="superscript"/>
    </w:rPr>
  </w:style>
  <w:style w:type="paragraph" w:styleId="ab">
    <w:name w:val="Document Map"/>
    <w:basedOn w:val="a"/>
    <w:link w:val="ac"/>
    <w:rsid w:val="000D2B6E"/>
    <w:pPr>
      <w:shd w:val="clear" w:color="auto" w:fill="000080"/>
    </w:pPr>
  </w:style>
  <w:style w:type="character" w:customStyle="1" w:styleId="ac">
    <w:name w:val="文件引導模式 字元"/>
    <w:link w:val="ab"/>
    <w:rsid w:val="000D2B6E"/>
    <w:rPr>
      <w:rFonts w:ascii="Times New Roman" w:eastAsia="SimSun" w:hAnsi="Times New Roman" w:cs="Times New Roman"/>
      <w:sz w:val="21"/>
      <w:szCs w:val="24"/>
      <w:shd w:val="clear" w:color="auto" w:fill="000080"/>
      <w:lang w:eastAsia="zh-CN"/>
    </w:rPr>
  </w:style>
  <w:style w:type="character" w:styleId="ad">
    <w:name w:val="Strong"/>
    <w:qFormat/>
    <w:rsid w:val="000D2B6E"/>
    <w:rPr>
      <w:b/>
      <w:bCs/>
    </w:rPr>
  </w:style>
  <w:style w:type="paragraph" w:styleId="ae">
    <w:name w:val="Body Text Indent"/>
    <w:basedOn w:val="a"/>
    <w:link w:val="af"/>
    <w:rsid w:val="000D2B6E"/>
    <w:pPr>
      <w:ind w:firstLine="425"/>
      <w:jc w:val="left"/>
    </w:pPr>
    <w:rPr>
      <w:sz w:val="28"/>
      <w:szCs w:val="20"/>
    </w:rPr>
  </w:style>
  <w:style w:type="character" w:customStyle="1" w:styleId="af">
    <w:name w:val="本文縮排 字元"/>
    <w:link w:val="ae"/>
    <w:rsid w:val="000D2B6E"/>
    <w:rPr>
      <w:rFonts w:ascii="Times New Roman" w:eastAsia="SimSun" w:hAnsi="Times New Roman" w:cs="Times New Roman"/>
      <w:sz w:val="28"/>
      <w:szCs w:val="20"/>
      <w:lang w:eastAsia="zh-CN"/>
    </w:rPr>
  </w:style>
  <w:style w:type="paragraph" w:styleId="22">
    <w:name w:val="Body Text Indent 2"/>
    <w:basedOn w:val="a"/>
    <w:link w:val="23"/>
    <w:rsid w:val="000D2B6E"/>
    <w:pPr>
      <w:spacing w:after="120" w:line="480" w:lineRule="auto"/>
      <w:ind w:leftChars="200" w:left="420"/>
    </w:pPr>
  </w:style>
  <w:style w:type="character" w:customStyle="1" w:styleId="23">
    <w:name w:val="本文縮排 2 字元"/>
    <w:basedOn w:val="a0"/>
    <w:link w:val="22"/>
    <w:rsid w:val="000D2B6E"/>
    <w:rPr>
      <w:rFonts w:ascii="Times New Roman" w:eastAsia="SimSun" w:hAnsi="Times New Roman" w:cs="Times New Roman"/>
      <w:sz w:val="21"/>
      <w:szCs w:val="24"/>
      <w:lang w:eastAsia="zh-CN"/>
    </w:rPr>
  </w:style>
  <w:style w:type="paragraph" w:styleId="af0">
    <w:name w:val="Title"/>
    <w:basedOn w:val="a"/>
    <w:link w:val="af1"/>
    <w:qFormat/>
    <w:rsid w:val="000D2B6E"/>
    <w:pPr>
      <w:jc w:val="center"/>
    </w:pPr>
    <w:rPr>
      <w:sz w:val="40"/>
      <w:szCs w:val="40"/>
    </w:rPr>
  </w:style>
  <w:style w:type="character" w:customStyle="1" w:styleId="af1">
    <w:name w:val="標題 字元"/>
    <w:basedOn w:val="a0"/>
    <w:link w:val="af0"/>
    <w:rsid w:val="000D2B6E"/>
    <w:rPr>
      <w:rFonts w:ascii="Times New Roman" w:eastAsia="SimSun" w:hAnsi="Times New Roman" w:cs="Times New Roman"/>
      <w:sz w:val="40"/>
      <w:szCs w:val="40"/>
      <w:lang w:eastAsia="zh-CN"/>
    </w:rPr>
  </w:style>
  <w:style w:type="character" w:customStyle="1" w:styleId="1Char">
    <w:name w:val="标题 1 Char"/>
    <w:rsid w:val="000D2B6E"/>
    <w:rPr>
      <w:rFonts w:eastAsia="SimSun"/>
      <w:b/>
      <w:bCs/>
      <w:kern w:val="44"/>
      <w:sz w:val="44"/>
      <w:szCs w:val="44"/>
      <w:lang w:val="en-US" w:eastAsia="zh-CN" w:bidi="ar-SA"/>
    </w:rPr>
  </w:style>
  <w:style w:type="paragraph" w:styleId="Web">
    <w:name w:val="Normal (Web)"/>
    <w:basedOn w:val="a"/>
    <w:uiPriority w:val="99"/>
    <w:rsid w:val="000D2B6E"/>
    <w:pPr>
      <w:widowControl/>
      <w:spacing w:before="100" w:beforeAutospacing="1" w:after="100" w:afterAutospacing="1"/>
      <w:jc w:val="left"/>
    </w:pPr>
    <w:rPr>
      <w:rFonts w:ascii="SimSun" w:hAnsi="SimSun"/>
      <w:color w:val="000000"/>
      <w:kern w:val="0"/>
      <w:sz w:val="24"/>
    </w:rPr>
  </w:style>
  <w:style w:type="paragraph" w:styleId="24">
    <w:name w:val="Body Text 2"/>
    <w:basedOn w:val="a"/>
    <w:link w:val="25"/>
    <w:rsid w:val="000D2B6E"/>
    <w:pPr>
      <w:spacing w:after="160" w:line="280" w:lineRule="exact"/>
      <w:jc w:val="left"/>
    </w:pPr>
    <w:rPr>
      <w:sz w:val="22"/>
      <w:szCs w:val="21"/>
    </w:rPr>
  </w:style>
  <w:style w:type="character" w:customStyle="1" w:styleId="25">
    <w:name w:val="本文 2 字元"/>
    <w:basedOn w:val="a0"/>
    <w:link w:val="24"/>
    <w:rsid w:val="000D2B6E"/>
    <w:rPr>
      <w:rFonts w:ascii="Times New Roman" w:eastAsia="SimSun" w:hAnsi="Times New Roman" w:cs="Times New Roman"/>
      <w:sz w:val="22"/>
      <w:szCs w:val="21"/>
      <w:lang w:eastAsia="zh-CN"/>
    </w:rPr>
  </w:style>
  <w:style w:type="paragraph" w:customStyle="1" w:styleId="Abstract">
    <w:name w:val="Abstract"/>
    <w:basedOn w:val="af2"/>
    <w:rsid w:val="000D2B6E"/>
    <w:pPr>
      <w:widowControl/>
      <w:overflowPunct w:val="0"/>
      <w:autoSpaceDE w:val="0"/>
      <w:autoSpaceDN w:val="0"/>
      <w:adjustRightInd w:val="0"/>
      <w:ind w:left="567" w:right="567"/>
      <w:jc w:val="both"/>
      <w:textAlignment w:val="baseline"/>
    </w:pPr>
    <w:rPr>
      <w:rFonts w:eastAsia="新細明體"/>
      <w:bCs w:val="0"/>
      <w:kern w:val="0"/>
      <w:sz w:val="20"/>
      <w:szCs w:val="20"/>
      <w:lang w:eastAsia="en-US"/>
    </w:rPr>
  </w:style>
  <w:style w:type="paragraph" w:styleId="af2">
    <w:name w:val="Body Text"/>
    <w:basedOn w:val="a"/>
    <w:link w:val="af3"/>
    <w:rsid w:val="000D2B6E"/>
    <w:pPr>
      <w:jc w:val="center"/>
    </w:pPr>
    <w:rPr>
      <w:bCs/>
    </w:rPr>
  </w:style>
  <w:style w:type="character" w:customStyle="1" w:styleId="af3">
    <w:name w:val="本文 字元"/>
    <w:link w:val="af2"/>
    <w:rsid w:val="000D2B6E"/>
    <w:rPr>
      <w:rFonts w:ascii="Times New Roman" w:eastAsia="SimSun" w:hAnsi="Times New Roman" w:cs="Times New Roman"/>
      <w:bCs/>
      <w:sz w:val="21"/>
      <w:szCs w:val="24"/>
      <w:lang w:eastAsia="zh-CN"/>
    </w:rPr>
  </w:style>
  <w:style w:type="character" w:customStyle="1" w:styleId="MSPMincho">
    <w:name w:val="样式 (中文) MS PMincho"/>
    <w:rsid w:val="000D2B6E"/>
    <w:rPr>
      <w:rFonts w:eastAsia="Times New Roman"/>
    </w:rPr>
  </w:style>
  <w:style w:type="character" w:customStyle="1" w:styleId="f281">
    <w:name w:val="f281"/>
    <w:rsid w:val="000D2B6E"/>
    <w:rPr>
      <w:sz w:val="18"/>
      <w:szCs w:val="18"/>
    </w:rPr>
  </w:style>
  <w:style w:type="paragraph" w:styleId="af4">
    <w:name w:val="endnote text"/>
    <w:basedOn w:val="a"/>
    <w:link w:val="af5"/>
    <w:semiHidden/>
    <w:rsid w:val="000D2B6E"/>
    <w:pPr>
      <w:snapToGrid w:val="0"/>
      <w:jc w:val="left"/>
    </w:pPr>
  </w:style>
  <w:style w:type="character" w:customStyle="1" w:styleId="af5">
    <w:name w:val="章節附註文字 字元"/>
    <w:basedOn w:val="a0"/>
    <w:link w:val="af4"/>
    <w:semiHidden/>
    <w:rsid w:val="000D2B6E"/>
    <w:rPr>
      <w:rFonts w:ascii="Times New Roman" w:eastAsia="SimSun" w:hAnsi="Times New Roman" w:cs="Times New Roman"/>
      <w:sz w:val="21"/>
      <w:szCs w:val="24"/>
      <w:lang w:eastAsia="zh-CN"/>
    </w:rPr>
  </w:style>
  <w:style w:type="paragraph" w:styleId="31">
    <w:name w:val="Body Text 3"/>
    <w:basedOn w:val="a"/>
    <w:link w:val="32"/>
    <w:rsid w:val="000D2B6E"/>
    <w:pPr>
      <w:spacing w:after="160" w:line="280" w:lineRule="exact"/>
    </w:pPr>
    <w:rPr>
      <w:i/>
      <w:iCs/>
      <w:sz w:val="22"/>
    </w:rPr>
  </w:style>
  <w:style w:type="character" w:customStyle="1" w:styleId="32">
    <w:name w:val="本文 3 字元"/>
    <w:basedOn w:val="a0"/>
    <w:link w:val="31"/>
    <w:rsid w:val="000D2B6E"/>
    <w:rPr>
      <w:rFonts w:ascii="Times New Roman" w:eastAsia="SimSun" w:hAnsi="Times New Roman" w:cs="Times New Roman"/>
      <w:i/>
      <w:iCs/>
      <w:sz w:val="22"/>
      <w:szCs w:val="24"/>
      <w:lang w:eastAsia="zh-CN"/>
    </w:rPr>
  </w:style>
  <w:style w:type="character" w:styleId="af6">
    <w:name w:val="Hyperlink"/>
    <w:rsid w:val="000D2B6E"/>
    <w:rPr>
      <w:color w:val="0000FF"/>
      <w:u w:val="single"/>
    </w:rPr>
  </w:style>
  <w:style w:type="numbering" w:customStyle="1" w:styleId="11">
    <w:name w:val="无列表1"/>
    <w:next w:val="a2"/>
    <w:semiHidden/>
    <w:rsid w:val="000D2B6E"/>
  </w:style>
  <w:style w:type="paragraph" w:customStyle="1" w:styleId="AuthorNames">
    <w:name w:val="Author Names"/>
    <w:basedOn w:val="a"/>
    <w:next w:val="AuthorAffiliations"/>
    <w:rsid w:val="000D2B6E"/>
    <w:pPr>
      <w:widowControl/>
      <w:jc w:val="center"/>
    </w:pPr>
    <w:rPr>
      <w:kern w:val="0"/>
      <w:sz w:val="20"/>
      <w:szCs w:val="20"/>
      <w:lang w:eastAsia="en-US"/>
    </w:rPr>
  </w:style>
  <w:style w:type="paragraph" w:customStyle="1" w:styleId="Nomenclature">
    <w:name w:val="Nomenclature"/>
    <w:basedOn w:val="a"/>
    <w:rsid w:val="000D2B6E"/>
    <w:pPr>
      <w:tabs>
        <w:tab w:val="left" w:pos="864"/>
        <w:tab w:val="left" w:pos="1152"/>
      </w:tabs>
    </w:pPr>
    <w:rPr>
      <w:kern w:val="0"/>
      <w:sz w:val="20"/>
      <w:szCs w:val="20"/>
      <w:lang w:eastAsia="en-US"/>
    </w:rPr>
  </w:style>
  <w:style w:type="paragraph" w:customStyle="1" w:styleId="AuthorAffiliations">
    <w:name w:val="Author Affiliations"/>
    <w:basedOn w:val="a"/>
    <w:next w:val="AuthorNames"/>
    <w:rsid w:val="000D2B6E"/>
    <w:pPr>
      <w:widowControl/>
      <w:spacing w:after="240"/>
      <w:jc w:val="center"/>
    </w:pPr>
    <w:rPr>
      <w:i/>
      <w:iCs/>
      <w:kern w:val="0"/>
      <w:sz w:val="20"/>
      <w:szCs w:val="20"/>
      <w:lang w:eastAsia="en-US"/>
    </w:rPr>
  </w:style>
  <w:style w:type="paragraph" w:customStyle="1" w:styleId="Text">
    <w:name w:val="Text"/>
    <w:basedOn w:val="a"/>
    <w:rsid w:val="000D2B6E"/>
    <w:pPr>
      <w:widowControl/>
      <w:tabs>
        <w:tab w:val="left" w:pos="288"/>
      </w:tabs>
      <w:ind w:firstLine="288"/>
    </w:pPr>
    <w:rPr>
      <w:kern w:val="0"/>
      <w:sz w:val="20"/>
      <w:szCs w:val="20"/>
      <w:lang w:eastAsia="en-US"/>
    </w:rPr>
  </w:style>
  <w:style w:type="paragraph" w:customStyle="1" w:styleId="Equation">
    <w:name w:val="Equation"/>
    <w:basedOn w:val="a"/>
    <w:next w:val="Text"/>
    <w:autoRedefine/>
    <w:rsid w:val="000D2B6E"/>
    <w:pPr>
      <w:widowControl/>
      <w:tabs>
        <w:tab w:val="center" w:pos="4680"/>
        <w:tab w:val="right" w:pos="9360"/>
      </w:tabs>
      <w:spacing w:before="240" w:after="240"/>
    </w:pPr>
    <w:rPr>
      <w:kern w:val="0"/>
      <w:sz w:val="20"/>
      <w:szCs w:val="20"/>
      <w:lang w:eastAsia="en-US"/>
    </w:rPr>
  </w:style>
  <w:style w:type="paragraph" w:customStyle="1" w:styleId="BibliographicalReferenceNumbers">
    <w:name w:val="Bibliographical Reference Numbers"/>
    <w:basedOn w:val="a"/>
    <w:next w:val="Text"/>
    <w:rsid w:val="000D2B6E"/>
    <w:pPr>
      <w:widowControl/>
    </w:pPr>
    <w:rPr>
      <w:kern w:val="0"/>
      <w:sz w:val="20"/>
      <w:szCs w:val="20"/>
      <w:vertAlign w:val="superscript"/>
      <w:lang w:eastAsia="en-US"/>
    </w:rPr>
  </w:style>
  <w:style w:type="paragraph" w:customStyle="1" w:styleId="Figure">
    <w:name w:val="Figure"/>
    <w:basedOn w:val="a"/>
    <w:next w:val="Text"/>
    <w:rsid w:val="000D2B6E"/>
    <w:pPr>
      <w:framePr w:hSpace="187" w:vSpace="187" w:wrap="auto" w:vAnchor="text" w:hAnchor="text" w:y="1"/>
      <w:widowControl/>
    </w:pPr>
    <w:rPr>
      <w:b/>
      <w:bCs/>
      <w:kern w:val="0"/>
      <w:sz w:val="20"/>
      <w:szCs w:val="20"/>
      <w:lang w:eastAsia="en-US"/>
    </w:rPr>
  </w:style>
  <w:style w:type="paragraph" w:customStyle="1" w:styleId="References">
    <w:name w:val="References"/>
    <w:basedOn w:val="a"/>
    <w:rsid w:val="000D2B6E"/>
    <w:pPr>
      <w:widowControl/>
      <w:ind w:firstLine="288"/>
    </w:pPr>
    <w:rPr>
      <w:kern w:val="0"/>
      <w:sz w:val="18"/>
      <w:szCs w:val="18"/>
      <w:lang w:eastAsia="en-US"/>
    </w:rPr>
  </w:style>
  <w:style w:type="paragraph" w:customStyle="1" w:styleId="Footnote">
    <w:name w:val="Footnote"/>
    <w:basedOn w:val="a"/>
    <w:rsid w:val="000D2B6E"/>
    <w:pPr>
      <w:widowControl/>
    </w:pPr>
    <w:rPr>
      <w:kern w:val="0"/>
      <w:sz w:val="20"/>
      <w:szCs w:val="20"/>
      <w:lang w:eastAsia="en-US"/>
    </w:rPr>
  </w:style>
  <w:style w:type="character" w:styleId="af7">
    <w:name w:val="FollowedHyperlink"/>
    <w:rsid w:val="000D2B6E"/>
    <w:rPr>
      <w:color w:val="800080"/>
      <w:u w:val="single"/>
    </w:rPr>
  </w:style>
  <w:style w:type="paragraph" w:customStyle="1" w:styleId="text0">
    <w:name w:val="text"/>
    <w:basedOn w:val="a"/>
    <w:rsid w:val="000D2B6E"/>
    <w:pPr>
      <w:widowControl/>
      <w:ind w:firstLine="288"/>
    </w:pPr>
    <w:rPr>
      <w:kern w:val="0"/>
      <w:sz w:val="20"/>
      <w:szCs w:val="20"/>
      <w:lang w:eastAsia="en-US"/>
    </w:rPr>
  </w:style>
  <w:style w:type="paragraph" w:customStyle="1" w:styleId="ExtendedQuote">
    <w:name w:val="Extended Quote"/>
    <w:basedOn w:val="Text"/>
    <w:rsid w:val="000D2B6E"/>
    <w:pPr>
      <w:ind w:left="576" w:firstLine="0"/>
    </w:pPr>
    <w:rPr>
      <w:sz w:val="18"/>
      <w:szCs w:val="18"/>
    </w:rPr>
  </w:style>
  <w:style w:type="character" w:customStyle="1" w:styleId="msoins0">
    <w:name w:val="msoins"/>
    <w:rsid w:val="000D2B6E"/>
    <w:rPr>
      <w:u w:val="single"/>
    </w:rPr>
  </w:style>
  <w:style w:type="paragraph" w:customStyle="1" w:styleId="BAnormal">
    <w:name w:val="BA normal"/>
    <w:basedOn w:val="a"/>
    <w:rsid w:val="000D2B6E"/>
    <w:pPr>
      <w:widowControl/>
      <w:jc w:val="left"/>
    </w:pPr>
    <w:rPr>
      <w:rFonts w:ascii="Book Antiqua" w:hAnsi="Book Antiqua"/>
      <w:kern w:val="0"/>
      <w:sz w:val="24"/>
      <w:lang w:eastAsia="en-US"/>
    </w:rPr>
  </w:style>
  <w:style w:type="paragraph" w:styleId="af8">
    <w:name w:val="Body Text First Indent"/>
    <w:basedOn w:val="a"/>
    <w:link w:val="af9"/>
    <w:rsid w:val="000D2B6E"/>
    <w:pPr>
      <w:widowControl/>
      <w:spacing w:after="120"/>
      <w:ind w:firstLine="720"/>
      <w:jc w:val="left"/>
    </w:pPr>
    <w:rPr>
      <w:rFonts w:ascii="Arial" w:hAnsi="Arial" w:cs="Arial"/>
      <w:kern w:val="0"/>
      <w:sz w:val="20"/>
      <w:szCs w:val="20"/>
      <w:lang w:eastAsia="en-US"/>
    </w:rPr>
  </w:style>
  <w:style w:type="character" w:customStyle="1" w:styleId="af9">
    <w:name w:val="本文第一層縮排 字元"/>
    <w:basedOn w:val="af3"/>
    <w:link w:val="af8"/>
    <w:rsid w:val="000D2B6E"/>
    <w:rPr>
      <w:rFonts w:ascii="Arial" w:eastAsia="SimSun" w:hAnsi="Arial" w:cs="Arial"/>
      <w:bCs w:val="0"/>
      <w:kern w:val="0"/>
      <w:sz w:val="20"/>
      <w:szCs w:val="20"/>
      <w:lang w:eastAsia="en-US"/>
    </w:rPr>
  </w:style>
  <w:style w:type="character" w:customStyle="1" w:styleId="Char">
    <w:name w:val="正文首行缩进 Char"/>
    <w:basedOn w:val="af3"/>
    <w:rsid w:val="000D2B6E"/>
    <w:rPr>
      <w:rFonts w:ascii="Times New Roman" w:eastAsia="SimSun" w:hAnsi="Times New Roman" w:cs="Times New Roman"/>
      <w:bCs/>
      <w:sz w:val="21"/>
      <w:szCs w:val="24"/>
      <w:lang w:eastAsia="zh-CN"/>
    </w:rPr>
  </w:style>
  <w:style w:type="paragraph" w:customStyle="1" w:styleId="StyleBodyTextFirstIndentTimesNewRomanJustified">
    <w:name w:val="Style Body Text First Indent + Times New Roman Justified"/>
    <w:basedOn w:val="af8"/>
    <w:autoRedefine/>
    <w:rsid w:val="000D2B6E"/>
    <w:pPr>
      <w:jc w:val="both"/>
    </w:pPr>
    <w:rPr>
      <w:rFonts w:ascii="Times New Roman" w:hAnsi="Times New Roman" w:cs="Times New Roman"/>
    </w:rPr>
  </w:style>
  <w:style w:type="character" w:customStyle="1" w:styleId="BodyTextFirstIndentChar">
    <w:name w:val="Body Text First Indent Char"/>
    <w:rsid w:val="000D2B6E"/>
    <w:rPr>
      <w:rFonts w:ascii="Arial" w:hAnsi="Arial" w:cs="Arial"/>
      <w:lang w:val="en-US" w:eastAsia="en-US" w:bidi="ar-SA"/>
    </w:rPr>
  </w:style>
  <w:style w:type="character" w:customStyle="1" w:styleId="EquationCaption">
    <w:name w:val="_Equation Caption"/>
    <w:rsid w:val="000D2B6E"/>
  </w:style>
  <w:style w:type="character" w:customStyle="1" w:styleId="MTEquationSection">
    <w:name w:val="MTEquationSection"/>
    <w:rsid w:val="000D2B6E"/>
    <w:rPr>
      <w:vanish/>
      <w:color w:val="FF0000"/>
      <w:spacing w:val="-3"/>
    </w:rPr>
  </w:style>
  <w:style w:type="paragraph" w:customStyle="1" w:styleId="MTDisplayEquation">
    <w:name w:val="MTDisplayEquation"/>
    <w:basedOn w:val="a"/>
    <w:next w:val="a"/>
    <w:rsid w:val="000D2B6E"/>
    <w:pPr>
      <w:widowControl/>
      <w:tabs>
        <w:tab w:val="center" w:pos="4320"/>
        <w:tab w:val="right" w:pos="8640"/>
      </w:tabs>
      <w:spacing w:line="480" w:lineRule="atLeast"/>
    </w:pPr>
    <w:rPr>
      <w:rFonts w:eastAsia="MS Mincho"/>
      <w:kern w:val="0"/>
      <w:sz w:val="24"/>
      <w:lang w:eastAsia="ja-JP"/>
    </w:rPr>
  </w:style>
  <w:style w:type="paragraph" w:styleId="afa">
    <w:name w:val="Balloon Text"/>
    <w:basedOn w:val="a"/>
    <w:link w:val="afb"/>
    <w:rsid w:val="000D2B6E"/>
    <w:pPr>
      <w:widowControl/>
      <w:jc w:val="left"/>
    </w:pPr>
    <w:rPr>
      <w:rFonts w:ascii="Tahoma" w:eastAsia="MS Mincho" w:hAnsi="Tahoma"/>
      <w:kern w:val="0"/>
      <w:sz w:val="16"/>
      <w:szCs w:val="16"/>
      <w:lang w:eastAsia="ja-JP"/>
    </w:rPr>
  </w:style>
  <w:style w:type="character" w:customStyle="1" w:styleId="afb">
    <w:name w:val="註解方塊文字 字元"/>
    <w:link w:val="afa"/>
    <w:rsid w:val="000D2B6E"/>
    <w:rPr>
      <w:rFonts w:ascii="Tahoma" w:eastAsia="MS Mincho" w:hAnsi="Tahoma" w:cs="Times New Roman"/>
      <w:kern w:val="0"/>
      <w:sz w:val="16"/>
      <w:szCs w:val="16"/>
      <w:lang w:eastAsia="ja-JP"/>
    </w:rPr>
  </w:style>
  <w:style w:type="paragraph" w:styleId="afc">
    <w:name w:val="caption"/>
    <w:basedOn w:val="a"/>
    <w:next w:val="a"/>
    <w:qFormat/>
    <w:rsid w:val="000D2B6E"/>
    <w:pPr>
      <w:widowControl/>
      <w:jc w:val="center"/>
    </w:pPr>
    <w:rPr>
      <w:b/>
      <w:bCs/>
      <w:kern w:val="0"/>
      <w:sz w:val="20"/>
      <w:szCs w:val="20"/>
      <w:lang w:eastAsia="en-US"/>
    </w:rPr>
  </w:style>
  <w:style w:type="paragraph" w:styleId="33">
    <w:name w:val="Body Text Indent 3"/>
    <w:basedOn w:val="a"/>
    <w:link w:val="34"/>
    <w:rsid w:val="000D2B6E"/>
    <w:pPr>
      <w:widowControl/>
      <w:tabs>
        <w:tab w:val="center" w:pos="0"/>
      </w:tabs>
      <w:suppressAutoHyphens/>
      <w:spacing w:line="480" w:lineRule="auto"/>
      <w:ind w:left="720" w:hanging="720"/>
      <w:jc w:val="left"/>
    </w:pPr>
    <w:rPr>
      <w:rFonts w:ascii="Arial" w:eastAsia="Times New Roman" w:hAnsi="Arial"/>
      <w:kern w:val="0"/>
      <w:sz w:val="24"/>
      <w:szCs w:val="20"/>
      <w:lang w:eastAsia="ru-RU"/>
    </w:rPr>
  </w:style>
  <w:style w:type="character" w:customStyle="1" w:styleId="34">
    <w:name w:val="本文縮排 3 字元"/>
    <w:link w:val="33"/>
    <w:rsid w:val="000D2B6E"/>
    <w:rPr>
      <w:rFonts w:ascii="Arial" w:eastAsia="Times New Roman" w:hAnsi="Arial" w:cs="Times New Roman"/>
      <w:kern w:val="0"/>
      <w:szCs w:val="20"/>
      <w:lang w:eastAsia="ru-RU"/>
    </w:rPr>
  </w:style>
  <w:style w:type="character" w:customStyle="1" w:styleId="aps-heading">
    <w:name w:val="aps-heading"/>
    <w:basedOn w:val="a0"/>
    <w:rsid w:val="000D2B6E"/>
  </w:style>
  <w:style w:type="paragraph" w:customStyle="1" w:styleId="Corps">
    <w:name w:val="Corps"/>
    <w:basedOn w:val="a"/>
    <w:rsid w:val="000D2B6E"/>
    <w:pPr>
      <w:widowControl/>
      <w:jc w:val="left"/>
    </w:pPr>
    <w:rPr>
      <w:rFonts w:eastAsia="Times New Roman"/>
      <w:kern w:val="0"/>
      <w:sz w:val="24"/>
      <w:szCs w:val="20"/>
      <w:lang w:val="en-GB" w:eastAsia="ru-RU"/>
    </w:rPr>
  </w:style>
  <w:style w:type="numbering" w:customStyle="1" w:styleId="26">
    <w:name w:val="无列表2"/>
    <w:next w:val="a2"/>
    <w:semiHidden/>
    <w:rsid w:val="000D2B6E"/>
  </w:style>
  <w:style w:type="paragraph" w:customStyle="1" w:styleId="MapleOutput1">
    <w:name w:val="Maple Output1"/>
    <w:next w:val="a"/>
    <w:rsid w:val="000D2B6E"/>
    <w:pPr>
      <w:autoSpaceDE w:val="0"/>
      <w:autoSpaceDN w:val="0"/>
      <w:adjustRightInd w:val="0"/>
      <w:spacing w:line="360" w:lineRule="auto"/>
    </w:pPr>
    <w:rPr>
      <w:rFonts w:ascii="Times New Roman" w:eastAsia="SimSun" w:hAnsi="Times New Roman" w:cs="Times New Roman"/>
      <w:color w:val="000000"/>
      <w:kern w:val="0"/>
      <w:szCs w:val="24"/>
      <w:lang w:eastAsia="ru-RU"/>
    </w:rPr>
  </w:style>
  <w:style w:type="paragraph" w:customStyle="1" w:styleId="MapleOutput">
    <w:name w:val="Maple Output"/>
    <w:next w:val="a"/>
    <w:rsid w:val="000D2B6E"/>
    <w:pPr>
      <w:autoSpaceDE w:val="0"/>
      <w:autoSpaceDN w:val="0"/>
      <w:adjustRightInd w:val="0"/>
      <w:spacing w:line="360" w:lineRule="auto"/>
      <w:jc w:val="center"/>
    </w:pPr>
    <w:rPr>
      <w:rFonts w:ascii="Times New Roman" w:eastAsia="SimSun" w:hAnsi="Times New Roman" w:cs="Times New Roman"/>
      <w:color w:val="000000"/>
      <w:kern w:val="0"/>
      <w:szCs w:val="24"/>
      <w:lang w:eastAsia="ru-RU"/>
    </w:rPr>
  </w:style>
  <w:style w:type="character" w:customStyle="1" w:styleId="MapleInput">
    <w:name w:val="Maple Input"/>
    <w:rsid w:val="000D2B6E"/>
    <w:rPr>
      <w:rFonts w:ascii="Courier New" w:hAnsi="Courier New" w:cs="Courier New"/>
      <w:b/>
      <w:bCs/>
      <w:color w:val="FF0000"/>
      <w:sz w:val="24"/>
    </w:rPr>
  </w:style>
  <w:style w:type="table" w:customStyle="1" w:styleId="12">
    <w:name w:val="Стиль таблицы1"/>
    <w:basedOn w:val="13"/>
    <w:rsid w:val="000D2B6E"/>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3">
    <w:name w:val="Table Grid 1"/>
    <w:basedOn w:val="a1"/>
    <w:rsid w:val="000D2B6E"/>
    <w:rPr>
      <w:rFonts w:ascii="Times New Roman" w:eastAsia="SimSun"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4">
    <w:name w:val="Table Classic 1"/>
    <w:basedOn w:val="a1"/>
    <w:rsid w:val="000D2B6E"/>
    <w:rPr>
      <w:rFonts w:ascii="Times New Roman" w:eastAsia="SimSun" w:hAnsi="Times New Roman" w:cs="Times New Roman"/>
      <w:kern w:val="0"/>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Grid"/>
    <w:basedOn w:val="a1"/>
    <w:uiPriority w:val="39"/>
    <w:rsid w:val="000D2B6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Elegant"/>
    <w:basedOn w:val="a1"/>
    <w:rsid w:val="000D2B6E"/>
    <w:rPr>
      <w:rFonts w:ascii="Times New Roman" w:eastAsia="SimSun"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35">
    <w:name w:val="无列表3"/>
    <w:next w:val="a2"/>
    <w:semiHidden/>
    <w:rsid w:val="000D2B6E"/>
  </w:style>
  <w:style w:type="paragraph" w:customStyle="1" w:styleId="Author">
    <w:name w:val="Author"/>
    <w:basedOn w:val="a"/>
    <w:next w:val="a"/>
    <w:rsid w:val="000D2B6E"/>
    <w:pPr>
      <w:wordWrap w:val="0"/>
      <w:ind w:firstLine="284"/>
      <w:jc w:val="center"/>
    </w:pPr>
    <w:rPr>
      <w:rFonts w:eastAsia="DotumChe"/>
      <w:sz w:val="20"/>
      <w:szCs w:val="20"/>
      <w:lang w:eastAsia="ko-KR"/>
    </w:rPr>
  </w:style>
  <w:style w:type="paragraph" w:styleId="27">
    <w:name w:val="List 2"/>
    <w:basedOn w:val="a"/>
    <w:rsid w:val="000D2B6E"/>
    <w:pPr>
      <w:widowControl/>
      <w:ind w:left="566" w:hanging="283"/>
      <w:jc w:val="left"/>
    </w:pPr>
    <w:rPr>
      <w:kern w:val="0"/>
      <w:sz w:val="24"/>
      <w:lang w:val="fr-FR" w:eastAsia="fr-FR"/>
    </w:rPr>
  </w:style>
  <w:style w:type="paragraph" w:styleId="2">
    <w:name w:val="List Bullet 2"/>
    <w:basedOn w:val="a"/>
    <w:rsid w:val="000D2B6E"/>
    <w:pPr>
      <w:widowControl/>
      <w:numPr>
        <w:numId w:val="1"/>
      </w:numPr>
      <w:jc w:val="left"/>
    </w:pPr>
    <w:rPr>
      <w:kern w:val="0"/>
      <w:sz w:val="24"/>
      <w:lang w:val="fr-FR" w:eastAsia="fr-FR"/>
    </w:rPr>
  </w:style>
  <w:style w:type="paragraph" w:styleId="aff">
    <w:name w:val="Subtitle"/>
    <w:basedOn w:val="a"/>
    <w:link w:val="aff0"/>
    <w:qFormat/>
    <w:rsid w:val="000D2B6E"/>
    <w:pPr>
      <w:widowControl/>
      <w:spacing w:after="60"/>
      <w:jc w:val="center"/>
      <w:outlineLvl w:val="1"/>
    </w:pPr>
    <w:rPr>
      <w:rFonts w:ascii="Arial" w:hAnsi="Arial"/>
      <w:kern w:val="0"/>
      <w:sz w:val="24"/>
      <w:lang w:val="fr-FR" w:eastAsia="fr-FR"/>
    </w:rPr>
  </w:style>
  <w:style w:type="character" w:customStyle="1" w:styleId="aff0">
    <w:name w:val="副標題 字元"/>
    <w:link w:val="aff"/>
    <w:rsid w:val="000D2B6E"/>
    <w:rPr>
      <w:rFonts w:ascii="Arial" w:eastAsia="SimSun" w:hAnsi="Arial" w:cs="Times New Roman"/>
      <w:kern w:val="0"/>
      <w:szCs w:val="24"/>
      <w:lang w:val="fr-FR" w:eastAsia="fr-FR"/>
    </w:rPr>
  </w:style>
  <w:style w:type="paragraph" w:styleId="aff1">
    <w:name w:val="Normal Indent"/>
    <w:basedOn w:val="a"/>
    <w:rsid w:val="000D2B6E"/>
    <w:pPr>
      <w:widowControl/>
      <w:ind w:left="708"/>
      <w:jc w:val="left"/>
    </w:pPr>
    <w:rPr>
      <w:kern w:val="0"/>
      <w:sz w:val="24"/>
      <w:lang w:val="fr-FR" w:eastAsia="fr-FR"/>
    </w:rPr>
  </w:style>
  <w:style w:type="paragraph" w:styleId="28">
    <w:name w:val="Body Text First Indent 2"/>
    <w:basedOn w:val="ae"/>
    <w:link w:val="29"/>
    <w:rsid w:val="000D2B6E"/>
    <w:pPr>
      <w:widowControl/>
      <w:spacing w:after="120"/>
      <w:ind w:left="283" w:firstLine="210"/>
    </w:pPr>
    <w:rPr>
      <w:kern w:val="0"/>
      <w:szCs w:val="24"/>
      <w:lang w:val="fr-FR" w:eastAsia="fr-FR"/>
    </w:rPr>
  </w:style>
  <w:style w:type="character" w:customStyle="1" w:styleId="29">
    <w:name w:val="本文第一層縮排 2 字元"/>
    <w:basedOn w:val="af"/>
    <w:link w:val="28"/>
    <w:rsid w:val="000D2B6E"/>
    <w:rPr>
      <w:rFonts w:ascii="Times New Roman" w:eastAsia="SimSun" w:hAnsi="Times New Roman" w:cs="Times New Roman"/>
      <w:kern w:val="0"/>
      <w:sz w:val="28"/>
      <w:szCs w:val="24"/>
      <w:lang w:val="fr-FR" w:eastAsia="fr-FR"/>
    </w:rPr>
  </w:style>
  <w:style w:type="character" w:customStyle="1" w:styleId="2Char">
    <w:name w:val="正文首行缩进 2 Char"/>
    <w:basedOn w:val="af"/>
    <w:rsid w:val="000D2B6E"/>
    <w:rPr>
      <w:rFonts w:ascii="Times New Roman" w:eastAsia="SimSun" w:hAnsi="Times New Roman" w:cs="Times New Roman"/>
      <w:sz w:val="28"/>
      <w:szCs w:val="20"/>
      <w:lang w:eastAsia="zh-CN"/>
    </w:rPr>
  </w:style>
  <w:style w:type="paragraph" w:customStyle="1" w:styleId="Style1">
    <w:name w:val="Style1"/>
    <w:basedOn w:val="a"/>
    <w:rsid w:val="000D2B6E"/>
    <w:pPr>
      <w:widowControl/>
      <w:spacing w:line="240" w:lineRule="exact"/>
    </w:pPr>
    <w:rPr>
      <w:kern w:val="0"/>
      <w:sz w:val="20"/>
      <w:szCs w:val="20"/>
      <w:lang w:eastAsia="fr-FR"/>
    </w:rPr>
  </w:style>
  <w:style w:type="paragraph" w:customStyle="1" w:styleId="Style2">
    <w:name w:val="Style2"/>
    <w:basedOn w:val="a"/>
    <w:next w:val="Style1"/>
    <w:rsid w:val="000D2B6E"/>
    <w:pPr>
      <w:widowControl/>
      <w:spacing w:line="240" w:lineRule="exact"/>
    </w:pPr>
    <w:rPr>
      <w:kern w:val="0"/>
      <w:sz w:val="20"/>
      <w:szCs w:val="20"/>
      <w:lang w:eastAsia="fr-FR"/>
    </w:rPr>
  </w:style>
  <w:style w:type="character" w:styleId="aff2">
    <w:name w:val="Emphasis"/>
    <w:qFormat/>
    <w:rsid w:val="000D2B6E"/>
    <w:rPr>
      <w:b/>
      <w:bCs/>
      <w:i w:val="0"/>
      <w:iCs w:val="0"/>
    </w:rPr>
  </w:style>
  <w:style w:type="paragraph" w:customStyle="1" w:styleId="last">
    <w:name w:val="last"/>
    <w:basedOn w:val="a"/>
    <w:rsid w:val="000D2B6E"/>
    <w:pPr>
      <w:widowControl/>
      <w:spacing w:after="240"/>
      <w:jc w:val="left"/>
    </w:pPr>
    <w:rPr>
      <w:kern w:val="0"/>
      <w:sz w:val="24"/>
      <w:lang w:eastAsia="en-US"/>
    </w:rPr>
  </w:style>
  <w:style w:type="character" w:customStyle="1" w:styleId="authors1">
    <w:name w:val="authors1"/>
    <w:rsid w:val="000D2B6E"/>
    <w:rPr>
      <w:rFonts w:ascii="Arial" w:hAnsi="Arial" w:cs="Arial" w:hint="default"/>
      <w:color w:val="4D555D"/>
      <w:sz w:val="18"/>
      <w:szCs w:val="18"/>
    </w:rPr>
  </w:style>
  <w:style w:type="paragraph" w:styleId="aff3">
    <w:name w:val="Quote"/>
    <w:basedOn w:val="a"/>
    <w:link w:val="aff4"/>
    <w:qFormat/>
    <w:rsid w:val="000D2B6E"/>
    <w:pPr>
      <w:autoSpaceDE w:val="0"/>
      <w:autoSpaceDN w:val="0"/>
      <w:adjustRightInd w:val="0"/>
      <w:ind w:left="446" w:firstLine="144"/>
      <w:textAlignment w:val="baseline"/>
    </w:pPr>
    <w:rPr>
      <w:rFonts w:eastAsia="BatangChe"/>
      <w:kern w:val="0"/>
      <w:sz w:val="20"/>
      <w:szCs w:val="20"/>
      <w:lang w:eastAsia="ko-KR"/>
    </w:rPr>
  </w:style>
  <w:style w:type="character" w:customStyle="1" w:styleId="aff4">
    <w:name w:val="引文 字元"/>
    <w:link w:val="aff3"/>
    <w:rsid w:val="000D2B6E"/>
    <w:rPr>
      <w:rFonts w:ascii="Times New Roman" w:eastAsia="BatangChe" w:hAnsi="Times New Roman" w:cs="Times New Roman"/>
      <w:kern w:val="0"/>
      <w:sz w:val="20"/>
      <w:szCs w:val="20"/>
      <w:lang w:eastAsia="ko-KR"/>
    </w:rPr>
  </w:style>
  <w:style w:type="character" w:customStyle="1" w:styleId="mediumtext1">
    <w:name w:val="medium_text1"/>
    <w:rsid w:val="000D2B6E"/>
    <w:rPr>
      <w:sz w:val="24"/>
      <w:szCs w:val="24"/>
    </w:rPr>
  </w:style>
  <w:style w:type="character" w:customStyle="1" w:styleId="longtext1">
    <w:name w:val="long_text1"/>
    <w:rsid w:val="000D2B6E"/>
    <w:rPr>
      <w:sz w:val="20"/>
      <w:szCs w:val="20"/>
    </w:rPr>
  </w:style>
  <w:style w:type="character" w:styleId="aff5">
    <w:name w:val="annotation reference"/>
    <w:rsid w:val="000D2B6E"/>
    <w:rPr>
      <w:sz w:val="21"/>
      <w:szCs w:val="21"/>
    </w:rPr>
  </w:style>
  <w:style w:type="paragraph" w:styleId="aff6">
    <w:name w:val="annotation text"/>
    <w:basedOn w:val="a"/>
    <w:link w:val="aff7"/>
    <w:rsid w:val="000D2B6E"/>
    <w:pPr>
      <w:jc w:val="left"/>
    </w:pPr>
  </w:style>
  <w:style w:type="character" w:customStyle="1" w:styleId="aff7">
    <w:name w:val="註解文字 字元"/>
    <w:link w:val="aff6"/>
    <w:rsid w:val="000D2B6E"/>
    <w:rPr>
      <w:rFonts w:ascii="Times New Roman" w:eastAsia="SimSun" w:hAnsi="Times New Roman" w:cs="Times New Roman"/>
      <w:sz w:val="21"/>
      <w:szCs w:val="24"/>
      <w:lang w:eastAsia="zh-CN"/>
    </w:rPr>
  </w:style>
  <w:style w:type="paragraph" w:styleId="aff8">
    <w:name w:val="annotation subject"/>
    <w:basedOn w:val="aff6"/>
    <w:next w:val="aff6"/>
    <w:link w:val="aff9"/>
    <w:rsid w:val="000D2B6E"/>
    <w:rPr>
      <w:b/>
      <w:bCs/>
    </w:rPr>
  </w:style>
  <w:style w:type="character" w:customStyle="1" w:styleId="aff9">
    <w:name w:val="註解主旨 字元"/>
    <w:link w:val="aff8"/>
    <w:rsid w:val="000D2B6E"/>
    <w:rPr>
      <w:rFonts w:ascii="Times New Roman" w:eastAsia="SimSun" w:hAnsi="Times New Roman" w:cs="Times New Roman"/>
      <w:b/>
      <w:bCs/>
      <w:sz w:val="21"/>
      <w:szCs w:val="24"/>
      <w:lang w:eastAsia="zh-CN"/>
    </w:rPr>
  </w:style>
  <w:style w:type="table" w:customStyle="1" w:styleId="15">
    <w:name w:val="表格格線1"/>
    <w:basedOn w:val="a1"/>
    <w:next w:val="afd"/>
    <w:uiPriority w:val="39"/>
    <w:rsid w:val="000D2B6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樣式 標號 + (中文) 標楷體 粗體"/>
    <w:basedOn w:val="afc"/>
    <w:link w:val="affb"/>
    <w:rsid w:val="000D2B6E"/>
    <w:pPr>
      <w:widowControl w:val="0"/>
      <w:spacing w:before="100" w:beforeAutospacing="1"/>
      <w:ind w:firstLineChars="100" w:firstLine="100"/>
      <w:jc w:val="both"/>
    </w:pPr>
    <w:rPr>
      <w:rFonts w:eastAsia="Times New Roman"/>
      <w:kern w:val="2"/>
      <w:sz w:val="26"/>
      <w:lang w:eastAsia="zh-TW"/>
    </w:rPr>
  </w:style>
  <w:style w:type="character" w:customStyle="1" w:styleId="affb">
    <w:name w:val="樣式 標號 + (中文) 標楷體 粗體 字元"/>
    <w:link w:val="affa"/>
    <w:rsid w:val="000D2B6E"/>
    <w:rPr>
      <w:rFonts w:ascii="Times New Roman" w:eastAsia="Times New Roman" w:hAnsi="Times New Roman" w:cs="Times New Roman"/>
      <w:b/>
      <w:bCs/>
      <w:sz w:val="26"/>
      <w:szCs w:val="20"/>
    </w:rPr>
  </w:style>
  <w:style w:type="paragraph" w:customStyle="1" w:styleId="EndNoteBibliographyTitle">
    <w:name w:val="EndNote Bibliography Title"/>
    <w:basedOn w:val="a"/>
    <w:link w:val="EndNoteBibliographyTitle0"/>
    <w:rsid w:val="000D2B6E"/>
    <w:pPr>
      <w:jc w:val="center"/>
    </w:pPr>
    <w:rPr>
      <w:noProof/>
      <w:sz w:val="20"/>
    </w:rPr>
  </w:style>
  <w:style w:type="character" w:customStyle="1" w:styleId="EndNoteBibliographyTitle0">
    <w:name w:val="EndNote Bibliography Title 字元"/>
    <w:link w:val="EndNoteBibliographyTitle"/>
    <w:rsid w:val="000D2B6E"/>
    <w:rPr>
      <w:rFonts w:ascii="Times New Roman" w:eastAsia="SimSun" w:hAnsi="Times New Roman" w:cs="Times New Roman"/>
      <w:noProof/>
      <w:sz w:val="20"/>
      <w:szCs w:val="24"/>
      <w:lang w:eastAsia="zh-CN"/>
    </w:rPr>
  </w:style>
  <w:style w:type="paragraph" w:customStyle="1" w:styleId="EndNoteBibliography">
    <w:name w:val="EndNote Bibliography"/>
    <w:basedOn w:val="a"/>
    <w:link w:val="EndNoteBibliography0"/>
    <w:rsid w:val="000D2B6E"/>
    <w:rPr>
      <w:noProof/>
      <w:sz w:val="20"/>
    </w:rPr>
  </w:style>
  <w:style w:type="character" w:customStyle="1" w:styleId="EndNoteBibliography0">
    <w:name w:val="EndNote Bibliography 字元"/>
    <w:link w:val="EndNoteBibliography"/>
    <w:rsid w:val="000D2B6E"/>
    <w:rPr>
      <w:rFonts w:ascii="Times New Roman" w:eastAsia="SimSun" w:hAnsi="Times New Roman" w:cs="Times New Roman"/>
      <w:noProof/>
      <w:sz w:val="20"/>
      <w:szCs w:val="24"/>
      <w:lang w:eastAsia="zh-CN"/>
    </w:rPr>
  </w:style>
  <w:style w:type="character" w:styleId="affc">
    <w:name w:val="Placeholder Text"/>
    <w:basedOn w:val="a0"/>
    <w:uiPriority w:val="99"/>
    <w:semiHidden/>
    <w:rsid w:val="000D2B6E"/>
    <w:rPr>
      <w:color w:val="808080"/>
    </w:rPr>
  </w:style>
  <w:style w:type="character" w:styleId="affd">
    <w:name w:val="line number"/>
    <w:basedOn w:val="a0"/>
    <w:uiPriority w:val="99"/>
    <w:semiHidden/>
    <w:unhideWhenUsed/>
    <w:rsid w:val="000D2B6E"/>
  </w:style>
  <w:style w:type="paragraph" w:styleId="affe">
    <w:name w:val="List Paragraph"/>
    <w:basedOn w:val="a"/>
    <w:uiPriority w:val="34"/>
    <w:qFormat/>
    <w:rsid w:val="000D2B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4246">
      <w:bodyDiv w:val="1"/>
      <w:marLeft w:val="0"/>
      <w:marRight w:val="0"/>
      <w:marTop w:val="0"/>
      <w:marBottom w:val="0"/>
      <w:divBdr>
        <w:top w:val="none" w:sz="0" w:space="0" w:color="auto"/>
        <w:left w:val="none" w:sz="0" w:space="0" w:color="auto"/>
        <w:bottom w:val="none" w:sz="0" w:space="0" w:color="auto"/>
        <w:right w:val="none" w:sz="0" w:space="0" w:color="auto"/>
      </w:divBdr>
    </w:div>
    <w:div w:id="160976737">
      <w:bodyDiv w:val="1"/>
      <w:marLeft w:val="0"/>
      <w:marRight w:val="0"/>
      <w:marTop w:val="0"/>
      <w:marBottom w:val="0"/>
      <w:divBdr>
        <w:top w:val="none" w:sz="0" w:space="0" w:color="auto"/>
        <w:left w:val="none" w:sz="0" w:space="0" w:color="auto"/>
        <w:bottom w:val="none" w:sz="0" w:space="0" w:color="auto"/>
        <w:right w:val="none" w:sz="0" w:space="0" w:color="auto"/>
      </w:divBdr>
    </w:div>
    <w:div w:id="768503825">
      <w:bodyDiv w:val="1"/>
      <w:marLeft w:val="0"/>
      <w:marRight w:val="0"/>
      <w:marTop w:val="0"/>
      <w:marBottom w:val="0"/>
      <w:divBdr>
        <w:top w:val="none" w:sz="0" w:space="0" w:color="auto"/>
        <w:left w:val="none" w:sz="0" w:space="0" w:color="auto"/>
        <w:bottom w:val="none" w:sz="0" w:space="0" w:color="auto"/>
        <w:right w:val="none" w:sz="0" w:space="0" w:color="auto"/>
      </w:divBdr>
    </w:div>
    <w:div w:id="783772819">
      <w:bodyDiv w:val="1"/>
      <w:marLeft w:val="0"/>
      <w:marRight w:val="0"/>
      <w:marTop w:val="0"/>
      <w:marBottom w:val="0"/>
      <w:divBdr>
        <w:top w:val="none" w:sz="0" w:space="0" w:color="auto"/>
        <w:left w:val="none" w:sz="0" w:space="0" w:color="auto"/>
        <w:bottom w:val="none" w:sz="0" w:space="0" w:color="auto"/>
        <w:right w:val="none" w:sz="0" w:space="0" w:color="auto"/>
      </w:divBdr>
    </w:div>
    <w:div w:id="796726277">
      <w:bodyDiv w:val="1"/>
      <w:marLeft w:val="0"/>
      <w:marRight w:val="0"/>
      <w:marTop w:val="0"/>
      <w:marBottom w:val="0"/>
      <w:divBdr>
        <w:top w:val="none" w:sz="0" w:space="0" w:color="auto"/>
        <w:left w:val="none" w:sz="0" w:space="0" w:color="auto"/>
        <w:bottom w:val="none" w:sz="0" w:space="0" w:color="auto"/>
        <w:right w:val="none" w:sz="0" w:space="0" w:color="auto"/>
      </w:divBdr>
    </w:div>
    <w:div w:id="980960920">
      <w:bodyDiv w:val="1"/>
      <w:marLeft w:val="0"/>
      <w:marRight w:val="0"/>
      <w:marTop w:val="0"/>
      <w:marBottom w:val="0"/>
      <w:divBdr>
        <w:top w:val="none" w:sz="0" w:space="0" w:color="auto"/>
        <w:left w:val="none" w:sz="0" w:space="0" w:color="auto"/>
        <w:bottom w:val="none" w:sz="0" w:space="0" w:color="auto"/>
        <w:right w:val="none" w:sz="0" w:space="0" w:color="auto"/>
      </w:divBdr>
    </w:div>
    <w:div w:id="1244684018">
      <w:bodyDiv w:val="1"/>
      <w:marLeft w:val="0"/>
      <w:marRight w:val="0"/>
      <w:marTop w:val="0"/>
      <w:marBottom w:val="0"/>
      <w:divBdr>
        <w:top w:val="none" w:sz="0" w:space="0" w:color="auto"/>
        <w:left w:val="none" w:sz="0" w:space="0" w:color="auto"/>
        <w:bottom w:val="none" w:sz="0" w:space="0" w:color="auto"/>
        <w:right w:val="none" w:sz="0" w:space="0" w:color="auto"/>
      </w:divBdr>
    </w:div>
    <w:div w:id="1738046570">
      <w:bodyDiv w:val="1"/>
      <w:marLeft w:val="0"/>
      <w:marRight w:val="0"/>
      <w:marTop w:val="0"/>
      <w:marBottom w:val="0"/>
      <w:divBdr>
        <w:top w:val="none" w:sz="0" w:space="0" w:color="auto"/>
        <w:left w:val="none" w:sz="0" w:space="0" w:color="auto"/>
        <w:bottom w:val="none" w:sz="0" w:space="0" w:color="auto"/>
        <w:right w:val="none" w:sz="0" w:space="0" w:color="auto"/>
      </w:divBdr>
    </w:div>
    <w:div w:id="21450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7.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emf"/><Relationship Id="rId8" Type="http://schemas.openxmlformats.org/officeDocument/2006/relationships/hyperlink" Target="mailto:jshieh@mail.ntust.edu.tw" TargetMode="External"/><Relationship Id="rId51" Type="http://schemas.openxmlformats.org/officeDocument/2006/relationships/image" Target="media/image22.wmf"/><Relationship Id="rId72"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package" Target="embeddings/Microsoft_Visio___.vsdx"/><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 Type="http://schemas.openxmlformats.org/officeDocument/2006/relationships/endnotes" Target="endnotes.xml"/><Relationship Id="rId71"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UN%20DYNAMICS%2020210401%20OV%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Mean</c:v>
          </c:tx>
          <c:spPr>
            <a:ln w="28575" cap="rnd">
              <a:solidFill>
                <a:schemeClr val="accent1"/>
              </a:solidFill>
              <a:round/>
            </a:ln>
            <a:effectLst/>
          </c:spPr>
          <c:marker>
            <c:symbol val="none"/>
          </c:marker>
          <c:cat>
            <c:numRef>
              <c:f>工作表1!$B$1:$M$1</c:f>
              <c:numCache>
                <c:formatCode>General</c:formatCode>
                <c:ptCount val="12"/>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numCache>
            </c:numRef>
          </c:cat>
          <c:val>
            <c:numRef>
              <c:f>工作表1!$B$2:$M$2</c:f>
              <c:numCache>
                <c:formatCode>General</c:formatCode>
                <c:ptCount val="12"/>
                <c:pt idx="0">
                  <c:v>0.84099999999999997</c:v>
                </c:pt>
                <c:pt idx="1">
                  <c:v>0.84819999999999995</c:v>
                </c:pt>
                <c:pt idx="2">
                  <c:v>0.85060000000000002</c:v>
                </c:pt>
                <c:pt idx="3">
                  <c:v>0.84699999999999998</c:v>
                </c:pt>
                <c:pt idx="4">
                  <c:v>0.83930000000000005</c:v>
                </c:pt>
                <c:pt idx="5">
                  <c:v>0.86150000000000004</c:v>
                </c:pt>
                <c:pt idx="6">
                  <c:v>0.84750000000000003</c:v>
                </c:pt>
                <c:pt idx="7">
                  <c:v>0.85950000000000004</c:v>
                </c:pt>
                <c:pt idx="8">
                  <c:v>0.87250000000000005</c:v>
                </c:pt>
                <c:pt idx="9">
                  <c:v>0.85650000000000004</c:v>
                </c:pt>
                <c:pt idx="10">
                  <c:v>0.86270000000000002</c:v>
                </c:pt>
                <c:pt idx="11">
                  <c:v>0.84770000000000001</c:v>
                </c:pt>
              </c:numCache>
            </c:numRef>
          </c:val>
          <c:smooth val="0"/>
          <c:extLst>
            <c:ext xmlns:c16="http://schemas.microsoft.com/office/drawing/2014/chart" uri="{C3380CC4-5D6E-409C-BE32-E72D297353CC}">
              <c16:uniqueId val="{00000000-3C05-447D-A4ED-251C49582101}"/>
            </c:ext>
          </c:extLst>
        </c:ser>
        <c:dLbls>
          <c:showLegendKey val="0"/>
          <c:showVal val="0"/>
          <c:showCatName val="0"/>
          <c:showSerName val="0"/>
          <c:showPercent val="0"/>
          <c:showBubbleSize val="0"/>
        </c:dLbls>
        <c:marker val="1"/>
        <c:smooth val="0"/>
        <c:axId val="1970744447"/>
        <c:axId val="1970747775"/>
      </c:lineChart>
      <c:lineChart>
        <c:grouping val="standard"/>
        <c:varyColors val="0"/>
        <c:ser>
          <c:idx val="1"/>
          <c:order val="1"/>
          <c:tx>
            <c:v>St Dev</c:v>
          </c:tx>
          <c:spPr>
            <a:ln w="28575" cap="rnd">
              <a:solidFill>
                <a:schemeClr val="accent2"/>
              </a:solidFill>
              <a:round/>
            </a:ln>
            <a:effectLst/>
          </c:spPr>
          <c:marker>
            <c:symbol val="none"/>
          </c:marker>
          <c:cat>
            <c:numRef>
              <c:f>工作表1!$B$1:$M$1</c:f>
              <c:numCache>
                <c:formatCode>General</c:formatCode>
                <c:ptCount val="12"/>
                <c:pt idx="0">
                  <c:v>201801</c:v>
                </c:pt>
                <c:pt idx="1">
                  <c:v>201802</c:v>
                </c:pt>
                <c:pt idx="2">
                  <c:v>201803</c:v>
                </c:pt>
                <c:pt idx="3">
                  <c:v>201804</c:v>
                </c:pt>
                <c:pt idx="4">
                  <c:v>201901</c:v>
                </c:pt>
                <c:pt idx="5">
                  <c:v>201902</c:v>
                </c:pt>
                <c:pt idx="6">
                  <c:v>201903</c:v>
                </c:pt>
                <c:pt idx="7">
                  <c:v>201904</c:v>
                </c:pt>
                <c:pt idx="8">
                  <c:v>202001</c:v>
                </c:pt>
                <c:pt idx="9">
                  <c:v>202002</c:v>
                </c:pt>
                <c:pt idx="10">
                  <c:v>202003</c:v>
                </c:pt>
                <c:pt idx="11">
                  <c:v>202004</c:v>
                </c:pt>
              </c:numCache>
            </c:numRef>
          </c:cat>
          <c:val>
            <c:numRef>
              <c:f>工作表1!$B$3:$M$3</c:f>
              <c:numCache>
                <c:formatCode>General</c:formatCode>
                <c:ptCount val="12"/>
                <c:pt idx="0">
                  <c:v>0.24590000000000001</c:v>
                </c:pt>
                <c:pt idx="1">
                  <c:v>0.26619999999999999</c:v>
                </c:pt>
                <c:pt idx="2">
                  <c:v>0.23899999999999999</c:v>
                </c:pt>
                <c:pt idx="3">
                  <c:v>0.24840000000000001</c:v>
                </c:pt>
                <c:pt idx="4">
                  <c:v>0.25580000000000003</c:v>
                </c:pt>
                <c:pt idx="5">
                  <c:v>0.2268</c:v>
                </c:pt>
                <c:pt idx="6">
                  <c:v>0.23300000000000001</c:v>
                </c:pt>
                <c:pt idx="7">
                  <c:v>0.23250000000000001</c:v>
                </c:pt>
                <c:pt idx="8">
                  <c:v>0.23330000000000001</c:v>
                </c:pt>
                <c:pt idx="9">
                  <c:v>0.2336</c:v>
                </c:pt>
                <c:pt idx="10">
                  <c:v>0.2399</c:v>
                </c:pt>
                <c:pt idx="11">
                  <c:v>0.24940000000000001</c:v>
                </c:pt>
              </c:numCache>
            </c:numRef>
          </c:val>
          <c:smooth val="0"/>
          <c:extLst>
            <c:ext xmlns:c16="http://schemas.microsoft.com/office/drawing/2014/chart" uri="{C3380CC4-5D6E-409C-BE32-E72D297353CC}">
              <c16:uniqueId val="{00000001-3C05-447D-A4ED-251C49582101}"/>
            </c:ext>
          </c:extLst>
        </c:ser>
        <c:dLbls>
          <c:showLegendKey val="0"/>
          <c:showVal val="0"/>
          <c:showCatName val="0"/>
          <c:showSerName val="0"/>
          <c:showPercent val="0"/>
          <c:showBubbleSize val="0"/>
        </c:dLbls>
        <c:marker val="1"/>
        <c:smooth val="0"/>
        <c:axId val="330451008"/>
        <c:axId val="330459744"/>
      </c:lineChart>
      <c:catAx>
        <c:axId val="19707444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Season</a:t>
                </a:r>
                <a:endParaRPr lang="zh-TW"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70747775"/>
        <c:crosses val="autoZero"/>
        <c:auto val="1"/>
        <c:lblAlgn val="ctr"/>
        <c:lblOffset val="100"/>
        <c:noMultiLvlLbl val="0"/>
      </c:catAx>
      <c:valAx>
        <c:axId val="19707477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Efficiency Scorce</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970744447"/>
        <c:crosses val="autoZero"/>
        <c:crossBetween val="between"/>
      </c:valAx>
      <c:valAx>
        <c:axId val="3304597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330451008"/>
        <c:crosses val="max"/>
        <c:crossBetween val="between"/>
      </c:valAx>
      <c:catAx>
        <c:axId val="330451008"/>
        <c:scaling>
          <c:orientation val="minMax"/>
        </c:scaling>
        <c:delete val="1"/>
        <c:axPos val="b"/>
        <c:numFmt formatCode="General" sourceLinked="1"/>
        <c:majorTickMark val="out"/>
        <c:minorTickMark val="none"/>
        <c:tickLblPos val="nextTo"/>
        <c:crossAx val="330459744"/>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Key chip</c:v>
          </c:tx>
          <c:spPr>
            <a:ln w="28575" cap="rnd">
              <a:solidFill>
                <a:schemeClr val="accent1"/>
              </a:solidFill>
              <a:round/>
            </a:ln>
            <a:effectLst/>
          </c:spPr>
          <c:marker>
            <c:symbol val="none"/>
          </c:marker>
          <c:val>
            <c:numRef>
              <c:f>'[RUN DYNAMICS 20210401 OV (3).xlsx]工作表2'!$T$14:$T$25</c:f>
              <c:numCache>
                <c:formatCode>0.000</c:formatCode>
                <c:ptCount val="12"/>
                <c:pt idx="0">
                  <c:v>0.58172500000000005</c:v>
                </c:pt>
                <c:pt idx="1">
                  <c:v>0.57687500000000003</c:v>
                </c:pt>
                <c:pt idx="2">
                  <c:v>0.53935</c:v>
                </c:pt>
                <c:pt idx="3">
                  <c:v>0.56379999999999997</c:v>
                </c:pt>
                <c:pt idx="4">
                  <c:v>0.59135000000000004</c:v>
                </c:pt>
                <c:pt idx="5">
                  <c:v>0.64759999999999995</c:v>
                </c:pt>
                <c:pt idx="6">
                  <c:v>0.63852500000000001</c:v>
                </c:pt>
                <c:pt idx="7">
                  <c:v>0.62195</c:v>
                </c:pt>
                <c:pt idx="8">
                  <c:v>0.64847500000000002</c:v>
                </c:pt>
                <c:pt idx="9">
                  <c:v>0.68769999999999998</c:v>
                </c:pt>
                <c:pt idx="10">
                  <c:v>0.79475000000000007</c:v>
                </c:pt>
                <c:pt idx="11">
                  <c:v>0.758525</c:v>
                </c:pt>
              </c:numCache>
            </c:numRef>
          </c:val>
          <c:smooth val="0"/>
          <c:extLst>
            <c:ext xmlns:c16="http://schemas.microsoft.com/office/drawing/2014/chart" uri="{C3380CC4-5D6E-409C-BE32-E72D297353CC}">
              <c16:uniqueId val="{00000000-F165-4239-AB2F-CAF3D0C64475}"/>
            </c:ext>
          </c:extLst>
        </c:ser>
        <c:ser>
          <c:idx val="1"/>
          <c:order val="1"/>
          <c:tx>
            <c:v>Design, manufacture and assembly</c:v>
          </c:tx>
          <c:spPr>
            <a:ln w="28575" cap="rnd">
              <a:solidFill>
                <a:schemeClr val="accent2"/>
              </a:solidFill>
              <a:round/>
            </a:ln>
            <a:effectLst/>
          </c:spPr>
          <c:marker>
            <c:symbol val="none"/>
          </c:marker>
          <c:val>
            <c:numRef>
              <c:f>'[RUN DYNAMICS 20210401 OV (3).xlsx]工作表2'!$U$14:$U$25</c:f>
              <c:numCache>
                <c:formatCode>0.000</c:formatCode>
                <c:ptCount val="12"/>
                <c:pt idx="0">
                  <c:v>0.85318421052631555</c:v>
                </c:pt>
                <c:pt idx="1">
                  <c:v>0.87057368421052639</c:v>
                </c:pt>
                <c:pt idx="2">
                  <c:v>0.88583684210526314</c:v>
                </c:pt>
                <c:pt idx="3">
                  <c:v>0.8747631578947368</c:v>
                </c:pt>
                <c:pt idx="4">
                  <c:v>0.86490526315789473</c:v>
                </c:pt>
                <c:pt idx="5">
                  <c:v>0.89364210526315779</c:v>
                </c:pt>
                <c:pt idx="6">
                  <c:v>0.87787894736842109</c:v>
                </c:pt>
                <c:pt idx="7">
                  <c:v>0.90048421052631589</c:v>
                </c:pt>
                <c:pt idx="8">
                  <c:v>0.90440000000000009</c:v>
                </c:pt>
                <c:pt idx="9">
                  <c:v>0.89383684210526315</c:v>
                </c:pt>
                <c:pt idx="10">
                  <c:v>0.88864736842105285</c:v>
                </c:pt>
                <c:pt idx="11">
                  <c:v>0.87815789473684225</c:v>
                </c:pt>
              </c:numCache>
            </c:numRef>
          </c:val>
          <c:smooth val="0"/>
          <c:extLst>
            <c:ext xmlns:c16="http://schemas.microsoft.com/office/drawing/2014/chart" uri="{C3380CC4-5D6E-409C-BE32-E72D297353CC}">
              <c16:uniqueId val="{00000001-F165-4239-AB2F-CAF3D0C64475}"/>
            </c:ext>
          </c:extLst>
        </c:ser>
        <c:ser>
          <c:idx val="2"/>
          <c:order val="2"/>
          <c:tx>
            <c:v>Brand terminal</c:v>
          </c:tx>
          <c:spPr>
            <a:ln w="28575" cap="rnd">
              <a:solidFill>
                <a:schemeClr val="accent3"/>
              </a:solidFill>
              <a:round/>
            </a:ln>
            <a:effectLst/>
          </c:spPr>
          <c:marker>
            <c:symbol val="none"/>
          </c:marker>
          <c:val>
            <c:numRef>
              <c:f>'[RUN DYNAMICS 20210401 OV (3).xlsx]工作表2'!$V$14:$V$25</c:f>
              <c:numCache>
                <c:formatCode>0.000</c:formatCode>
                <c:ptCount val="12"/>
                <c:pt idx="0">
                  <c:v>0.98724999999999996</c:v>
                </c:pt>
                <c:pt idx="1">
                  <c:v>0.99414999999999998</c:v>
                </c:pt>
                <c:pt idx="2">
                  <c:v>0.97342499999999998</c:v>
                </c:pt>
                <c:pt idx="3">
                  <c:v>0.95750000000000002</c:v>
                </c:pt>
                <c:pt idx="4">
                  <c:v>0.93527499999999997</c:v>
                </c:pt>
                <c:pt idx="5">
                  <c:v>0.90007499999999996</c:v>
                </c:pt>
                <c:pt idx="6">
                  <c:v>0.89969999999999994</c:v>
                </c:pt>
                <c:pt idx="7">
                  <c:v>0.906775</c:v>
                </c:pt>
                <c:pt idx="8">
                  <c:v>0.87197499999999994</c:v>
                </c:pt>
                <c:pt idx="9">
                  <c:v>0.86360000000000003</c:v>
                </c:pt>
                <c:pt idx="10">
                  <c:v>0.86632500000000001</c:v>
                </c:pt>
                <c:pt idx="11">
                  <c:v>0.84387500000000004</c:v>
                </c:pt>
              </c:numCache>
            </c:numRef>
          </c:val>
          <c:smooth val="0"/>
          <c:extLst>
            <c:ext xmlns:c16="http://schemas.microsoft.com/office/drawing/2014/chart" uri="{C3380CC4-5D6E-409C-BE32-E72D297353CC}">
              <c16:uniqueId val="{00000002-F165-4239-AB2F-CAF3D0C64475}"/>
            </c:ext>
          </c:extLst>
        </c:ser>
        <c:ser>
          <c:idx val="3"/>
          <c:order val="3"/>
          <c:tx>
            <c:v>Downstream</c:v>
          </c:tx>
          <c:spPr>
            <a:ln w="28575" cap="rnd">
              <a:solidFill>
                <a:schemeClr val="accent4"/>
              </a:solidFill>
              <a:round/>
            </a:ln>
            <a:effectLst/>
          </c:spPr>
          <c:marker>
            <c:symbol val="none"/>
          </c:marker>
          <c:val>
            <c:numRef>
              <c:f>'[RUN DYNAMICS 20210401 OV (3).xlsx]工作表2'!$W$14:$W$25</c:f>
              <c:numCache>
                <c:formatCode>0.000</c:formatCode>
                <c:ptCount val="12"/>
                <c:pt idx="0">
                  <c:v>0.91439999999999999</c:v>
                </c:pt>
                <c:pt idx="1">
                  <c:v>0.87363333333333326</c:v>
                </c:pt>
                <c:pt idx="2">
                  <c:v>0.87890000000000013</c:v>
                </c:pt>
                <c:pt idx="3">
                  <c:v>0.90106666666666657</c:v>
                </c:pt>
                <c:pt idx="4">
                  <c:v>0.87993333333333335</c:v>
                </c:pt>
                <c:pt idx="5">
                  <c:v>0.89166666666666661</c:v>
                </c:pt>
                <c:pt idx="6">
                  <c:v>0.86433333333333329</c:v>
                </c:pt>
                <c:pt idx="7">
                  <c:v>0.85366666666666668</c:v>
                </c:pt>
                <c:pt idx="8">
                  <c:v>0.97000000000000008</c:v>
                </c:pt>
                <c:pt idx="9">
                  <c:v>0.83576666666666666</c:v>
                </c:pt>
                <c:pt idx="10">
                  <c:v>0.7838666666666666</c:v>
                </c:pt>
                <c:pt idx="11">
                  <c:v>0.7785333333333333</c:v>
                </c:pt>
              </c:numCache>
            </c:numRef>
          </c:val>
          <c:smooth val="0"/>
          <c:extLst>
            <c:ext xmlns:c16="http://schemas.microsoft.com/office/drawing/2014/chart" uri="{C3380CC4-5D6E-409C-BE32-E72D297353CC}">
              <c16:uniqueId val="{00000003-F165-4239-AB2F-CAF3D0C64475}"/>
            </c:ext>
          </c:extLst>
        </c:ser>
        <c:dLbls>
          <c:showLegendKey val="0"/>
          <c:showVal val="0"/>
          <c:showCatName val="0"/>
          <c:showSerName val="0"/>
          <c:showPercent val="0"/>
          <c:showBubbleSize val="0"/>
        </c:dLbls>
        <c:smooth val="0"/>
        <c:axId val="865912575"/>
        <c:axId val="865912991"/>
      </c:lineChart>
      <c:catAx>
        <c:axId val="8659125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Term</a:t>
                </a:r>
                <a:endParaRPr lang="zh-TW"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65912991"/>
        <c:crosses val="autoZero"/>
        <c:auto val="1"/>
        <c:lblAlgn val="ctr"/>
        <c:lblOffset val="100"/>
        <c:noMultiLvlLbl val="0"/>
      </c:catAx>
      <c:valAx>
        <c:axId val="8659129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r>
                  <a:rPr lang="en-US" altLang="zh-TW" baseline="0">
                    <a:latin typeface="Times New Roman" panose="02020603050405020304" pitchFamily="18" charset="0"/>
                  </a:rPr>
                  <a:t>Efficiency Score</a:t>
                </a:r>
                <a:endParaRPr lang="zh-TW" altLang="en-US" baseline="0">
                  <a:latin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zh-TW"/>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865912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D45E-C8C4-4B26-9970-CB84F7E4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8040</Words>
  <Characters>45833</Characters>
  <Application>Microsoft Office Word</Application>
  <DocSecurity>0</DocSecurity>
  <Lines>381</Lines>
  <Paragraphs>107</Paragraphs>
  <ScaleCrop>false</ScaleCrop>
  <HeadingPairs>
    <vt:vector size="4" baseType="variant">
      <vt:variant>
        <vt:lpstr>Title</vt:lpstr>
      </vt:variant>
      <vt:variant>
        <vt:i4>1</vt:i4>
      </vt:variant>
      <vt:variant>
        <vt:lpstr>標題</vt:lpstr>
      </vt:variant>
      <vt:variant>
        <vt:i4>12</vt:i4>
      </vt:variant>
    </vt:vector>
  </HeadingPairs>
  <TitlesOfParts>
    <vt:vector size="13" baseType="lpstr">
      <vt:lpstr/>
      <vt:lpstr/>
      <vt:lpstr/>
      <vt:lpstr>Abstract</vt:lpstr>
      <vt:lpstr>1. Introduction</vt:lpstr>
      <vt:lpstr>2. 5G Industry Background and Development </vt:lpstr>
      <vt:lpstr>3. Research Design</vt:lpstr>
      <vt:lpstr>3.1 Research Sample</vt:lpstr>
      <vt:lpstr>The 30 listed (counter) companies in the above-mentioned “5G” concept stocks wer</vt:lpstr>
      <vt:lpstr>3.3 Slack-based Measure in Dynamic DEA</vt:lpstr>
      <vt:lpstr>References</vt:lpstr>
      <vt:lpstr>Figure 1. Dynamic production process</vt:lpstr>
      <vt:lpstr>Table 1. Variables Classification in 5G Companies’ Dynamic Production Processes</vt:lpstr>
    </vt:vector>
  </TitlesOfParts>
  <Company/>
  <LinksUpToDate>false</LinksUpToDate>
  <CharactersWithSpaces>53766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s941040@gmail.com</dc:creator>
  <cp:keywords/>
  <dc:description/>
  <cp:lastModifiedBy>林政憲</cp:lastModifiedBy>
  <cp:revision>2</cp:revision>
  <cp:lastPrinted>2021-12-01T04:38:00Z</cp:lastPrinted>
  <dcterms:created xsi:type="dcterms:W3CDTF">2021-12-03T03:22:00Z</dcterms:created>
  <dcterms:modified xsi:type="dcterms:W3CDTF">2021-12-03T03:22:00Z</dcterms:modified>
</cp:coreProperties>
</file>