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4952D" w14:textId="784AB0FA" w:rsidR="00283409" w:rsidRPr="004823EE" w:rsidRDefault="003D1F2A" w:rsidP="004823EE">
      <w:pPr>
        <w:snapToGrid w:val="0"/>
        <w:spacing w:afterLines="50" w:after="180" w:line="240" w:lineRule="auto"/>
        <w:ind w:leftChars="295" w:left="708" w:right="936"/>
        <w:jc w:val="center"/>
        <w:rPr>
          <w:b/>
          <w:bCs/>
          <w:sz w:val="32"/>
          <w:szCs w:val="32"/>
        </w:rPr>
      </w:pPr>
      <w:r w:rsidRPr="004823EE">
        <w:rPr>
          <w:b/>
          <w:bCs/>
          <w:sz w:val="32"/>
          <w:szCs w:val="32"/>
        </w:rPr>
        <w:t>The Causality between Analysts’ Recommendations and Corporate M&amp;As</w:t>
      </w:r>
    </w:p>
    <w:p w14:paraId="750EAB24" w14:textId="07543BBA" w:rsidR="000714CE" w:rsidRPr="001C5BF4" w:rsidRDefault="000714CE" w:rsidP="004823EE">
      <w:pPr>
        <w:jc w:val="center"/>
        <w:rPr>
          <w:b/>
          <w:bCs/>
        </w:rPr>
      </w:pPr>
      <w:r w:rsidRPr="001C5BF4">
        <w:rPr>
          <w:b/>
          <w:bCs/>
        </w:rPr>
        <w:t>Ching-</w:t>
      </w:r>
      <w:proofErr w:type="spellStart"/>
      <w:r w:rsidRPr="001C5BF4">
        <w:rPr>
          <w:b/>
          <w:bCs/>
        </w:rPr>
        <w:t>Chih</w:t>
      </w:r>
      <w:proofErr w:type="spellEnd"/>
      <w:r w:rsidRPr="001C5BF4">
        <w:rPr>
          <w:b/>
          <w:bCs/>
        </w:rPr>
        <w:t xml:space="preserve"> Wu</w:t>
      </w:r>
      <w:r w:rsidR="004823EE" w:rsidRPr="001C5BF4">
        <w:rPr>
          <w:rStyle w:val="a5"/>
          <w:b/>
          <w:bCs/>
        </w:rPr>
        <w:footnoteReference w:id="1"/>
      </w:r>
      <w:r w:rsidRPr="001C5BF4">
        <w:rPr>
          <w:b/>
          <w:bCs/>
        </w:rPr>
        <w:t>*</w:t>
      </w:r>
      <w:r w:rsidR="00EA356C" w:rsidRPr="001C5BF4">
        <w:rPr>
          <w:b/>
          <w:bCs/>
        </w:rPr>
        <w:t xml:space="preserve">, </w:t>
      </w:r>
      <w:r w:rsidR="009408D7" w:rsidRPr="001C5BF4">
        <w:rPr>
          <w:b/>
          <w:bCs/>
        </w:rPr>
        <w:t>Tung-Hsiao Yang</w:t>
      </w:r>
      <w:r w:rsidR="004823EE" w:rsidRPr="001C5BF4">
        <w:rPr>
          <w:rStyle w:val="a5"/>
          <w:b/>
          <w:bCs/>
        </w:rPr>
        <w:footnoteReference w:id="2"/>
      </w:r>
    </w:p>
    <w:p w14:paraId="1AC3BDCC" w14:textId="77777777" w:rsidR="00341FBC" w:rsidRPr="00353396" w:rsidRDefault="00341FBC" w:rsidP="001D255E"/>
    <w:p w14:paraId="679E39D9" w14:textId="14D8CDA0" w:rsidR="00283409" w:rsidRPr="00324F2F" w:rsidRDefault="00353396" w:rsidP="00B21DFE">
      <w:pPr>
        <w:spacing w:beforeLines="100" w:before="360" w:afterLines="50" w:after="180" w:line="240" w:lineRule="auto"/>
        <w:ind w:right="0"/>
        <w:jc w:val="center"/>
        <w:rPr>
          <w:b/>
          <w:bCs/>
          <w:sz w:val="28"/>
          <w:szCs w:val="28"/>
        </w:rPr>
      </w:pPr>
      <w:r w:rsidRPr="00324F2F">
        <w:rPr>
          <w:b/>
          <w:bCs/>
          <w:sz w:val="28"/>
          <w:szCs w:val="28"/>
        </w:rPr>
        <w:t>Abstract</w:t>
      </w:r>
    </w:p>
    <w:p w14:paraId="5C553E0D" w14:textId="4A5C10D1" w:rsidR="00353396" w:rsidRPr="00353396" w:rsidRDefault="00D953C4" w:rsidP="00324F2F">
      <w:pPr>
        <w:spacing w:line="240" w:lineRule="auto"/>
        <w:ind w:right="0"/>
      </w:pPr>
      <w:r w:rsidRPr="00D953C4">
        <w:t>This study examines the role of analysts' recommendations in mergers and acquisitions (M&amp;As), focusing on their impact on payment methods and acquirers' long-term performance. The findings reveal that acquirers with strong buy or buy recommendations are more likely to use 100% stock payment, consistent with the overvaluation hypothesis. Conversely, those with strong sell or sell recommendations tend to prefer cash payment. Notably, acquirers with higher recommendation scores exhibit better long-term market performance, suggesting that analysts' recommendations before M&amp;A announcements do not fully incorporate the deal's potential impact on long-term value creation. Moreover, acquirers with buy recommendations experience significantly lower long-term returns, highlighting the disconnect between analysts' recommendations and long-term performance. These findings contribute to understanding the information content and limitations of analysts' recommendations in the M&amp;A context.</w:t>
      </w:r>
    </w:p>
    <w:p w14:paraId="552D0591" w14:textId="743B2C71" w:rsidR="00353396" w:rsidRDefault="00935C93" w:rsidP="00324F2F">
      <w:pPr>
        <w:spacing w:beforeLines="50" w:before="180" w:line="240" w:lineRule="auto"/>
        <w:ind w:left="1201" w:right="0" w:hangingChars="500" w:hanging="1201"/>
      </w:pPr>
      <w:r w:rsidRPr="001C5BF4">
        <w:rPr>
          <w:b/>
          <w:bCs/>
        </w:rPr>
        <w:t>Keywords</w:t>
      </w:r>
      <w:r w:rsidRPr="00935C93">
        <w:t>: Mergers and acquisitions, analysts' recommendations, payment methods, Information quality, overvaluation hypothesis</w:t>
      </w:r>
    </w:p>
    <w:p w14:paraId="7932AC12" w14:textId="2CED650F" w:rsidR="004E2B1C" w:rsidRPr="00353396" w:rsidRDefault="004E2B1C" w:rsidP="00324F2F">
      <w:pPr>
        <w:spacing w:line="240" w:lineRule="auto"/>
        <w:ind w:right="0"/>
      </w:pPr>
      <w:r w:rsidRPr="001C5BF4">
        <w:rPr>
          <w:rFonts w:hint="eastAsia"/>
          <w:b/>
          <w:bCs/>
        </w:rPr>
        <w:t>J</w:t>
      </w:r>
      <w:r w:rsidRPr="001C5BF4">
        <w:rPr>
          <w:b/>
          <w:bCs/>
        </w:rPr>
        <w:t>EL classification</w:t>
      </w:r>
      <w:r>
        <w:t>:</w:t>
      </w:r>
      <w:r w:rsidR="00443F6C">
        <w:t xml:space="preserve"> </w:t>
      </w:r>
      <w:r w:rsidR="00303CA5" w:rsidRPr="00303CA5">
        <w:t>G34, G24, G14</w:t>
      </w:r>
    </w:p>
    <w:p w14:paraId="47454D52" w14:textId="77777777" w:rsidR="00033EAC" w:rsidRDefault="00033EAC" w:rsidP="001C5BF4">
      <w:pPr>
        <w:sectPr w:rsidR="00033EAC">
          <w:footerReference w:type="default" r:id="rId8"/>
          <w:pgSz w:w="11906" w:h="16838"/>
          <w:pgMar w:top="1440" w:right="1800" w:bottom="1440" w:left="1800" w:header="851" w:footer="992" w:gutter="0"/>
          <w:cols w:space="425"/>
          <w:docGrid w:type="lines" w:linePitch="360"/>
        </w:sectPr>
      </w:pPr>
    </w:p>
    <w:p w14:paraId="6F69DF86" w14:textId="77777777" w:rsidR="00D00CC9" w:rsidRPr="001147B9" w:rsidRDefault="00D00CC9" w:rsidP="00BC3E3E">
      <w:pPr>
        <w:pStyle w:val="1"/>
      </w:pPr>
      <w:r w:rsidRPr="001147B9">
        <w:lastRenderedPageBreak/>
        <w:t>Introduction</w:t>
      </w:r>
    </w:p>
    <w:p w14:paraId="0909A7C9" w14:textId="00305321" w:rsidR="00F213C0" w:rsidRPr="00F95F4A" w:rsidRDefault="00F213C0" w:rsidP="00324F2F">
      <w:pPr>
        <w:pStyle w:val="text"/>
      </w:pPr>
      <w:r w:rsidRPr="00F95F4A">
        <w:t xml:space="preserve">Financial analysts play a pivotal role in the capital markets, with two divergent perspectives about their influence in financial markets. On one hand, analysts are regarded as knowledgeable experts who continuously analyze and disseminate information about a </w:t>
      </w:r>
      <w:r w:rsidR="00707136" w:rsidRPr="00F95F4A">
        <w:t>firm</w:t>
      </w:r>
      <w:r w:rsidRPr="00F95F4A">
        <w:t xml:space="preserve">'s future prospects, acting as information intermediaries and performing crucial monitoring functions. This view implies that analysts rationally analyze and evaluate </w:t>
      </w:r>
      <w:r w:rsidR="00707136" w:rsidRPr="00F95F4A">
        <w:t>firms</w:t>
      </w:r>
      <w:r w:rsidRPr="00F95F4A">
        <w:t>, unaffected by social backgrounds or cognitive biases, leading investors to place substantial weight on their reports. Furthermore, analysts' influence extends to managerial decisions through their monitoring functions, notably in setting earnings targets. Executives often strive to meet or exceed analyst consensus earnings forecasts, which serve as market benchmarks.</w:t>
      </w:r>
    </w:p>
    <w:p w14:paraId="643027F2" w14:textId="562D8D3A" w:rsidR="003C6BAF" w:rsidRPr="00353396" w:rsidRDefault="00F213C0" w:rsidP="00324F2F">
      <w:pPr>
        <w:pStyle w:val="text"/>
      </w:pPr>
      <w:r>
        <w:t xml:space="preserve">Conversely, the behavioral finance perspective posits that analysts are not entirely rational and are susceptible to biases that may affect their judgments. Proponents of this view argue that analysts tend to be overly optimistic in their forecasts, which may be influenced by management strategies, leading to a reciprocal effect on analysts' recommendations. While analysts possess expertise and professional skills to analyze </w:t>
      </w:r>
      <w:r w:rsidR="00707136">
        <w:t>firms</w:t>
      </w:r>
      <w:r>
        <w:t xml:space="preserve"> within specific industries or related sectors, their ability to provide accurate recommendations or earnings forecasts may be challenged when a </w:t>
      </w:r>
      <w:r w:rsidR="00707136">
        <w:t>firm</w:t>
      </w:r>
      <w:r>
        <w:t xml:space="preserve"> diversifies or operates across multiple industries. In such cases, corporate strategies could potentially impact the accuracy of analysts' recommendations and forecasts.</w:t>
      </w:r>
      <w:r w:rsidR="003C6BAF" w:rsidRPr="00353396">
        <w:t xml:space="preserve"> </w:t>
      </w:r>
    </w:p>
    <w:p w14:paraId="0F027235" w14:textId="77777777" w:rsidR="00063C48" w:rsidRDefault="00063C48" w:rsidP="00324F2F">
      <w:pPr>
        <w:pStyle w:val="text"/>
      </w:pPr>
      <w:bookmarkStart w:id="0" w:name="_Hlk91532736"/>
      <w:r>
        <w:t>This study investigates the causality between analysts' recommendations and corporate merger and acquisition (M&amp;A) strategies, drawing upon the contrasting viewpoints of analysts as rational information intermediaries and analysts as susceptible to cognitive biases. Three research questions are explored, focusing on the causal relationship between analysts' recommendations and managerial decisions in M&amp;As at two distinct time points relative to the deal progression.</w:t>
      </w:r>
    </w:p>
    <w:p w14:paraId="74629AA2" w14:textId="661CDF49" w:rsidR="009108E8" w:rsidRDefault="00063C48" w:rsidP="00324F2F">
      <w:pPr>
        <w:pStyle w:val="text"/>
      </w:pPr>
      <w:r>
        <w:t xml:space="preserve">The first research question examines whether analysts' recommendations can influence the managerial decision regarding the payment method in M&amp;As. Figure 1 depicts the structure of this study. Specifically, we investigate the period of 30, 60, or 90 days before the M&amp;A announcement (t1). Analysts' recommendations, particularly strong sell ratings, may impact the acquirer's stock performance. When an acquirer's stock price drops substantially following a negative recommendation, managers may be less inclined to complete the deal with stock payment due to undervaluation concerns. Consistent with information asymmetry theories and evidence from </w:t>
      </w:r>
      <w:r w:rsidR="00C2082E">
        <w:fldChar w:fldCharType="begin"/>
      </w:r>
      <w:r w:rsidR="00687107">
        <w:instrText xml:space="preserve"> ADDIN EN.CITE &lt;EndNote&gt;&lt;Cite AuthorYear="1"&gt;&lt;Author&gt;Brown&lt;/Author&gt;&lt;Year&gt;1991&lt;/Year&gt;&lt;RecNum&gt;5871&lt;/RecNum&gt;&lt;DisplayText&gt;Brown and Ryngaert [1]&lt;/DisplayText&gt;&lt;record&gt;&lt;rec-number&gt;5871&lt;/rec-number&gt;&lt;foreign-keys&gt;&lt;key app="EN" db-id="0pew05t5ffv2zxewvpbvwv20pvaweratdv5e" timestamp="1709773822" guid="1bd5b696-e480-4994-9813-7c50d5222246"&gt;5871&lt;/key&gt;&lt;/foreign-keys&gt;&lt;ref-type name="Journal Article"&gt;17&lt;/ref-type&gt;&lt;contributors&gt;&lt;authors&gt;&lt;author&gt;Brown, David T&lt;/author&gt;&lt;author&gt;Ryngaert, Michael D&lt;/author&gt;&lt;/authors&gt;&lt;/contributors&gt;&lt;titles&gt;&lt;title&gt;The mode of acquisition in takeovers: Taxes and asymmetric information&lt;/title&gt;&lt;secondary-title&gt;The Journal of Finance&lt;/secondary-title&gt;&lt;/titles&gt;&lt;periodical&gt;&lt;full-title&gt;The Journal of Finance&lt;/full-title&gt;&lt;/periodical&gt;&lt;pages&gt;653-669&lt;/pages&gt;&lt;volume&gt;46&lt;/volume&gt;&lt;number&gt;2&lt;/number&gt;&lt;dates&gt;&lt;year&gt;1991&lt;/year&gt;&lt;/dates&gt;&lt;isbn&gt;0022-1082&lt;/isbn&gt;&lt;urls&gt;&lt;/urls&gt;&lt;/record&gt;&lt;/Cite&gt;&lt;/EndNote&gt;</w:instrText>
      </w:r>
      <w:r w:rsidR="00C2082E">
        <w:fldChar w:fldCharType="separate"/>
      </w:r>
      <w:r w:rsidR="00687107">
        <w:rPr>
          <w:noProof/>
        </w:rPr>
        <w:t>Brown and Ryngaert [1]</w:t>
      </w:r>
      <w:r w:rsidR="00C2082E">
        <w:fldChar w:fldCharType="end"/>
      </w:r>
      <w:r>
        <w:t xml:space="preserve">, acquirers are more likely to offer stock when their firms are overvalued and cash when undervalued. Consequently, we expect acquirers to proceed with stock </w:t>
      </w:r>
      <w:r>
        <w:lastRenderedPageBreak/>
        <w:t xml:space="preserve">payment when receiving buy or strong buy recommendations before the announcement, </w:t>
      </w:r>
      <w:r w:rsidR="00F6275A">
        <w:rPr>
          <w:noProof/>
        </w:rPr>
        <mc:AlternateContent>
          <mc:Choice Requires="wpc">
            <w:drawing>
              <wp:anchor distT="0" distB="0" distL="114300" distR="114300" simplePos="0" relativeHeight="251658240" behindDoc="0" locked="0" layoutInCell="1" allowOverlap="1" wp14:anchorId="4C5A391A" wp14:editId="61CA2B26">
                <wp:simplePos x="0" y="0"/>
                <wp:positionH relativeFrom="column">
                  <wp:posOffset>234950</wp:posOffset>
                </wp:positionH>
                <wp:positionV relativeFrom="paragraph">
                  <wp:posOffset>641350</wp:posOffset>
                </wp:positionV>
                <wp:extent cx="5064760" cy="1619885"/>
                <wp:effectExtent l="0" t="0" r="0" b="0"/>
                <wp:wrapNone/>
                <wp:docPr id="21" name="畫布 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282579" y="569528"/>
                            <a:ext cx="725805" cy="123872"/>
                          </a:xfrm>
                          <a:prstGeom prst="rect">
                            <a:avLst/>
                          </a:prstGeom>
                          <a:solidFill>
                            <a:srgbClr val="FFFF00"/>
                          </a:solidFill>
                          <a:ln w="0">
                            <a:solidFill>
                              <a:srgbClr val="FFFF00"/>
                            </a:solidFill>
                            <a:miter lim="800000"/>
                            <a:headEnd/>
                            <a:tailEnd/>
                          </a:ln>
                        </wps:spPr>
                        <wps:bodyPr rot="0" vert="horz" wrap="square" lIns="91440" tIns="45720" rIns="91440" bIns="45720" anchor="t" anchorCtr="0" upright="1">
                          <a:noAutofit/>
                        </wps:bodyPr>
                      </wps:wsp>
                      <wps:wsp>
                        <wps:cNvPr id="2" name="Rectangle 6"/>
                        <wps:cNvSpPr>
                          <a:spLocks noChangeArrowheads="1"/>
                        </wps:cNvSpPr>
                        <wps:spPr bwMode="auto">
                          <a:xfrm>
                            <a:off x="13" y="19744"/>
                            <a:ext cx="5027295" cy="1593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8080"/>
                                </a:solidFill>
                                <a:miter lim="800000"/>
                                <a:headEnd/>
                                <a:tailEnd/>
                              </a14:hiddenLine>
                            </a:ext>
                          </a:extLst>
                        </wps:spPr>
                        <wps:bodyPr rot="0" vert="horz" wrap="square" lIns="91440" tIns="45720" rIns="91440" bIns="45720" anchor="t" anchorCtr="0" upright="1">
                          <a:noAutofit/>
                        </wps:bodyPr>
                      </wps:wsp>
                      <wps:wsp>
                        <wps:cNvPr id="3" name="Rectangle 7"/>
                        <wps:cNvSpPr>
                          <a:spLocks noChangeArrowheads="1"/>
                        </wps:cNvSpPr>
                        <wps:spPr bwMode="auto">
                          <a:xfrm>
                            <a:off x="3256928" y="571007"/>
                            <a:ext cx="1397635" cy="122392"/>
                          </a:xfrm>
                          <a:prstGeom prst="rect">
                            <a:avLst/>
                          </a:prstGeom>
                          <a:solidFill>
                            <a:srgbClr val="FFFF00"/>
                          </a:solidFill>
                          <a:ln w="0">
                            <a:solidFill>
                              <a:srgbClr val="FFFF00"/>
                            </a:solidFill>
                            <a:miter lim="800000"/>
                            <a:headEnd/>
                            <a:tailEnd/>
                          </a:ln>
                        </wps:spPr>
                        <wps:bodyPr rot="0" vert="horz" wrap="square" lIns="91440" tIns="45720" rIns="91440" bIns="45720" anchor="t" anchorCtr="0" upright="1">
                          <a:noAutofit/>
                        </wps:bodyPr>
                      </wps:wsp>
                      <wps:wsp>
                        <wps:cNvPr id="4" name="Line 8"/>
                        <wps:cNvCnPr>
                          <a:cxnSpLocks noChangeShapeType="1"/>
                        </wps:cNvCnPr>
                        <wps:spPr bwMode="auto">
                          <a:xfrm>
                            <a:off x="346088" y="622828"/>
                            <a:ext cx="4427855" cy="493"/>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9"/>
                        <wps:cNvSpPr>
                          <a:spLocks noChangeArrowheads="1"/>
                        </wps:cNvSpPr>
                        <wps:spPr bwMode="auto">
                          <a:xfrm>
                            <a:off x="492126" y="397786"/>
                            <a:ext cx="380365" cy="177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B6CAA" w14:textId="77777777" w:rsidR="00C864E7" w:rsidRPr="00711404" w:rsidRDefault="00C864E7" w:rsidP="00C864E7">
                              <w:pPr>
                                <w:spacing w:line="240" w:lineRule="auto"/>
                              </w:pPr>
                              <w:r w:rsidRPr="00711404">
                                <w:rPr>
                                  <w:bCs/>
                                  <w:color w:val="000000"/>
                                  <w:sz w:val="22"/>
                                  <w:szCs w:val="22"/>
                                </w:rPr>
                                <w:t>t1</w:t>
                              </w:r>
                            </w:p>
                          </w:txbxContent>
                        </wps:txbx>
                        <wps:bodyPr rot="0" vert="horz" wrap="square" lIns="0" tIns="0" rIns="0" bIns="0" anchor="t" anchorCtr="0" upright="1">
                          <a:noAutofit/>
                        </wps:bodyPr>
                      </wps:wsp>
                      <wps:wsp>
                        <wps:cNvPr id="6" name="Rectangle 10"/>
                        <wps:cNvSpPr>
                          <a:spLocks noChangeArrowheads="1"/>
                        </wps:cNvSpPr>
                        <wps:spPr bwMode="auto">
                          <a:xfrm>
                            <a:off x="3207385" y="141155"/>
                            <a:ext cx="1517650" cy="177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48DCC" w14:textId="77777777" w:rsidR="00C864E7" w:rsidRPr="00711404" w:rsidRDefault="00C864E7" w:rsidP="00C864E7">
                              <w:pPr>
                                <w:snapToGrid w:val="0"/>
                                <w:spacing w:line="240" w:lineRule="auto"/>
                                <w:jc w:val="center"/>
                              </w:pPr>
                              <w:r w:rsidRPr="00711404">
                                <w:rPr>
                                  <w:sz w:val="22"/>
                                  <w:szCs w:val="22"/>
                                </w:rPr>
                                <w:t>Two or three years</w:t>
                              </w:r>
                            </w:p>
                          </w:txbxContent>
                        </wps:txbx>
                        <wps:bodyPr rot="0" vert="horz" wrap="square" lIns="0" tIns="0" rIns="0" bIns="0" anchor="t" anchorCtr="0" upright="1">
                          <a:noAutofit/>
                        </wps:bodyPr>
                      </wps:wsp>
                      <wps:wsp>
                        <wps:cNvPr id="7" name="Line 11"/>
                        <wps:cNvCnPr>
                          <a:cxnSpLocks noChangeShapeType="1"/>
                        </wps:cNvCnPr>
                        <wps:spPr bwMode="auto">
                          <a:xfrm>
                            <a:off x="1008393" y="575449"/>
                            <a:ext cx="635" cy="11202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Line 12"/>
                        <wps:cNvCnPr>
                          <a:cxnSpLocks noChangeShapeType="1"/>
                        </wps:cNvCnPr>
                        <wps:spPr bwMode="auto">
                          <a:xfrm flipV="1">
                            <a:off x="3207385" y="318820"/>
                            <a:ext cx="1564640" cy="493"/>
                          </a:xfrm>
                          <a:prstGeom prst="line">
                            <a:avLst/>
                          </a:prstGeom>
                          <a:noFill/>
                          <a:ln w="12700">
                            <a:solidFill>
                              <a:srgbClr val="0000CC"/>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Rectangle 13"/>
                        <wps:cNvSpPr>
                          <a:spLocks noChangeArrowheads="1"/>
                        </wps:cNvSpPr>
                        <wps:spPr bwMode="auto">
                          <a:xfrm>
                            <a:off x="355600" y="83904"/>
                            <a:ext cx="965200" cy="217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B55C" w14:textId="77777777" w:rsidR="00C864E7" w:rsidRPr="00711404" w:rsidRDefault="00C864E7" w:rsidP="008A1C7A">
                              <w:pPr>
                                <w:spacing w:line="240" w:lineRule="auto"/>
                                <w:ind w:right="0"/>
                                <w:jc w:val="center"/>
                              </w:pPr>
                              <w:r w:rsidRPr="00711404">
                                <w:rPr>
                                  <w:color w:val="000000"/>
                                  <w:sz w:val="22"/>
                                  <w:szCs w:val="22"/>
                                </w:rPr>
                                <w:t>30, 60, 90 days</w:t>
                              </w:r>
                            </w:p>
                          </w:txbxContent>
                        </wps:txbx>
                        <wps:bodyPr rot="0" vert="horz" wrap="square" lIns="0" tIns="0" rIns="0" bIns="0" anchor="t" anchorCtr="0" upright="1">
                          <a:noAutofit/>
                        </wps:bodyPr>
                      </wps:wsp>
                      <wps:wsp>
                        <wps:cNvPr id="10" name="Line 14"/>
                        <wps:cNvCnPr>
                          <a:cxnSpLocks noChangeShapeType="1"/>
                        </wps:cNvCnPr>
                        <wps:spPr bwMode="auto">
                          <a:xfrm flipV="1">
                            <a:off x="319416" y="299569"/>
                            <a:ext cx="688975" cy="1973"/>
                          </a:xfrm>
                          <a:prstGeom prst="line">
                            <a:avLst/>
                          </a:prstGeom>
                          <a:noFill/>
                          <a:ln w="12700">
                            <a:solidFill>
                              <a:srgbClr val="0000CC"/>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Rectangle 15"/>
                        <wps:cNvSpPr>
                          <a:spLocks noChangeArrowheads="1"/>
                        </wps:cNvSpPr>
                        <wps:spPr bwMode="auto">
                          <a:xfrm>
                            <a:off x="1535443" y="509811"/>
                            <a:ext cx="147955" cy="177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A53A0" w14:textId="77777777" w:rsidR="00C864E7" w:rsidRPr="00A6196A" w:rsidRDefault="00C864E7" w:rsidP="00C864E7">
                              <w:pPr>
                                <w:snapToGrid w:val="0"/>
                                <w:spacing w:line="240" w:lineRule="atLeast"/>
                                <w:rPr>
                                  <w:color w:val="0000CC"/>
                                </w:rPr>
                              </w:pPr>
                              <w:r w:rsidRPr="00A6196A">
                                <w:rPr>
                                  <w:rFonts w:hint="eastAsia"/>
                                  <w:b/>
                                  <w:bCs/>
                                  <w:color w:val="0000CC"/>
                                </w:rPr>
                                <w:sym w:font="Symbol" w:char="F0B4"/>
                              </w:r>
                            </w:p>
                          </w:txbxContent>
                        </wps:txbx>
                        <wps:bodyPr rot="0" vert="horz" wrap="square" lIns="0" tIns="0" rIns="0" bIns="0" anchor="t" anchorCtr="0" upright="1">
                          <a:noAutofit/>
                        </wps:bodyPr>
                      </wps:wsp>
                      <wps:wsp>
                        <wps:cNvPr id="12" name="Line 16"/>
                        <wps:cNvCnPr>
                          <a:cxnSpLocks noChangeShapeType="1"/>
                        </wps:cNvCnPr>
                        <wps:spPr bwMode="auto">
                          <a:xfrm>
                            <a:off x="1578623" y="699589"/>
                            <a:ext cx="635" cy="180000"/>
                          </a:xfrm>
                          <a:prstGeom prst="line">
                            <a:avLst/>
                          </a:prstGeom>
                          <a:noFill/>
                          <a:ln w="12700">
                            <a:solidFill>
                              <a:srgbClr val="0000CC"/>
                            </a:solidFill>
                            <a:round/>
                            <a:headEnd/>
                            <a:tailEnd type="triangle" w="sm" len="med"/>
                          </a:ln>
                          <a:extLst>
                            <a:ext uri="{909E8E84-426E-40DD-AFC4-6F175D3DCCD1}">
                              <a14:hiddenFill xmlns:a14="http://schemas.microsoft.com/office/drawing/2010/main">
                                <a:noFill/>
                              </a14:hiddenFill>
                            </a:ext>
                          </a:extLst>
                        </wps:spPr>
                        <wps:bodyPr/>
                      </wps:wsp>
                      <wps:wsp>
                        <wps:cNvPr id="13" name="Rectangle 17"/>
                        <wps:cNvSpPr>
                          <a:spLocks noChangeArrowheads="1"/>
                        </wps:cNvSpPr>
                        <wps:spPr bwMode="auto">
                          <a:xfrm>
                            <a:off x="1052119" y="892785"/>
                            <a:ext cx="1109345" cy="536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70CB8" w14:textId="77777777" w:rsidR="00C864E7" w:rsidRDefault="00C864E7" w:rsidP="00F6275A">
                              <w:pPr>
                                <w:snapToGrid w:val="0"/>
                                <w:spacing w:line="240" w:lineRule="exact"/>
                                <w:jc w:val="center"/>
                                <w:rPr>
                                  <w:color w:val="000080"/>
                                  <w:sz w:val="22"/>
                                  <w:szCs w:val="22"/>
                                </w:rPr>
                              </w:pPr>
                              <w:r>
                                <w:rPr>
                                  <w:rFonts w:hint="eastAsia"/>
                                  <w:color w:val="000080"/>
                                  <w:sz w:val="22"/>
                                  <w:szCs w:val="22"/>
                                </w:rPr>
                                <w:t>M&amp;As</w:t>
                              </w:r>
                              <w:r>
                                <w:rPr>
                                  <w:color w:val="000080"/>
                                  <w:sz w:val="22"/>
                                  <w:szCs w:val="22"/>
                                </w:rPr>
                                <w:t xml:space="preserve"> Announcement</w:t>
                              </w:r>
                            </w:p>
                            <w:p w14:paraId="653FE8C0" w14:textId="77777777" w:rsidR="00C864E7" w:rsidRPr="003E3562" w:rsidRDefault="00C864E7" w:rsidP="00F6275A">
                              <w:pPr>
                                <w:snapToGrid w:val="0"/>
                                <w:spacing w:line="240" w:lineRule="exact"/>
                                <w:jc w:val="center"/>
                                <w:rPr>
                                  <w:rFonts w:hint="eastAsia"/>
                                  <w:color w:val="000080"/>
                                  <w:sz w:val="22"/>
                                  <w:szCs w:val="22"/>
                                </w:rPr>
                              </w:pPr>
                              <w:r w:rsidRPr="003E3562">
                                <w:rPr>
                                  <w:color w:val="000080"/>
                                  <w:sz w:val="22"/>
                                  <w:szCs w:val="22"/>
                                </w:rPr>
                                <w:t>date</w:t>
                              </w:r>
                            </w:p>
                          </w:txbxContent>
                        </wps:txbx>
                        <wps:bodyPr rot="0" vert="horz" wrap="square" lIns="0" tIns="0" rIns="0" bIns="0" anchor="t" anchorCtr="0" upright="1">
                          <a:noAutofit/>
                        </wps:bodyPr>
                      </wps:wsp>
                      <wps:wsp>
                        <wps:cNvPr id="14" name="Rectangle 18"/>
                        <wps:cNvSpPr>
                          <a:spLocks noChangeArrowheads="1"/>
                        </wps:cNvSpPr>
                        <wps:spPr bwMode="auto">
                          <a:xfrm>
                            <a:off x="2840355" y="892785"/>
                            <a:ext cx="873760" cy="373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0FBF8" w14:textId="77777777" w:rsidR="00C864E7" w:rsidRPr="003E3562" w:rsidRDefault="00C864E7" w:rsidP="00C864E7">
                              <w:pPr>
                                <w:snapToGrid w:val="0"/>
                                <w:spacing w:line="240" w:lineRule="atLeast"/>
                                <w:jc w:val="center"/>
                                <w:rPr>
                                  <w:color w:val="000080"/>
                                  <w:sz w:val="22"/>
                                  <w:szCs w:val="22"/>
                                </w:rPr>
                              </w:pPr>
                              <w:r w:rsidRPr="003E3562">
                                <w:rPr>
                                  <w:color w:val="000080"/>
                                  <w:sz w:val="22"/>
                                  <w:szCs w:val="22"/>
                                </w:rPr>
                                <w:t>M&amp;As Effective date</w:t>
                              </w:r>
                            </w:p>
                          </w:txbxContent>
                        </wps:txbx>
                        <wps:bodyPr rot="0" vert="horz" wrap="square" lIns="0" tIns="0" rIns="0" bIns="0" anchor="t" anchorCtr="0" upright="1">
                          <a:noAutofit/>
                        </wps:bodyPr>
                      </wps:wsp>
                      <wps:wsp>
                        <wps:cNvPr id="15" name="Line 19"/>
                        <wps:cNvCnPr>
                          <a:cxnSpLocks noChangeShapeType="1"/>
                        </wps:cNvCnPr>
                        <wps:spPr bwMode="auto">
                          <a:xfrm>
                            <a:off x="561353" y="700181"/>
                            <a:ext cx="635" cy="180000"/>
                          </a:xfrm>
                          <a:prstGeom prst="line">
                            <a:avLst/>
                          </a:prstGeom>
                          <a:noFill/>
                          <a:ln w="12700">
                            <a:solidFill>
                              <a:srgbClr val="C00000"/>
                            </a:solidFill>
                            <a:round/>
                            <a:headEnd/>
                            <a:tailEnd type="triangle" w="sm" len="med"/>
                          </a:ln>
                          <a:extLst>
                            <a:ext uri="{909E8E84-426E-40DD-AFC4-6F175D3DCCD1}">
                              <a14:hiddenFill xmlns:a14="http://schemas.microsoft.com/office/drawing/2010/main">
                                <a:noFill/>
                              </a14:hiddenFill>
                            </a:ext>
                          </a:extLst>
                        </wps:spPr>
                        <wps:bodyPr/>
                      </wps:wsp>
                      <wps:wsp>
                        <wps:cNvPr id="16" name="Oval 20"/>
                        <wps:cNvSpPr>
                          <a:spLocks noChangeArrowheads="1"/>
                        </wps:cNvSpPr>
                        <wps:spPr bwMode="auto">
                          <a:xfrm>
                            <a:off x="527063" y="596180"/>
                            <a:ext cx="47625" cy="44418"/>
                          </a:xfrm>
                          <a:prstGeom prst="ellipse">
                            <a:avLst/>
                          </a:prstGeom>
                          <a:solidFill>
                            <a:srgbClr val="C00000"/>
                          </a:solidFill>
                          <a:ln w="0">
                            <a:solidFill>
                              <a:srgbClr val="C00000"/>
                            </a:solidFill>
                            <a:round/>
                            <a:headEnd/>
                            <a:tailEnd/>
                          </a:ln>
                        </wps:spPr>
                        <wps:bodyPr rot="0" vert="horz" wrap="square" lIns="91440" tIns="45720" rIns="91440" bIns="45720" anchor="t" anchorCtr="0" upright="1">
                          <a:noAutofit/>
                        </wps:bodyPr>
                      </wps:wsp>
                      <wps:wsp>
                        <wps:cNvPr id="17" name="Rectangle 21"/>
                        <wps:cNvSpPr>
                          <a:spLocks noChangeArrowheads="1"/>
                        </wps:cNvSpPr>
                        <wps:spPr bwMode="auto">
                          <a:xfrm flipH="1">
                            <a:off x="3207385" y="506095"/>
                            <a:ext cx="419100" cy="232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F3A59" w14:textId="77777777" w:rsidR="00C864E7" w:rsidRPr="00A6196A" w:rsidRDefault="00C864E7" w:rsidP="00C864E7">
                              <w:pPr>
                                <w:snapToGrid w:val="0"/>
                                <w:spacing w:line="240" w:lineRule="atLeast"/>
                                <w:rPr>
                                  <w:color w:val="0000CC"/>
                                </w:rPr>
                              </w:pPr>
                              <w:r w:rsidRPr="00A6196A">
                                <w:rPr>
                                  <w:rFonts w:hint="eastAsia"/>
                                  <w:b/>
                                  <w:bCs/>
                                  <w:color w:val="0000CC"/>
                                </w:rPr>
                                <w:sym w:font="Symbol" w:char="F0B4"/>
                              </w:r>
                            </w:p>
                          </w:txbxContent>
                        </wps:txbx>
                        <wps:bodyPr rot="0" vert="horz" wrap="square" lIns="0" tIns="0" rIns="0" bIns="0" anchor="t" anchorCtr="0" upright="1">
                          <a:noAutofit/>
                        </wps:bodyPr>
                      </wps:wsp>
                      <wps:wsp>
                        <wps:cNvPr id="18" name="Line 22"/>
                        <wps:cNvCnPr>
                          <a:cxnSpLocks noChangeShapeType="1"/>
                        </wps:cNvCnPr>
                        <wps:spPr bwMode="auto">
                          <a:xfrm>
                            <a:off x="3256928" y="693831"/>
                            <a:ext cx="635" cy="180000"/>
                          </a:xfrm>
                          <a:prstGeom prst="line">
                            <a:avLst/>
                          </a:prstGeom>
                          <a:noFill/>
                          <a:ln w="12700">
                            <a:solidFill>
                              <a:srgbClr val="0000CC"/>
                            </a:solidFill>
                            <a:round/>
                            <a:headEnd/>
                            <a:tailEnd type="triangle" w="sm" len="med"/>
                          </a:ln>
                          <a:extLst>
                            <a:ext uri="{909E8E84-426E-40DD-AFC4-6F175D3DCCD1}">
                              <a14:hiddenFill xmlns:a14="http://schemas.microsoft.com/office/drawing/2010/main">
                                <a:noFill/>
                              </a14:hiddenFill>
                            </a:ext>
                          </a:extLst>
                        </wps:spPr>
                        <wps:bodyPr/>
                      </wps:wsp>
                      <wps:wsp>
                        <wps:cNvPr id="19" name="Rectangle 23"/>
                        <wps:cNvSpPr>
                          <a:spLocks noChangeArrowheads="1"/>
                        </wps:cNvSpPr>
                        <wps:spPr bwMode="auto">
                          <a:xfrm>
                            <a:off x="3780168" y="391857"/>
                            <a:ext cx="163195" cy="177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E5FB2" w14:textId="77777777" w:rsidR="00C864E7" w:rsidRPr="00A6196A" w:rsidRDefault="00C864E7" w:rsidP="00C864E7">
                              <w:pPr>
                                <w:spacing w:line="240" w:lineRule="auto"/>
                              </w:pPr>
                              <w:r>
                                <w:rPr>
                                  <w:bCs/>
                                  <w:color w:val="000000"/>
                                  <w:sz w:val="22"/>
                                  <w:szCs w:val="22"/>
                                </w:rPr>
                                <w:t>t2</w:t>
                              </w:r>
                            </w:p>
                          </w:txbxContent>
                        </wps:txbx>
                        <wps:bodyPr rot="0" vert="horz" wrap="square" lIns="0" tIns="0" rIns="0" bIns="0" anchor="t" anchorCtr="0" upright="1">
                          <a:noAutofit/>
                        </wps:bodyPr>
                      </wps:wsp>
                      <wps:wsp>
                        <wps:cNvPr id="20" name="Rectangle 24"/>
                        <wps:cNvSpPr>
                          <a:spLocks noChangeArrowheads="1"/>
                        </wps:cNvSpPr>
                        <wps:spPr bwMode="auto">
                          <a:xfrm>
                            <a:off x="180967" y="860976"/>
                            <a:ext cx="681355" cy="535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9F0C6" w14:textId="77777777" w:rsidR="00C864E7" w:rsidRPr="00711404" w:rsidRDefault="00C864E7" w:rsidP="00C864E7">
                              <w:pPr>
                                <w:snapToGrid w:val="0"/>
                                <w:spacing w:line="240" w:lineRule="auto"/>
                                <w:jc w:val="center"/>
                                <w:rPr>
                                  <w:color w:val="C00000"/>
                                  <w:sz w:val="22"/>
                                  <w:szCs w:val="22"/>
                                </w:rPr>
                              </w:pPr>
                              <w:r w:rsidRPr="00711404">
                                <w:rPr>
                                  <w:rFonts w:hint="eastAsia"/>
                                  <w:color w:val="C00000"/>
                                  <w:sz w:val="22"/>
                                  <w:szCs w:val="22"/>
                                </w:rPr>
                                <w:t>B</w:t>
                              </w:r>
                              <w:r w:rsidRPr="00711404">
                                <w:rPr>
                                  <w:color w:val="C00000"/>
                                  <w:sz w:val="22"/>
                                  <w:szCs w:val="22"/>
                                </w:rPr>
                                <w:t>uy</w:t>
                              </w:r>
                            </w:p>
                            <w:p w14:paraId="5856D636" w14:textId="77777777" w:rsidR="00C864E7" w:rsidRPr="00711404" w:rsidRDefault="00C864E7" w:rsidP="00F6275A">
                              <w:pPr>
                                <w:snapToGrid w:val="0"/>
                                <w:spacing w:line="240" w:lineRule="auto"/>
                                <w:ind w:right="0"/>
                                <w:jc w:val="center"/>
                                <w:rPr>
                                  <w:color w:val="C00000"/>
                                  <w:sz w:val="22"/>
                                  <w:szCs w:val="22"/>
                                </w:rPr>
                              </w:pPr>
                              <w:r w:rsidRPr="00711404">
                                <w:rPr>
                                  <w:rFonts w:hint="eastAsia"/>
                                  <w:color w:val="C00000"/>
                                  <w:sz w:val="22"/>
                                  <w:szCs w:val="22"/>
                                </w:rPr>
                                <w:t>H</w:t>
                              </w:r>
                              <w:r w:rsidRPr="00711404">
                                <w:rPr>
                                  <w:color w:val="C00000"/>
                                  <w:sz w:val="22"/>
                                  <w:szCs w:val="22"/>
                                </w:rPr>
                                <w:t>old</w:t>
                              </w:r>
                            </w:p>
                            <w:p w14:paraId="1664C03E" w14:textId="77777777" w:rsidR="00C864E7" w:rsidRPr="00711404" w:rsidRDefault="00C864E7" w:rsidP="00C864E7">
                              <w:pPr>
                                <w:snapToGrid w:val="0"/>
                                <w:spacing w:line="240" w:lineRule="auto"/>
                                <w:jc w:val="center"/>
                                <w:rPr>
                                  <w:rFonts w:hint="eastAsia"/>
                                  <w:color w:val="C00000"/>
                                  <w:sz w:val="22"/>
                                  <w:szCs w:val="22"/>
                                </w:rPr>
                              </w:pPr>
                              <w:r w:rsidRPr="00711404">
                                <w:rPr>
                                  <w:rFonts w:hint="eastAsia"/>
                                  <w:color w:val="C00000"/>
                                  <w:sz w:val="22"/>
                                  <w:szCs w:val="22"/>
                                </w:rPr>
                                <w:t>S</w:t>
                              </w:r>
                              <w:r w:rsidRPr="00711404">
                                <w:rPr>
                                  <w:color w:val="C00000"/>
                                  <w:sz w:val="22"/>
                                  <w:szCs w:val="22"/>
                                </w:rPr>
                                <w:t>ell</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C5A391A" id="畫布 21" o:spid="_x0000_s1026" editas="canvas" style="position:absolute;left:0;text-align:left;margin-left:18.5pt;margin-top:50.5pt;width:398.8pt;height:127.55pt;z-index:251658240" coordsize="50647,16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647;height:16198;visibility:visible;mso-wrap-style:square">
                  <v:fill o:detectmouseclick="t"/>
                  <v:path o:connecttype="none"/>
                </v:shape>
                <v:rect id="Rectangle 5" o:spid="_x0000_s1028" style="position:absolute;left:2825;top:5695;width:7258;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" fillcolor="yellow" strokecolor="yellow" strokeweight="0"/>
                <v:rect id="Rectangle 6" o:spid="_x0000_s1029" style="position:absolute;top:197;width:50273;height:15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" filled="f" stroked="f" strokecolor="teal" strokeweight="2pt"/>
                <v:rect id="Rectangle 7" o:spid="_x0000_s1030" style="position:absolute;left:32569;top:5710;width:13976;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" fillcolor="yellow" strokecolor="yellow" strokeweight="0"/>
                <v:line id="Line 8" o:spid="_x0000_s1031" style="position:absolute;visibility:visible;mso-wrap-style:square" from="3460,6228" to="47739,6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" strokeweight="1pt">
                  <v:stroke endarrow="block"/>
                </v:line>
                <v:rect id="Rectangle 9" o:spid="_x0000_s1032" style="position:absolute;left:4921;top:3977;width:3803;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60DB6CAA" w14:textId="77777777" w:rsidR="00C864E7" w:rsidRPr="00711404" w:rsidRDefault="00C864E7" w:rsidP="00C864E7">
                        <w:pPr>
                          <w:spacing w:line="240" w:lineRule="auto"/>
                        </w:pPr>
                        <w:r w:rsidRPr="00711404">
                          <w:rPr>
                            <w:bCs/>
                            <w:color w:val="000000"/>
                            <w:sz w:val="22"/>
                            <w:szCs w:val="22"/>
                          </w:rPr>
                          <w:t>t1</w:t>
                        </w:r>
                      </w:p>
                    </w:txbxContent>
                  </v:textbox>
                </v:rect>
                <v:rect id="Rectangle 10" o:spid="_x0000_s1033" style="position:absolute;left:32073;top:1411;width:15177;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CE48DCC" w14:textId="77777777" w:rsidR="00C864E7" w:rsidRPr="00711404" w:rsidRDefault="00C864E7" w:rsidP="00C864E7">
                        <w:pPr>
                          <w:snapToGrid w:val="0"/>
                          <w:spacing w:line="240" w:lineRule="auto"/>
                          <w:jc w:val="center"/>
                        </w:pPr>
                        <w:r w:rsidRPr="00711404">
                          <w:rPr>
                            <w:sz w:val="22"/>
                            <w:szCs w:val="22"/>
                          </w:rPr>
                          <w:t>Two or three years</w:t>
                        </w:r>
                      </w:p>
                    </w:txbxContent>
                  </v:textbox>
                </v:rect>
                <v:line id="Line 11" o:spid="_x0000_s1034" style="position:absolute;visibility:visible;mso-wrap-style:square" from="10083,5754" to="10090,6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strokeweight="1pt"/>
                <v:line id="Line 12" o:spid="_x0000_s1035" style="position:absolute;flip:y;visibility:visible;mso-wrap-style:square" from="32073,3188" to="47720,3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" strokecolor="#00c" strokeweight="1pt">
                  <v:stroke startarrow="block" endarrow="block"/>
                </v:line>
                <v:rect id="Rectangle 13" o:spid="_x0000_s1036" style="position:absolute;left:3556;top:839;width:9652;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720B55C" w14:textId="77777777" w:rsidR="00C864E7" w:rsidRPr="00711404" w:rsidRDefault="00C864E7" w:rsidP="008A1C7A">
                        <w:pPr>
                          <w:spacing w:line="240" w:lineRule="auto"/>
                          <w:ind w:right="0"/>
                          <w:jc w:val="center"/>
                        </w:pPr>
                        <w:r w:rsidRPr="00711404">
                          <w:rPr>
                            <w:color w:val="000000"/>
                            <w:sz w:val="22"/>
                            <w:szCs w:val="22"/>
                          </w:rPr>
                          <w:t>30, 60, 90 days</w:t>
                        </w:r>
                      </w:p>
                    </w:txbxContent>
                  </v:textbox>
                </v:rect>
                <v:line id="Line 14" o:spid="_x0000_s1037" style="position:absolute;flip:y;visibility:visible;mso-wrap-style:square" from="3194,2995" to="100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" strokecolor="#00c" strokeweight="1pt">
                  <v:stroke startarrow="block" endarrow="block"/>
                </v:line>
                <v:rect id="Rectangle 15" o:spid="_x0000_s1038" style="position:absolute;left:15354;top:5098;width:1479;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CDA53A0" w14:textId="77777777" w:rsidR="00C864E7" w:rsidRPr="00A6196A" w:rsidRDefault="00C864E7" w:rsidP="00C864E7">
                        <w:pPr>
                          <w:snapToGrid w:val="0"/>
                          <w:spacing w:line="240" w:lineRule="atLeast"/>
                          <w:rPr>
                            <w:color w:val="0000CC"/>
                          </w:rPr>
                        </w:pPr>
                        <w:r w:rsidRPr="00A6196A">
                          <w:rPr>
                            <w:rFonts w:hint="eastAsia"/>
                            <w:b/>
                            <w:bCs/>
                            <w:color w:val="0000CC"/>
                          </w:rPr>
                          <w:sym w:font="Symbol" w:char="F0B4"/>
                        </w:r>
                      </w:p>
                    </w:txbxContent>
                  </v:textbox>
                </v:rect>
                <v:line id="Line 16" o:spid="_x0000_s1039" style="position:absolute;visibility:visible;mso-wrap-style:square" from="15786,6995" to="15792,8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" strokecolor="#00c" strokeweight="1pt">
                  <v:stroke endarrow="block" endarrowwidth="narrow"/>
                </v:line>
                <v:rect id="Rectangle 17" o:spid="_x0000_s1040" style="position:absolute;left:10521;top:8927;width:11093;height:5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EC70CB8" w14:textId="77777777" w:rsidR="00C864E7" w:rsidRDefault="00C864E7" w:rsidP="00F6275A">
                        <w:pPr>
                          <w:snapToGrid w:val="0"/>
                          <w:spacing w:line="240" w:lineRule="exact"/>
                          <w:jc w:val="center"/>
                          <w:rPr>
                            <w:color w:val="000080"/>
                            <w:sz w:val="22"/>
                            <w:szCs w:val="22"/>
                          </w:rPr>
                        </w:pPr>
                        <w:r>
                          <w:rPr>
                            <w:rFonts w:hint="eastAsia"/>
                            <w:color w:val="000080"/>
                            <w:sz w:val="22"/>
                            <w:szCs w:val="22"/>
                          </w:rPr>
                          <w:t>M&amp;As</w:t>
                        </w:r>
                        <w:r>
                          <w:rPr>
                            <w:color w:val="000080"/>
                            <w:sz w:val="22"/>
                            <w:szCs w:val="22"/>
                          </w:rPr>
                          <w:t xml:space="preserve"> Announcement</w:t>
                        </w:r>
                      </w:p>
                      <w:p w14:paraId="653FE8C0" w14:textId="77777777" w:rsidR="00C864E7" w:rsidRPr="003E3562" w:rsidRDefault="00C864E7" w:rsidP="00F6275A">
                        <w:pPr>
                          <w:snapToGrid w:val="0"/>
                          <w:spacing w:line="240" w:lineRule="exact"/>
                          <w:jc w:val="center"/>
                          <w:rPr>
                            <w:rFonts w:hint="eastAsia"/>
                            <w:color w:val="000080"/>
                            <w:sz w:val="22"/>
                            <w:szCs w:val="22"/>
                          </w:rPr>
                        </w:pPr>
                        <w:r w:rsidRPr="003E3562">
                          <w:rPr>
                            <w:color w:val="000080"/>
                            <w:sz w:val="22"/>
                            <w:szCs w:val="22"/>
                          </w:rPr>
                          <w:t>date</w:t>
                        </w:r>
                      </w:p>
                    </w:txbxContent>
                  </v:textbox>
                </v:rect>
                <v:rect id="Rectangle 18" o:spid="_x0000_s1041" style="position:absolute;left:28403;top:8927;width:8738;height: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FD0FBF8" w14:textId="77777777" w:rsidR="00C864E7" w:rsidRPr="003E3562" w:rsidRDefault="00C864E7" w:rsidP="00C864E7">
                        <w:pPr>
                          <w:snapToGrid w:val="0"/>
                          <w:spacing w:line="240" w:lineRule="atLeast"/>
                          <w:jc w:val="center"/>
                          <w:rPr>
                            <w:color w:val="000080"/>
                            <w:sz w:val="22"/>
                            <w:szCs w:val="22"/>
                          </w:rPr>
                        </w:pPr>
                        <w:r w:rsidRPr="003E3562">
                          <w:rPr>
                            <w:color w:val="000080"/>
                            <w:sz w:val="22"/>
                            <w:szCs w:val="22"/>
                          </w:rPr>
                          <w:t>M&amp;As Effective date</w:t>
                        </w:r>
                      </w:p>
                    </w:txbxContent>
                  </v:textbox>
                </v:rect>
                <v:line id="Line 19" o:spid="_x0000_s1042" style="position:absolute;visibility:visible;mso-wrap-style:square" from="5613,7001" to="5619,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" strokecolor="#c00000" strokeweight="1pt">
                  <v:stroke endarrow="block" endarrowwidth="narrow"/>
                </v:line>
                <v:oval id="Oval 20" o:spid="_x0000_s1043" style="position:absolute;left:5270;top:5961;width:476;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" fillcolor="#c00000" strokecolor="#c00000" strokeweight="0"/>
                <v:rect id="Rectangle 21" o:spid="_x0000_s1044" style="position:absolute;left:32073;top:5060;width:4191;height:232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" filled="f" stroked="f">
                  <v:textbox inset="0,0,0,0">
                    <w:txbxContent>
                      <w:p w14:paraId="6F5F3A59" w14:textId="77777777" w:rsidR="00C864E7" w:rsidRPr="00A6196A" w:rsidRDefault="00C864E7" w:rsidP="00C864E7">
                        <w:pPr>
                          <w:snapToGrid w:val="0"/>
                          <w:spacing w:line="240" w:lineRule="atLeast"/>
                          <w:rPr>
                            <w:color w:val="0000CC"/>
                          </w:rPr>
                        </w:pPr>
                        <w:r w:rsidRPr="00A6196A">
                          <w:rPr>
                            <w:rFonts w:hint="eastAsia"/>
                            <w:b/>
                            <w:bCs/>
                            <w:color w:val="0000CC"/>
                          </w:rPr>
                          <w:sym w:font="Symbol" w:char="F0B4"/>
                        </w:r>
                      </w:p>
                    </w:txbxContent>
                  </v:textbox>
                </v:rect>
                <v:line id="Line 22" o:spid="_x0000_s1045" style="position:absolute;visibility:visible;mso-wrap-style:square" from="32569,6938" to="32575,8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" strokecolor="#00c" strokeweight="1pt">
                  <v:stroke endarrow="block" endarrowwidth="narrow"/>
                </v:line>
                <v:rect id="Rectangle 23" o:spid="_x0000_s1046" style="position:absolute;left:37801;top:3918;width:1632;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34E5FB2" w14:textId="77777777" w:rsidR="00C864E7" w:rsidRPr="00A6196A" w:rsidRDefault="00C864E7" w:rsidP="00C864E7">
                        <w:pPr>
                          <w:spacing w:line="240" w:lineRule="auto"/>
                        </w:pPr>
                        <w:r>
                          <w:rPr>
                            <w:bCs/>
                            <w:color w:val="000000"/>
                            <w:sz w:val="22"/>
                            <w:szCs w:val="22"/>
                          </w:rPr>
                          <w:t>t2</w:t>
                        </w:r>
                      </w:p>
                    </w:txbxContent>
                  </v:textbox>
                </v:rect>
                <v:rect id="Rectangle 24" o:spid="_x0000_s1047" style="position:absolute;left:1809;top:8609;width:6814;height:5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60B9F0C6" w14:textId="77777777" w:rsidR="00C864E7" w:rsidRPr="00711404" w:rsidRDefault="00C864E7" w:rsidP="00C864E7">
                        <w:pPr>
                          <w:snapToGrid w:val="0"/>
                          <w:spacing w:line="240" w:lineRule="auto"/>
                          <w:jc w:val="center"/>
                          <w:rPr>
                            <w:color w:val="C00000"/>
                            <w:sz w:val="22"/>
                            <w:szCs w:val="22"/>
                          </w:rPr>
                        </w:pPr>
                        <w:r w:rsidRPr="00711404">
                          <w:rPr>
                            <w:rFonts w:hint="eastAsia"/>
                            <w:color w:val="C00000"/>
                            <w:sz w:val="22"/>
                            <w:szCs w:val="22"/>
                          </w:rPr>
                          <w:t>B</w:t>
                        </w:r>
                        <w:r w:rsidRPr="00711404">
                          <w:rPr>
                            <w:color w:val="C00000"/>
                            <w:sz w:val="22"/>
                            <w:szCs w:val="22"/>
                          </w:rPr>
                          <w:t>uy</w:t>
                        </w:r>
                      </w:p>
                      <w:p w14:paraId="5856D636" w14:textId="77777777" w:rsidR="00C864E7" w:rsidRPr="00711404" w:rsidRDefault="00C864E7" w:rsidP="00F6275A">
                        <w:pPr>
                          <w:snapToGrid w:val="0"/>
                          <w:spacing w:line="240" w:lineRule="auto"/>
                          <w:ind w:right="0"/>
                          <w:jc w:val="center"/>
                          <w:rPr>
                            <w:color w:val="C00000"/>
                            <w:sz w:val="22"/>
                            <w:szCs w:val="22"/>
                          </w:rPr>
                        </w:pPr>
                        <w:r w:rsidRPr="00711404">
                          <w:rPr>
                            <w:rFonts w:hint="eastAsia"/>
                            <w:color w:val="C00000"/>
                            <w:sz w:val="22"/>
                            <w:szCs w:val="22"/>
                          </w:rPr>
                          <w:t>H</w:t>
                        </w:r>
                        <w:r w:rsidRPr="00711404">
                          <w:rPr>
                            <w:color w:val="C00000"/>
                            <w:sz w:val="22"/>
                            <w:szCs w:val="22"/>
                          </w:rPr>
                          <w:t>old</w:t>
                        </w:r>
                      </w:p>
                      <w:p w14:paraId="1664C03E" w14:textId="77777777" w:rsidR="00C864E7" w:rsidRPr="00711404" w:rsidRDefault="00C864E7" w:rsidP="00C864E7">
                        <w:pPr>
                          <w:snapToGrid w:val="0"/>
                          <w:spacing w:line="240" w:lineRule="auto"/>
                          <w:jc w:val="center"/>
                          <w:rPr>
                            <w:rFonts w:hint="eastAsia"/>
                            <w:color w:val="C00000"/>
                            <w:sz w:val="22"/>
                            <w:szCs w:val="22"/>
                          </w:rPr>
                        </w:pPr>
                        <w:r w:rsidRPr="00711404">
                          <w:rPr>
                            <w:rFonts w:hint="eastAsia"/>
                            <w:color w:val="C00000"/>
                            <w:sz w:val="22"/>
                            <w:szCs w:val="22"/>
                          </w:rPr>
                          <w:t>S</w:t>
                        </w:r>
                        <w:r w:rsidRPr="00711404">
                          <w:rPr>
                            <w:color w:val="C00000"/>
                            <w:sz w:val="22"/>
                            <w:szCs w:val="22"/>
                          </w:rPr>
                          <w:t>ell</w:t>
                        </w:r>
                      </w:p>
                    </w:txbxContent>
                  </v:textbox>
                </v:rect>
              </v:group>
            </w:pict>
          </mc:Fallback>
        </mc:AlternateContent>
      </w:r>
      <w:r>
        <w:t>potentially indicating overvaluation.</w:t>
      </w:r>
      <w:r w:rsidR="002B3C92" w:rsidRPr="002B3C92">
        <w:t xml:space="preserve"> </w:t>
      </w:r>
      <w:r w:rsidR="008F2897" w:rsidRPr="00353396">
        <w:t xml:space="preserve"> </w:t>
      </w:r>
    </w:p>
    <w:p w14:paraId="7CAEF25F" w14:textId="3FA313C2" w:rsidR="00F6275A" w:rsidRDefault="00F6275A" w:rsidP="00324F2F">
      <w:pPr>
        <w:pStyle w:val="text"/>
      </w:pPr>
    </w:p>
    <w:p w14:paraId="6E39C873" w14:textId="53E6AD26" w:rsidR="00F6275A" w:rsidRDefault="00F6275A" w:rsidP="00324F2F">
      <w:pPr>
        <w:pStyle w:val="text"/>
      </w:pPr>
    </w:p>
    <w:p w14:paraId="538D7161" w14:textId="70F36A07" w:rsidR="00F6275A" w:rsidRDefault="00F6275A" w:rsidP="00324F2F">
      <w:pPr>
        <w:pStyle w:val="text"/>
      </w:pPr>
    </w:p>
    <w:p w14:paraId="45377F29" w14:textId="6E89C9A4" w:rsidR="00F6275A" w:rsidRDefault="00F6275A" w:rsidP="00324F2F">
      <w:pPr>
        <w:pStyle w:val="text"/>
      </w:pPr>
    </w:p>
    <w:p w14:paraId="3709963C" w14:textId="3D486B5F" w:rsidR="00F6275A" w:rsidRDefault="00F6275A" w:rsidP="00324F2F">
      <w:pPr>
        <w:pStyle w:val="text"/>
      </w:pPr>
    </w:p>
    <w:p w14:paraId="1E4BF6C7" w14:textId="665CDD0D" w:rsidR="00F6275A" w:rsidRDefault="00F6275A" w:rsidP="00324F2F">
      <w:pPr>
        <w:pStyle w:val="text"/>
      </w:pPr>
    </w:p>
    <w:p w14:paraId="13991F9B" w14:textId="77777777" w:rsidR="00F6275A" w:rsidRDefault="00F6275A" w:rsidP="00324F2F">
      <w:pPr>
        <w:pStyle w:val="text"/>
        <w:rPr>
          <w:rFonts w:hint="eastAsia"/>
        </w:rPr>
      </w:pPr>
    </w:p>
    <w:bookmarkEnd w:id="0"/>
    <w:p w14:paraId="7D84E281" w14:textId="5F83053A" w:rsidR="00D007CF" w:rsidRPr="00707136" w:rsidRDefault="00301FCF" w:rsidP="00507976">
      <w:pPr>
        <w:pStyle w:val="3"/>
        <w:jc w:val="center"/>
      </w:pPr>
      <w:r w:rsidRPr="00707136">
        <w:t>Figure 1. T</w:t>
      </w:r>
      <w:r w:rsidR="00FD5B1C" w:rsidRPr="00707136">
        <w:t>wo</w:t>
      </w:r>
      <w:r w:rsidRPr="00707136">
        <w:t xml:space="preserve"> points in time of the progress of M&amp;As</w:t>
      </w:r>
    </w:p>
    <w:p w14:paraId="6E5FD048" w14:textId="4B56F6BD" w:rsidR="00063C48" w:rsidRDefault="00063C48" w:rsidP="00EF136E">
      <w:pPr>
        <w:pStyle w:val="text"/>
        <w:spacing w:beforeLines="50" w:before="180"/>
      </w:pPr>
      <w:bookmarkStart w:id="1" w:name="_Hlk91532762"/>
      <w:r>
        <w:t xml:space="preserve">The second research question explores whether the acquirer's M&amp;A strategy, either focusing on or diversifying operations, can influence analysts' recommendations during t1. Drawing from </w:t>
      </w:r>
      <w:r w:rsidR="00905E99">
        <w:fldChar w:fldCharType="begin">
          <w:fldData xml:space="preserve">PEVuZE5vdGU+PENpdGUgQXV0aG9yWWVhcj0iMSI+PEF1dGhvcj5MaXRvdjwvQXV0aG9yPjxZZWFy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</w:fldData>
        </w:fldChar>
      </w:r>
      <w:r w:rsidR="00687107">
        <w:instrText xml:space="preserve"> ADDIN EN.CITE </w:instrText>
      </w:r>
      <w:r w:rsidR="00687107">
        <w:fldChar w:fldCharType="begin">
          <w:fldData xml:space="preserve">PEVuZE5vdGU+PENpdGUgQXV0aG9yWWVhcj0iMSI+PEF1dGhvcj5MaXRvdjwvQXV0aG9yPjxZZWFy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</w:fldData>
        </w:fldChar>
      </w:r>
      <w:r w:rsidR="00687107">
        <w:instrText xml:space="preserve"> ADDIN EN.CITE.DATA </w:instrText>
      </w:r>
      <w:r w:rsidR="00687107">
        <w:fldChar w:fldCharType="end"/>
      </w:r>
      <w:r w:rsidR="00905E99">
        <w:fldChar w:fldCharType="separate"/>
      </w:r>
      <w:r w:rsidR="00687107">
        <w:rPr>
          <w:noProof/>
        </w:rPr>
        <w:t>Litov, Moreton [2]</w:t>
      </w:r>
      <w:r w:rsidR="00905E99">
        <w:fldChar w:fldCharType="end"/>
      </w:r>
      <w:r>
        <w:t>, we hypothesize that analysts may be more inclined to follow and provide recommendations for horizontal M&amp;As that align with the acquirer's core operations. Conversely, diversifying M&amp;As poses greater information collection and analysis challenges, potentially discouraging analyst coverage and introducing recommendation biases due to information asymmetry.</w:t>
      </w:r>
    </w:p>
    <w:p w14:paraId="08C3EF1E" w14:textId="5F43F20A" w:rsidR="0073275C" w:rsidRPr="00353396" w:rsidRDefault="00063C48" w:rsidP="00324F2F">
      <w:pPr>
        <w:pStyle w:val="text"/>
      </w:pPr>
      <w:r>
        <w:t xml:space="preserve">Finally, the third research question examines the information content of analysts' recommendations concerning acquirers' long-term performance in the two to three years following the effective date during t2 in Figure 1. Evidence from </w:t>
      </w:r>
      <w:r w:rsidR="006B7D97">
        <w:fldChar w:fldCharType="begin"/>
      </w:r>
      <w:r w:rsidR="00687107">
        <w:instrText xml:space="preserve"> ADDIN EN.CITE &lt;EndNote&gt;&lt;Cite AuthorYear="1"&gt;&lt;Author&gt;Becher&lt;/Author&gt;&lt;Year&gt;2015&lt;/Year&gt;&lt;RecNum&gt;5851&lt;/RecNum&gt;&lt;DisplayText&gt;Becher, Cohn [3]&lt;/DisplayText&gt;&lt;record&gt;&lt;rec-number&gt;5851&lt;/rec-number&gt;&lt;foreign-keys&gt;&lt;key app="EN" db-id="0pew05t5ffv2zxewvpbvwv20pvaweratdv5e" timestamp="1709735433" guid="e7e75f29-2173-46fc-a2fd-6f501fd8ed52"&gt;5851&lt;/key&gt;&lt;/foreign-keys&gt;&lt;ref-type name="Journal Article"&gt;17&lt;/ref-type&gt;&lt;contributors&gt;&lt;authors&gt;&lt;author&gt;Becher, David A&lt;/author&gt;&lt;author&gt;Cohn, Jonathan B&lt;/author&gt;&lt;author&gt;Juergens, Jennifer L&lt;/author&gt;&lt;/authors&gt;&lt;/contributors&gt;&lt;titles&gt;&lt;title&gt;Do stock analysts influence merger completion? An examination of postmerger announcement recommendations&lt;/title&gt;&lt;secondary-title&gt;Management Science&lt;/secondary-title&gt;&lt;/titles&gt;&lt;periodical&gt;&lt;full-title&gt;Management Science&lt;/full-title&gt;&lt;abbr-1&gt;Manage Sci&lt;/abbr-1&gt;&lt;/periodical&gt;&lt;pages&gt;2430-2448&lt;/pages&gt;&lt;volume&gt;61&lt;/volume&gt;&lt;number&gt;10&lt;/number&gt;&lt;dates&gt;&lt;year&gt;2015&lt;/year&gt;&lt;/dates&gt;&lt;isbn&gt;0025-1909&lt;/isbn&gt;&lt;urls&gt;&lt;/urls&gt;&lt;/record&gt;&lt;/Cite&gt;&lt;/EndNote&gt;</w:instrText>
      </w:r>
      <w:r w:rsidR="006B7D97">
        <w:fldChar w:fldCharType="separate"/>
      </w:r>
      <w:r w:rsidR="00687107">
        <w:rPr>
          <w:noProof/>
        </w:rPr>
        <w:t>Becher, Cohn [3]</w:t>
      </w:r>
      <w:r w:rsidR="006B7D97">
        <w:fldChar w:fldCharType="end"/>
      </w:r>
      <w:r>
        <w:t xml:space="preserve"> suggest that acquirers with favorable post-merger stock recommendations underperform those with less favorable recommendations. Additionally, </w:t>
      </w:r>
      <w:r w:rsidR="00305E51">
        <w:fldChar w:fldCharType="begin">
          <w:fldData xml:space="preserve">PEVuZE5vdGU+PENpdGUgQXV0aG9yWWVhcj0iMSI+PEF1dGhvcj5UZWhyYW5pYW48L0F1dGhvcj48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</w:fldData>
        </w:fldChar>
      </w:r>
      <w:r w:rsidR="00687107">
        <w:instrText xml:space="preserve"> ADDIN EN.CITE </w:instrText>
      </w:r>
      <w:r w:rsidR="00687107">
        <w:fldChar w:fldCharType="begin">
          <w:fldData xml:space="preserve">PEVuZE5vdGU+PENpdGUgQXV0aG9yWWVhcj0iMSI+PEF1dGhvcj5UZWhyYW5pYW48L0F1dGhvcj48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</w:fldData>
        </w:fldChar>
      </w:r>
      <w:r w:rsidR="00687107">
        <w:instrText xml:space="preserve"> ADDIN EN.CITE.DATA </w:instrText>
      </w:r>
      <w:r w:rsidR="00687107">
        <w:fldChar w:fldCharType="end"/>
      </w:r>
      <w:r w:rsidR="00305E51">
        <w:fldChar w:fldCharType="separate"/>
      </w:r>
      <w:r w:rsidR="00687107">
        <w:rPr>
          <w:noProof/>
        </w:rPr>
        <w:t>Tehranian, Zhao [4]</w:t>
      </w:r>
      <w:r w:rsidR="00305E51">
        <w:fldChar w:fldCharType="end"/>
      </w:r>
      <w:r>
        <w:t xml:space="preserve"> find that continued coverage by target </w:t>
      </w:r>
      <w:r w:rsidR="00707136">
        <w:t>firm</w:t>
      </w:r>
      <w:r>
        <w:t xml:space="preserve"> analysts positively signals the merged </w:t>
      </w:r>
      <w:r w:rsidR="00707136">
        <w:t>firm</w:t>
      </w:r>
      <w:r>
        <w:t>'s operating and market performance. Building upon these findings, we investigate the information quality of stock recommendations across different M&amp;A strategies, filling a research gap.</w:t>
      </w:r>
      <w:r w:rsidR="00EE79A1" w:rsidRPr="00EE79A1">
        <w:t xml:space="preserve"> </w:t>
      </w:r>
      <w:r w:rsidR="000F7325" w:rsidRPr="00353396">
        <w:t xml:space="preserve"> </w:t>
      </w:r>
    </w:p>
    <w:bookmarkEnd w:id="1"/>
    <w:p w14:paraId="43E7411E" w14:textId="0B30494B" w:rsidR="00D5752D" w:rsidRPr="00D5752D" w:rsidRDefault="00063C48" w:rsidP="00324F2F">
      <w:pPr>
        <w:pStyle w:val="text"/>
      </w:pPr>
      <w:r w:rsidRPr="00063C48">
        <w:t xml:space="preserve">The central research question of this study is to analyze the causal relationship between stock recommendations and a </w:t>
      </w:r>
      <w:r w:rsidR="00707136">
        <w:t>firm</w:t>
      </w:r>
      <w:r w:rsidRPr="00063C48">
        <w:t>'s expansion strategies in mergers and acquisitions (M&amp;As). Existing evidence presents mixed results, and the primary contribution of this paper is to reconcile these divergent findings by examining the information quality under different types of M&amp;As. Our findings reveal that the interaction between analysts' recommendations and managerial decisions exhibits distinct causality patterns across different stages of the M&amp;A process. This insight can reconcile the contrasting findings concerning the impact of analysts' recommendations on acquirers' announcement returns and long-term performance. The empirical results further enhance our understanding of the causality between analysts' recommendations and acquirers' market performance.</w:t>
      </w:r>
    </w:p>
    <w:p w14:paraId="56275B88" w14:textId="56043052" w:rsidR="00FA5CD2" w:rsidRPr="00353396" w:rsidRDefault="00E8532D" w:rsidP="00324F2F">
      <w:pPr>
        <w:pStyle w:val="text"/>
      </w:pPr>
      <w:r w:rsidRPr="00E8532D">
        <w:lastRenderedPageBreak/>
        <w:t>The remainder of this study is as follows. Section 2 reviews the literature on analysts' recommendations in M&amp;As and constructs the research hypotheses. Section 3 details data, variables, and methods. Section 4 presents empirical results and analyzes the interplay between recommendations, decisions, strategies, and performance. Finally, Section 5 synthesizes findings, implications, limitations, and future directions, highlighting contributions.</w:t>
      </w:r>
      <w:r w:rsidR="00720ADE" w:rsidRPr="00353396">
        <w:t xml:space="preserve"> </w:t>
      </w:r>
    </w:p>
    <w:p w14:paraId="2CBC4D58" w14:textId="4E64A5AA" w:rsidR="00D00CC9" w:rsidRPr="00707136" w:rsidRDefault="00D00CC9" w:rsidP="00BC3E3E">
      <w:pPr>
        <w:pStyle w:val="1"/>
      </w:pPr>
      <w:r w:rsidRPr="00707136">
        <w:t>Literature review</w:t>
      </w:r>
      <w:r w:rsidR="00DE4A13">
        <w:t xml:space="preserve"> </w:t>
      </w:r>
      <w:r w:rsidR="00DE4A13" w:rsidRPr="00DE4A13">
        <w:t>and research hypotheses</w:t>
      </w:r>
    </w:p>
    <w:p w14:paraId="7B0DA2D2" w14:textId="24961381" w:rsidR="00E87E14" w:rsidRPr="009108E8" w:rsidRDefault="00E87E14" w:rsidP="00324F2F">
      <w:pPr>
        <w:pStyle w:val="text"/>
      </w:pPr>
      <w:r w:rsidRPr="009108E8">
        <w:t xml:space="preserve">The extant literature underscores the significant influence of analysts' coverage on corporate strategies. </w:t>
      </w:r>
      <w:r w:rsidR="001843FC">
        <w:fldChar w:fldCharType="begin"/>
      </w:r>
      <w:r w:rsidR="00687107">
        <w:instrText xml:space="preserve"> ADDIN EN.CITE &lt;EndNote&gt;&lt;Cite AuthorYear="1"&gt;&lt;Author&gt;Zuckerman&lt;/Author&gt;&lt;Year&gt;2000&lt;/Year&gt;&lt;RecNum&gt;5870&lt;/RecNum&gt;&lt;DisplayText&gt;Zuckerman [5]&lt;/DisplayText&gt;&lt;record&gt;&lt;rec-number&gt;5870&lt;/rec-number&gt;&lt;foreign-keys&gt;&lt;key app="EN" db-id="0pew05t5ffv2zxewvpbvwv20pvaweratdv5e" timestamp="1709772389" guid="84b44efe-b541-4a0e-9ad2-34ebdafc22ba"&gt;5870&lt;/key&gt;&lt;/foreign-keys&gt;&lt;ref-type name="Journal Article"&gt;17&lt;/ref-type&gt;&lt;contributors&gt;&lt;authors&gt;&lt;author&gt;Zuckerman, E. W.&lt;/author&gt;&lt;/authors&gt;&lt;/contributors&gt;&lt;auth-address&gt;Stanford Univ, Stanford, CA 94305 USA.&amp;#xD;Zuckerman, EW (corresponding author), Stanford Univ, Stanford, CA 94305 USA.&amp;#xD;zuckerman_ezra@gsb.stanford.edu&lt;/auth-address&gt;&lt;titles&gt;&lt;title&gt;Focusing the corporate product: Securities analysts and de-diversification&lt;/title&gt;&lt;secondary-title&gt;Administrative Science Quarterly&lt;/secondary-title&gt;&lt;alt-title&gt;Adm. Sci. Q.&lt;/alt-title&gt;&lt;/titles&gt;&lt;periodical&gt;&lt;full-title&gt;Administrative Science Quarterly&lt;/full-title&gt;&lt;/periodical&gt;&lt;pages&gt;591-619&lt;/pages&gt;&lt;volume&gt;45&lt;/volume&gt;&lt;number&gt;3&lt;/number&gt;&lt;keywords&gt;&lt;keyword&gt;firm&lt;/keyword&gt;&lt;keyword&gt;performance&lt;/keyword&gt;&lt;keyword&gt;ownership&lt;/keyword&gt;&lt;keyword&gt;industry&lt;/keyword&gt;&lt;keyword&gt;identity&lt;/keyword&gt;&lt;keyword&gt;returns&lt;/keyword&gt;&lt;keyword&gt;market&lt;/keyword&gt;&lt;keyword&gt;organizations&lt;/keyword&gt;&lt;keyword&gt;construction&lt;/keyword&gt;&lt;keyword&gt;dynamics&lt;/keyword&gt;&lt;keyword&gt;Business &amp;amp; Economics&lt;/keyword&gt;&lt;/keywords&gt;&lt;dates&gt;&lt;year&gt;2000&lt;/year&gt;&lt;pub-dates&gt;&lt;date&gt;Sep&lt;/date&gt;&lt;/pub-dates&gt;&lt;/dates&gt;&lt;isbn&gt;0001-8392&lt;/isbn&gt;&lt;accession-num&gt;WOS:000165346400007&lt;/accession-num&gt;&lt;work-type&gt;Review&lt;/work-type&gt;&lt;urls&gt;&lt;related-urls&gt;&lt;url&gt;&amp;lt;Go to ISI&amp;gt;://WOS:000165346400007&lt;/url&gt;&lt;/related-urls&gt;&lt;/urls&gt;&lt;electronic-resource-num&gt;10.2307/2667110&lt;/electronic-resource-num&gt;&lt;language&gt;English&lt;/language&gt;&lt;/record&gt;&lt;/Cite&gt;&lt;/EndNote&gt;</w:instrText>
      </w:r>
      <w:r w:rsidR="001843FC">
        <w:fldChar w:fldCharType="separate"/>
      </w:r>
      <w:r w:rsidR="00687107">
        <w:rPr>
          <w:noProof/>
        </w:rPr>
        <w:t>Zuckerman [5]</w:t>
      </w:r>
      <w:r w:rsidR="001843FC">
        <w:fldChar w:fldCharType="end"/>
      </w:r>
      <w:r w:rsidRPr="009108E8">
        <w:t xml:space="preserve"> finds that firms react to analyst coverage by undertaking divestitures, allowing managers to create a more coherent product identity that facilitates </w:t>
      </w:r>
      <w:r w:rsidR="00707136" w:rsidRPr="009108E8">
        <w:t>firm</w:t>
      </w:r>
      <w:r w:rsidRPr="009108E8">
        <w:t xml:space="preserve"> valuation by analysts. This evidence suggests that managers consider analyst coverage when making operational decisions. Furthermore, </w:t>
      </w:r>
      <w:r w:rsidR="000A4C96">
        <w:fldChar w:fldCharType="begin"/>
      </w:r>
      <w:r w:rsidR="00687107">
        <w:instrText xml:space="preserve"> ADDIN EN.CITE &lt;EndNote&gt;&lt;Cite AuthorYear="1"&gt;&lt;Author&gt;Zuckerman&lt;/Author&gt;&lt;Year&gt;1999&lt;/Year&gt;&lt;RecNum&gt;5869&lt;/RecNum&gt;&lt;DisplayText&gt;Zuckerman [6]&lt;/DisplayText&gt;&lt;record&gt;&lt;rec-number&gt;5869&lt;/rec-number&gt;&lt;foreign-keys&gt;&lt;key app="EN" db-id="0pew05t5ffv2zxewvpbvwv20pvaweratdv5e" timestamp="1709772318" guid="e788c53d-6f24-4227-918d-d6cc2788a5b0"&gt;5869&lt;/key&gt;&lt;/foreign-keys&gt;&lt;ref-type name="Journal Article"&gt;17&lt;/ref-type&gt;&lt;contributors&gt;&lt;authors&gt;&lt;author&gt;Zuckerman, E. W.&lt;/author&gt;&lt;/authors&gt;&lt;/contributors&gt;&lt;auth-address&gt;Stanford Univ, Grad Sch Business, Stanford, CA 94305 USA.&amp;#xD;Zuckerman, EW (corresponding author), Stanford Univ, Grad Sch Business, 518 Mem Way, Stanford, CA 94305 USA.&amp;#xD;zuckerman_ezra@gsb.stanford.edu&lt;/auth-address&gt;&lt;titles&gt;&lt;title&gt;The categorical imperative: Securities analysts and the illegitimacy discount&lt;/title&gt;&lt;secondary-title&gt;American Journal of Sociology&lt;/secondary-title&gt;&lt;alt-title&gt;Am. J. Sociol.&lt;/alt-title&gt;&lt;/titles&gt;&lt;periodical&gt;&lt;full-title&gt;American Journal of sociology&lt;/full-title&gt;&lt;/periodical&gt;&lt;pages&gt;1398-1438&lt;/pages&gt;&lt;volume&gt;104&lt;/volume&gt;&lt;number&gt;5&lt;/number&gt;&lt;keywords&gt;&lt;keyword&gt;corporate diversification&lt;/keyword&gt;&lt;keyword&gt;organizational form&lt;/keyword&gt;&lt;keyword&gt;ownership structure&lt;/keyword&gt;&lt;keyword&gt;social-structure&lt;/keyword&gt;&lt;keyword&gt;market&lt;/keyword&gt;&lt;keyword&gt;firm&lt;/keyword&gt;&lt;keyword&gt;industry&lt;/keyword&gt;&lt;keyword&gt;returns&lt;/keyword&gt;&lt;keyword&gt;investment&lt;/keyword&gt;&lt;keyword&gt;takeovers&lt;/keyword&gt;&lt;keyword&gt;Sociology&lt;/keyword&gt;&lt;/keywords&gt;&lt;dates&gt;&lt;year&gt;1999&lt;/year&gt;&lt;pub-dates&gt;&lt;date&gt;Mar&lt;/date&gt;&lt;/pub-dates&gt;&lt;/dates&gt;&lt;isbn&gt;0002-9602&lt;/isbn&gt;&lt;accession-num&gt;WOS:000080576400004&lt;/accession-num&gt;&lt;work-type&gt;Review&lt;/work-type&gt;&lt;urls&gt;&lt;related-urls&gt;&lt;url&gt;&amp;lt;Go to ISI&amp;gt;://WOS:000080576400004&lt;/url&gt;&lt;/related-urls&gt;&lt;/urls&gt;&lt;electronic-resource-num&gt;10.1086/210178&lt;/electronic-resource-num&gt;&lt;language&gt;English&lt;/language&gt;&lt;/record&gt;&lt;/Cite&gt;&lt;/EndNote&gt;</w:instrText>
      </w:r>
      <w:r w:rsidR="000A4C96">
        <w:fldChar w:fldCharType="separate"/>
      </w:r>
      <w:r w:rsidR="00687107">
        <w:rPr>
          <w:noProof/>
        </w:rPr>
        <w:t>Zuckerman [6]</w:t>
      </w:r>
      <w:r w:rsidR="000A4C96">
        <w:fldChar w:fldCharType="end"/>
      </w:r>
      <w:r w:rsidRPr="009108E8">
        <w:t xml:space="preserve"> finds that corporations that successfully attract recognition from industry-specialized analysts enjoy greater financial market success, while firms that fail to reduce coverage mismatch trade at a discount. These results highlight the market's significant reaction to analysts' recommendations.</w:t>
      </w:r>
    </w:p>
    <w:p w14:paraId="2017E0F0" w14:textId="4DA0B020" w:rsidR="00E87E14" w:rsidRDefault="00E87E14" w:rsidP="00324F2F">
      <w:pPr>
        <w:pStyle w:val="text"/>
      </w:pPr>
      <w:r>
        <w:t xml:space="preserve">Investors exhibit responsiveness to publicly disseminated analyst recommendations. </w:t>
      </w:r>
      <w:r w:rsidR="00CC3CBE">
        <w:fldChar w:fldCharType="begin">
          <w:fldData xml:space="preserve">PEVuZE5vdGU+PENpdGUgQXV0aG9yWWVhcj0iMSI+PEF1dGhvcj5BaG48L0F1dGhvcj48WWVhcj4y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</w:fldData>
        </w:fldChar>
      </w:r>
      <w:r w:rsidR="00687107">
        <w:instrText xml:space="preserve"> ADDIN EN.CITE </w:instrText>
      </w:r>
      <w:r w:rsidR="00687107">
        <w:fldChar w:fldCharType="begin">
          <w:fldData xml:space="preserve">PEVuZE5vdGU+PENpdGUgQXV0aG9yWWVhcj0iMSI+PEF1dGhvcj5BaG48L0F1dGhvcj48WWVhcj4y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</w:fldData>
        </w:fldChar>
      </w:r>
      <w:r w:rsidR="00687107">
        <w:instrText xml:space="preserve"> ADDIN EN.CITE.DATA </w:instrText>
      </w:r>
      <w:r w:rsidR="00687107">
        <w:fldChar w:fldCharType="end"/>
      </w:r>
      <w:r w:rsidR="00CC3CBE">
        <w:fldChar w:fldCharType="separate"/>
      </w:r>
      <w:r w:rsidR="00687107">
        <w:rPr>
          <w:noProof/>
        </w:rPr>
        <w:t>Ahn, Drake [7]</w:t>
      </w:r>
      <w:r w:rsidR="00CC3CBE">
        <w:fldChar w:fldCharType="end"/>
      </w:r>
      <w:r>
        <w:t xml:space="preserve"> provide evidence that media coverage of analyst recommendation revisions amplifies the initial market reaction and mitigates subsequent price drift, consistent with wider dissemination of analyst reports. </w:t>
      </w:r>
      <w:r w:rsidR="000B2E5F">
        <w:fldChar w:fldCharType="begin"/>
      </w:r>
      <w:r w:rsidR="00687107">
        <w:instrText xml:space="preserve"> ADDIN EN.CITE &lt;EndNote&gt;&lt;Cite AuthorYear="1"&gt;&lt;Author&gt;Mikhail&lt;/Author&gt;&lt;Year&gt;2007&lt;/Year&gt;&lt;RecNum&gt;5859&lt;/RecNum&gt;&lt;DisplayText&gt;Mikhail, Walther [8]&lt;/DisplayText&gt;&lt;record&gt;&lt;rec-number&gt;5859&lt;/rec-number&gt;&lt;foreign-keys&gt;&lt;key app="EN" db-id="0pew05t5ffv2zxewvpbvwv20pvaweratdv5e" timestamp="1709737812" guid="8e00fd49-33a4-4bde-9857-e2e65fd0e983"&gt;5859&lt;/key&gt;&lt;/foreign-keys&gt;&lt;ref-type name="Journal Article"&gt;17&lt;/ref-type&gt;&lt;contributors&gt;&lt;authors&gt;&lt;author&gt;Mikhail, Michael B&lt;/author&gt;&lt;author&gt;Walther, Beverly R&lt;/author&gt;&lt;author&gt;Willis, Richard H&lt;/author&gt;&lt;/authors&gt;&lt;/contributors&gt;&lt;titles&gt;&lt;title&gt;When security analysts talk, who listens?&lt;/title&gt;&lt;secondary-title&gt;The Accounting Review&lt;/secondary-title&gt;&lt;/titles&gt;&lt;periodical&gt;&lt;full-title&gt;The Accounting Review&lt;/full-title&gt;&lt;/periodical&gt;&lt;pages&gt;1227-1253&lt;/pages&gt;&lt;volume&gt;82&lt;/volume&gt;&lt;number&gt;5&lt;/number&gt;&lt;dates&gt;&lt;year&gt;2007&lt;/year&gt;&lt;/dates&gt;&lt;isbn&gt;0001-4826&lt;/isbn&gt;&lt;urls&gt;&lt;/urls&gt;&lt;/record&gt;&lt;/Cite&gt;&lt;/EndNote&gt;</w:instrText>
      </w:r>
      <w:r w:rsidR="000B2E5F">
        <w:fldChar w:fldCharType="separate"/>
      </w:r>
      <w:r w:rsidR="00687107">
        <w:rPr>
          <w:noProof/>
        </w:rPr>
        <w:t>Mikhail, Walther [8]</w:t>
      </w:r>
      <w:r w:rsidR="000B2E5F">
        <w:fldChar w:fldCharType="end"/>
      </w:r>
      <w:r>
        <w:t xml:space="preserve"> find that both large and small traders react to analyst reports, with large investors trading more actively in response to the information conveyed by the analyst's recommendation and earnings forecast revisions. </w:t>
      </w:r>
      <w:r w:rsidR="001843FC">
        <w:fldChar w:fldCharType="begin"/>
      </w:r>
      <w:r w:rsidR="00687107">
        <w:instrText xml:space="preserve"> ADDIN EN.CITE &lt;EndNote&gt;&lt;Cite AuthorYear="1"&gt;&lt;Author&gt;Womack&lt;/Author&gt;&lt;Year&gt;1996&lt;/Year&gt;&lt;RecNum&gt;3754&lt;/RecNum&gt;&lt;DisplayText&gt;Womack [9]&lt;/DisplayText&gt;&lt;record&gt;&lt;rec-number&gt;3754&lt;/rec-number&gt;&lt;foreign-keys&gt;&lt;key app="EN" db-id="0pew05t5ffv2zxewvpbvwv20pvaweratdv5e" timestamp="1668072880" guid="25818884-ba33-4910-9434-c123016cb868"&gt;3754&lt;/key&gt;&lt;/foreign-keys&gt;&lt;ref-type name="Journal Article"&gt;17&lt;/ref-type&gt;&lt;contributors&gt;&lt;authors&gt;&lt;author&gt;Womack, K. L.&lt;/author&gt;&lt;/authors&gt;&lt;/contributors&gt;&lt;auth-address&gt;Womack, KL (corresponding author), DARTMOUTH COLL,AMOS TUCK SCH BUSINESS ADM,HANOVER,NH 03755, USA.&lt;/auth-address&gt;&lt;titles&gt;&lt;title&gt;Do brokerage analysts&amp;apos; recommendations have investment value?&lt;/title&gt;&lt;secondary-title&gt;Journal of Finance&lt;/secondary-title&gt;&lt;alt-title&gt;J. Financ.&lt;/alt-title&gt;&lt;/titles&gt;&lt;periodical&gt;&lt;full-title&gt;Journal of Finance&lt;/full-title&gt;&lt;/periodical&gt;&lt;pages&gt;137-167&lt;/pages&gt;&lt;volume&gt;51&lt;/volume&gt;&lt;number&gt;1&lt;/number&gt;&lt;keywords&gt;&lt;keyword&gt;stock-prices&lt;/keyword&gt;&lt;keyword&gt;accounting research&lt;/keyword&gt;&lt;keyword&gt;returns&lt;/keyword&gt;&lt;keyword&gt;performance&lt;/keyword&gt;&lt;keyword&gt;information&lt;/keyword&gt;&lt;keyword&gt;earnings&lt;/keyword&gt;&lt;keyword&gt;efficiency&lt;/keyword&gt;&lt;keyword&gt;markets&lt;/keyword&gt;&lt;keyword&gt;Business &amp;amp; Economics&lt;/keyword&gt;&lt;/keywords&gt;&lt;dates&gt;&lt;year&gt;1996&lt;/year&gt;&lt;pub-dates&gt;&lt;date&gt;Mar&lt;/date&gt;&lt;/pub-dates&gt;&lt;/dates&gt;&lt;isbn&gt;0022-1082&lt;/isbn&gt;&lt;accession-num&gt;WOS:A1996UP28500005&lt;/accession-num&gt;&lt;work-type&gt;Article&lt;/work-type&gt;&lt;urls&gt;&lt;related-urls&gt;&lt;url&gt;&amp;lt;Go to ISI&amp;gt;://WOS:A1996UP28500005&lt;/url&gt;&lt;/related-urls&gt;&lt;/urls&gt;&lt;electronic-resource-num&gt;10.2307/2329305&lt;/electronic-resource-num&gt;&lt;language&gt;English&lt;/language&gt;&lt;/record&gt;&lt;/Cite&gt;&lt;/EndNote&gt;</w:instrText>
      </w:r>
      <w:r w:rsidR="001843FC">
        <w:fldChar w:fldCharType="separate"/>
      </w:r>
      <w:r w:rsidR="00687107">
        <w:rPr>
          <w:noProof/>
        </w:rPr>
        <w:t>Womack [9]</w:t>
      </w:r>
      <w:r w:rsidR="001843FC">
        <w:fldChar w:fldCharType="end"/>
      </w:r>
      <w:r>
        <w:t xml:space="preserve"> demonstrates that the initial return at the time of recommendations is substantial, with modest and short-lived post-event drift for buy recommendations but larger and more persistent drift for sell recommendations over six months, suggesting analysts possess market timing and stock-picking abilities.</w:t>
      </w:r>
    </w:p>
    <w:p w14:paraId="2D4AD296" w14:textId="43B8D0EB" w:rsidR="00E87E14" w:rsidRDefault="00E87E14" w:rsidP="00324F2F">
      <w:pPr>
        <w:pStyle w:val="text"/>
      </w:pPr>
      <w:r>
        <w:t xml:space="preserve">Building on this evidence, we observe that investors react to analyst recommendations, leading to significant stock performance changes in the months following the recommendation. Moreover, managers may consider market reactions when making critical decisions regarding payment methods in mergers and acquisitions (M&amp;As). </w:t>
      </w:r>
      <w:r w:rsidR="00C2082E">
        <w:fldChar w:fldCharType="begin"/>
      </w:r>
      <w:r w:rsidR="00687107">
        <w:instrText xml:space="preserve"> ADDIN EN.CITE &lt;EndNote&gt;&lt;Cite AuthorYear="1"&gt;&lt;Author&gt;Brown&lt;/Author&gt;&lt;Year&gt;1991&lt;/Year&gt;&lt;RecNum&gt;5871&lt;/RecNum&gt;&lt;DisplayText&gt;Brown and Ryngaert [1]&lt;/DisplayText&gt;&lt;record&gt;&lt;rec-number&gt;5871&lt;/rec-number&gt;&lt;foreign-keys&gt;&lt;key app="EN" db-id="0pew05t5ffv2zxewvpbvwv20pvaweratdv5e" timestamp="1709773822" guid="1bd5b696-e480-4994-9813-7c50d5222246"&gt;5871&lt;/key&gt;&lt;/foreign-keys&gt;&lt;ref-type name="Journal Article"&gt;17&lt;/ref-type&gt;&lt;contributors&gt;&lt;authors&gt;&lt;author&gt;Brown, David T&lt;/author&gt;&lt;author&gt;Ryngaert, Michael D&lt;/author&gt;&lt;/authors&gt;&lt;/contributors&gt;&lt;titles&gt;&lt;title&gt;The mode of acquisition in takeovers: Taxes and asymmetric information&lt;/title&gt;&lt;secondary-title&gt;The Journal of Finance&lt;/secondary-title&gt;&lt;/titles&gt;&lt;periodical&gt;&lt;full-title&gt;The Journal of Finance&lt;/full-title&gt;&lt;/periodical&gt;&lt;pages&gt;653-669&lt;/pages&gt;&lt;volume&gt;46&lt;/volume&gt;&lt;number&gt;2&lt;/number&gt;&lt;dates&gt;&lt;year&gt;1991&lt;/year&gt;&lt;/dates&gt;&lt;isbn&gt;0022-1082&lt;/isbn&gt;&lt;urls&gt;&lt;/urls&gt;&lt;/record&gt;&lt;/Cite&gt;&lt;/EndNote&gt;</w:instrText>
      </w:r>
      <w:r w:rsidR="00C2082E">
        <w:fldChar w:fldCharType="separate"/>
      </w:r>
      <w:r w:rsidR="00687107">
        <w:rPr>
          <w:noProof/>
        </w:rPr>
        <w:t>Brown and Ryngaert [1]</w:t>
      </w:r>
      <w:r w:rsidR="00C2082E">
        <w:fldChar w:fldCharType="end"/>
      </w:r>
      <w:r>
        <w:t xml:space="preserve"> find that acquirers who believe their stock is fairly valued or overvalued tend to choose stock payment in M&amp;As, while acquirers who perceive their stock as undervalued prefer cash payment. Collectively, these findings lead us to hypothesize:</w:t>
      </w:r>
    </w:p>
    <w:p w14:paraId="72A3D33E" w14:textId="0691497D" w:rsidR="00C31C9F" w:rsidRPr="00353396" w:rsidRDefault="00E87E14" w:rsidP="00324F2F">
      <w:pPr>
        <w:widowControl/>
        <w:spacing w:beforeLines="50" w:before="180" w:afterLines="50" w:after="180" w:line="240" w:lineRule="auto"/>
        <w:ind w:left="1417" w:right="0" w:hangingChars="590" w:hanging="1417"/>
      </w:pPr>
      <w:r w:rsidRPr="00E87E14">
        <w:rPr>
          <w:b/>
          <w:bCs/>
        </w:rPr>
        <w:lastRenderedPageBreak/>
        <w:t>Hypothesis 1</w:t>
      </w:r>
      <w:r>
        <w:t xml:space="preserve">: </w:t>
      </w:r>
      <w:r w:rsidR="00726AFA">
        <w:t>Acquirer</w:t>
      </w:r>
      <w:r>
        <w:t>s are more likely to use stock payment after receiving a buy or strong buy recommendation but cash payment after receiving a sell or strong sell recommendation.</w:t>
      </w:r>
      <w:r w:rsidR="001758B3" w:rsidRPr="001758B3">
        <w:t xml:space="preserve"> </w:t>
      </w:r>
    </w:p>
    <w:p w14:paraId="316E428D" w14:textId="228FE182" w:rsidR="00E87E14" w:rsidRDefault="00E87E14" w:rsidP="00324F2F">
      <w:pPr>
        <w:pStyle w:val="text"/>
      </w:pPr>
      <w:r>
        <w:t xml:space="preserve">Analysts typically follow the same set of firms within a specific industry due to the costly nature of information collection and industry-related analysis. However, target firms may be delisted after mergers and acquisitions (M&amp;As), leaving acquirers as the remaining listed entities. The existing literature suggests that analysts may not continue following acquirers due to their unique strategies. For instance, </w:t>
      </w:r>
      <w:r w:rsidR="00905E99">
        <w:fldChar w:fldCharType="begin">
          <w:fldData xml:space="preserve">PEVuZE5vdGU+PENpdGUgQXV0aG9yWWVhcj0iMSI+PEF1dGhvcj5MaXRvdjwvQXV0aG9yPjxZZWFy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</w:fldData>
        </w:fldChar>
      </w:r>
      <w:r w:rsidR="00687107">
        <w:instrText xml:space="preserve"> ADDIN EN.CITE </w:instrText>
      </w:r>
      <w:r w:rsidR="00687107">
        <w:fldChar w:fldCharType="begin">
          <w:fldData xml:space="preserve">PEVuZE5vdGU+PENpdGUgQXV0aG9yWWVhcj0iMSI+PEF1dGhvcj5MaXRvdjwvQXV0aG9yPjxZZWFy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</w:fldData>
        </w:fldChar>
      </w:r>
      <w:r w:rsidR="00687107">
        <w:instrText xml:space="preserve"> ADDIN EN.CITE.DATA </w:instrText>
      </w:r>
      <w:r w:rsidR="00687107">
        <w:fldChar w:fldCharType="end"/>
      </w:r>
      <w:r w:rsidR="00905E99">
        <w:fldChar w:fldCharType="separate"/>
      </w:r>
      <w:r w:rsidR="00687107">
        <w:rPr>
          <w:noProof/>
        </w:rPr>
        <w:t>Litov, Moreton [2]</w:t>
      </w:r>
      <w:r w:rsidR="00905E99">
        <w:fldChar w:fldCharType="end"/>
      </w:r>
      <w:r>
        <w:t xml:space="preserve"> argue that analysts need to expend more effort in assessing the earnings prospects of firms with diversified portfolios. Consequently, diversified firms within an industry tend to have lower analyst coverage compared to their more focused industry competitors. Therefore, we expect analyst coverage to decrease after M&amp;As, especially in the case of diversified M&amp;A transactions.</w:t>
      </w:r>
    </w:p>
    <w:p w14:paraId="7240A329" w14:textId="5D20F1C9" w:rsidR="00E87E14" w:rsidRDefault="00E87E14" w:rsidP="00324F2F">
      <w:pPr>
        <w:pStyle w:val="text"/>
      </w:pPr>
      <w:r>
        <w:t xml:space="preserve">Furthermore, information quality may become a concern after M&amp;As, as analysts need to exert more effort to understand the potential synergies involved. </w:t>
      </w:r>
      <w:r w:rsidR="004065B6">
        <w:fldChar w:fldCharType="begin">
          <w:fldData xml:space="preserve">PEVuZE5vdGU+PENpdGUgQXV0aG9yWWVhcj0iMSI+PEF1dGhvcj5GZWxkbWFuPC9BdXRob3I+PFll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</w:fldData>
        </w:fldChar>
      </w:r>
      <w:r w:rsidR="00687107">
        <w:instrText xml:space="preserve"> ADDIN EN.CITE </w:instrText>
      </w:r>
      <w:r w:rsidR="00687107">
        <w:fldChar w:fldCharType="begin">
          <w:fldData xml:space="preserve">PEVuZE5vdGU+PENpdGUgQXV0aG9yWWVhcj0iMSI+PEF1dGhvcj5GZWxkbWFuPC9BdXRob3I+PFll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</w:fldData>
        </w:fldChar>
      </w:r>
      <w:r w:rsidR="00687107">
        <w:instrText xml:space="preserve"> ADDIN EN.CITE.DATA </w:instrText>
      </w:r>
      <w:r w:rsidR="00687107">
        <w:fldChar w:fldCharType="end"/>
      </w:r>
      <w:r w:rsidR="004065B6">
        <w:fldChar w:fldCharType="separate"/>
      </w:r>
      <w:r w:rsidR="00687107">
        <w:rPr>
          <w:noProof/>
        </w:rPr>
        <w:t>Feldman [10]</w:t>
      </w:r>
      <w:r w:rsidR="004065B6">
        <w:fldChar w:fldCharType="end"/>
      </w:r>
      <w:r>
        <w:t xml:space="preserve">, in their analysis of spin-off events, theorizes that only analysts who provide explicit details on the particular business unit before the spin-off demonstrate greater accuracy in their post-spin-off earnings forecasts for that business. This evidence implies that analysts may not fully comprehend how to evaluate diversified firms, as indicated by their inability to provide accurate earnings forecasts for the </w:t>
      </w:r>
      <w:r w:rsidR="00707136">
        <w:t>firm</w:t>
      </w:r>
      <w:r>
        <w:t xml:space="preserve"> and its spin-off. Additionally, </w:t>
      </w:r>
      <w:r w:rsidR="0063219D">
        <w:fldChar w:fldCharType="begin">
          <w:fldData xml:space="preserve">PEVuZE5vdGU+PENpdGUgQXV0aG9yWWVhcj0iMSI+PEF1dGhvcj5OaWNvbGFpPC9BdXRob3I+PFll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</w:fldData>
        </w:fldChar>
      </w:r>
      <w:r w:rsidR="00687107">
        <w:instrText xml:space="preserve"> ADDIN EN.CITE </w:instrText>
      </w:r>
      <w:r w:rsidR="00687107">
        <w:fldChar w:fldCharType="begin">
          <w:fldData xml:space="preserve">PEVuZE5vdGU+PENpdGUgQXV0aG9yWWVhcj0iMSI+PEF1dGhvcj5OaWNvbGFpPC9BdXRob3I+PFll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</w:fldData>
        </w:fldChar>
      </w:r>
      <w:r w:rsidR="00687107">
        <w:instrText xml:space="preserve"> ADDIN EN.CITE.DATA </w:instrText>
      </w:r>
      <w:r w:rsidR="00687107">
        <w:fldChar w:fldCharType="end"/>
      </w:r>
      <w:r w:rsidR="0063219D">
        <w:fldChar w:fldCharType="separate"/>
      </w:r>
      <w:r w:rsidR="00687107">
        <w:rPr>
          <w:noProof/>
        </w:rPr>
        <w:t>Nicolai, Schulz [11]</w:t>
      </w:r>
      <w:r w:rsidR="0063219D">
        <w:fldChar w:fldCharType="end"/>
      </w:r>
      <w:r>
        <w:t xml:space="preserve"> show that </w:t>
      </w:r>
      <w:r w:rsidR="00707136">
        <w:t>firm</w:t>
      </w:r>
      <w:r>
        <w:t xml:space="preserve"> refocusing is associated with a systematic positive bias in analysts' future earnings forecasts during the 1990s. Based on these findings, we expect a decline in the information quality of analyst recommendations after M&amp;As. Further, analysts following merged firms may provide positively biased recommendations in the case of refocusing M&amp;As.</w:t>
      </w:r>
    </w:p>
    <w:p w14:paraId="72E9BF94" w14:textId="77777777" w:rsidR="00E87E14" w:rsidRDefault="00E87E14" w:rsidP="00324F2F">
      <w:pPr>
        <w:widowControl/>
        <w:spacing w:beforeLines="50" w:before="180" w:afterLines="50" w:after="180" w:line="240" w:lineRule="auto"/>
        <w:ind w:left="1417" w:right="0" w:hangingChars="590" w:hanging="1417"/>
      </w:pPr>
      <w:r w:rsidRPr="00E87E14">
        <w:rPr>
          <w:b/>
          <w:bCs/>
        </w:rPr>
        <w:t>Hypothesis 2</w:t>
      </w:r>
      <w:r>
        <w:t>: Firms that conduct diversified M&amp;As are likely to experience a reduction in analyst coverage, and on average, their recommendations tend to be systematically negatively biased.</w:t>
      </w:r>
    </w:p>
    <w:p w14:paraId="34DA9ACA" w14:textId="1BEA90B5" w:rsidR="00631BC8" w:rsidRPr="00631BC8" w:rsidRDefault="00631BC8" w:rsidP="00324F2F">
      <w:pPr>
        <w:pStyle w:val="text"/>
      </w:pPr>
      <w:r w:rsidRPr="00631BC8">
        <w:t xml:space="preserve">Analysts constitute a legitimate authority due to their perceived expertise, independence, and the wide dissemination of professional reports about </w:t>
      </w:r>
      <w:r w:rsidR="00707136">
        <w:t>firms</w:t>
      </w:r>
      <w:r w:rsidRPr="00631BC8">
        <w:t xml:space="preserve"> </w:t>
      </w:r>
      <w:r w:rsidR="00107C57">
        <w:fldChar w:fldCharType="begin">
          <w:fldData xml:space="preserve">PEVuZE5vdGU+PENpdGU+PEF1dGhvcj5Gb2dhcnR5PC9BdXRob3I+PFllYXI+MjAwNTwvWWVhcj48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</w:fldData>
        </w:fldChar>
      </w:r>
      <w:r w:rsidR="00687107">
        <w:instrText xml:space="preserve"> ADDIN EN.CITE </w:instrText>
      </w:r>
      <w:r w:rsidR="00687107">
        <w:fldChar w:fldCharType="begin">
          <w:fldData xml:space="preserve">PEVuZE5vdGU+PENpdGU+PEF1dGhvcj5Gb2dhcnR5PC9BdXRob3I+PFllYXI+MjAwNTwvWWVhcj48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</w:fldData>
        </w:fldChar>
      </w:r>
      <w:r w:rsidR="00687107">
        <w:instrText xml:space="preserve"> ADDIN EN.CITE.DATA </w:instrText>
      </w:r>
      <w:r w:rsidR="00687107">
        <w:fldChar w:fldCharType="end"/>
      </w:r>
      <w:r w:rsidR="00107C57">
        <w:fldChar w:fldCharType="separate"/>
      </w:r>
      <w:r w:rsidR="00687107">
        <w:rPr>
          <w:noProof/>
        </w:rPr>
        <w:t>[6, 12-14]</w:t>
      </w:r>
      <w:r w:rsidR="00107C57">
        <w:fldChar w:fldCharType="end"/>
      </w:r>
      <w:r w:rsidRPr="00631BC8">
        <w:t xml:space="preserve">. However, information quality remains a major concern in the market. Extensive literature focuses on this issue, with some researchers utilizing mergers and acquisitions (M&amp;As) as a context for analysis. For instance, </w:t>
      </w:r>
      <w:r w:rsidR="00305E51">
        <w:fldChar w:fldCharType="begin">
          <w:fldData xml:space="preserve">PEVuZE5vdGU+PENpdGUgQXV0aG9yWWVhcj0iMSI+PEF1dGhvcj5UZWhyYW5pYW48L0F1dGhvcj48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</w:fldData>
        </w:fldChar>
      </w:r>
      <w:r w:rsidR="00687107">
        <w:instrText xml:space="preserve"> ADDIN EN.CITE </w:instrText>
      </w:r>
      <w:r w:rsidR="00687107">
        <w:fldChar w:fldCharType="begin">
          <w:fldData xml:space="preserve">PEVuZE5vdGU+PENpdGUgQXV0aG9yWWVhcj0iMSI+PEF1dGhvcj5UZWhyYW5pYW48L0F1dGhvcj48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</w:fldData>
        </w:fldChar>
      </w:r>
      <w:r w:rsidR="00687107">
        <w:instrText xml:space="preserve"> ADDIN EN.CITE.DATA </w:instrText>
      </w:r>
      <w:r w:rsidR="00687107">
        <w:fldChar w:fldCharType="end"/>
      </w:r>
      <w:r w:rsidR="00305E51">
        <w:fldChar w:fldCharType="separate"/>
      </w:r>
      <w:r w:rsidR="00687107">
        <w:rPr>
          <w:noProof/>
        </w:rPr>
        <w:t>Tehranian, Zhao [4]</w:t>
      </w:r>
      <w:r w:rsidR="00305E51">
        <w:fldChar w:fldCharType="end"/>
      </w:r>
      <w:r w:rsidRPr="00631BC8">
        <w:t xml:space="preserve"> find that analysts' post-merger coverage decisions may reveal valuable information about a merged </w:t>
      </w:r>
      <w:r w:rsidR="00707136">
        <w:t>firm</w:t>
      </w:r>
      <w:r w:rsidRPr="00631BC8">
        <w:t xml:space="preserve">'s future performance. They show that a larger proportion of target </w:t>
      </w:r>
      <w:r w:rsidR="00707136">
        <w:t>firm</w:t>
      </w:r>
      <w:r w:rsidRPr="00631BC8">
        <w:t xml:space="preserve"> analysts choosing to continue coverage of the merged </w:t>
      </w:r>
      <w:r w:rsidR="00707136">
        <w:t>firm</w:t>
      </w:r>
      <w:r w:rsidRPr="00631BC8">
        <w:t xml:space="preserve"> is positively associated with better performance of the merged entity.</w:t>
      </w:r>
    </w:p>
    <w:p w14:paraId="27D15ED9" w14:textId="552B324F" w:rsidR="00631BC8" w:rsidRPr="00631BC8" w:rsidRDefault="00631BC8" w:rsidP="00324F2F">
      <w:pPr>
        <w:pStyle w:val="text"/>
      </w:pPr>
      <w:r w:rsidRPr="00631BC8">
        <w:lastRenderedPageBreak/>
        <w:t xml:space="preserve">However, the evidence within this research stream has some conflicting findings. </w:t>
      </w:r>
      <w:r w:rsidR="006B7D97">
        <w:fldChar w:fldCharType="begin"/>
      </w:r>
      <w:r w:rsidR="00687107">
        <w:instrText xml:space="preserve"> ADDIN EN.CITE &lt;EndNote&gt;&lt;Cite AuthorYear="1"&gt;&lt;Author&gt;Becher&lt;/Author&gt;&lt;Year&gt;2015&lt;/Year&gt;&lt;RecNum&gt;5851&lt;/RecNum&gt;&lt;DisplayText&gt;Becher, Cohn [3]&lt;/DisplayText&gt;&lt;record&gt;&lt;rec-number&gt;5851&lt;/rec-number&gt;&lt;foreign-keys&gt;&lt;key app="EN" db-id="0pew05t5ffv2zxewvpbvwv20pvaweratdv5e" timestamp="1709735433" guid="e7e75f29-2173-46fc-a2fd-6f501fd8ed52"&gt;5851&lt;/key&gt;&lt;/foreign-keys&gt;&lt;ref-type name="Journal Article"&gt;17&lt;/ref-type&gt;&lt;contributors&gt;&lt;authors&gt;&lt;author&gt;Becher, David A&lt;/author&gt;&lt;author&gt;Cohn, Jonathan B&lt;/author&gt;&lt;author&gt;Juergens, Jennifer L&lt;/author&gt;&lt;/authors&gt;&lt;/contributors&gt;&lt;titles&gt;&lt;title&gt;Do stock analysts influence merger completion? An examination of postmerger announcement recommendations&lt;/title&gt;&lt;secondary-title&gt;Management Science&lt;/secondary-title&gt;&lt;/titles&gt;&lt;periodical&gt;&lt;full-title&gt;Management Science&lt;/full-title&gt;&lt;abbr-1&gt;Manage Sci&lt;/abbr-1&gt;&lt;/periodical&gt;&lt;pages&gt;2430-2448&lt;/pages&gt;&lt;volume&gt;61&lt;/volume&gt;&lt;number&gt;10&lt;/number&gt;&lt;dates&gt;&lt;year&gt;2015&lt;/year&gt;&lt;/dates&gt;&lt;isbn&gt;0025-1909&lt;/isbn&gt;&lt;urls&gt;&lt;/urls&gt;&lt;/record&gt;&lt;/Cite&gt;&lt;/EndNote&gt;</w:instrText>
      </w:r>
      <w:r w:rsidR="006B7D97">
        <w:fldChar w:fldCharType="separate"/>
      </w:r>
      <w:r w:rsidR="00687107">
        <w:rPr>
          <w:noProof/>
        </w:rPr>
        <w:t>Becher, Cohn [3]</w:t>
      </w:r>
      <w:r w:rsidR="006B7D97">
        <w:fldChar w:fldCharType="end"/>
      </w:r>
      <w:r w:rsidRPr="00631BC8">
        <w:t xml:space="preserve"> examine the role of analyst recommendations on the post-merger performance of acquiring and target firms, using more than 5,000 merger announcements. Surprisingly, they find that acquirers with favorable post-merger stock recommendations underperform acquiring firms with less favorable post-merger recommendations in the two years after M&amp;As. We suspect that one reason for these inconsistent results is the information quality of analyst recommendations. In conjunction with the previous hypothesis, we test the information quality concerning different types of M&amp;As to find evidence that may reconcile these conflicting empirical findings.</w:t>
      </w:r>
    </w:p>
    <w:p w14:paraId="2D56180E" w14:textId="66ABC7C5" w:rsidR="00631BC8" w:rsidRPr="00631BC8" w:rsidRDefault="00631BC8" w:rsidP="00324F2F">
      <w:pPr>
        <w:pStyle w:val="text"/>
      </w:pPr>
      <w:r w:rsidRPr="00631BC8">
        <w:t xml:space="preserve">The information quality of analyst recommendations may vary across different types of M&amp;As. Following this rationale, we test the explanatory power of analyst recommendations on acquirers' long-term market performance. </w:t>
      </w:r>
      <w:r w:rsidR="00685B02">
        <w:fldChar w:fldCharType="begin">
          <w:fldData xml:space="preserve">PEVuZE5vdGU+PENpdGUgQXV0aG9yWWVhcj0iMSI+PEF1dGhvcj5TaGVuPC9BdXRob3I+PFllYXI+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</w:fldData>
        </w:fldChar>
      </w:r>
      <w:r w:rsidR="00687107">
        <w:instrText xml:space="preserve"> ADDIN EN.CITE </w:instrText>
      </w:r>
      <w:r w:rsidR="00687107">
        <w:fldChar w:fldCharType="begin">
          <w:fldData xml:space="preserve">PEVuZE5vdGU+PENpdGUgQXV0aG9yWWVhcj0iMSI+PEF1dGhvcj5TaGVuPC9BdXRob3I+PFllYXI+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</w:fldData>
        </w:fldChar>
      </w:r>
      <w:r w:rsidR="00687107">
        <w:instrText xml:space="preserve"> ADDIN EN.CITE.DATA </w:instrText>
      </w:r>
      <w:r w:rsidR="00687107">
        <w:fldChar w:fldCharType="end"/>
      </w:r>
      <w:r w:rsidR="00685B02">
        <w:fldChar w:fldCharType="separate"/>
      </w:r>
      <w:r w:rsidR="00687107">
        <w:rPr>
          <w:noProof/>
        </w:rPr>
        <w:t>Shen, Tang [15]</w:t>
      </w:r>
      <w:r w:rsidR="00685B02">
        <w:fldChar w:fldCharType="end"/>
      </w:r>
      <w:r w:rsidRPr="00631BC8">
        <w:t xml:space="preserve"> find that the relative status of acquirer and target firms is likely to influence how investors respond. The authors measure the differential in acquirer–target status by the difference in analyst coverage between the two firms and show that a greater differential in acquirer–target status predicts better post-merger performance. However, we test the information content of analysts' recommendations by examining the explanatory power of the recommendation itself on the acquirers' long-term market performance after M&amp;As. The expected result is that the information content of analysts' recommendations before M&amp;As relies on short-term news or forecasts, which is not directly related to the synergies of M&amp;As. Additionally, analysts' recommendations before M&amp;As may result in the agency problem of overvalued equity, which may have a negative impact on acquirers' long-term performance after M&amp;As. Therefore, our third research hypothesis is as follows:</w:t>
      </w:r>
    </w:p>
    <w:p w14:paraId="6593DF88" w14:textId="371D604E" w:rsidR="00C23E58" w:rsidRPr="00353396" w:rsidRDefault="00631BC8" w:rsidP="00324F2F">
      <w:pPr>
        <w:widowControl/>
        <w:spacing w:beforeLines="50" w:before="180" w:afterLines="50" w:after="180" w:line="240" w:lineRule="auto"/>
        <w:ind w:left="1701" w:right="0" w:hangingChars="708" w:hanging="1701"/>
      </w:pPr>
      <w:r w:rsidRPr="00631BC8">
        <w:rPr>
          <w:b/>
          <w:bCs/>
        </w:rPr>
        <w:t>Hypothesis 3</w:t>
      </w:r>
      <w:r w:rsidRPr="00631BC8">
        <w:t>: The explanatory power of analyst recommendations might be inconsistent with acquirers' long-term performance after M&amp;As. In contrast, the agency problem of overvalued equity due to analysts' recommendations may result in poor performance.</w:t>
      </w:r>
      <w:r w:rsidR="00C23E58" w:rsidRPr="00353396">
        <w:t xml:space="preserve"> </w:t>
      </w:r>
    </w:p>
    <w:p w14:paraId="7AA5B9B2" w14:textId="77777777" w:rsidR="00D00CC9" w:rsidRPr="00353396" w:rsidRDefault="00D00CC9" w:rsidP="00BC3E3E">
      <w:pPr>
        <w:pStyle w:val="1"/>
      </w:pPr>
      <w:r w:rsidRPr="00353396">
        <w:t>Methodology and data collection</w:t>
      </w:r>
    </w:p>
    <w:p w14:paraId="42D1E6E3" w14:textId="77777777" w:rsidR="004E1225" w:rsidRPr="008E7033" w:rsidRDefault="004E1225" w:rsidP="00BC3E3E">
      <w:pPr>
        <w:pStyle w:val="2"/>
      </w:pPr>
      <w:r w:rsidRPr="008E7033">
        <w:rPr>
          <w:rFonts w:hint="eastAsia"/>
        </w:rPr>
        <w:t>T</w:t>
      </w:r>
      <w:r w:rsidRPr="008E7033">
        <w:t>he types of M&amp;As</w:t>
      </w:r>
    </w:p>
    <w:p w14:paraId="0F0E49C2" w14:textId="77777777" w:rsidR="000F4B07" w:rsidRPr="000F4B07" w:rsidRDefault="000F4B07" w:rsidP="00C3335D">
      <w:pPr>
        <w:pStyle w:val="text"/>
      </w:pPr>
      <w:r w:rsidRPr="000F4B07">
        <w:t xml:space="preserve">The primary data source for this study is the Securities Data Corporation's (SDC) US Mergers and Acquisitions Database, which encompasses all completed merger and acquisition (M&amp;A) transactions. The sample period spans from 2000 to 2017, and we </w:t>
      </w:r>
      <w:r w:rsidRPr="000F4B07">
        <w:lastRenderedPageBreak/>
        <w:t>trace the acquirer firms' stock returns up to 2020. The final dataset comprises domestic acquisitions involving U.S. acquirers, as this allows for the tracking of analyst coverage.</w:t>
      </w:r>
    </w:p>
    <w:p w14:paraId="0264BC8F" w14:textId="77777777" w:rsidR="000F4B07" w:rsidRPr="000F4B07" w:rsidRDefault="000F4B07" w:rsidP="00324F2F">
      <w:pPr>
        <w:pStyle w:val="text"/>
      </w:pPr>
      <w:r w:rsidRPr="000F4B07">
        <w:t>To construct the sample, we apply the following selection criteria:</w:t>
      </w:r>
    </w:p>
    <w:p w14:paraId="08AC1E8A" w14:textId="242A0136" w:rsidR="000F4B07" w:rsidRPr="000F4B07" w:rsidRDefault="000F4B07" w:rsidP="00324F2F">
      <w:pPr>
        <w:pStyle w:val="a0"/>
        <w:numPr>
          <w:ilvl w:val="0"/>
          <w:numId w:val="3"/>
        </w:numPr>
        <w:spacing w:line="240" w:lineRule="auto"/>
        <w:ind w:leftChars="0" w:left="850" w:right="0" w:hanging="357"/>
      </w:pPr>
      <w:r w:rsidRPr="000F4B07">
        <w:t>Deal Type and Asset Class: We include only M&amp;A transactions involving the common stocks of publicly traded firms listed on the American Express (AMEX), New York Stock Exchange (NYSE), or NASDAQ exchanges. We exclude real estate investment trusts (REITs), American depository receipts (ADRs), closed-end mutual funds, and partnerships.</w:t>
      </w:r>
    </w:p>
    <w:p w14:paraId="2C618F73" w14:textId="08FDEC2D" w:rsidR="000F4B07" w:rsidRPr="000F4B07" w:rsidRDefault="000F4B07" w:rsidP="00324F2F">
      <w:pPr>
        <w:pStyle w:val="a0"/>
        <w:numPr>
          <w:ilvl w:val="0"/>
          <w:numId w:val="3"/>
        </w:numPr>
        <w:spacing w:line="240" w:lineRule="auto"/>
        <w:ind w:leftChars="0" w:left="850" w:right="0" w:hanging="357"/>
      </w:pPr>
      <w:r w:rsidRPr="000F4B07">
        <w:t>Transaction Classification and Payment Method: The transactions must be classified as either a merger or an acquisition of a majority interest, with clear information on the method of payment used in the deal.</w:t>
      </w:r>
    </w:p>
    <w:p w14:paraId="7C84A542" w14:textId="79FA83DD" w:rsidR="000F4B07" w:rsidRPr="000F4B07" w:rsidRDefault="000F4B07" w:rsidP="00324F2F">
      <w:pPr>
        <w:pStyle w:val="a0"/>
        <w:numPr>
          <w:ilvl w:val="0"/>
          <w:numId w:val="3"/>
        </w:numPr>
        <w:spacing w:line="240" w:lineRule="auto"/>
        <w:ind w:leftChars="0" w:left="850" w:right="0" w:hanging="357"/>
      </w:pPr>
      <w:r w:rsidRPr="000F4B07">
        <w:t>Acquirer Industry Exclusions: We exclude transactions where the acquirer operates in the financial (Standard Industrial Classification (SIC) codes 6000-6999) or utility (SIC codes 4900-4999) sectors to mitigate potential industry-specific effects.</w:t>
      </w:r>
    </w:p>
    <w:p w14:paraId="223C399A" w14:textId="0CD5281A" w:rsidR="000F4B07" w:rsidRPr="000F4B07" w:rsidRDefault="000F4B07" w:rsidP="00324F2F">
      <w:pPr>
        <w:pStyle w:val="a0"/>
        <w:numPr>
          <w:ilvl w:val="0"/>
          <w:numId w:val="3"/>
        </w:numPr>
        <w:spacing w:line="240" w:lineRule="auto"/>
        <w:ind w:leftChars="0" w:left="850" w:right="0" w:hanging="357"/>
      </w:pPr>
      <w:r w:rsidRPr="000F4B07">
        <w:t xml:space="preserve">Deal Size and Acquirer Market Capitalization: Following </w:t>
      </w:r>
      <w:r w:rsidR="001843FC">
        <w:fldChar w:fldCharType="begin"/>
      </w:r>
      <w:r w:rsidR="00687107">
        <w:instrText xml:space="preserve"> ADDIN EN.CITE &lt;EndNote&gt;&lt;Cite AuthorYear="1"&gt;&lt;Author&gt;Uysal&lt;/Author&gt;&lt;Year&gt;2008&lt;/Year&gt;&lt;RecNum&gt;1568&lt;/RecNum&gt;&lt;DisplayText&gt;Uysal, Kedia [16]&lt;/DisplayText&gt;&lt;record&gt;&lt;rec-number&gt;1568&lt;/rec-number&gt;&lt;foreign-keys&gt;&lt;key app="EN" db-id="0pew05t5ffv2zxewvpbvwv20pvaweratdv5e" timestamp="1668071816" guid="c2e275ad-8223-407b-914e-22320b645f86"&gt;1568&lt;/key&gt;&lt;/foreign-keys&gt;&lt;ref-type name="Journal Article"&gt;17&lt;/ref-type&gt;&lt;contributors&gt;&lt;authors&gt;&lt;author&gt;Uysal, V. B.&lt;/author&gt;&lt;author&gt;Kedia, S.&lt;/author&gt;&lt;author&gt;Panchapagesan, V.&lt;/author&gt;&lt;/authors&gt;&lt;/contributors&gt;&lt;auth-address&gt;[Uysal, Vahap B.] Univ Oklahoma, Norman, OK 73019 USA. [Kedia, Simi] Rutgers State Univ, Piscataway, NJ 08855 USA.&amp;#xD;Uysal, VB (reprint author), Univ Oklahoma, Norman, OK 73019 USA.&amp;#xD;uysal@ou.edu; skedia@rbsmail.rutgers.edu; venkatesh.panchapgesan@gs.com&lt;/auth-address&gt;&lt;titles&gt;&lt;title&gt;Geography and acquirer returns&lt;/title&gt;&lt;secondary-title&gt;Journal of Financial Intermediation&lt;/secondary-title&gt;&lt;alt-title&gt;J. Financ. Intermed.&lt;/alt-title&gt;&lt;/titles&gt;&lt;periodical&gt;&lt;full-title&gt;Journal of Financial Intermediation&lt;/full-title&gt;&lt;abbr-1&gt;J Financ Intermed&lt;/abbr-1&gt;&lt;/periodical&gt;&lt;pages&gt;256-275&lt;/pages&gt;&lt;volume&gt;17&lt;/volume&gt;&lt;number&gt;2&lt;/number&gt;&lt;keywords&gt;&lt;keyword&gt;stock returns&lt;/keyword&gt;&lt;keyword&gt;bank mergers&lt;/keyword&gt;&lt;keyword&gt;corporate acquisitions&lt;/keyword&gt;&lt;keyword&gt;gains&lt;/keyword&gt;&lt;keyword&gt;information&lt;/keyword&gt;&lt;keyword&gt;firms&lt;/keyword&gt;&lt;keyword&gt;takeover&lt;/keyword&gt;&lt;keyword&gt;investment&lt;/keyword&gt;&lt;keyword&gt;distance&lt;/keyword&gt;&lt;keyword&gt;performance&lt;/keyword&gt;&lt;keyword&gt;Business &amp;amp; Economics&lt;/keyword&gt;&lt;/keywords&gt;&lt;dates&gt;&lt;year&gt;2008&lt;/year&gt;&lt;pub-dates&gt;&lt;date&gt;Apr&lt;/date&gt;&lt;/pub-dates&gt;&lt;/dates&gt;&lt;isbn&gt;1042-9573&lt;/isbn&gt;&lt;accession-num&gt;WOS:000255991500005&lt;/accession-num&gt;&lt;work-type&gt;Article; Proceedings Paper&lt;/work-type&gt;&lt;urls&gt;&lt;related-urls&gt;&lt;url&gt;&amp;lt;Go to ISI&amp;gt;://WOS:000255991500005&lt;/url&gt;&lt;/related-urls&gt;&lt;/urls&gt;&lt;electronic-resource-num&gt;10.1016/j.jfi.2007.12.001&lt;/electronic-resource-num&gt;&lt;language&gt;English&lt;/language&gt;&lt;/record&gt;&lt;/Cite&gt;&lt;/EndNote&gt;</w:instrText>
      </w:r>
      <w:r w:rsidR="001843FC">
        <w:fldChar w:fldCharType="separate"/>
      </w:r>
      <w:r w:rsidR="00687107">
        <w:rPr>
          <w:noProof/>
        </w:rPr>
        <w:t>Uysal, Kedia [16]</w:t>
      </w:r>
      <w:r w:rsidR="001843FC">
        <w:fldChar w:fldCharType="end"/>
      </w:r>
      <w:r w:rsidRPr="000F4B07">
        <w:t>, we exclude transactions valued at less than $5 million and those involving acquirers with a market capitalization below $5 million to ensure economic significance and mitigate potential biases arising from small transactions or acquirers.</w:t>
      </w:r>
    </w:p>
    <w:p w14:paraId="280F09DC" w14:textId="2B36885E" w:rsidR="000F4B07" w:rsidRPr="000F4B07" w:rsidRDefault="000F4B07" w:rsidP="00324F2F">
      <w:pPr>
        <w:pStyle w:val="a0"/>
        <w:numPr>
          <w:ilvl w:val="0"/>
          <w:numId w:val="3"/>
        </w:numPr>
        <w:spacing w:line="240" w:lineRule="auto"/>
        <w:ind w:leftChars="0" w:left="850" w:right="0" w:hanging="357"/>
      </w:pPr>
      <w:r w:rsidRPr="000F4B07">
        <w:t>Multiple Acquisitions: To avoid confounding effects, we exclude acquirer firms that engaged in multiple M&amp;A transactions within two years after the first acquisition. In such cases, we retain only the last M&amp;A transaction that does not have any subsequent acquisitions within the two-year window.</w:t>
      </w:r>
    </w:p>
    <w:p w14:paraId="2FADB0FB" w14:textId="0B95D089" w:rsidR="00101595" w:rsidRPr="001D255E" w:rsidRDefault="000F4B07" w:rsidP="00324F2F">
      <w:pPr>
        <w:spacing w:line="240" w:lineRule="auto"/>
        <w:ind w:right="0"/>
      </w:pPr>
      <w:r w:rsidRPr="001D255E">
        <w:t>By adhering to these rigorous selection criteria, we construct a comprehensive and robust dataset that enables us to investigate our research questions effectively while maintaining data integrity and representativeness.</w:t>
      </w:r>
      <w:r w:rsidR="00C51B1B" w:rsidRPr="001D255E">
        <w:t xml:space="preserve"> </w:t>
      </w:r>
    </w:p>
    <w:p w14:paraId="226A83B6" w14:textId="27B4F8C1" w:rsidR="004E0AF6" w:rsidRDefault="004E0AF6" w:rsidP="00324F2F">
      <w:pPr>
        <w:pStyle w:val="text"/>
      </w:pPr>
      <w:r>
        <w:t xml:space="preserve">We employ the buy-and-hold abnormal return (BHAR) methodology to measure long-term performance. Daily stock returns and shares outstanding data for the sample firms are obtained from the Center for Research in Security Prices (CRSP) database. Annual accounting data, including </w:t>
      </w:r>
      <w:r w:rsidR="00707136">
        <w:t>firm</w:t>
      </w:r>
      <w:r>
        <w:t xml:space="preserve"> characteristics such as total assets, long-term debt, sales, and operating income, are sourced from the </w:t>
      </w:r>
      <w:proofErr w:type="spellStart"/>
      <w:r>
        <w:t>Compustat</w:t>
      </w:r>
      <w:proofErr w:type="spellEnd"/>
      <w:r>
        <w:t xml:space="preserve"> database.</w:t>
      </w:r>
    </w:p>
    <w:p w14:paraId="036FDC93" w14:textId="1DF25566" w:rsidR="004E0AF6" w:rsidRDefault="004E0AF6" w:rsidP="00324F2F">
      <w:pPr>
        <w:pStyle w:val="text"/>
      </w:pPr>
      <w:r>
        <w:t xml:space="preserve">Analyst recommendation data spanning the period from 2000 to 2017 are retrieved from the Zacks Investment Research database. We focus exclusively on recommendations pertaining to common stock equities, excluding other asset classes such as exchange-traded funds (ETFs) or American Depository Receipts (ADRs). The recommendation data encompass several metrics, including the number of distinct </w:t>
      </w:r>
      <w:r>
        <w:lastRenderedPageBreak/>
        <w:t>recommendation types, the arithmetic mean of recommendations, and the number of analysts providing coverage.</w:t>
      </w:r>
    </w:p>
    <w:p w14:paraId="756D981D" w14:textId="77777777" w:rsidR="004E0AF6" w:rsidRDefault="004E0AF6" w:rsidP="00324F2F">
      <w:pPr>
        <w:pStyle w:val="text"/>
      </w:pPr>
      <w:r>
        <w:t>Analyst recommendations are denoted by the symbol "S," which ranges from 1 to 5, with 1 representing the most favorable recommendation (strong buy) and 5 representing the most unfavorable recommendation (strong sell). Specifically, the rating scale is as follows: 1 = strong buy, 2 = buy, 3 = hold, 4 = sell, and 5 = strong sell.</w:t>
      </w:r>
    </w:p>
    <w:p w14:paraId="07D03427" w14:textId="79D3CD74" w:rsidR="004E0AF6" w:rsidRDefault="004E0AF6" w:rsidP="00324F2F">
      <w:pPr>
        <w:pStyle w:val="text"/>
      </w:pPr>
      <w:r>
        <w:t xml:space="preserve">To examine the impact of diversification on M&amp;A performance, we categorize our sample into two types: diversified M&amp;As and horizontal M&amp;As. The industry classification is based on the four-digit Standard Industrial Classification (SIC) code, which represents the primary line of business for each </w:t>
      </w:r>
      <w:r w:rsidR="00707136">
        <w:t>firm</w:t>
      </w:r>
      <w:r>
        <w:t>. A transaction is classified as a horizontal M&amp;A if the acquirer and target firms operate in the same four-digit SIC industry. Conversely, a diversified M&amp;A involves acquirer and target firms from different four-digit SIC industries, implying that the two firms operate in fundamentally distinct business sectors.</w:t>
      </w:r>
    </w:p>
    <w:p w14:paraId="512B4D68" w14:textId="561EC196" w:rsidR="004B2AD7" w:rsidRPr="00353396" w:rsidRDefault="004E0AF6" w:rsidP="00324F2F">
      <w:pPr>
        <w:pStyle w:val="text"/>
      </w:pPr>
      <w:r>
        <w:t>By leveraging these data sources and employing a robust industry classification scheme, we construct a comprehensive dataset that enables us to rigorously investigate the research questions while maintaining methodological soundness and data integrity.</w:t>
      </w:r>
    </w:p>
    <w:p w14:paraId="054579A2" w14:textId="6F19A29C" w:rsidR="00F935AF" w:rsidRPr="00353396" w:rsidRDefault="00F935AF" w:rsidP="00BC3E3E">
      <w:pPr>
        <w:pStyle w:val="2"/>
      </w:pPr>
      <w:r w:rsidRPr="00353396">
        <w:t>Performance Measures</w:t>
      </w:r>
    </w:p>
    <w:p w14:paraId="5557F013" w14:textId="77777777" w:rsidR="00F935AF" w:rsidRPr="00353396" w:rsidRDefault="00F935AF" w:rsidP="00324F2F">
      <w:pPr>
        <w:pStyle w:val="text"/>
      </w:pPr>
      <w:r w:rsidRPr="00353396">
        <w:t>Buy-and-hold abnormal returns are calculated as follows:</w:t>
      </w:r>
    </w:p>
    <w:p w14:paraId="6EDAB6F1" w14:textId="0F97F800" w:rsidR="00707136" w:rsidRPr="00336293" w:rsidRDefault="00350966" w:rsidP="00C3335D">
      <w:pPr>
        <w:pStyle w:val="equ"/>
        <w:spacing w:beforeLines="50" w:before="180" w:afterLines="50" w:after="180"/>
        <w:ind w:leftChars="0" w:left="0"/>
        <w:rPr>
          <w:color w:val="auto"/>
          <w:sz w:val="24"/>
          <w:szCs w:val="24"/>
        </w:rPr>
      </w:pPr>
      <m:oMathPara>
        <m:oMathParaPr>
          <m:jc m:val="right"/>
        </m:oMathParaPr>
        <m:oMath>
          <m:sSub>
            <m:sSubPr>
              <m:ctrlPr>
                <w:rPr>
                  <w:rFonts w:ascii="Cambria Math" w:hAnsi="Cambria Math"/>
                  <w:i/>
                  <w:color w:val="auto"/>
                  <w:sz w:val="24"/>
                  <w:szCs w:val="24"/>
                </w:rPr>
              </m:ctrlPr>
            </m:sSubPr>
            <m:e>
              <m:r>
                <w:rPr>
                  <w:rFonts w:ascii="Cambria Math" w:hAnsi="Cambria Math"/>
                  <w:color w:val="auto"/>
                  <w:sz w:val="24"/>
                  <w:szCs w:val="24"/>
                </w:rPr>
                <m:t>BHARs</m:t>
              </m:r>
            </m:e>
            <m:sub>
              <m:r>
                <w:rPr>
                  <w:rFonts w:ascii="Cambria Math" w:hAnsi="Cambria Math"/>
                  <w:color w:val="auto"/>
                  <w:sz w:val="24"/>
                  <w:szCs w:val="24"/>
                </w:rPr>
                <m:t>p</m:t>
              </m:r>
            </m:sub>
          </m:sSub>
          <m:r>
            <w:rPr>
              <w:rFonts w:ascii="Cambria Math" w:hAnsi="Cambria Math"/>
              <w:color w:val="auto"/>
              <w:sz w:val="24"/>
              <w:szCs w:val="24"/>
            </w:rPr>
            <m:t>=</m:t>
          </m:r>
          <m:f>
            <m:fPr>
              <m:ctrlPr>
                <w:rPr>
                  <w:rFonts w:ascii="Cambria Math" w:hAnsi="Cambria Math"/>
                  <w:i/>
                  <w:color w:val="auto"/>
                  <w:sz w:val="24"/>
                  <w:szCs w:val="24"/>
                </w:rPr>
              </m:ctrlPr>
            </m:fPr>
            <m:num>
              <m:r>
                <w:rPr>
                  <w:rFonts w:ascii="Cambria Math" w:hAnsi="Cambria Math"/>
                  <w:color w:val="auto"/>
                  <w:sz w:val="24"/>
                  <w:szCs w:val="24"/>
                </w:rPr>
                <m:t>1</m:t>
              </m:r>
            </m:num>
            <m:den>
              <m:r>
                <w:rPr>
                  <w:rFonts w:ascii="Cambria Math" w:hAnsi="Cambria Math"/>
                  <w:color w:val="auto"/>
                  <w:sz w:val="24"/>
                  <w:szCs w:val="24"/>
                </w:rPr>
                <m:t>N</m:t>
              </m:r>
            </m:den>
          </m:f>
          <m:nary>
            <m:naryPr>
              <m:chr m:val="∑"/>
              <m:limLoc m:val="undOvr"/>
              <m:ctrlPr>
                <w:rPr>
                  <w:rFonts w:ascii="Cambria Math" w:hAnsi="Cambria Math"/>
                  <w:i/>
                  <w:color w:val="auto"/>
                  <w:sz w:val="24"/>
                  <w:szCs w:val="24"/>
                </w:rPr>
              </m:ctrlPr>
            </m:naryPr>
            <m:sub>
              <m:r>
                <w:rPr>
                  <w:rFonts w:ascii="Cambria Math" w:hAnsi="Cambria Math"/>
                  <w:color w:val="auto"/>
                  <w:sz w:val="24"/>
                  <w:szCs w:val="24"/>
                </w:rPr>
                <m:t>j=1</m:t>
              </m:r>
            </m:sub>
            <m:sup>
              <m:r>
                <w:rPr>
                  <w:rFonts w:ascii="Cambria Math" w:hAnsi="Cambria Math"/>
                  <w:color w:val="auto"/>
                  <w:sz w:val="24"/>
                  <w:szCs w:val="24"/>
                </w:rPr>
                <m:t>N</m:t>
              </m:r>
            </m:sup>
            <m:e>
              <m:d>
                <m:dPr>
                  <m:begChr m:val="["/>
                  <m:endChr m:val="]"/>
                  <m:ctrlPr>
                    <w:rPr>
                      <w:rFonts w:ascii="Cambria Math" w:hAnsi="Cambria Math"/>
                      <w:i/>
                      <w:color w:val="auto"/>
                      <w:sz w:val="24"/>
                      <w:szCs w:val="24"/>
                    </w:rPr>
                  </m:ctrlPr>
                </m:dPr>
                <m:e>
                  <m:nary>
                    <m:naryPr>
                      <m:chr m:val="∏"/>
                      <m:limLoc m:val="undOvr"/>
                      <m:ctrlPr>
                        <w:rPr>
                          <w:rFonts w:ascii="Cambria Math" w:hAnsi="Cambria Math"/>
                          <w:i/>
                          <w:color w:val="auto"/>
                          <w:sz w:val="24"/>
                          <w:szCs w:val="24"/>
                        </w:rPr>
                      </m:ctrlPr>
                    </m:naryPr>
                    <m:sub>
                      <m:r>
                        <w:rPr>
                          <w:rFonts w:ascii="Cambria Math" w:hAnsi="Cambria Math"/>
                          <w:color w:val="auto"/>
                          <w:sz w:val="24"/>
                          <w:szCs w:val="24"/>
                        </w:rPr>
                        <m:t>t=1</m:t>
                      </m:r>
                    </m:sub>
                    <m:sup>
                      <m:r>
                        <w:rPr>
                          <w:rFonts w:ascii="Cambria Math" w:hAnsi="Cambria Math"/>
                          <w:color w:val="auto"/>
                          <w:sz w:val="24"/>
                          <w:szCs w:val="24"/>
                        </w:rPr>
                        <m:t>T</m:t>
                      </m:r>
                    </m:sup>
                    <m:e>
                      <m:d>
                        <m:dPr>
                          <m:ctrlPr>
                            <w:rPr>
                              <w:rFonts w:ascii="Cambria Math" w:hAnsi="Cambria Math"/>
                              <w:i/>
                              <w:color w:val="auto"/>
                              <w:sz w:val="24"/>
                              <w:szCs w:val="24"/>
                            </w:rPr>
                          </m:ctrlPr>
                        </m:dPr>
                        <m:e>
                          <m:r>
                            <w:rPr>
                              <w:rFonts w:ascii="Cambria Math" w:hAnsi="Cambria Math"/>
                              <w:color w:val="auto"/>
                              <w:sz w:val="24"/>
                              <w:szCs w:val="24"/>
                            </w:rPr>
                            <m:t>1+</m:t>
                          </m:r>
                          <m:sSub>
                            <m:sSubPr>
                              <m:ctrlPr>
                                <w:rPr>
                                  <w:rFonts w:ascii="Cambria Math" w:hAnsi="Cambria Math"/>
                                  <w:i/>
                                  <w:color w:val="auto"/>
                                  <w:sz w:val="24"/>
                                  <w:szCs w:val="24"/>
                                </w:rPr>
                              </m:ctrlPr>
                            </m:sSubPr>
                            <m:e>
                              <m:r>
                                <w:rPr>
                                  <w:rFonts w:ascii="Cambria Math" w:hAnsi="Cambria Math"/>
                                  <w:color w:val="auto"/>
                                  <w:sz w:val="24"/>
                                  <w:szCs w:val="24"/>
                                </w:rPr>
                                <m:t>R</m:t>
                              </m:r>
                            </m:e>
                            <m:sub>
                              <m:r>
                                <w:rPr>
                                  <w:rFonts w:ascii="Cambria Math" w:hAnsi="Cambria Math"/>
                                  <w:color w:val="auto"/>
                                  <w:sz w:val="24"/>
                                  <w:szCs w:val="24"/>
                                </w:rPr>
                                <m:t>j, t</m:t>
                              </m:r>
                            </m:sub>
                          </m:sSub>
                        </m:e>
                      </m:d>
                    </m:e>
                  </m:nary>
                  <m:r>
                    <w:rPr>
                      <w:rFonts w:ascii="Cambria Math" w:hAnsi="Cambria Math"/>
                      <w:color w:val="auto"/>
                      <w:sz w:val="24"/>
                      <w:szCs w:val="24"/>
                    </w:rPr>
                    <m:t>-</m:t>
                  </m:r>
                  <m:nary>
                    <m:naryPr>
                      <m:chr m:val="∏"/>
                      <m:limLoc m:val="undOvr"/>
                      <m:ctrlPr>
                        <w:rPr>
                          <w:rFonts w:ascii="Cambria Math" w:hAnsi="Cambria Math"/>
                          <w:i/>
                          <w:color w:val="auto"/>
                          <w:sz w:val="24"/>
                          <w:szCs w:val="24"/>
                        </w:rPr>
                      </m:ctrlPr>
                    </m:naryPr>
                    <m:sub>
                      <m:r>
                        <w:rPr>
                          <w:rFonts w:ascii="Cambria Math" w:hAnsi="Cambria Math"/>
                          <w:color w:val="auto"/>
                          <w:sz w:val="24"/>
                          <w:szCs w:val="24"/>
                        </w:rPr>
                        <m:t>t=1</m:t>
                      </m:r>
                    </m:sub>
                    <m:sup>
                      <m:r>
                        <w:rPr>
                          <w:rFonts w:ascii="Cambria Math" w:hAnsi="Cambria Math"/>
                          <w:color w:val="auto"/>
                          <w:sz w:val="24"/>
                          <w:szCs w:val="24"/>
                        </w:rPr>
                        <m:t>T</m:t>
                      </m:r>
                    </m:sup>
                    <m:e>
                      <m:d>
                        <m:dPr>
                          <m:ctrlPr>
                            <w:rPr>
                              <w:rFonts w:ascii="Cambria Math" w:hAnsi="Cambria Math"/>
                              <w:i/>
                              <w:color w:val="auto"/>
                              <w:sz w:val="24"/>
                              <w:szCs w:val="24"/>
                            </w:rPr>
                          </m:ctrlPr>
                        </m:dPr>
                        <m:e>
                          <m:r>
                            <w:rPr>
                              <w:rFonts w:ascii="Cambria Math" w:hAnsi="Cambria Math"/>
                              <w:color w:val="auto"/>
                              <w:sz w:val="24"/>
                              <w:szCs w:val="24"/>
                            </w:rPr>
                            <m:t>1+</m:t>
                          </m:r>
                          <m:sSub>
                            <m:sSubPr>
                              <m:ctrlPr>
                                <w:rPr>
                                  <w:rFonts w:ascii="Cambria Math" w:hAnsi="Cambria Math"/>
                                  <w:i/>
                                  <w:color w:val="auto"/>
                                  <w:sz w:val="24"/>
                                  <w:szCs w:val="24"/>
                                </w:rPr>
                              </m:ctrlPr>
                            </m:sSubPr>
                            <m:e>
                              <m:r>
                                <w:rPr>
                                  <w:rFonts w:ascii="Cambria Math" w:hAnsi="Cambria Math"/>
                                  <w:color w:val="auto"/>
                                  <w:sz w:val="24"/>
                                  <w:szCs w:val="24"/>
                                </w:rPr>
                                <m:t>R</m:t>
                              </m:r>
                            </m:e>
                            <m:sub>
                              <m:r>
                                <w:rPr>
                                  <w:rFonts w:ascii="Cambria Math" w:hAnsi="Cambria Math"/>
                                  <w:color w:val="auto"/>
                                  <w:sz w:val="24"/>
                                  <w:szCs w:val="24"/>
                                </w:rPr>
                                <m:t>bench, t</m:t>
                              </m:r>
                            </m:sub>
                          </m:sSub>
                        </m:e>
                      </m:d>
                    </m:e>
                  </m:nary>
                </m:e>
              </m:d>
            </m:e>
          </m:nary>
          <m:r>
            <m:rPr>
              <m:sty m:val="p"/>
            </m:rPr>
            <w:rPr>
              <w:rFonts w:ascii="Cambria Math" w:hAnsi="Cambria Math"/>
              <w:color w:val="auto"/>
              <w:sz w:val="24"/>
              <w:szCs w:val="24"/>
            </w:rPr>
            <m:t>,                   (1)</m:t>
          </m:r>
        </m:oMath>
      </m:oMathPara>
    </w:p>
    <w:p w14:paraId="6531E7F7" w14:textId="373D0A7D" w:rsidR="00F935AF" w:rsidRPr="00353396" w:rsidRDefault="00F935AF" w:rsidP="00324F2F">
      <w:pPr>
        <w:spacing w:line="240" w:lineRule="auto"/>
        <w:ind w:right="0"/>
      </w:pPr>
      <w:r w:rsidRPr="00353396">
        <w:t xml:space="preserve">where </w:t>
      </w:r>
      <w:proofErr w:type="gramStart"/>
      <w:r w:rsidRPr="00353396">
        <w:rPr>
          <w:i/>
          <w:iCs/>
        </w:rPr>
        <w:t>R</w:t>
      </w:r>
      <w:proofErr w:type="spellStart"/>
      <w:r w:rsidRPr="00353396">
        <w:rPr>
          <w:i/>
          <w:iCs/>
          <w:position w:val="-8"/>
        </w:rPr>
        <w:t>j,t</w:t>
      </w:r>
      <w:proofErr w:type="spellEnd"/>
      <w:proofErr w:type="gramEnd"/>
      <w:r w:rsidRPr="00353396">
        <w:t xml:space="preserve"> and </w:t>
      </w:r>
      <w:r w:rsidRPr="00353396">
        <w:rPr>
          <w:i/>
          <w:iCs/>
        </w:rPr>
        <w:t>R</w:t>
      </w:r>
      <w:proofErr w:type="spellStart"/>
      <w:r w:rsidRPr="00353396">
        <w:rPr>
          <w:i/>
          <w:iCs/>
          <w:position w:val="-8"/>
        </w:rPr>
        <w:t>bench,t</w:t>
      </w:r>
      <w:proofErr w:type="spellEnd"/>
      <w:r w:rsidRPr="00353396">
        <w:t xml:space="preserve">, respectively, denote </w:t>
      </w:r>
      <w:r w:rsidR="00707136">
        <w:t>firm</w:t>
      </w:r>
      <w:r w:rsidRPr="00353396">
        <w:t xml:space="preserve"> </w:t>
      </w:r>
      <w:r w:rsidRPr="00353396">
        <w:rPr>
          <w:i/>
          <w:iCs/>
        </w:rPr>
        <w:t>j</w:t>
      </w:r>
      <w:r w:rsidRPr="00353396">
        <w:t xml:space="preserve">'s returns and benchmark returns on day </w:t>
      </w:r>
      <w:r w:rsidRPr="00353396">
        <w:rPr>
          <w:i/>
          <w:iCs/>
        </w:rPr>
        <w:t>t</w:t>
      </w:r>
      <w:r w:rsidRPr="00353396">
        <w:t xml:space="preserve">, and </w:t>
      </w:r>
      <w:r w:rsidRPr="00353396">
        <w:rPr>
          <w:i/>
          <w:iCs/>
        </w:rPr>
        <w:t>N</w:t>
      </w:r>
      <w:r w:rsidRPr="00353396">
        <w:t xml:space="preserve"> is the number of firms. </w:t>
      </w:r>
      <w:r w:rsidR="003607FD">
        <w:t>We</w:t>
      </w:r>
      <w:r w:rsidRPr="00353396">
        <w:t xml:space="preserve"> calculate </w:t>
      </w:r>
      <w:r w:rsidR="009008F0">
        <w:t xml:space="preserve">the </w:t>
      </w:r>
      <w:r w:rsidRPr="00353396">
        <w:t xml:space="preserve">return from the </w:t>
      </w:r>
      <w:r w:rsidR="004E1225" w:rsidRPr="00353396">
        <w:t>effective date</w:t>
      </w:r>
      <w:r w:rsidRPr="00353396">
        <w:t xml:space="preserve"> and set a year to have 252 trading days. If the </w:t>
      </w:r>
      <w:r w:rsidR="00707136">
        <w:t>firm</w:t>
      </w:r>
      <w:r w:rsidRPr="00353396">
        <w:t xml:space="preserve"> is delisted, returns </w:t>
      </w:r>
      <w:r w:rsidR="009008F0">
        <w:t>compound</w:t>
      </w:r>
      <w:r w:rsidRPr="00353396">
        <w:t xml:space="preserve"> until the </w:t>
      </w:r>
      <w:r w:rsidR="009008F0">
        <w:t>delisting</w:t>
      </w:r>
      <w:r w:rsidRPr="00353396">
        <w:t xml:space="preserve"> date.</w:t>
      </w:r>
    </w:p>
    <w:p w14:paraId="469CD2D6" w14:textId="5D0C56CB" w:rsidR="00D830DE" w:rsidRPr="00353396" w:rsidRDefault="00D830DE" w:rsidP="00324F2F">
      <w:pPr>
        <w:pStyle w:val="text"/>
      </w:pPr>
      <w:r w:rsidRPr="00353396">
        <w:t xml:space="preserve">The event-time methodology has been criticized </w:t>
      </w:r>
      <w:r w:rsidR="009008F0">
        <w:t>for</w:t>
      </w:r>
      <w:r w:rsidRPr="00353396">
        <w:t xml:space="preserve"> overstating issuers’ long-run underperformance </w:t>
      </w:r>
      <w:r w:rsidR="00686DE6">
        <w:fldChar w:fldCharType="begin">
          <w:fldData xml:space="preserve">PEVuZE5vdGU+PENpdGU+PEF1dGhvcj5Hb21wZXJzPC9BdXRob3I+PFllYXI+MjAwMzwvWWVhcj48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==
</w:fldData>
        </w:fldChar>
      </w:r>
      <w:r w:rsidR="00687107">
        <w:instrText xml:space="preserve"> ADDIN EN.CITE </w:instrText>
      </w:r>
      <w:r w:rsidR="00687107">
        <w:fldChar w:fldCharType="begin">
          <w:fldData xml:space="preserve">PEVuZE5vdGU+PENpdGU+PEF1dGhvcj5Hb21wZXJzPC9BdXRob3I+PFllYXI+MjAwMzwvWWVhcj48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==
</w:fldData>
        </w:fldChar>
      </w:r>
      <w:r w:rsidR="00687107">
        <w:instrText xml:space="preserve"> ADDIN EN.CITE.DATA </w:instrText>
      </w:r>
      <w:r w:rsidR="00687107">
        <w:fldChar w:fldCharType="end"/>
      </w:r>
      <w:r w:rsidR="00686DE6">
        <w:fldChar w:fldCharType="separate"/>
      </w:r>
      <w:r w:rsidR="00687107">
        <w:rPr>
          <w:noProof/>
        </w:rPr>
        <w:t>[17, 18]</w:t>
      </w:r>
      <w:r w:rsidR="00686DE6">
        <w:fldChar w:fldCharType="end"/>
      </w:r>
      <w:r w:rsidRPr="00353396">
        <w:t xml:space="preserve">. To overcome this defect, </w:t>
      </w:r>
      <w:r w:rsidR="003607FD">
        <w:t>we</w:t>
      </w:r>
      <w:r w:rsidRPr="00353396">
        <w:t xml:space="preserve"> use the </w:t>
      </w:r>
      <w:r w:rsidR="00035DE7">
        <w:fldChar w:fldCharType="begin"/>
      </w:r>
      <w:r w:rsidR="00687107">
        <w:instrText xml:space="preserve"> ADDIN EN.CITE &lt;EndNote&gt;&lt;Cite AuthorYear="1"&gt;&lt;Author&gt;Fama&lt;/Author&gt;&lt;Year&gt;1993&lt;/Year&gt;&lt;RecNum&gt;515&lt;/RecNum&gt;&lt;DisplayText&gt;Fama and French [19]&lt;/DisplayText&gt;&lt;record&gt;&lt;rec-number&gt;515&lt;/rec-number&gt;&lt;foreign-keys&gt;&lt;key app="EN" db-id="0pew05t5ffv2zxewvpbvwv20pvaweratdv5e" timestamp="1668070145" guid="e19e01ae-8ba3-4a11-ac20-be71ed40e43d"&gt;515&lt;/key&gt;&lt;/foreign-keys&gt;&lt;ref-type name="Journal Article"&gt;17&lt;/ref-type&gt;&lt;contributors&gt;&lt;authors&gt;&lt;author&gt;Fama, E. F.&lt;/author&gt;&lt;author&gt;French, K. R.&lt;/author&gt;&lt;/authors&gt;&lt;/contributors&gt;&lt;auth-address&gt;FAMA, EF (reprint author), UNIV CHICAGO,GRAD SCH BUSINESS,1101 E 58TH ST,CHICAGO,IL 60637, USA.&lt;/auth-address&gt;&lt;titles&gt;&lt;title&gt;Common risk factors in the returns on stocks and bonds&lt;/title&gt;&lt;secondary-title&gt;Journal of Financial Economics&lt;/secondary-title&gt;&lt;alt-title&gt;J. Financ. Econ.&lt;/alt-title&gt;&lt;/titles&gt;&lt;periodical&gt;&lt;full-title&gt;Journal of Financial Economics&lt;/full-title&gt;&lt;abbr-1&gt;J. Financ. Econ.&lt;/abbr-1&gt;&lt;/periodical&gt;&lt;alt-periodical&gt;&lt;full-title&gt;Journal of Financial Economics&lt;/full-title&gt;&lt;abbr-1&gt;J. Financ. Econ.&lt;/abbr-1&gt;&lt;/alt-periodical&gt;&lt;pages&gt;3-56&lt;/pages&gt;&lt;volume&gt;33&lt;/volume&gt;&lt;number&gt;1&lt;/number&gt;&lt;keywords&gt;&lt;keyword&gt;asset pricing model&lt;/keyword&gt;&lt;keyword&gt;investment opportunities&lt;/keyword&gt;&lt;keyword&gt;empirical-evidence&lt;/keyword&gt;&lt;keyword&gt;market value&lt;/keyword&gt;&lt;keyword&gt;tests&lt;/keyword&gt;&lt;keyword&gt;consumption&lt;/keyword&gt;&lt;keyword&gt;yields&lt;/keyword&gt;&lt;keyword&gt;Business &amp;amp; Economics&lt;/keyword&gt;&lt;/keywords&gt;&lt;dates&gt;&lt;year&gt;1993&lt;/year&gt;&lt;pub-dates&gt;&lt;date&gt;Feb&lt;/date&gt;&lt;/pub-dates&gt;&lt;/dates&gt;&lt;isbn&gt;0304-405X&lt;/isbn&gt;&lt;accession-num&gt;WOS:A1993LD00800001&lt;/accession-num&gt;&lt;work-type&gt;Article&lt;/work-type&gt;&lt;urls&gt;&lt;related-urls&gt;&lt;url&gt;&amp;lt;Go to ISI&amp;gt;://WOS:A1993LD00800001&lt;/url&gt;&lt;/related-urls&gt;&lt;/urls&gt;&lt;electronic-resource-num&gt;10.1016/0304-405x(93)90023-5&lt;/electronic-resource-num&gt;&lt;language&gt;English&lt;/language&gt;&lt;/record&gt;&lt;/Cite&gt;&lt;/EndNote&gt;</w:instrText>
      </w:r>
      <w:r w:rsidR="00035DE7">
        <w:fldChar w:fldCharType="separate"/>
      </w:r>
      <w:r w:rsidR="00687107">
        <w:rPr>
          <w:noProof/>
        </w:rPr>
        <w:t>Fama and French [19]</w:t>
      </w:r>
      <w:r w:rsidR="00035DE7">
        <w:fldChar w:fldCharType="end"/>
      </w:r>
      <w:r w:rsidRPr="00353396">
        <w:t xml:space="preserve"> model plus price momentum (i.e., the four-factor model) to conduct time-series regressions, which can be written as</w:t>
      </w:r>
    </w:p>
    <w:p w14:paraId="7CA92D01" w14:textId="281D4B39" w:rsidR="006B05BE" w:rsidRPr="00336293" w:rsidRDefault="00350966" w:rsidP="00C3335D">
      <w:pPr>
        <w:pStyle w:val="equ"/>
        <w:spacing w:beforeLines="50" w:before="180" w:afterLines="50" w:after="180"/>
        <w:ind w:leftChars="0" w:left="0"/>
        <w:rPr>
          <w:color w:val="auto"/>
          <w:sz w:val="24"/>
          <w:szCs w:val="24"/>
        </w:rPr>
      </w:pPr>
      <m:oMathPara>
        <m:oMathParaPr>
          <m:jc m:val="right"/>
        </m:oMathParaPr>
        <m:oMath>
          <m:sSub>
            <m:sSubPr>
              <m:ctrlPr>
                <w:rPr>
                  <w:rFonts w:ascii="Cambria Math" w:hAnsi="Cambria Math"/>
                  <w:i/>
                  <w:color w:val="auto"/>
                  <w:sz w:val="24"/>
                  <w:szCs w:val="24"/>
                </w:rPr>
              </m:ctrlPr>
            </m:sSubPr>
            <m:e>
              <m:r>
                <w:rPr>
                  <w:rFonts w:ascii="Cambria Math" w:hAnsi="Cambria Math"/>
                  <w:color w:val="auto"/>
                  <w:sz w:val="24"/>
                  <w:szCs w:val="24"/>
                </w:rPr>
                <m:t>R</m:t>
              </m:r>
            </m:e>
            <m:sub>
              <m:r>
                <w:rPr>
                  <w:rFonts w:ascii="Cambria Math" w:hAnsi="Cambria Math"/>
                  <w:color w:val="auto"/>
                  <w:sz w:val="24"/>
                  <w:szCs w:val="24"/>
                </w:rPr>
                <m:t>p, t</m:t>
              </m:r>
            </m:sub>
          </m:sSub>
          <m:r>
            <w:rPr>
              <w:rFonts w:ascii="Cambria Math" w:hAnsi="Cambria Math"/>
              <w:color w:val="auto"/>
              <w:sz w:val="24"/>
              <w:szCs w:val="24"/>
            </w:rPr>
            <m:t>-</m:t>
          </m:r>
          <m:sSub>
            <m:sSubPr>
              <m:ctrlPr>
                <w:rPr>
                  <w:rFonts w:ascii="Cambria Math" w:hAnsi="Cambria Math"/>
                  <w:i/>
                  <w:color w:val="auto"/>
                  <w:sz w:val="24"/>
                  <w:szCs w:val="24"/>
                </w:rPr>
              </m:ctrlPr>
            </m:sSubPr>
            <m:e>
              <m:r>
                <w:rPr>
                  <w:rFonts w:ascii="Cambria Math" w:hAnsi="Cambria Math"/>
                  <w:color w:val="auto"/>
                  <w:sz w:val="24"/>
                  <w:szCs w:val="24"/>
                </w:rPr>
                <m:t>R</m:t>
              </m:r>
            </m:e>
            <m:sub>
              <m:r>
                <w:rPr>
                  <w:rFonts w:ascii="Cambria Math" w:hAnsi="Cambria Math"/>
                  <w:color w:val="auto"/>
                  <w:sz w:val="24"/>
                  <w:szCs w:val="24"/>
                </w:rPr>
                <m:t>f, t</m:t>
              </m:r>
            </m:sub>
          </m:sSub>
          <m:r>
            <w:rPr>
              <w:rFonts w:ascii="Cambria Math" w:hAnsi="Cambria Math"/>
              <w:color w:val="auto"/>
              <w:sz w:val="24"/>
              <w:szCs w:val="24"/>
            </w:rPr>
            <m:t>=</m:t>
          </m:r>
          <m:sSub>
            <m:sSubPr>
              <m:ctrlPr>
                <w:rPr>
                  <w:rFonts w:ascii="Cambria Math" w:hAnsi="Cambria Math"/>
                  <w:i/>
                  <w:color w:val="auto"/>
                  <w:sz w:val="24"/>
                  <w:szCs w:val="24"/>
                </w:rPr>
              </m:ctrlPr>
            </m:sSubPr>
            <m:e>
              <m:r>
                <w:rPr>
                  <w:rFonts w:ascii="Cambria Math" w:hAnsi="Cambria Math"/>
                  <w:color w:val="auto"/>
                  <w:sz w:val="24"/>
                  <w:szCs w:val="24"/>
                </w:rPr>
                <m:t>α</m:t>
              </m:r>
            </m:e>
            <m:sub>
              <m:r>
                <w:rPr>
                  <w:rFonts w:ascii="Cambria Math" w:hAnsi="Cambria Math"/>
                  <w:color w:val="auto"/>
                  <w:sz w:val="24"/>
                  <w:szCs w:val="24"/>
                </w:rPr>
                <m:t>j, T</m:t>
              </m:r>
            </m:sub>
          </m:sSub>
          <m:r>
            <w:rPr>
              <w:rFonts w:ascii="Cambria Math" w:hAnsi="Cambria Math"/>
              <w:color w:val="auto"/>
              <w:sz w:val="24"/>
              <w:szCs w:val="24"/>
            </w:rPr>
            <m:t>+</m:t>
          </m:r>
          <m:sSub>
            <m:sSubPr>
              <m:ctrlPr>
                <w:rPr>
                  <w:rFonts w:ascii="Cambria Math" w:hAnsi="Cambria Math"/>
                  <w:i/>
                  <w:color w:val="auto"/>
                  <w:sz w:val="24"/>
                  <w:szCs w:val="24"/>
                </w:rPr>
              </m:ctrlPr>
            </m:sSubPr>
            <m:e>
              <m:r>
                <w:rPr>
                  <w:rFonts w:ascii="Cambria Math" w:hAnsi="Cambria Math"/>
                  <w:color w:val="auto"/>
                  <w:sz w:val="24"/>
                  <w:szCs w:val="24"/>
                </w:rPr>
                <m:t>β</m:t>
              </m:r>
            </m:e>
            <m:sub>
              <m:r>
                <w:rPr>
                  <w:rFonts w:ascii="Cambria Math" w:hAnsi="Cambria Math"/>
                  <w:color w:val="auto"/>
                  <w:sz w:val="24"/>
                  <w:szCs w:val="24"/>
                </w:rPr>
                <m:t>1</m:t>
              </m:r>
            </m:sub>
          </m:sSub>
          <m:sSub>
            <m:sSubPr>
              <m:ctrlPr>
                <w:rPr>
                  <w:rFonts w:ascii="Cambria Math" w:hAnsi="Cambria Math"/>
                  <w:i/>
                  <w:color w:val="auto"/>
                  <w:sz w:val="24"/>
                  <w:szCs w:val="24"/>
                </w:rPr>
              </m:ctrlPr>
            </m:sSubPr>
            <m:e>
              <m:r>
                <w:rPr>
                  <w:rFonts w:ascii="Cambria Math" w:hAnsi="Cambria Math"/>
                  <w:color w:val="auto"/>
                  <w:sz w:val="24"/>
                  <w:szCs w:val="24"/>
                </w:rPr>
                <m:t>RMRF</m:t>
              </m:r>
            </m:e>
            <m:sub>
              <m:r>
                <w:rPr>
                  <w:rFonts w:ascii="Cambria Math" w:hAnsi="Cambria Math"/>
                  <w:color w:val="auto"/>
                  <w:sz w:val="24"/>
                  <w:szCs w:val="24"/>
                </w:rPr>
                <m:t>t</m:t>
              </m:r>
            </m:sub>
          </m:sSub>
          <m:r>
            <w:rPr>
              <w:rFonts w:ascii="Cambria Math" w:hAnsi="Cambria Math"/>
              <w:color w:val="auto"/>
              <w:sz w:val="24"/>
              <w:szCs w:val="24"/>
            </w:rPr>
            <m:t>+</m:t>
          </m:r>
          <m:sSub>
            <m:sSubPr>
              <m:ctrlPr>
                <w:rPr>
                  <w:rFonts w:ascii="Cambria Math" w:hAnsi="Cambria Math"/>
                  <w:i/>
                  <w:color w:val="auto"/>
                  <w:sz w:val="24"/>
                  <w:szCs w:val="24"/>
                </w:rPr>
              </m:ctrlPr>
            </m:sSubPr>
            <m:e>
              <m:r>
                <w:rPr>
                  <w:rFonts w:ascii="Cambria Math" w:hAnsi="Cambria Math"/>
                  <w:color w:val="auto"/>
                  <w:sz w:val="24"/>
                  <w:szCs w:val="24"/>
                </w:rPr>
                <m:t>β</m:t>
              </m:r>
            </m:e>
            <m:sub>
              <m:r>
                <w:rPr>
                  <w:rFonts w:ascii="Cambria Math" w:hAnsi="Cambria Math"/>
                  <w:color w:val="auto"/>
                  <w:sz w:val="24"/>
                  <w:szCs w:val="24"/>
                </w:rPr>
                <m:t>2</m:t>
              </m:r>
            </m:sub>
          </m:sSub>
          <m:sSub>
            <m:sSubPr>
              <m:ctrlPr>
                <w:rPr>
                  <w:rFonts w:ascii="Cambria Math" w:hAnsi="Cambria Math"/>
                  <w:i/>
                  <w:color w:val="auto"/>
                  <w:sz w:val="24"/>
                  <w:szCs w:val="24"/>
                </w:rPr>
              </m:ctrlPr>
            </m:sSubPr>
            <m:e>
              <m:r>
                <w:rPr>
                  <w:rFonts w:ascii="Cambria Math" w:hAnsi="Cambria Math"/>
                  <w:color w:val="auto"/>
                  <w:sz w:val="24"/>
                  <w:szCs w:val="24"/>
                </w:rPr>
                <m:t>SMB</m:t>
              </m:r>
            </m:e>
            <m:sub>
              <m:r>
                <w:rPr>
                  <w:rFonts w:ascii="Cambria Math" w:hAnsi="Cambria Math"/>
                  <w:color w:val="auto"/>
                  <w:sz w:val="24"/>
                  <w:szCs w:val="24"/>
                </w:rPr>
                <m:t>t</m:t>
              </m:r>
            </m:sub>
          </m:sSub>
          <m:r>
            <w:rPr>
              <w:rFonts w:ascii="Cambria Math" w:hAnsi="Cambria Math"/>
              <w:color w:val="auto"/>
              <w:sz w:val="24"/>
              <w:szCs w:val="24"/>
            </w:rPr>
            <m:t>+</m:t>
          </m:r>
          <m:sSub>
            <m:sSubPr>
              <m:ctrlPr>
                <w:rPr>
                  <w:rFonts w:ascii="Cambria Math" w:hAnsi="Cambria Math"/>
                  <w:i/>
                  <w:color w:val="auto"/>
                  <w:sz w:val="24"/>
                  <w:szCs w:val="24"/>
                </w:rPr>
              </m:ctrlPr>
            </m:sSubPr>
            <m:e>
              <m:r>
                <w:rPr>
                  <w:rFonts w:ascii="Cambria Math" w:hAnsi="Cambria Math"/>
                  <w:color w:val="auto"/>
                  <w:sz w:val="24"/>
                  <w:szCs w:val="24"/>
                </w:rPr>
                <m:t>β</m:t>
              </m:r>
            </m:e>
            <m:sub>
              <m:r>
                <w:rPr>
                  <w:rFonts w:ascii="Cambria Math" w:hAnsi="Cambria Math"/>
                  <w:color w:val="auto"/>
                  <w:sz w:val="24"/>
                  <w:szCs w:val="24"/>
                </w:rPr>
                <m:t>3</m:t>
              </m:r>
            </m:sub>
          </m:sSub>
          <m:sSub>
            <m:sSubPr>
              <m:ctrlPr>
                <w:rPr>
                  <w:rFonts w:ascii="Cambria Math" w:hAnsi="Cambria Math"/>
                  <w:i/>
                  <w:color w:val="auto"/>
                  <w:sz w:val="24"/>
                  <w:szCs w:val="24"/>
                </w:rPr>
              </m:ctrlPr>
            </m:sSubPr>
            <m:e>
              <m:r>
                <w:rPr>
                  <w:rFonts w:ascii="Cambria Math" w:hAnsi="Cambria Math" w:hint="eastAsia"/>
                  <w:color w:val="auto"/>
                  <w:sz w:val="24"/>
                  <w:szCs w:val="24"/>
                </w:rPr>
                <m:t>HML</m:t>
              </m:r>
            </m:e>
            <m:sub>
              <m:r>
                <w:rPr>
                  <w:rFonts w:ascii="Cambria Math" w:hAnsi="Cambria Math"/>
                  <w:color w:val="auto"/>
                  <w:sz w:val="24"/>
                  <w:szCs w:val="24"/>
                </w:rPr>
                <m:t>t</m:t>
              </m:r>
            </m:sub>
          </m:sSub>
          <m:r>
            <w:rPr>
              <w:rFonts w:ascii="Cambria Math" w:hAnsi="Cambria Math"/>
              <w:color w:val="auto"/>
              <w:sz w:val="24"/>
              <w:szCs w:val="24"/>
            </w:rPr>
            <m:t>+</m:t>
          </m:r>
          <m:sSub>
            <m:sSubPr>
              <m:ctrlPr>
                <w:rPr>
                  <w:rFonts w:ascii="Cambria Math" w:hAnsi="Cambria Math"/>
                  <w:i/>
                  <w:color w:val="auto"/>
                  <w:sz w:val="24"/>
                  <w:szCs w:val="24"/>
                </w:rPr>
              </m:ctrlPr>
            </m:sSubPr>
            <m:e>
              <m:r>
                <w:rPr>
                  <w:rFonts w:ascii="Cambria Math" w:hAnsi="Cambria Math"/>
                  <w:color w:val="auto"/>
                  <w:sz w:val="24"/>
                  <w:szCs w:val="24"/>
                </w:rPr>
                <m:t>β</m:t>
              </m:r>
            </m:e>
            <m:sub>
              <m:r>
                <w:rPr>
                  <w:rFonts w:ascii="Cambria Math" w:hAnsi="Cambria Math" w:hint="eastAsia"/>
                  <w:color w:val="auto"/>
                  <w:sz w:val="24"/>
                  <w:szCs w:val="24"/>
                </w:rPr>
                <m:t>4</m:t>
              </m:r>
            </m:sub>
          </m:sSub>
          <m:sSub>
            <m:sSubPr>
              <m:ctrlPr>
                <w:rPr>
                  <w:rFonts w:ascii="Cambria Math" w:hAnsi="Cambria Math"/>
                  <w:i/>
                  <w:color w:val="auto"/>
                  <w:sz w:val="24"/>
                  <w:szCs w:val="24"/>
                </w:rPr>
              </m:ctrlPr>
            </m:sSubPr>
            <m:e>
              <m:r>
                <w:rPr>
                  <w:rFonts w:ascii="Cambria Math" w:hAnsi="Cambria Math" w:hint="eastAsia"/>
                  <w:color w:val="auto"/>
                  <w:sz w:val="24"/>
                  <w:szCs w:val="24"/>
                </w:rPr>
                <m:t>M</m:t>
              </m:r>
              <m:r>
                <w:rPr>
                  <w:rFonts w:ascii="Cambria Math" w:hAnsi="Cambria Math"/>
                  <w:color w:val="auto"/>
                  <w:sz w:val="24"/>
                  <w:szCs w:val="24"/>
                </w:rPr>
                <m:t>omentum</m:t>
              </m:r>
            </m:e>
            <m:sub>
              <m:r>
                <w:rPr>
                  <w:rFonts w:ascii="Cambria Math" w:hAnsi="Cambria Math"/>
                  <w:color w:val="auto"/>
                  <w:sz w:val="24"/>
                  <w:szCs w:val="24"/>
                </w:rPr>
                <m:t>t</m:t>
              </m:r>
            </m:sub>
          </m:sSub>
          <m:r>
            <w:rPr>
              <w:rFonts w:ascii="Cambria Math" w:hAnsi="Cambria Math"/>
              <w:color w:val="auto"/>
              <w:sz w:val="24"/>
              <w:szCs w:val="24"/>
            </w:rPr>
            <m:t>+</m:t>
          </m:r>
          <m:sSub>
            <m:sSubPr>
              <m:ctrlPr>
                <w:rPr>
                  <w:rFonts w:ascii="Cambria Math" w:hAnsi="Cambria Math"/>
                  <w:i/>
                  <w:color w:val="auto"/>
                  <w:sz w:val="24"/>
                  <w:szCs w:val="24"/>
                </w:rPr>
              </m:ctrlPr>
            </m:sSubPr>
            <m:e>
              <m:r>
                <w:rPr>
                  <w:rFonts w:ascii="Cambria Math" w:hAnsi="Cambria Math"/>
                  <w:color w:val="auto"/>
                  <w:sz w:val="24"/>
                  <w:szCs w:val="24"/>
                </w:rPr>
                <m:t>ε</m:t>
              </m:r>
            </m:e>
            <m:sub>
              <m:r>
                <w:rPr>
                  <w:rFonts w:ascii="Cambria Math" w:hAnsi="Cambria Math"/>
                  <w:color w:val="auto"/>
                  <w:sz w:val="24"/>
                  <w:szCs w:val="24"/>
                </w:rPr>
                <m:t>t</m:t>
              </m:r>
            </m:sub>
          </m:sSub>
          <m:r>
            <m:rPr>
              <m:sty m:val="p"/>
            </m:rPr>
            <w:rPr>
              <w:rFonts w:ascii="Cambria Math" w:hAnsi="Cambria Math"/>
              <w:color w:val="auto"/>
              <w:sz w:val="24"/>
              <w:szCs w:val="24"/>
            </w:rPr>
            <m:t>,    (2)</m:t>
          </m:r>
        </m:oMath>
      </m:oMathPara>
    </w:p>
    <w:p w14:paraId="099E7C88" w14:textId="108F1EA1" w:rsidR="00F935AF" w:rsidRPr="00353396" w:rsidRDefault="00D830DE" w:rsidP="00324F2F">
      <w:pPr>
        <w:spacing w:line="240" w:lineRule="auto"/>
        <w:ind w:right="0"/>
      </w:pPr>
      <w:r w:rsidRPr="00353396">
        <w:t xml:space="preserve">where </w:t>
      </w:r>
      <w:r w:rsidRPr="00353396">
        <w:rPr>
          <w:i/>
          <w:iCs/>
        </w:rPr>
        <w:t>R</w:t>
      </w:r>
      <w:proofErr w:type="spellStart"/>
      <w:r w:rsidRPr="00353396">
        <w:rPr>
          <w:i/>
          <w:iCs/>
          <w:position w:val="-8"/>
        </w:rPr>
        <w:t>p,t</w:t>
      </w:r>
      <w:proofErr w:type="spellEnd"/>
      <w:r w:rsidRPr="00353396">
        <w:t xml:space="preserve"> is return on the (equally weighted) portfolio, </w:t>
      </w:r>
      <w:r w:rsidRPr="00353396">
        <w:rPr>
          <w:i/>
          <w:iCs/>
        </w:rPr>
        <w:t>R</w:t>
      </w:r>
      <w:proofErr w:type="spellStart"/>
      <w:r w:rsidRPr="00353396">
        <w:rPr>
          <w:i/>
          <w:iCs/>
          <w:position w:val="-8"/>
        </w:rPr>
        <w:t>f,t</w:t>
      </w:r>
      <w:proofErr w:type="spellEnd"/>
      <w:r w:rsidRPr="00353396">
        <w:t xml:space="preserve"> is risk-free rate, </w:t>
      </w:r>
      <w:r w:rsidRPr="00353396">
        <w:rPr>
          <w:i/>
          <w:iCs/>
        </w:rPr>
        <w:t>RMRF</w:t>
      </w:r>
      <w:r w:rsidRPr="00353396">
        <w:rPr>
          <w:i/>
          <w:iCs/>
          <w:position w:val="-8"/>
        </w:rPr>
        <w:t>t</w:t>
      </w:r>
      <w:r w:rsidRPr="00353396">
        <w:t xml:space="preserve"> is market return minus risk-free rate, </w:t>
      </w:r>
      <w:r w:rsidRPr="00353396">
        <w:rPr>
          <w:i/>
        </w:rPr>
        <w:t>SMB</w:t>
      </w:r>
      <w:r w:rsidRPr="00353396">
        <w:rPr>
          <w:i/>
          <w:iCs/>
          <w:position w:val="-8"/>
        </w:rPr>
        <w:t>t</w:t>
      </w:r>
      <w:r w:rsidRPr="00353396">
        <w:t xml:space="preserve"> is return on a portfolio of small firms minus return on a portfolio of large firms, </w:t>
      </w:r>
      <w:r w:rsidRPr="00353396">
        <w:rPr>
          <w:i/>
        </w:rPr>
        <w:t>HML</w:t>
      </w:r>
      <w:r w:rsidRPr="00353396">
        <w:rPr>
          <w:i/>
          <w:iCs/>
          <w:position w:val="-8"/>
        </w:rPr>
        <w:t>t</w:t>
      </w:r>
      <w:r w:rsidRPr="00353396">
        <w:t xml:space="preserve"> is return on a portfolio of high book-to-market (BM) firms minus return on a portfolio of low BM firms, </w:t>
      </w:r>
      <w:r w:rsidRPr="00353396">
        <w:rPr>
          <w:i/>
        </w:rPr>
        <w:t>Momentum</w:t>
      </w:r>
      <w:r w:rsidRPr="00353396">
        <w:t xml:space="preserve"> is return on a portfolio of good performers minus return on a portfolio of poor performers, and </w:t>
      </w:r>
      <w:r w:rsidRPr="00353396">
        <w:lastRenderedPageBreak/>
        <w:t xml:space="preserve">subscript </w:t>
      </w:r>
      <w:r w:rsidRPr="00353396">
        <w:rPr>
          <w:i/>
        </w:rPr>
        <w:t>t</w:t>
      </w:r>
      <w:r w:rsidRPr="00353396">
        <w:t xml:space="preserve"> indicates month </w:t>
      </w:r>
      <w:r w:rsidRPr="00353396">
        <w:rPr>
          <w:i/>
        </w:rPr>
        <w:t>t</w:t>
      </w:r>
      <w:r w:rsidRPr="00353396">
        <w:t xml:space="preserve">. Empirically, </w:t>
      </w:r>
      <w:r w:rsidR="003607FD">
        <w:t>we</w:t>
      </w:r>
      <w:r w:rsidRPr="00353396">
        <w:t xml:space="preserve"> only report the intercept of eq. (</w:t>
      </w:r>
      <w:r w:rsidR="009D6EEA" w:rsidRPr="00353396">
        <w:t>2</w:t>
      </w:r>
      <w:r w:rsidRPr="00353396">
        <w:t>), which is a measure of monthly abnormal performance.</w:t>
      </w:r>
    </w:p>
    <w:p w14:paraId="725A0D71" w14:textId="411B913F" w:rsidR="00D00CC9" w:rsidRPr="002E3264" w:rsidRDefault="000C12DE" w:rsidP="00BC3E3E">
      <w:pPr>
        <w:pStyle w:val="2"/>
      </w:pPr>
      <w:r w:rsidRPr="002E3264">
        <w:t>Empirical models</w:t>
      </w:r>
    </w:p>
    <w:p w14:paraId="2CDDBF20" w14:textId="31B48214" w:rsidR="009008F0" w:rsidRDefault="009008F0" w:rsidP="00324F2F">
      <w:pPr>
        <w:pStyle w:val="text"/>
      </w:pPr>
      <w:r>
        <w:t xml:space="preserve">This study aims to test three research hypotheses, for which we design two empirical models. First, to examine the impact of analyst recommendations on the choice of payment methods in M&amp;A transactions, we employ a logistic regression framework. The dependent variables in this model are two dummy variables representing the payment methods: </w:t>
      </w:r>
      <w:proofErr w:type="spellStart"/>
      <w:r w:rsidRPr="00353396">
        <w:t>D</w:t>
      </w:r>
      <w:r w:rsidRPr="00353396">
        <w:rPr>
          <w:vertAlign w:val="superscript"/>
        </w:rPr>
        <w:t>cash</w:t>
      </w:r>
      <w:proofErr w:type="spellEnd"/>
      <w:r w:rsidRPr="00353396">
        <w:t xml:space="preserve"> and </w:t>
      </w:r>
      <w:proofErr w:type="spellStart"/>
      <w:r w:rsidRPr="00353396">
        <w:t>D</w:t>
      </w:r>
      <w:r w:rsidRPr="00353396">
        <w:rPr>
          <w:vertAlign w:val="superscript"/>
        </w:rPr>
        <w:t>stock</w:t>
      </w:r>
      <w:proofErr w:type="spellEnd"/>
      <w:r>
        <w:t>.</w:t>
      </w:r>
      <w:r>
        <w:rPr>
          <w:rFonts w:hint="eastAsia"/>
        </w:rPr>
        <w:t xml:space="preserve"> </w:t>
      </w:r>
      <w:proofErr w:type="spellStart"/>
      <w:r w:rsidRPr="00353396">
        <w:t>D</w:t>
      </w:r>
      <w:r w:rsidRPr="00353396">
        <w:rPr>
          <w:vertAlign w:val="superscript"/>
        </w:rPr>
        <w:t>cash</w:t>
      </w:r>
      <w:proofErr w:type="spellEnd"/>
      <w:r>
        <w:t xml:space="preserve"> is a binary variable that takes the value of 1 if the acquirer uses 100% cash as the payment method in the M&amp;A transaction and 0 otherwise. Conversely, </w:t>
      </w:r>
      <w:proofErr w:type="spellStart"/>
      <w:r w:rsidRPr="00353396">
        <w:t>D</w:t>
      </w:r>
      <w:r w:rsidRPr="00353396">
        <w:rPr>
          <w:vertAlign w:val="superscript"/>
        </w:rPr>
        <w:t>stock</w:t>
      </w:r>
      <w:proofErr w:type="spellEnd"/>
      <w:r>
        <w:t xml:space="preserve"> is a binary variable that takes the value of 1 if the acquirer uses 100% stock as the payment method and 0 otherwise.</w:t>
      </w:r>
    </w:p>
    <w:p w14:paraId="3EA8713F" w14:textId="7E7D01E9" w:rsidR="009008F0" w:rsidRDefault="009008F0" w:rsidP="00324F2F">
      <w:pPr>
        <w:pStyle w:val="text"/>
      </w:pPr>
      <w:r>
        <w:t>The logistic regression model allows us to estimate the probability of an acquirer choosing a particular payment method (cash or stock) as a function of various explanatory variables, including analyst recommendations and other relevant control variables. The model specification is as follows:</w:t>
      </w:r>
    </w:p>
    <w:bookmarkStart w:id="2" w:name="_Hlk91506757"/>
    <w:p w14:paraId="5D1819B7" w14:textId="35AED82E" w:rsidR="009C3F31" w:rsidRPr="00353396" w:rsidRDefault="00350966" w:rsidP="00C3335D">
      <w:pPr>
        <w:spacing w:beforeLines="50" w:before="180" w:afterLines="50" w:after="180" w:line="240" w:lineRule="auto"/>
        <w:ind w:right="0"/>
      </w:pPr>
      <m:oMathPara>
        <m:oMath>
          <m:sSubSup>
            <m:sSubSupPr>
              <m:ctrlPr>
                <w:rPr>
                  <w:rFonts w:ascii="Cambria Math" w:hAnsi="Cambria Math"/>
                </w:rPr>
              </m:ctrlPr>
            </m:sSubSupPr>
            <m:e>
              <m:r>
                <w:rPr>
                  <w:rFonts w:ascii="Cambria Math" w:hAnsi="Cambria Math"/>
                </w:rPr>
                <m:t>D</m:t>
              </m:r>
            </m:e>
            <m:sub>
              <m:r>
                <w:rPr>
                  <w:rFonts w:ascii="Cambria Math" w:hAnsi="Cambria Math"/>
                </w:rPr>
                <m:t>i</m:t>
              </m:r>
              <m:r>
                <m:rPr>
                  <m:sty m:val="p"/>
                </m:rPr>
                <w:rPr>
                  <w:rFonts w:ascii="Cambria Math" w:hAnsi="Cambria Math"/>
                </w:rPr>
                <m:t xml:space="preserve">, </m:t>
              </m:r>
              <m:r>
                <w:rPr>
                  <w:rFonts w:ascii="Cambria Math" w:hAnsi="Cambria Math"/>
                </w:rPr>
                <m:t>t</m:t>
              </m:r>
            </m:sub>
            <m:sup>
              <m:r>
                <w:rPr>
                  <w:rFonts w:ascii="Cambria Math" w:hAnsi="Cambria Math"/>
                </w:rPr>
                <m:t>cash</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 xml:space="preserve"> </m:t>
              </m:r>
              <m:r>
                <w:rPr>
                  <w:rFonts w:ascii="Cambria Math" w:hAnsi="Cambria Math"/>
                </w:rPr>
                <m:t>D</m:t>
              </m:r>
            </m:e>
            <m:sub>
              <m:r>
                <w:rPr>
                  <w:rFonts w:ascii="Cambria Math" w:hAnsi="Cambria Math"/>
                </w:rPr>
                <m:t>i</m:t>
              </m:r>
              <m:r>
                <m:rPr>
                  <m:sty m:val="p"/>
                </m:rPr>
                <w:rPr>
                  <w:rFonts w:ascii="Cambria Math" w:hAnsi="Cambria Math"/>
                </w:rPr>
                <m:t>,</m:t>
              </m:r>
              <m:r>
                <w:rPr>
                  <w:rFonts w:ascii="Cambria Math" w:hAnsi="Cambria Math"/>
                </w:rPr>
                <m:t>t</m:t>
              </m:r>
            </m:sub>
            <m:sup>
              <m:r>
                <w:rPr>
                  <w:rFonts w:ascii="Cambria Math" w:hAnsi="Cambria Math"/>
                </w:rPr>
                <m:t>stock</m:t>
              </m:r>
            </m:sup>
          </m:sSubSup>
          <m:r>
            <m:rPr>
              <m:sty m:val="p"/>
            </m:rPr>
            <w:rPr>
              <w:rFonts w:ascii="Cambria Math" w:hAnsi="Cambria Math"/>
            </w:rPr>
            <m:t>=</m:t>
          </m:r>
          <w:bookmarkStart w:id="3" w:name="_Hlk147775287"/>
          <m:sSub>
            <m:sSubPr>
              <m:ctrlPr>
                <w:rPr>
                  <w:rFonts w:ascii="Cambria Math" w:hAnsi="Cambria Math"/>
                </w:rPr>
              </m:ctrlPr>
            </m:sSubPr>
            <m:e>
              <m:r>
                <w:rPr>
                  <w:rFonts w:ascii="Cambria Math" w:hAnsi="Cambria Math"/>
                </w:rPr>
                <m:t>α</m:t>
              </m:r>
            </m:e>
            <m:sub>
              <m:r>
                <m:rPr>
                  <m:sty m:val="p"/>
                </m:rPr>
                <w:rPr>
                  <w:rFonts w:ascii="Cambria Math" w:hAnsi="Cambria Math"/>
                </w:rPr>
                <m:t>0</m:t>
              </m:r>
            </m:sub>
          </m:sSub>
          <w:bookmarkStart w:id="4" w:name="_Hlk147773983"/>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1</m:t>
              </m:r>
            </m:sub>
          </m:sSub>
          <m:sSub>
            <m:sSubPr>
              <m:ctrlPr>
                <w:rPr>
                  <w:rFonts w:ascii="Cambria Math" w:hAnsi="Cambria Math"/>
                </w:rPr>
              </m:ctrlPr>
            </m:sSubPr>
            <m:e>
              <m:r>
                <w:rPr>
                  <w:rFonts w:ascii="Cambria Math" w:hAnsi="Cambria Math"/>
                </w:rPr>
                <m:t>Strong buy</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Sub>
          <w:bookmarkEnd w:id="4"/>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2</m:t>
              </m:r>
            </m:sub>
          </m:sSub>
          <m:sSub>
            <m:sSubPr>
              <m:ctrlPr>
                <w:rPr>
                  <w:rFonts w:ascii="Cambria Math" w:hAnsi="Cambria Math"/>
                </w:rPr>
              </m:ctrlPr>
            </m:sSubPr>
            <m:e>
              <m:r>
                <w:rPr>
                  <w:rFonts w:ascii="Cambria Math" w:hAnsi="Cambria Math"/>
                </w:rPr>
                <m:t>Buy</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3</m:t>
              </m:r>
            </m:sub>
          </m:sSub>
          <m:sSub>
            <m:sSubPr>
              <m:ctrlPr>
                <w:rPr>
                  <w:rFonts w:ascii="Cambria Math" w:hAnsi="Cambria Math"/>
                </w:rPr>
              </m:ctrlPr>
            </m:sSubPr>
            <m:e>
              <m:r>
                <w:rPr>
                  <w:rFonts w:ascii="Cambria Math" w:hAnsi="Cambria Math"/>
                </w:rPr>
                <m:t>Hold</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4</m:t>
              </m:r>
            </m:sub>
          </m:sSub>
          <m:sSub>
            <m:sSubPr>
              <m:ctrlPr>
                <w:rPr>
                  <w:rFonts w:ascii="Cambria Math" w:hAnsi="Cambria Math"/>
                </w:rPr>
              </m:ctrlPr>
            </m:sSubPr>
            <m:e>
              <m:r>
                <w:rPr>
                  <w:rFonts w:ascii="Cambria Math" w:hAnsi="Cambria Math"/>
                </w:rPr>
                <m:t>Sell</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5</m:t>
              </m:r>
            </m:sub>
          </m:sSub>
          <m:sSub>
            <m:sSubPr>
              <m:ctrlPr>
                <w:rPr>
                  <w:rFonts w:ascii="Cambria Math" w:hAnsi="Cambria Math"/>
                </w:rPr>
              </m:ctrlPr>
            </m:sSubPr>
            <m:e>
              <m:r>
                <w:rPr>
                  <w:rFonts w:ascii="Cambria Math" w:hAnsi="Cambria Math"/>
                </w:rPr>
                <m:t>Strong sell</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6</m:t>
              </m:r>
            </m:sub>
          </m:sSub>
          <m:sSub>
            <m:sSubPr>
              <m:ctrlPr>
                <w:rPr>
                  <w:rFonts w:ascii="Cambria Math" w:hAnsi="Cambria Math"/>
                </w:rPr>
              </m:ctrlPr>
            </m:sSubPr>
            <m:e>
              <m:r>
                <w:rPr>
                  <w:rFonts w:ascii="Cambria Math" w:hAnsi="Cambria Math"/>
                </w:rPr>
                <m:t>Size</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7</m:t>
              </m:r>
            </m:sub>
          </m:sSub>
          <m:sSub>
            <m:sSubPr>
              <m:ctrlPr>
                <w:rPr>
                  <w:rFonts w:ascii="Cambria Math" w:hAnsi="Cambria Math"/>
                </w:rPr>
              </m:ctrlPr>
            </m:sSubPr>
            <m:e>
              <m:r>
                <w:rPr>
                  <w:rFonts w:ascii="Cambria Math" w:hAnsi="Cambria Math"/>
                </w:rPr>
                <m:t>BM</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8</m:t>
              </m:r>
            </m:sub>
          </m:sSub>
          <m:sSub>
            <m:sSubPr>
              <m:ctrlPr>
                <w:rPr>
                  <w:rFonts w:ascii="Cambria Math" w:hAnsi="Cambria Math"/>
                </w:rPr>
              </m:ctrlPr>
            </m:sSubPr>
            <m:e>
              <m:r>
                <w:rPr>
                  <w:rFonts w:ascii="Cambria Math" w:hAnsi="Cambria Math"/>
                </w:rPr>
                <m:t>ROA</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β</m:t>
              </m:r>
            </m:e>
            <m:sub>
              <m:r>
                <m:rPr>
                  <m:sty m:val="p"/>
                </m:rPr>
                <w:rPr>
                  <w:rFonts w:ascii="Cambria Math" w:hAnsi="Cambria Math"/>
                </w:rPr>
                <m:t>9</m:t>
              </m:r>
            </m:sub>
          </m:sSub>
          <m:sSub>
            <m:sSubPr>
              <m:ctrlPr>
                <w:rPr>
                  <w:rFonts w:ascii="Cambria Math" w:hAnsi="Cambria Math"/>
                </w:rPr>
              </m:ctrlPr>
            </m:sSubPr>
            <m:e>
              <m:r>
                <w:rPr>
                  <w:rFonts w:ascii="Cambria Math" w:hAnsi="Cambria Math"/>
                </w:rPr>
                <m:t>DPR</m:t>
              </m:r>
            </m:e>
            <m:sub>
              <m:r>
                <m:rPr>
                  <m:sty m:val="p"/>
                </m:rPr>
                <w:rPr>
                  <w:rFonts w:ascii="Cambria Math" w:hAnsi="Cambria Math"/>
                  <w:lang w:eastAsia="zh-HK"/>
                </w:rPr>
                <m:t>,</m:t>
              </m:r>
              <m:r>
                <w:rPr>
                  <w:rFonts w:ascii="Cambria Math" w:hAnsi="Cambria Math"/>
                  <w:lang w:eastAsia="zh-HK"/>
                </w:rPr>
                <m:t>i</m:t>
              </m:r>
              <m:r>
                <m:rPr>
                  <m:sty m:val="p"/>
                </m:rPr>
                <w:rPr>
                  <w:rFonts w:ascii="Cambria Math" w:hAnsi="Cambria Math"/>
                  <w:lang w:eastAsia="zh-HK"/>
                </w:rPr>
                <m:t>,</m:t>
              </m:r>
              <m:r>
                <w:rPr>
                  <w:rFonts w:ascii="Cambria Math" w:hAnsi="Cambria Math"/>
                  <w:lang w:eastAsia="zh-HK"/>
                </w:rPr>
                <m:t>t</m:t>
              </m:r>
              <m:r>
                <m:rPr>
                  <m:sty m:val="p"/>
                </m:rPr>
                <w:rPr>
                  <w:rFonts w:ascii="Cambria Math" w:eastAsia="MS Mincho" w:hAnsi="Cambria Math"/>
                  <w:lang w:eastAsia="zh-HK"/>
                </w:rPr>
                <m: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10</m:t>
              </m:r>
            </m:sub>
          </m:sSub>
          <m:sSub>
            <m:sSubPr>
              <m:ctrlPr>
                <w:rPr>
                  <w:rFonts w:ascii="Cambria Math" w:hAnsi="Cambria Math"/>
                </w:rPr>
              </m:ctrlPr>
            </m:sSubPr>
            <m:e>
              <m:r>
                <w:rPr>
                  <w:rFonts w:ascii="Cambria Math" w:hAnsi="Cambria Math"/>
                </w:rPr>
                <m:t>Liquid</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11</m:t>
              </m:r>
            </m:sub>
          </m:sSub>
          <m:sSub>
            <m:sSubPr>
              <m:ctrlPr>
                <w:rPr>
                  <w:rFonts w:ascii="Cambria Math" w:hAnsi="Cambria Math"/>
                </w:rPr>
              </m:ctrlPr>
            </m:sSubPr>
            <m:e>
              <m:r>
                <w:rPr>
                  <w:rFonts w:ascii="Cambria Math" w:hAnsi="Cambria Math"/>
                </w:rPr>
                <m:t>DR</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12</m:t>
              </m:r>
            </m:sub>
          </m:sSub>
          <m:sSub>
            <m:sSubPr>
              <m:ctrlPr>
                <w:rPr>
                  <w:rFonts w:ascii="Cambria Math" w:hAnsi="Cambria Math"/>
                </w:rPr>
              </m:ctrlPr>
            </m:sSubPr>
            <m:e>
              <m:r>
                <w:rPr>
                  <w:rFonts w:ascii="Cambria Math" w:hAnsi="Cambria Math"/>
                </w:rPr>
                <m:t>Runup</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Sub>
          <m:r>
            <m:rPr>
              <m:sty m:val="p"/>
            </m:rPr>
            <w:rPr>
              <w:rFonts w:ascii="Cambria Math" w:hAnsi="Cambria Math"/>
            </w:rPr>
            <m:t xml:space="preserve">    +</m:t>
          </m:r>
          <m:nary>
            <m:naryPr>
              <m:chr m:val="∑"/>
              <m:limLoc m:val="undOvr"/>
              <m:supHide m:val="1"/>
              <m:ctrlPr>
                <w:rPr>
                  <w:rFonts w:ascii="Cambria Math" w:hAnsi="Cambria Math"/>
                </w:rPr>
              </m:ctrlPr>
            </m:naryPr>
            <m:sub>
              <m:r>
                <w:rPr>
                  <w:rFonts w:ascii="Cambria Math" w:hAnsi="Cambria Math"/>
                </w:rPr>
                <m:t>j</m:t>
              </m:r>
            </m:sub>
            <m:sup/>
            <m:e>
              <m:sSub>
                <m:sSubPr>
                  <m:ctrlPr>
                    <w:rPr>
                      <w:rFonts w:ascii="Cambria Math" w:hAnsi="Cambria Math"/>
                    </w:rPr>
                  </m:ctrlPr>
                </m:sSubPr>
                <m:e>
                  <m:r>
                    <w:rPr>
                      <w:rFonts w:ascii="Cambria Math" w:hAnsi="Cambria Math"/>
                    </w:rPr>
                    <m:t>β</m:t>
                  </m:r>
                </m:e>
                <m:sub>
                  <m:r>
                    <w:rPr>
                      <w:rFonts w:ascii="Cambria Math" w:hAnsi="Cambria Math"/>
                    </w:rPr>
                    <m:t>j</m:t>
                  </m:r>
                </m:sub>
              </m:sSub>
              <m:r>
                <w:rPr>
                  <w:rFonts w:ascii="Cambria Math" w:hAnsi="Cambria Math"/>
                </w:rPr>
                <m:t>Year</m:t>
              </m:r>
              <m:r>
                <m:rPr>
                  <m:sty m:val="p"/>
                </m:rPr>
                <w:rPr>
                  <w:rFonts w:ascii="Cambria Math" w:hAnsi="Cambria Math"/>
                </w:rPr>
                <m:t xml:space="preserve"> </m:t>
              </m:r>
              <m:r>
                <w:rPr>
                  <w:rFonts w:ascii="Cambria Math" w:hAnsi="Cambria Math"/>
                </w:rPr>
                <m:t>Dummies</m:t>
              </m:r>
              <m:r>
                <m:rPr>
                  <m:sty m:val="p"/>
                </m:rPr>
                <w:rPr>
                  <w:rFonts w:ascii="Cambria Math" w:hAnsi="Cambria Math"/>
                </w:rPr>
                <m:t xml:space="preserve"> </m:t>
              </m:r>
            </m:e>
          </m:nary>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k</m:t>
              </m:r>
            </m:sub>
            <m:sup/>
            <m:e>
              <m:sSub>
                <m:sSubPr>
                  <m:ctrlPr>
                    <w:rPr>
                      <w:rFonts w:ascii="Cambria Math" w:hAnsi="Cambria Math"/>
                    </w:rPr>
                  </m:ctrlPr>
                </m:sSubPr>
                <m:e>
                  <m:r>
                    <w:rPr>
                      <w:rFonts w:ascii="Cambria Math" w:hAnsi="Cambria Math"/>
                    </w:rPr>
                    <m:t>β</m:t>
                  </m:r>
                </m:e>
                <m:sub>
                  <m:r>
                    <w:rPr>
                      <w:rFonts w:ascii="Cambria Math" w:hAnsi="Cambria Math"/>
                    </w:rPr>
                    <m:t>k</m:t>
                  </m:r>
                </m:sub>
              </m:sSub>
              <m:r>
                <w:rPr>
                  <w:rFonts w:ascii="Cambria Math" w:hAnsi="Cambria Math"/>
                </w:rPr>
                <m:t>Industry</m:t>
              </m:r>
              <m:r>
                <m:rPr>
                  <m:sty m:val="p"/>
                </m:rPr>
                <w:rPr>
                  <w:rFonts w:ascii="Cambria Math" w:hAnsi="Cambria Math"/>
                </w:rPr>
                <m:t xml:space="preserve"> </m:t>
              </m:r>
              <m:r>
                <w:rPr>
                  <w:rFonts w:ascii="Cambria Math" w:hAnsi="Cambria Math"/>
                </w:rPr>
                <m:t>Dummies</m:t>
              </m:r>
            </m:e>
          </m:nary>
          <w:bookmarkEnd w:id="3"/>
          <m:r>
            <m:rPr>
              <m:sty m:val="p"/>
            </m:rPr>
            <w:rPr>
              <w:rFonts w:ascii="Cambria Math" w:hAnsi="Cambria Math"/>
            </w:rPr>
            <m:t xml:space="preserve">,                    </m:t>
          </m:r>
          <m:d>
            <m:dPr>
              <m:ctrlPr>
                <w:rPr>
                  <w:rFonts w:ascii="Cambria Math" w:hAnsi="Cambria Math"/>
                </w:rPr>
              </m:ctrlPr>
            </m:dPr>
            <m:e>
              <m:r>
                <m:rPr>
                  <m:sty m:val="p"/>
                </m:rPr>
                <w:rPr>
                  <w:rFonts w:ascii="Cambria Math" w:hAnsi="Cambria Math"/>
                </w:rPr>
                <m:t>3</m:t>
              </m:r>
            </m:e>
          </m:d>
        </m:oMath>
      </m:oMathPara>
    </w:p>
    <w:p w14:paraId="0FA1C8D8" w14:textId="06FA3218" w:rsidR="008D4531" w:rsidRDefault="008D4531" w:rsidP="00324F2F">
      <w:pPr>
        <w:spacing w:line="240" w:lineRule="auto"/>
        <w:ind w:right="0"/>
      </w:pPr>
      <w:bookmarkStart w:id="5" w:name="_Hlk147774576"/>
      <w:bookmarkEnd w:id="2"/>
      <w:r>
        <w:t xml:space="preserve">the key independent variables are the number of analysts' recommendations categorized as strong buy, buy, hold, sell, and strong sell. Additionally, we include several control variables that may influence the choice of payment method in M&amp;A transactions, such as </w:t>
      </w:r>
      <w:r w:rsidR="00707136">
        <w:t>firm</w:t>
      </w:r>
      <w:r>
        <w:t xml:space="preserve"> size (Size), book-to-market ratio (BM), return on assets (ROA), dividend payout ratio (DPR), liquidity ratio (Liquid), debt ratio (DR), and three-month abnormal return before the announcement date (Runup). Furthermore, we incorporate annual and industry dummy variables to account for potential time and sector-specific effects.</w:t>
      </w:r>
    </w:p>
    <w:p w14:paraId="1A34658B" w14:textId="77777777" w:rsidR="008D4531" w:rsidRDefault="008D4531" w:rsidP="00324F2F">
      <w:pPr>
        <w:pStyle w:val="text"/>
      </w:pPr>
      <w:r>
        <w:t>Secondly, to assess the information quality of analyst recommendations concerning different types of M&amp;A transactions, we examine their explanatory power in predicting the acquirer's long-term performance. The dependent variable is the three-year buy-and-hold abnormal return (BHAR), and the key independent variables are the number of analysts' recommendations categorized as strong buy, buy, hold, sell, and strong sell.</w:t>
      </w:r>
    </w:p>
    <w:p w14:paraId="11B6253D" w14:textId="5C947776" w:rsidR="008D4531" w:rsidRDefault="008D4531" w:rsidP="00324F2F">
      <w:pPr>
        <w:pStyle w:val="text"/>
      </w:pPr>
      <w:r>
        <w:t xml:space="preserve">In addition, we control for various factors that could influence the acquirer's long-term performance following the M&amp;A, including </w:t>
      </w:r>
      <w:r w:rsidR="00707136">
        <w:t>firm</w:t>
      </w:r>
      <w:r>
        <w:t xml:space="preserve"> size (Size), book-to-market ratio (BM), return on assets (ROA), dividend payout ratio (DPR), liquidity ratio (Liquid), </w:t>
      </w:r>
      <w:r>
        <w:lastRenderedPageBreak/>
        <w:t>debt ratio (DR), three-month abnormal return before the announcement date (Runup), and a dummy variable indicating whether the transaction is a horizontal M&amp;A (Horizon).</w:t>
      </w:r>
    </w:p>
    <w:p w14:paraId="2CA00365" w14:textId="4FF0C0AF" w:rsidR="008D4531" w:rsidRDefault="008D4531" w:rsidP="00324F2F">
      <w:pPr>
        <w:pStyle w:val="text"/>
      </w:pPr>
      <w:r>
        <w:t xml:space="preserve">Moreover, we incorporate the payment method variables, </w:t>
      </w:r>
      <w:proofErr w:type="spellStart"/>
      <w:r w:rsidRPr="00353396">
        <w:t>D</w:t>
      </w:r>
      <w:r w:rsidRPr="00353396">
        <w:rPr>
          <w:vertAlign w:val="superscript"/>
        </w:rPr>
        <w:t>cash</w:t>
      </w:r>
      <w:proofErr w:type="spellEnd"/>
      <w:r w:rsidRPr="00353396">
        <w:t xml:space="preserve"> and </w:t>
      </w:r>
      <w:proofErr w:type="spellStart"/>
      <w:r w:rsidRPr="00353396">
        <w:t>D</w:t>
      </w:r>
      <w:r w:rsidRPr="00353396">
        <w:rPr>
          <w:vertAlign w:val="superscript"/>
        </w:rPr>
        <w:t>stock</w:t>
      </w:r>
      <w:proofErr w:type="spellEnd"/>
      <w:r>
        <w:t xml:space="preserve">, to account for the potential impact of the chosen payment method on long-term performance. </w:t>
      </w:r>
      <w:proofErr w:type="spellStart"/>
      <w:r w:rsidRPr="00353396">
        <w:t>D</w:t>
      </w:r>
      <w:r w:rsidRPr="00353396">
        <w:rPr>
          <w:vertAlign w:val="superscript"/>
        </w:rPr>
        <w:t>cash</w:t>
      </w:r>
      <w:proofErr w:type="spellEnd"/>
      <w:r>
        <w:t xml:space="preserve"> is a binary variable that takes the value of 1 if the acquirer uses 100% cash as the payment method and 0 otherwise, while </w:t>
      </w:r>
      <w:proofErr w:type="spellStart"/>
      <w:r w:rsidRPr="00353396">
        <w:t>D</w:t>
      </w:r>
      <w:r w:rsidRPr="00353396">
        <w:rPr>
          <w:vertAlign w:val="superscript"/>
        </w:rPr>
        <w:t>stock</w:t>
      </w:r>
      <w:proofErr w:type="spellEnd"/>
      <w:r>
        <w:t xml:space="preserve"> is a binary variable that takes the value of 1 if the acquirer uses 100% stock as the payment method and 0 otherwise. Finally, we include annual and industry dummy variables to control for potential time and sector-specific effects.</w:t>
      </w:r>
    </w:p>
    <w:p w14:paraId="2A67A21B" w14:textId="333CA1E4" w:rsidR="003C575D" w:rsidRPr="00353396" w:rsidRDefault="008D4531" w:rsidP="00324F2F">
      <w:pPr>
        <w:pStyle w:val="text"/>
      </w:pPr>
      <w:r>
        <w:t>By employing these empirical models and controlling for relevant factors, we aim to provide robust insights into the influence of analyst recommendations on the choice of payment methods in M&amp;A transactions and their ability to predict the acquirer's long-term performance following different types of M&amp;A transactions.</w:t>
      </w:r>
      <w:r>
        <w:rPr>
          <w:rFonts w:hint="eastAsia"/>
        </w:rPr>
        <w:t xml:space="preserve"> </w:t>
      </w:r>
      <w:bookmarkEnd w:id="5"/>
      <w:r w:rsidR="003C575D" w:rsidRPr="00353396">
        <w:t xml:space="preserve">The empirical model is as follows: </w:t>
      </w:r>
    </w:p>
    <w:p w14:paraId="1BC0F1B0" w14:textId="5AE89226" w:rsidR="003C575D" w:rsidRPr="00353396" w:rsidRDefault="00350966" w:rsidP="00C3335D">
      <w:pPr>
        <w:spacing w:beforeLines="50" w:before="180" w:afterLines="50" w:after="180" w:line="240" w:lineRule="auto"/>
        <w:ind w:right="0"/>
        <w:rPr>
          <w:lang w:val="it-IT"/>
        </w:rPr>
      </w:pPr>
      <m:oMathPara>
        <m:oMath>
          <m:sSub>
            <m:sSubPr>
              <m:ctrlPr>
                <w:rPr>
                  <w:rFonts w:ascii="Cambria Math" w:hAnsi="Cambria Math"/>
                </w:rPr>
              </m:ctrlPr>
            </m:sSubPr>
            <m:e>
              <m:r>
                <w:rPr>
                  <w:rFonts w:ascii="Cambria Math" w:hAnsi="Cambria Math"/>
                </w:rPr>
                <m:t>BHAR</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w:rPr>
                  <w:rFonts w:ascii="Cambria Math" w:hAnsi="Cambria Math"/>
                </w:rPr>
                <m:t>α</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1</m:t>
              </m:r>
            </m:sub>
          </m:sSub>
          <m:sSub>
            <m:sSubPr>
              <m:ctrlPr>
                <w:rPr>
                  <w:rFonts w:ascii="Cambria Math" w:hAnsi="Cambria Math"/>
                </w:rPr>
              </m:ctrlPr>
            </m:sSubPr>
            <m:e>
              <m:r>
                <w:rPr>
                  <w:rFonts w:ascii="Cambria Math" w:hAnsi="Cambria Math"/>
                </w:rPr>
                <m:t>Strong buy</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2</m:t>
              </m:r>
            </m:sub>
          </m:sSub>
          <m:sSub>
            <m:sSubPr>
              <m:ctrlPr>
                <w:rPr>
                  <w:rFonts w:ascii="Cambria Math" w:hAnsi="Cambria Math"/>
                </w:rPr>
              </m:ctrlPr>
            </m:sSubPr>
            <m:e>
              <m:r>
                <w:rPr>
                  <w:rFonts w:ascii="Cambria Math" w:hAnsi="Cambria Math"/>
                </w:rPr>
                <m:t>Buy</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3</m:t>
              </m:r>
            </m:sub>
          </m:sSub>
          <m:sSub>
            <m:sSubPr>
              <m:ctrlPr>
                <w:rPr>
                  <w:rFonts w:ascii="Cambria Math" w:hAnsi="Cambria Math"/>
                </w:rPr>
              </m:ctrlPr>
            </m:sSubPr>
            <m:e>
              <m:r>
                <w:rPr>
                  <w:rFonts w:ascii="Cambria Math" w:hAnsi="Cambria Math"/>
                </w:rPr>
                <m:t>Hold</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4</m:t>
              </m:r>
            </m:sub>
          </m:sSub>
          <m:sSub>
            <m:sSubPr>
              <m:ctrlPr>
                <w:rPr>
                  <w:rFonts w:ascii="Cambria Math" w:hAnsi="Cambria Math"/>
                </w:rPr>
              </m:ctrlPr>
            </m:sSubPr>
            <m:e>
              <m:r>
                <w:rPr>
                  <w:rFonts w:ascii="Cambria Math" w:hAnsi="Cambria Math"/>
                </w:rPr>
                <m:t>Sell</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5</m:t>
              </m:r>
            </m:sub>
          </m:sSub>
          <m:sSub>
            <m:sSubPr>
              <m:ctrlPr>
                <w:rPr>
                  <w:rFonts w:ascii="Cambria Math" w:hAnsi="Cambria Math"/>
                </w:rPr>
              </m:ctrlPr>
            </m:sSubPr>
            <m:e>
              <m:r>
                <w:rPr>
                  <w:rFonts w:ascii="Cambria Math" w:hAnsi="Cambria Math"/>
                </w:rPr>
                <m:t>Strong sell</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6</m:t>
              </m:r>
            </m:sub>
          </m:sSub>
          <m:sSub>
            <m:sSubPr>
              <m:ctrlPr>
                <w:rPr>
                  <w:rFonts w:ascii="Cambria Math" w:hAnsi="Cambria Math"/>
                </w:rPr>
              </m:ctrlPr>
            </m:sSubPr>
            <m:e>
              <m:r>
                <w:rPr>
                  <w:rFonts w:ascii="Cambria Math" w:hAnsi="Cambria Math"/>
                </w:rPr>
                <m:t>Size</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7</m:t>
              </m:r>
            </m:sub>
          </m:sSub>
          <m:sSub>
            <m:sSubPr>
              <m:ctrlPr>
                <w:rPr>
                  <w:rFonts w:ascii="Cambria Math" w:hAnsi="Cambria Math"/>
                </w:rPr>
              </m:ctrlPr>
            </m:sSubPr>
            <m:e>
              <m:r>
                <w:rPr>
                  <w:rFonts w:ascii="Cambria Math" w:hAnsi="Cambria Math"/>
                </w:rPr>
                <m:t>BM</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8</m:t>
              </m:r>
            </m:sub>
          </m:sSub>
          <m:sSub>
            <m:sSubPr>
              <m:ctrlPr>
                <w:rPr>
                  <w:rFonts w:ascii="Cambria Math" w:hAnsi="Cambria Math"/>
                </w:rPr>
              </m:ctrlPr>
            </m:sSubPr>
            <m:e>
              <m:r>
                <w:rPr>
                  <w:rFonts w:ascii="Cambria Math" w:hAnsi="Cambria Math"/>
                </w:rPr>
                <m:t>ROA</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9</m:t>
              </m:r>
            </m:sub>
          </m:sSub>
          <m:sSub>
            <m:sSubPr>
              <m:ctrlPr>
                <w:rPr>
                  <w:rFonts w:ascii="Cambria Math" w:hAnsi="Cambria Math"/>
                </w:rPr>
              </m:ctrlPr>
            </m:sSubPr>
            <m:e>
              <m:r>
                <w:rPr>
                  <w:rFonts w:ascii="Cambria Math" w:hAnsi="Cambria Math"/>
                </w:rPr>
                <m:t>DPR</m:t>
              </m:r>
            </m:e>
            <m:sub>
              <m:r>
                <m:rPr>
                  <m:sty m:val="p"/>
                </m:rPr>
                <w:rPr>
                  <w:rFonts w:ascii="Cambria Math" w:hAnsi="Cambria Math"/>
                  <w:lang w:eastAsia="zh-HK"/>
                </w:rPr>
                <m:t>,</m:t>
              </m:r>
              <m:r>
                <w:rPr>
                  <w:rFonts w:ascii="Cambria Math" w:hAnsi="Cambria Math"/>
                  <w:lang w:eastAsia="zh-HK"/>
                </w:rPr>
                <m:t>i</m:t>
              </m:r>
              <m:r>
                <m:rPr>
                  <m:sty m:val="p"/>
                </m:rPr>
                <w:rPr>
                  <w:rFonts w:ascii="Cambria Math" w:hAnsi="Cambria Math"/>
                  <w:lang w:eastAsia="zh-HK"/>
                </w:rPr>
                <m:t>,</m:t>
              </m:r>
              <m:r>
                <w:rPr>
                  <w:rFonts w:ascii="Cambria Math" w:hAnsi="Cambria Math"/>
                  <w:lang w:eastAsia="zh-HK"/>
                </w:rPr>
                <m:t>t</m:t>
              </m:r>
              <m:r>
                <m:rPr>
                  <m:sty m:val="p"/>
                </m:rPr>
                <w:rPr>
                  <w:rFonts w:ascii="Cambria Math" w:eastAsia="MS Mincho" w:hAnsi="Cambria Math"/>
                  <w:lang w:eastAsia="zh-HK"/>
                </w:rPr>
                <m: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10</m:t>
              </m:r>
            </m:sub>
          </m:sSub>
          <m:sSub>
            <m:sSubPr>
              <m:ctrlPr>
                <w:rPr>
                  <w:rFonts w:ascii="Cambria Math" w:hAnsi="Cambria Math"/>
                </w:rPr>
              </m:ctrlPr>
            </m:sSubPr>
            <m:e>
              <m:r>
                <w:rPr>
                  <w:rFonts w:ascii="Cambria Math" w:hAnsi="Cambria Math"/>
                </w:rPr>
                <m:t>Liquid</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11</m:t>
              </m:r>
            </m:sub>
          </m:sSub>
          <m:sSub>
            <m:sSubPr>
              <m:ctrlPr>
                <w:rPr>
                  <w:rFonts w:ascii="Cambria Math" w:hAnsi="Cambria Math"/>
                </w:rPr>
              </m:ctrlPr>
            </m:sSubPr>
            <m:e>
              <m:r>
                <w:rPr>
                  <w:rFonts w:ascii="Cambria Math" w:hAnsi="Cambria Math"/>
                </w:rPr>
                <m:t>DR</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12</m:t>
              </m:r>
            </m:sub>
          </m:sSub>
          <m:sSub>
            <m:sSubPr>
              <m:ctrlPr>
                <w:rPr>
                  <w:rFonts w:ascii="Cambria Math" w:hAnsi="Cambria Math"/>
                </w:rPr>
              </m:ctrlPr>
            </m:sSubPr>
            <m:e>
              <m:r>
                <w:rPr>
                  <w:rFonts w:ascii="Cambria Math" w:hAnsi="Cambria Math"/>
                </w:rPr>
                <m:t>Runup</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13</m:t>
              </m:r>
            </m:sub>
          </m:sSub>
          <m:sSub>
            <m:sSubPr>
              <m:ctrlPr>
                <w:rPr>
                  <w:rFonts w:ascii="Cambria Math" w:hAnsi="Cambria Math"/>
                </w:rPr>
              </m:ctrlPr>
            </m:sSubPr>
            <m:e>
              <m:r>
                <w:rPr>
                  <w:rFonts w:ascii="Cambria Math" w:hAnsi="Cambria Math"/>
                </w:rPr>
                <m:t>Horizon</m:t>
              </m:r>
            </m:e>
            <m:sub>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14</m:t>
              </m:r>
            </m:sub>
          </m:sSub>
          <m:sSup>
            <m:sSupPr>
              <m:ctrlPr>
                <w:rPr>
                  <w:rFonts w:ascii="Cambria Math" w:eastAsia="細明體" w:hAnsi="Cambria Math"/>
                </w:rPr>
              </m:ctrlPr>
            </m:sSupPr>
            <m:e>
              <m:r>
                <w:rPr>
                  <w:rFonts w:ascii="Cambria Math" w:eastAsia="細明體" w:hAnsi="Cambria Math"/>
                </w:rPr>
                <m:t>D</m:t>
              </m:r>
            </m:e>
            <m:sup>
              <m:r>
                <w:rPr>
                  <w:rFonts w:ascii="Cambria Math" w:eastAsia="細明體" w:hAnsi="Cambria Math"/>
                </w:rPr>
                <m:t>cash</m:t>
              </m:r>
            </m:sup>
          </m:sSup>
          <m:r>
            <m:rPr>
              <m:sty m:val="p"/>
            </m:rPr>
            <w:rPr>
              <w:rFonts w:ascii="Cambria Math" w:eastAsia="細明體" w:hAnsi="Cambria Math"/>
            </w:rPr>
            <m:t xml:space="preserve"> </m:t>
          </m:r>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15</m:t>
              </m:r>
            </m:sub>
          </m:sSub>
          <m:sSup>
            <m:sSupPr>
              <m:ctrlPr>
                <w:rPr>
                  <w:rFonts w:ascii="Cambria Math" w:eastAsia="細明體" w:hAnsi="Cambria Math"/>
                </w:rPr>
              </m:ctrlPr>
            </m:sSupPr>
            <m:e>
              <m:r>
                <w:rPr>
                  <w:rFonts w:ascii="Cambria Math" w:eastAsia="細明體" w:hAnsi="Cambria Math"/>
                </w:rPr>
                <m:t>D</m:t>
              </m:r>
            </m:e>
            <m:sup>
              <m:r>
                <w:rPr>
                  <w:rFonts w:ascii="Cambria Math" w:eastAsia="細明體" w:hAnsi="Cambria Math"/>
                </w:rPr>
                <m:t>stock</m:t>
              </m:r>
            </m:sup>
          </m:sSup>
          <m:r>
            <m:rPr>
              <m:sty m:val="p"/>
            </m:rPr>
            <w:rPr>
              <w:rFonts w:ascii="Cambria Math" w:eastAsia="細明體" w:hAnsi="Cambria Math"/>
            </w:rPr>
            <m:t xml:space="preserve"> </m:t>
          </m:r>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j</m:t>
              </m:r>
            </m:sub>
            <m:sup/>
            <m:e>
              <m:sSub>
                <m:sSubPr>
                  <m:ctrlPr>
                    <w:rPr>
                      <w:rFonts w:ascii="Cambria Math" w:hAnsi="Cambria Math"/>
                    </w:rPr>
                  </m:ctrlPr>
                </m:sSubPr>
                <m:e>
                  <m:r>
                    <w:rPr>
                      <w:rFonts w:ascii="Cambria Math" w:hAnsi="Cambria Math"/>
                    </w:rPr>
                    <m:t>β</m:t>
                  </m:r>
                </m:e>
                <m:sub>
                  <m:r>
                    <w:rPr>
                      <w:rFonts w:ascii="Cambria Math" w:hAnsi="Cambria Math"/>
                    </w:rPr>
                    <m:t>j</m:t>
                  </m:r>
                </m:sub>
              </m:sSub>
              <m:r>
                <w:rPr>
                  <w:rFonts w:ascii="Cambria Math" w:hAnsi="Cambria Math"/>
                </w:rPr>
                <m:t>Year</m:t>
              </m:r>
              <m:r>
                <m:rPr>
                  <m:sty m:val="p"/>
                </m:rPr>
                <w:rPr>
                  <w:rFonts w:ascii="Cambria Math" w:hAnsi="Cambria Math"/>
                </w:rPr>
                <m:t xml:space="preserve"> </m:t>
              </m:r>
              <m:r>
                <w:rPr>
                  <w:rFonts w:ascii="Cambria Math" w:hAnsi="Cambria Math"/>
                </w:rPr>
                <m:t>Dummies</m:t>
              </m:r>
            </m:e>
          </m:nary>
          <m:r>
            <m:rPr>
              <m:sty m:val="p"/>
            </m:rPr>
            <w:rPr>
              <w:rFonts w:ascii="Cambria Math" w:hAnsi="Cambria Math"/>
            </w:rPr>
            <m:t>+</m:t>
          </m:r>
          <m:nary>
            <m:naryPr>
              <m:chr m:val="∑"/>
              <m:limLoc m:val="undOvr"/>
              <m:supHide m:val="1"/>
              <m:ctrlPr>
                <w:rPr>
                  <w:rFonts w:ascii="Cambria Math" w:hAnsi="Cambria Math"/>
                </w:rPr>
              </m:ctrlPr>
            </m:naryPr>
            <m:sub>
              <m:r>
                <w:rPr>
                  <w:rFonts w:ascii="Cambria Math" w:hAnsi="Cambria Math"/>
                </w:rPr>
                <m:t>k</m:t>
              </m:r>
            </m:sub>
            <m:sup/>
            <m:e>
              <m:sSub>
                <m:sSubPr>
                  <m:ctrlPr>
                    <w:rPr>
                      <w:rFonts w:ascii="Cambria Math" w:hAnsi="Cambria Math"/>
                    </w:rPr>
                  </m:ctrlPr>
                </m:sSubPr>
                <m:e>
                  <m:r>
                    <w:rPr>
                      <w:rFonts w:ascii="Cambria Math" w:hAnsi="Cambria Math"/>
                    </w:rPr>
                    <m:t>β</m:t>
                  </m:r>
                </m:e>
                <m:sub>
                  <m:r>
                    <w:rPr>
                      <w:rFonts w:ascii="Cambria Math" w:hAnsi="Cambria Math"/>
                    </w:rPr>
                    <m:t>k</m:t>
                  </m:r>
                </m:sub>
              </m:sSub>
              <m:r>
                <w:rPr>
                  <w:rFonts w:ascii="Cambria Math" w:hAnsi="Cambria Math"/>
                </w:rPr>
                <m:t>Industry</m:t>
              </m:r>
              <m:r>
                <m:rPr>
                  <m:sty m:val="p"/>
                </m:rPr>
                <w:rPr>
                  <w:rFonts w:ascii="Cambria Math" w:hAnsi="Cambria Math"/>
                </w:rPr>
                <m:t xml:space="preserve"> </m:t>
              </m:r>
              <m:r>
                <w:rPr>
                  <w:rFonts w:ascii="Cambria Math" w:hAnsi="Cambria Math"/>
                </w:rPr>
                <m:t>Dummies</m:t>
              </m:r>
            </m:e>
          </m:nary>
          <m:r>
            <m:rPr>
              <m:sty m:val="p"/>
            </m:rPr>
            <w:rPr>
              <w:rFonts w:ascii="Cambria Math" w:hAnsi="Cambria Math"/>
            </w:rPr>
            <m:t xml:space="preserve">,   </m:t>
          </m:r>
          <m:r>
            <m:rPr>
              <m:sty m:val="p"/>
            </m:rPr>
            <w:rPr>
              <w:rFonts w:ascii="Cambria Math" w:hAnsi="Cambria Math"/>
              <w:color w:val="FF0000"/>
            </w:rPr>
            <m:t xml:space="preserve">                                                        </m:t>
          </m:r>
          <m:r>
            <m:rPr>
              <m:sty m:val="p"/>
            </m:rPr>
            <w:rPr>
              <w:rFonts w:ascii="Cambria Math" w:hAnsi="Cambria Math"/>
            </w:rPr>
            <m:t xml:space="preserve">        (4)</m:t>
          </m:r>
        </m:oMath>
      </m:oMathPara>
    </w:p>
    <w:p w14:paraId="559E75E0" w14:textId="2029BCE2" w:rsidR="007D6152" w:rsidRPr="002E3264" w:rsidRDefault="00BB6B42" w:rsidP="00BC3E3E">
      <w:pPr>
        <w:pStyle w:val="1"/>
      </w:pPr>
      <w:r w:rsidRPr="002E3264">
        <w:rPr>
          <w:rFonts w:hint="eastAsia"/>
        </w:rPr>
        <w:t>E</w:t>
      </w:r>
      <w:r w:rsidRPr="002E3264">
        <w:t xml:space="preserve">mpirical </w:t>
      </w:r>
      <w:r w:rsidR="00DE4A13">
        <w:t>r</w:t>
      </w:r>
      <w:r w:rsidRPr="002E3264">
        <w:t>esults</w:t>
      </w:r>
    </w:p>
    <w:p w14:paraId="3B1CF954" w14:textId="26B80539" w:rsidR="007D6152" w:rsidRPr="002E3264" w:rsidRDefault="00BB6B42" w:rsidP="00BC3E3E">
      <w:pPr>
        <w:pStyle w:val="2"/>
      </w:pPr>
      <w:r w:rsidRPr="002E3264">
        <w:t>Summary of data characteristics</w:t>
      </w:r>
    </w:p>
    <w:p w14:paraId="654D15AD" w14:textId="77777777" w:rsidR="006E18AF" w:rsidRDefault="006E18AF" w:rsidP="00C3335D">
      <w:pPr>
        <w:pStyle w:val="text"/>
      </w:pPr>
      <w:r>
        <w:t>To gain insights into the sample characteristics, we first examine the distribution of M&amp;A transactions across different years, as presented in Table 1. The data reveals a notable surge in M&amp;A activity during the 2000 internet bubble period, followed by a substantial decline in the aftermath of the 2008 financial crisis. This observation highlights the sensitivity of M&amp;A activity to market conditions and economic shocks.</w:t>
      </w:r>
    </w:p>
    <w:p w14:paraId="76F1ABD8" w14:textId="6ACBDA91" w:rsidR="006E18AF" w:rsidRDefault="006E18AF" w:rsidP="00324F2F">
      <w:pPr>
        <w:pStyle w:val="text"/>
      </w:pPr>
      <w:r>
        <w:t>Interestingly, the choice of payment method in M&amp;A transactions also exhibits significant variation across different periods. During the internet bubble period, acquirers more frequently opted for 100% stock payments, potentially driven by the overvaluation of their stocks. However, in the post-financial crisis era, the preferred payment method shifted toward 100% cash payments, possibly in response to the undervaluation of acquirer stocks during that period.</w:t>
      </w:r>
    </w:p>
    <w:p w14:paraId="6195D505" w14:textId="152ECDA9" w:rsidR="007D6152" w:rsidRPr="00353396" w:rsidRDefault="006E18AF" w:rsidP="00324F2F">
      <w:pPr>
        <w:pStyle w:val="text"/>
      </w:pPr>
      <w:r>
        <w:lastRenderedPageBreak/>
        <w:t xml:space="preserve">The observed patterns in M&amp;A activity and payment method preferences underscore the dynamic nature of these transactions and their susceptibility to prevailing market conditions and valuation trends. Acquirers' strategic decisions regarding payment methods appear to be influenced by the perceived over- or undervaluation of their stocks, reflecting the intricate interplay between market sentiment, </w:t>
      </w:r>
      <w:r w:rsidR="00707136">
        <w:t>firm</w:t>
      </w:r>
      <w:r>
        <w:t xml:space="preserve"> valuation, and M&amp;A execution.</w:t>
      </w:r>
    </w:p>
    <w:p w14:paraId="1CC8A429" w14:textId="0B90CF61" w:rsidR="007D6152" w:rsidRPr="00C3335D" w:rsidRDefault="00C6357B" w:rsidP="00C3335D">
      <w:pPr>
        <w:pStyle w:val="3"/>
      </w:pPr>
      <w:r w:rsidRPr="00C3335D">
        <w:t xml:space="preserve">Table </w:t>
      </w:r>
      <w:r w:rsidR="00350966" w:rsidRPr="00C3335D">
        <w:fldChar w:fldCharType="begin"/>
      </w:r>
      <w:r w:rsidR="00350966" w:rsidRPr="00C3335D">
        <w:instrText xml:space="preserve"> SEQ Table \* ARABI</w:instrText>
      </w:r>
      <w:r w:rsidR="00350966" w:rsidRPr="00C3335D">
        <w:instrText xml:space="preserve">C </w:instrText>
      </w:r>
      <w:r w:rsidR="00350966" w:rsidRPr="00C3335D">
        <w:fldChar w:fldCharType="separate"/>
      </w:r>
      <w:r w:rsidR="00350966">
        <w:rPr>
          <w:noProof/>
        </w:rPr>
        <w:t>1</w:t>
      </w:r>
      <w:r w:rsidR="00350966" w:rsidRPr="00C3335D">
        <w:fldChar w:fldCharType="end"/>
      </w:r>
      <w:r w:rsidR="006313B8" w:rsidRPr="00C3335D">
        <w:rPr>
          <w:rFonts w:hint="eastAsia"/>
        </w:rPr>
        <w:t>.</w:t>
      </w:r>
      <w:r w:rsidR="00BB6B42" w:rsidRPr="00C3335D">
        <w:t xml:space="preserve"> The Distribution of the Sample</w:t>
      </w:r>
    </w:p>
    <w:p w14:paraId="584E822C" w14:textId="0861A5BF" w:rsidR="00BB6B42" w:rsidRPr="00353396" w:rsidRDefault="00BB6B42" w:rsidP="00C3335D">
      <w:pPr>
        <w:pStyle w:val="table-note"/>
      </w:pPr>
      <w:r w:rsidRPr="00353396">
        <w:t xml:space="preserve">This table summarizes the number of M&amp;A firms by year and the </w:t>
      </w:r>
      <w:r w:rsidR="002E3264">
        <w:t>payment methods</w:t>
      </w:r>
      <w:r w:rsidRPr="00353396">
        <w:t xml:space="preserve">, respectively.  </w:t>
      </w:r>
      <w:r w:rsidR="002E3264">
        <w:t>Payment methods</w:t>
      </w:r>
      <w:r w:rsidRPr="00353396">
        <w:t xml:space="preserve"> are 100% cash, 100% stock payment, or mixed payment. The data range is from 2000 to 2017. </w:t>
      </w:r>
    </w:p>
    <w:tbl>
      <w:tblPr>
        <w:tblW w:w="8080" w:type="dxa"/>
        <w:jc w:val="center"/>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1760"/>
        <w:gridCol w:w="1580"/>
        <w:gridCol w:w="1580"/>
        <w:gridCol w:w="1580"/>
        <w:gridCol w:w="1580"/>
      </w:tblGrid>
      <w:tr w:rsidR="00BB6B42" w:rsidRPr="00207793" w14:paraId="6D7A3A8B" w14:textId="77777777" w:rsidTr="0069630A">
        <w:trPr>
          <w:cantSplit/>
          <w:trHeight w:val="340"/>
          <w:tblHeader/>
          <w:jc w:val="center"/>
        </w:trPr>
        <w:tc>
          <w:tcPr>
            <w:tcW w:w="1760" w:type="dxa"/>
            <w:tcBorders>
              <w:top w:val="single" w:sz="4" w:space="0" w:color="auto"/>
              <w:bottom w:val="single" w:sz="4" w:space="0" w:color="auto"/>
            </w:tcBorders>
            <w:shd w:val="clear" w:color="auto" w:fill="auto"/>
            <w:vAlign w:val="center"/>
            <w:hideMark/>
          </w:tcPr>
          <w:p w14:paraId="56E4C48C" w14:textId="77777777" w:rsidR="00BB6B42" w:rsidRPr="00207793" w:rsidRDefault="00BB6B42" w:rsidP="007768B8">
            <w:pPr>
              <w:keepLines/>
              <w:snapToGrid w:val="0"/>
              <w:spacing w:line="240" w:lineRule="exact"/>
              <w:ind w:right="0"/>
              <w:jc w:val="center"/>
              <w:rPr>
                <w:sz w:val="20"/>
                <w:szCs w:val="20"/>
              </w:rPr>
            </w:pPr>
            <w:r w:rsidRPr="00207793">
              <w:rPr>
                <w:sz w:val="20"/>
                <w:szCs w:val="20"/>
              </w:rPr>
              <w:t>Year</w:t>
            </w:r>
          </w:p>
        </w:tc>
        <w:tc>
          <w:tcPr>
            <w:tcW w:w="1580" w:type="dxa"/>
            <w:tcBorders>
              <w:top w:val="single" w:sz="4" w:space="0" w:color="auto"/>
              <w:bottom w:val="single" w:sz="4" w:space="0" w:color="auto"/>
            </w:tcBorders>
            <w:shd w:val="clear" w:color="auto" w:fill="auto"/>
            <w:vAlign w:val="center"/>
            <w:hideMark/>
          </w:tcPr>
          <w:p w14:paraId="215524A6" w14:textId="77777777" w:rsidR="00BB6B42" w:rsidRPr="00207793" w:rsidRDefault="00BB6B42" w:rsidP="007768B8">
            <w:pPr>
              <w:keepLines/>
              <w:snapToGrid w:val="0"/>
              <w:spacing w:line="240" w:lineRule="exact"/>
              <w:ind w:right="0"/>
              <w:jc w:val="center"/>
              <w:rPr>
                <w:sz w:val="20"/>
                <w:szCs w:val="20"/>
              </w:rPr>
            </w:pPr>
            <w:r w:rsidRPr="00207793">
              <w:rPr>
                <w:sz w:val="20"/>
                <w:szCs w:val="20"/>
              </w:rPr>
              <w:t>Cash</w:t>
            </w:r>
          </w:p>
        </w:tc>
        <w:tc>
          <w:tcPr>
            <w:tcW w:w="1580" w:type="dxa"/>
            <w:tcBorders>
              <w:top w:val="single" w:sz="4" w:space="0" w:color="auto"/>
              <w:bottom w:val="single" w:sz="4" w:space="0" w:color="auto"/>
            </w:tcBorders>
            <w:shd w:val="clear" w:color="auto" w:fill="auto"/>
            <w:vAlign w:val="center"/>
            <w:hideMark/>
          </w:tcPr>
          <w:p w14:paraId="5A6BBC76" w14:textId="77777777" w:rsidR="00BB6B42" w:rsidRPr="00207793" w:rsidRDefault="00BB6B42" w:rsidP="007768B8">
            <w:pPr>
              <w:keepLines/>
              <w:snapToGrid w:val="0"/>
              <w:spacing w:line="240" w:lineRule="exact"/>
              <w:ind w:right="0"/>
              <w:jc w:val="center"/>
              <w:rPr>
                <w:sz w:val="20"/>
                <w:szCs w:val="20"/>
              </w:rPr>
            </w:pPr>
            <w:r w:rsidRPr="00207793">
              <w:rPr>
                <w:sz w:val="20"/>
                <w:szCs w:val="20"/>
              </w:rPr>
              <w:t>Stock</w:t>
            </w:r>
          </w:p>
        </w:tc>
        <w:tc>
          <w:tcPr>
            <w:tcW w:w="1580" w:type="dxa"/>
            <w:tcBorders>
              <w:top w:val="single" w:sz="4" w:space="0" w:color="auto"/>
              <w:bottom w:val="single" w:sz="4" w:space="0" w:color="auto"/>
            </w:tcBorders>
            <w:shd w:val="clear" w:color="auto" w:fill="auto"/>
            <w:vAlign w:val="center"/>
            <w:hideMark/>
          </w:tcPr>
          <w:p w14:paraId="7229D1A2" w14:textId="77777777" w:rsidR="00BB6B42" w:rsidRPr="00207793" w:rsidRDefault="00BB6B42" w:rsidP="007768B8">
            <w:pPr>
              <w:keepLines/>
              <w:snapToGrid w:val="0"/>
              <w:spacing w:line="240" w:lineRule="exact"/>
              <w:ind w:right="0"/>
              <w:jc w:val="center"/>
              <w:rPr>
                <w:sz w:val="20"/>
                <w:szCs w:val="20"/>
              </w:rPr>
            </w:pPr>
            <w:r w:rsidRPr="00207793">
              <w:rPr>
                <w:sz w:val="20"/>
                <w:szCs w:val="20"/>
              </w:rPr>
              <w:t>Mix</w:t>
            </w:r>
          </w:p>
        </w:tc>
        <w:tc>
          <w:tcPr>
            <w:tcW w:w="1580" w:type="dxa"/>
            <w:tcBorders>
              <w:top w:val="single" w:sz="4" w:space="0" w:color="auto"/>
              <w:bottom w:val="single" w:sz="4" w:space="0" w:color="auto"/>
            </w:tcBorders>
            <w:shd w:val="clear" w:color="auto" w:fill="auto"/>
            <w:vAlign w:val="center"/>
            <w:hideMark/>
          </w:tcPr>
          <w:p w14:paraId="495C1ABA" w14:textId="77777777" w:rsidR="00BB6B42" w:rsidRPr="00207793" w:rsidRDefault="00BB6B42" w:rsidP="007768B8">
            <w:pPr>
              <w:keepLines/>
              <w:snapToGrid w:val="0"/>
              <w:spacing w:line="240" w:lineRule="exact"/>
              <w:ind w:right="0"/>
              <w:jc w:val="center"/>
              <w:rPr>
                <w:sz w:val="20"/>
                <w:szCs w:val="20"/>
              </w:rPr>
            </w:pPr>
            <w:r w:rsidRPr="00207793">
              <w:rPr>
                <w:sz w:val="20"/>
                <w:szCs w:val="20"/>
              </w:rPr>
              <w:t>Sum</w:t>
            </w:r>
          </w:p>
        </w:tc>
      </w:tr>
      <w:tr w:rsidR="00BB6B42" w:rsidRPr="00207793" w14:paraId="5480087B" w14:textId="77777777" w:rsidTr="0069630A">
        <w:trPr>
          <w:cantSplit/>
          <w:trHeight w:val="340"/>
          <w:tblHeader/>
          <w:jc w:val="center"/>
        </w:trPr>
        <w:tc>
          <w:tcPr>
            <w:tcW w:w="1760" w:type="dxa"/>
            <w:tcBorders>
              <w:top w:val="single" w:sz="4" w:space="0" w:color="auto"/>
            </w:tcBorders>
            <w:shd w:val="clear" w:color="auto" w:fill="auto"/>
            <w:vAlign w:val="center"/>
            <w:hideMark/>
          </w:tcPr>
          <w:p w14:paraId="0524D2B2" w14:textId="77777777" w:rsidR="00BB6B42" w:rsidRPr="00207793" w:rsidRDefault="00BB6B42" w:rsidP="007768B8">
            <w:pPr>
              <w:keepLines/>
              <w:snapToGrid w:val="0"/>
              <w:spacing w:line="240" w:lineRule="exact"/>
              <w:ind w:right="0"/>
              <w:jc w:val="center"/>
              <w:rPr>
                <w:sz w:val="20"/>
                <w:szCs w:val="20"/>
              </w:rPr>
            </w:pPr>
            <w:r w:rsidRPr="00207793">
              <w:rPr>
                <w:sz w:val="20"/>
                <w:szCs w:val="20"/>
              </w:rPr>
              <w:t>2000</w:t>
            </w:r>
          </w:p>
        </w:tc>
        <w:tc>
          <w:tcPr>
            <w:tcW w:w="1580" w:type="dxa"/>
            <w:tcBorders>
              <w:top w:val="single" w:sz="4" w:space="0" w:color="auto"/>
            </w:tcBorders>
            <w:shd w:val="clear" w:color="auto" w:fill="auto"/>
            <w:vAlign w:val="center"/>
            <w:hideMark/>
          </w:tcPr>
          <w:p w14:paraId="70B3B53A" w14:textId="77777777" w:rsidR="00BB6B42" w:rsidRPr="00207793" w:rsidRDefault="00BB6B42" w:rsidP="007768B8">
            <w:pPr>
              <w:keepLines/>
              <w:snapToGrid w:val="0"/>
              <w:spacing w:line="240" w:lineRule="exact"/>
              <w:ind w:right="0"/>
              <w:jc w:val="center"/>
              <w:rPr>
                <w:sz w:val="20"/>
                <w:szCs w:val="20"/>
              </w:rPr>
            </w:pPr>
            <w:r w:rsidRPr="00207793">
              <w:rPr>
                <w:sz w:val="20"/>
                <w:szCs w:val="20"/>
              </w:rPr>
              <w:t>57</w:t>
            </w:r>
          </w:p>
        </w:tc>
        <w:tc>
          <w:tcPr>
            <w:tcW w:w="1580" w:type="dxa"/>
            <w:tcBorders>
              <w:top w:val="single" w:sz="4" w:space="0" w:color="auto"/>
            </w:tcBorders>
            <w:shd w:val="clear" w:color="auto" w:fill="auto"/>
            <w:vAlign w:val="center"/>
            <w:hideMark/>
          </w:tcPr>
          <w:p w14:paraId="393C659C" w14:textId="77777777" w:rsidR="00BB6B42" w:rsidRPr="00207793" w:rsidRDefault="00BB6B42" w:rsidP="007768B8">
            <w:pPr>
              <w:keepLines/>
              <w:snapToGrid w:val="0"/>
              <w:spacing w:line="240" w:lineRule="exact"/>
              <w:ind w:right="0"/>
              <w:jc w:val="center"/>
              <w:rPr>
                <w:sz w:val="20"/>
                <w:szCs w:val="20"/>
              </w:rPr>
            </w:pPr>
            <w:r w:rsidRPr="00207793">
              <w:rPr>
                <w:sz w:val="20"/>
                <w:szCs w:val="20"/>
              </w:rPr>
              <w:t>74</w:t>
            </w:r>
          </w:p>
        </w:tc>
        <w:tc>
          <w:tcPr>
            <w:tcW w:w="1580" w:type="dxa"/>
            <w:tcBorders>
              <w:top w:val="single" w:sz="4" w:space="0" w:color="auto"/>
            </w:tcBorders>
            <w:shd w:val="clear" w:color="auto" w:fill="auto"/>
            <w:vAlign w:val="center"/>
            <w:hideMark/>
          </w:tcPr>
          <w:p w14:paraId="5D12EF1B" w14:textId="77777777" w:rsidR="00BB6B42" w:rsidRPr="00207793" w:rsidRDefault="00BB6B42" w:rsidP="007768B8">
            <w:pPr>
              <w:keepLines/>
              <w:snapToGrid w:val="0"/>
              <w:spacing w:line="240" w:lineRule="exact"/>
              <w:ind w:right="0"/>
              <w:jc w:val="center"/>
              <w:rPr>
                <w:sz w:val="20"/>
                <w:szCs w:val="20"/>
              </w:rPr>
            </w:pPr>
            <w:r w:rsidRPr="00207793">
              <w:rPr>
                <w:sz w:val="20"/>
                <w:szCs w:val="20"/>
              </w:rPr>
              <w:t>16</w:t>
            </w:r>
          </w:p>
        </w:tc>
        <w:tc>
          <w:tcPr>
            <w:tcW w:w="1580" w:type="dxa"/>
            <w:tcBorders>
              <w:top w:val="single" w:sz="4" w:space="0" w:color="auto"/>
            </w:tcBorders>
            <w:shd w:val="clear" w:color="auto" w:fill="auto"/>
            <w:vAlign w:val="center"/>
            <w:hideMark/>
          </w:tcPr>
          <w:p w14:paraId="3A6BCC0E" w14:textId="77777777" w:rsidR="00BB6B42" w:rsidRPr="00207793" w:rsidRDefault="00BB6B42" w:rsidP="007768B8">
            <w:pPr>
              <w:keepLines/>
              <w:snapToGrid w:val="0"/>
              <w:spacing w:line="240" w:lineRule="exact"/>
              <w:ind w:right="0"/>
              <w:jc w:val="center"/>
              <w:rPr>
                <w:sz w:val="20"/>
                <w:szCs w:val="20"/>
              </w:rPr>
            </w:pPr>
            <w:r w:rsidRPr="00207793">
              <w:rPr>
                <w:sz w:val="20"/>
                <w:szCs w:val="20"/>
              </w:rPr>
              <w:t>151</w:t>
            </w:r>
          </w:p>
        </w:tc>
      </w:tr>
      <w:tr w:rsidR="00BB6B42" w:rsidRPr="00207793" w14:paraId="192A540A" w14:textId="77777777" w:rsidTr="0069630A">
        <w:trPr>
          <w:cantSplit/>
          <w:trHeight w:val="340"/>
          <w:tblHeader/>
          <w:jc w:val="center"/>
        </w:trPr>
        <w:tc>
          <w:tcPr>
            <w:tcW w:w="1760" w:type="dxa"/>
            <w:shd w:val="clear" w:color="auto" w:fill="auto"/>
            <w:vAlign w:val="center"/>
            <w:hideMark/>
          </w:tcPr>
          <w:p w14:paraId="4ED236E4" w14:textId="77777777" w:rsidR="00BB6B42" w:rsidRPr="00207793" w:rsidRDefault="00BB6B42" w:rsidP="007768B8">
            <w:pPr>
              <w:keepLines/>
              <w:snapToGrid w:val="0"/>
              <w:spacing w:line="240" w:lineRule="exact"/>
              <w:ind w:right="0"/>
              <w:jc w:val="center"/>
              <w:rPr>
                <w:sz w:val="20"/>
                <w:szCs w:val="20"/>
              </w:rPr>
            </w:pPr>
            <w:r w:rsidRPr="00207793">
              <w:rPr>
                <w:sz w:val="20"/>
                <w:szCs w:val="20"/>
              </w:rPr>
              <w:t>2001</w:t>
            </w:r>
          </w:p>
        </w:tc>
        <w:tc>
          <w:tcPr>
            <w:tcW w:w="1580" w:type="dxa"/>
            <w:shd w:val="clear" w:color="auto" w:fill="auto"/>
            <w:vAlign w:val="center"/>
            <w:hideMark/>
          </w:tcPr>
          <w:p w14:paraId="7190AB5B" w14:textId="77777777" w:rsidR="00BB6B42" w:rsidRPr="00207793" w:rsidRDefault="00BB6B42" w:rsidP="007768B8">
            <w:pPr>
              <w:keepLines/>
              <w:snapToGrid w:val="0"/>
              <w:spacing w:line="240" w:lineRule="exact"/>
              <w:ind w:right="0"/>
              <w:jc w:val="center"/>
              <w:rPr>
                <w:sz w:val="20"/>
                <w:szCs w:val="20"/>
              </w:rPr>
            </w:pPr>
            <w:r w:rsidRPr="00207793">
              <w:rPr>
                <w:sz w:val="20"/>
                <w:szCs w:val="20"/>
              </w:rPr>
              <w:t>36</w:t>
            </w:r>
          </w:p>
        </w:tc>
        <w:tc>
          <w:tcPr>
            <w:tcW w:w="1580" w:type="dxa"/>
            <w:shd w:val="clear" w:color="auto" w:fill="auto"/>
            <w:vAlign w:val="center"/>
            <w:hideMark/>
          </w:tcPr>
          <w:p w14:paraId="560ABCCA" w14:textId="77777777" w:rsidR="00BB6B42" w:rsidRPr="00207793" w:rsidRDefault="00BB6B42" w:rsidP="007768B8">
            <w:pPr>
              <w:keepLines/>
              <w:snapToGrid w:val="0"/>
              <w:spacing w:line="240" w:lineRule="exact"/>
              <w:ind w:right="0"/>
              <w:jc w:val="center"/>
              <w:rPr>
                <w:sz w:val="20"/>
                <w:szCs w:val="20"/>
              </w:rPr>
            </w:pPr>
            <w:r w:rsidRPr="00207793">
              <w:rPr>
                <w:sz w:val="20"/>
                <w:szCs w:val="20"/>
              </w:rPr>
              <w:t>44</w:t>
            </w:r>
          </w:p>
        </w:tc>
        <w:tc>
          <w:tcPr>
            <w:tcW w:w="1580" w:type="dxa"/>
            <w:shd w:val="clear" w:color="auto" w:fill="auto"/>
            <w:vAlign w:val="center"/>
            <w:hideMark/>
          </w:tcPr>
          <w:p w14:paraId="74F97F99" w14:textId="77777777" w:rsidR="00BB6B42" w:rsidRPr="00207793" w:rsidRDefault="00BB6B42" w:rsidP="007768B8">
            <w:pPr>
              <w:keepLines/>
              <w:snapToGrid w:val="0"/>
              <w:spacing w:line="240" w:lineRule="exact"/>
              <w:ind w:right="0"/>
              <w:jc w:val="center"/>
              <w:rPr>
                <w:sz w:val="20"/>
                <w:szCs w:val="20"/>
              </w:rPr>
            </w:pPr>
            <w:r w:rsidRPr="00207793">
              <w:rPr>
                <w:sz w:val="20"/>
                <w:szCs w:val="20"/>
              </w:rPr>
              <w:t>11</w:t>
            </w:r>
          </w:p>
        </w:tc>
        <w:tc>
          <w:tcPr>
            <w:tcW w:w="1580" w:type="dxa"/>
            <w:shd w:val="clear" w:color="auto" w:fill="auto"/>
            <w:vAlign w:val="center"/>
            <w:hideMark/>
          </w:tcPr>
          <w:p w14:paraId="22A11834" w14:textId="77777777" w:rsidR="00BB6B42" w:rsidRPr="00207793" w:rsidRDefault="00BB6B42" w:rsidP="007768B8">
            <w:pPr>
              <w:keepLines/>
              <w:snapToGrid w:val="0"/>
              <w:spacing w:line="240" w:lineRule="exact"/>
              <w:ind w:right="0"/>
              <w:jc w:val="center"/>
              <w:rPr>
                <w:sz w:val="20"/>
                <w:szCs w:val="20"/>
              </w:rPr>
            </w:pPr>
            <w:r w:rsidRPr="00207793">
              <w:rPr>
                <w:sz w:val="20"/>
                <w:szCs w:val="20"/>
              </w:rPr>
              <w:t>92</w:t>
            </w:r>
          </w:p>
        </w:tc>
      </w:tr>
      <w:tr w:rsidR="00BB6B42" w:rsidRPr="00207793" w14:paraId="780DF496" w14:textId="77777777" w:rsidTr="0069630A">
        <w:trPr>
          <w:cantSplit/>
          <w:trHeight w:val="340"/>
          <w:tblHeader/>
          <w:jc w:val="center"/>
        </w:trPr>
        <w:tc>
          <w:tcPr>
            <w:tcW w:w="1760" w:type="dxa"/>
            <w:shd w:val="clear" w:color="auto" w:fill="auto"/>
            <w:vAlign w:val="center"/>
            <w:hideMark/>
          </w:tcPr>
          <w:p w14:paraId="07E6D29C" w14:textId="77777777" w:rsidR="00BB6B42" w:rsidRPr="00207793" w:rsidRDefault="00BB6B42" w:rsidP="007768B8">
            <w:pPr>
              <w:keepLines/>
              <w:snapToGrid w:val="0"/>
              <w:spacing w:line="240" w:lineRule="exact"/>
              <w:ind w:right="0"/>
              <w:jc w:val="center"/>
              <w:rPr>
                <w:sz w:val="20"/>
                <w:szCs w:val="20"/>
              </w:rPr>
            </w:pPr>
            <w:r w:rsidRPr="00207793">
              <w:rPr>
                <w:sz w:val="20"/>
                <w:szCs w:val="20"/>
              </w:rPr>
              <w:t>2002</w:t>
            </w:r>
          </w:p>
        </w:tc>
        <w:tc>
          <w:tcPr>
            <w:tcW w:w="1580" w:type="dxa"/>
            <w:shd w:val="clear" w:color="auto" w:fill="auto"/>
            <w:vAlign w:val="center"/>
            <w:hideMark/>
          </w:tcPr>
          <w:p w14:paraId="3D2A6F62" w14:textId="77777777" w:rsidR="00BB6B42" w:rsidRPr="00207793" w:rsidRDefault="00BB6B42" w:rsidP="007768B8">
            <w:pPr>
              <w:keepLines/>
              <w:snapToGrid w:val="0"/>
              <w:spacing w:line="240" w:lineRule="exact"/>
              <w:ind w:right="0"/>
              <w:jc w:val="center"/>
              <w:rPr>
                <w:sz w:val="20"/>
                <w:szCs w:val="20"/>
              </w:rPr>
            </w:pPr>
            <w:r w:rsidRPr="00207793">
              <w:rPr>
                <w:sz w:val="20"/>
                <w:szCs w:val="20"/>
              </w:rPr>
              <w:t>20</w:t>
            </w:r>
          </w:p>
        </w:tc>
        <w:tc>
          <w:tcPr>
            <w:tcW w:w="1580" w:type="dxa"/>
            <w:shd w:val="clear" w:color="auto" w:fill="auto"/>
            <w:vAlign w:val="center"/>
            <w:hideMark/>
          </w:tcPr>
          <w:p w14:paraId="1FFFCBBC" w14:textId="77777777" w:rsidR="00BB6B42" w:rsidRPr="00207793" w:rsidRDefault="00BB6B42" w:rsidP="007768B8">
            <w:pPr>
              <w:keepLines/>
              <w:snapToGrid w:val="0"/>
              <w:spacing w:line="240" w:lineRule="exact"/>
              <w:ind w:right="0"/>
              <w:jc w:val="center"/>
              <w:rPr>
                <w:sz w:val="20"/>
                <w:szCs w:val="20"/>
              </w:rPr>
            </w:pPr>
            <w:r w:rsidRPr="00207793">
              <w:rPr>
                <w:sz w:val="20"/>
                <w:szCs w:val="20"/>
              </w:rPr>
              <w:t>22</w:t>
            </w:r>
          </w:p>
        </w:tc>
        <w:tc>
          <w:tcPr>
            <w:tcW w:w="1580" w:type="dxa"/>
            <w:shd w:val="clear" w:color="auto" w:fill="auto"/>
            <w:vAlign w:val="center"/>
            <w:hideMark/>
          </w:tcPr>
          <w:p w14:paraId="3337A990" w14:textId="77777777" w:rsidR="00BB6B42" w:rsidRPr="00207793" w:rsidRDefault="00BB6B42" w:rsidP="007768B8">
            <w:pPr>
              <w:keepLines/>
              <w:snapToGrid w:val="0"/>
              <w:spacing w:line="240" w:lineRule="exact"/>
              <w:ind w:right="0"/>
              <w:jc w:val="center"/>
              <w:rPr>
                <w:sz w:val="20"/>
                <w:szCs w:val="20"/>
              </w:rPr>
            </w:pPr>
            <w:r w:rsidRPr="00207793">
              <w:rPr>
                <w:sz w:val="20"/>
                <w:szCs w:val="20"/>
              </w:rPr>
              <w:t>12</w:t>
            </w:r>
          </w:p>
        </w:tc>
        <w:tc>
          <w:tcPr>
            <w:tcW w:w="1580" w:type="dxa"/>
            <w:shd w:val="clear" w:color="auto" w:fill="auto"/>
            <w:vAlign w:val="center"/>
            <w:hideMark/>
          </w:tcPr>
          <w:p w14:paraId="7970D0FA" w14:textId="77777777" w:rsidR="00BB6B42" w:rsidRPr="00207793" w:rsidRDefault="00BB6B42" w:rsidP="007768B8">
            <w:pPr>
              <w:keepLines/>
              <w:snapToGrid w:val="0"/>
              <w:spacing w:line="240" w:lineRule="exact"/>
              <w:ind w:right="0"/>
              <w:jc w:val="center"/>
              <w:rPr>
                <w:sz w:val="20"/>
                <w:szCs w:val="20"/>
              </w:rPr>
            </w:pPr>
            <w:r w:rsidRPr="00207793">
              <w:rPr>
                <w:sz w:val="20"/>
                <w:szCs w:val="20"/>
              </w:rPr>
              <w:t>57</w:t>
            </w:r>
          </w:p>
        </w:tc>
      </w:tr>
      <w:tr w:rsidR="00BB6B42" w:rsidRPr="00207793" w14:paraId="421DEBFB" w14:textId="77777777" w:rsidTr="0069630A">
        <w:trPr>
          <w:cantSplit/>
          <w:trHeight w:val="340"/>
          <w:tblHeader/>
          <w:jc w:val="center"/>
        </w:trPr>
        <w:tc>
          <w:tcPr>
            <w:tcW w:w="1760" w:type="dxa"/>
            <w:shd w:val="clear" w:color="auto" w:fill="auto"/>
            <w:vAlign w:val="center"/>
            <w:hideMark/>
          </w:tcPr>
          <w:p w14:paraId="4A6D22BE" w14:textId="77777777" w:rsidR="00BB6B42" w:rsidRPr="00207793" w:rsidRDefault="00BB6B42" w:rsidP="007768B8">
            <w:pPr>
              <w:keepLines/>
              <w:snapToGrid w:val="0"/>
              <w:spacing w:line="240" w:lineRule="exact"/>
              <w:ind w:right="0"/>
              <w:jc w:val="center"/>
              <w:rPr>
                <w:sz w:val="20"/>
                <w:szCs w:val="20"/>
              </w:rPr>
            </w:pPr>
            <w:r w:rsidRPr="00207793">
              <w:rPr>
                <w:sz w:val="20"/>
                <w:szCs w:val="20"/>
              </w:rPr>
              <w:t>2003</w:t>
            </w:r>
          </w:p>
        </w:tc>
        <w:tc>
          <w:tcPr>
            <w:tcW w:w="1580" w:type="dxa"/>
            <w:shd w:val="clear" w:color="auto" w:fill="auto"/>
            <w:vAlign w:val="center"/>
            <w:hideMark/>
          </w:tcPr>
          <w:p w14:paraId="57DA9D6D" w14:textId="77777777" w:rsidR="00BB6B42" w:rsidRPr="00207793" w:rsidRDefault="00BB6B42" w:rsidP="007768B8">
            <w:pPr>
              <w:keepLines/>
              <w:snapToGrid w:val="0"/>
              <w:spacing w:line="240" w:lineRule="exact"/>
              <w:ind w:right="0"/>
              <w:jc w:val="center"/>
              <w:rPr>
                <w:sz w:val="20"/>
                <w:szCs w:val="20"/>
              </w:rPr>
            </w:pPr>
            <w:r w:rsidRPr="00207793">
              <w:rPr>
                <w:sz w:val="20"/>
                <w:szCs w:val="20"/>
              </w:rPr>
              <w:t>32</w:t>
            </w:r>
          </w:p>
        </w:tc>
        <w:tc>
          <w:tcPr>
            <w:tcW w:w="1580" w:type="dxa"/>
            <w:shd w:val="clear" w:color="auto" w:fill="auto"/>
            <w:vAlign w:val="center"/>
            <w:hideMark/>
          </w:tcPr>
          <w:p w14:paraId="78D64698" w14:textId="77777777" w:rsidR="00BB6B42" w:rsidRPr="00207793" w:rsidRDefault="00BB6B42" w:rsidP="007768B8">
            <w:pPr>
              <w:keepLines/>
              <w:snapToGrid w:val="0"/>
              <w:spacing w:line="240" w:lineRule="exact"/>
              <w:ind w:right="0"/>
              <w:jc w:val="center"/>
              <w:rPr>
                <w:sz w:val="20"/>
                <w:szCs w:val="20"/>
              </w:rPr>
            </w:pPr>
            <w:r w:rsidRPr="00207793">
              <w:rPr>
                <w:sz w:val="20"/>
                <w:szCs w:val="20"/>
              </w:rPr>
              <w:t>21</w:t>
            </w:r>
          </w:p>
        </w:tc>
        <w:tc>
          <w:tcPr>
            <w:tcW w:w="1580" w:type="dxa"/>
            <w:shd w:val="clear" w:color="auto" w:fill="auto"/>
            <w:vAlign w:val="center"/>
            <w:hideMark/>
          </w:tcPr>
          <w:p w14:paraId="4F5F39EB" w14:textId="77777777" w:rsidR="00BB6B42" w:rsidRPr="00207793" w:rsidRDefault="00BB6B42" w:rsidP="007768B8">
            <w:pPr>
              <w:keepLines/>
              <w:snapToGrid w:val="0"/>
              <w:spacing w:line="240" w:lineRule="exact"/>
              <w:ind w:right="0"/>
              <w:jc w:val="center"/>
              <w:rPr>
                <w:sz w:val="20"/>
                <w:szCs w:val="20"/>
              </w:rPr>
            </w:pPr>
            <w:r w:rsidRPr="00207793">
              <w:rPr>
                <w:sz w:val="20"/>
                <w:szCs w:val="20"/>
              </w:rPr>
              <w:t>10</w:t>
            </w:r>
          </w:p>
        </w:tc>
        <w:tc>
          <w:tcPr>
            <w:tcW w:w="1580" w:type="dxa"/>
            <w:shd w:val="clear" w:color="auto" w:fill="auto"/>
            <w:vAlign w:val="center"/>
            <w:hideMark/>
          </w:tcPr>
          <w:p w14:paraId="133DBA3A" w14:textId="77777777" w:rsidR="00BB6B42" w:rsidRPr="00207793" w:rsidRDefault="00BB6B42" w:rsidP="007768B8">
            <w:pPr>
              <w:keepLines/>
              <w:snapToGrid w:val="0"/>
              <w:spacing w:line="240" w:lineRule="exact"/>
              <w:ind w:right="0"/>
              <w:jc w:val="center"/>
              <w:rPr>
                <w:sz w:val="20"/>
                <w:szCs w:val="20"/>
              </w:rPr>
            </w:pPr>
            <w:r w:rsidRPr="00207793">
              <w:rPr>
                <w:sz w:val="20"/>
                <w:szCs w:val="20"/>
              </w:rPr>
              <w:t>66</w:t>
            </w:r>
          </w:p>
        </w:tc>
      </w:tr>
      <w:tr w:rsidR="00BB6B42" w:rsidRPr="00207793" w14:paraId="5565C5E1" w14:textId="77777777" w:rsidTr="0069630A">
        <w:trPr>
          <w:cantSplit/>
          <w:trHeight w:val="340"/>
          <w:tblHeader/>
          <w:jc w:val="center"/>
        </w:trPr>
        <w:tc>
          <w:tcPr>
            <w:tcW w:w="1760" w:type="dxa"/>
            <w:shd w:val="clear" w:color="auto" w:fill="auto"/>
            <w:vAlign w:val="center"/>
            <w:hideMark/>
          </w:tcPr>
          <w:p w14:paraId="10F2DCC5" w14:textId="77777777" w:rsidR="00BB6B42" w:rsidRPr="00207793" w:rsidRDefault="00BB6B42" w:rsidP="007768B8">
            <w:pPr>
              <w:keepLines/>
              <w:snapToGrid w:val="0"/>
              <w:spacing w:line="240" w:lineRule="exact"/>
              <w:ind w:right="0"/>
              <w:jc w:val="center"/>
              <w:rPr>
                <w:sz w:val="20"/>
                <w:szCs w:val="20"/>
              </w:rPr>
            </w:pPr>
            <w:r w:rsidRPr="00207793">
              <w:rPr>
                <w:sz w:val="20"/>
                <w:szCs w:val="20"/>
              </w:rPr>
              <w:t>2004</w:t>
            </w:r>
          </w:p>
        </w:tc>
        <w:tc>
          <w:tcPr>
            <w:tcW w:w="1580" w:type="dxa"/>
            <w:shd w:val="clear" w:color="auto" w:fill="auto"/>
            <w:vAlign w:val="center"/>
            <w:hideMark/>
          </w:tcPr>
          <w:p w14:paraId="500C2A36" w14:textId="77777777" w:rsidR="00BB6B42" w:rsidRPr="00207793" w:rsidRDefault="00BB6B42" w:rsidP="007768B8">
            <w:pPr>
              <w:keepLines/>
              <w:snapToGrid w:val="0"/>
              <w:spacing w:line="240" w:lineRule="exact"/>
              <w:ind w:right="0"/>
              <w:jc w:val="center"/>
              <w:rPr>
                <w:sz w:val="20"/>
                <w:szCs w:val="20"/>
              </w:rPr>
            </w:pPr>
            <w:r w:rsidRPr="00207793">
              <w:rPr>
                <w:sz w:val="20"/>
                <w:szCs w:val="20"/>
              </w:rPr>
              <w:t>30</w:t>
            </w:r>
          </w:p>
        </w:tc>
        <w:tc>
          <w:tcPr>
            <w:tcW w:w="1580" w:type="dxa"/>
            <w:shd w:val="clear" w:color="auto" w:fill="auto"/>
            <w:vAlign w:val="center"/>
            <w:hideMark/>
          </w:tcPr>
          <w:p w14:paraId="7DBC3FBE" w14:textId="77777777" w:rsidR="00BB6B42" w:rsidRPr="00207793" w:rsidRDefault="00BB6B42" w:rsidP="007768B8">
            <w:pPr>
              <w:keepLines/>
              <w:snapToGrid w:val="0"/>
              <w:spacing w:line="240" w:lineRule="exact"/>
              <w:ind w:right="0"/>
              <w:jc w:val="center"/>
              <w:rPr>
                <w:sz w:val="20"/>
                <w:szCs w:val="20"/>
              </w:rPr>
            </w:pPr>
            <w:r w:rsidRPr="00207793">
              <w:rPr>
                <w:sz w:val="20"/>
                <w:szCs w:val="20"/>
              </w:rPr>
              <w:t>16</w:t>
            </w:r>
          </w:p>
        </w:tc>
        <w:tc>
          <w:tcPr>
            <w:tcW w:w="1580" w:type="dxa"/>
            <w:shd w:val="clear" w:color="auto" w:fill="auto"/>
            <w:vAlign w:val="center"/>
            <w:hideMark/>
          </w:tcPr>
          <w:p w14:paraId="39E64BF8" w14:textId="77777777" w:rsidR="00BB6B42" w:rsidRPr="00207793" w:rsidRDefault="00BB6B42" w:rsidP="007768B8">
            <w:pPr>
              <w:keepLines/>
              <w:snapToGrid w:val="0"/>
              <w:spacing w:line="240" w:lineRule="exact"/>
              <w:ind w:right="0"/>
              <w:jc w:val="center"/>
              <w:rPr>
                <w:sz w:val="20"/>
                <w:szCs w:val="20"/>
              </w:rPr>
            </w:pPr>
            <w:r w:rsidRPr="00207793">
              <w:rPr>
                <w:sz w:val="20"/>
                <w:szCs w:val="20"/>
              </w:rPr>
              <w:t>16</w:t>
            </w:r>
          </w:p>
        </w:tc>
        <w:tc>
          <w:tcPr>
            <w:tcW w:w="1580" w:type="dxa"/>
            <w:shd w:val="clear" w:color="auto" w:fill="auto"/>
            <w:vAlign w:val="center"/>
            <w:hideMark/>
          </w:tcPr>
          <w:p w14:paraId="52FD2AF4" w14:textId="77777777" w:rsidR="00BB6B42" w:rsidRPr="00207793" w:rsidRDefault="00BB6B42" w:rsidP="007768B8">
            <w:pPr>
              <w:keepLines/>
              <w:snapToGrid w:val="0"/>
              <w:spacing w:line="240" w:lineRule="exact"/>
              <w:ind w:right="0"/>
              <w:jc w:val="center"/>
              <w:rPr>
                <w:sz w:val="20"/>
                <w:szCs w:val="20"/>
              </w:rPr>
            </w:pPr>
            <w:r w:rsidRPr="00207793">
              <w:rPr>
                <w:sz w:val="20"/>
                <w:szCs w:val="20"/>
              </w:rPr>
              <w:t>63</w:t>
            </w:r>
          </w:p>
        </w:tc>
      </w:tr>
      <w:tr w:rsidR="00BB6B42" w:rsidRPr="00207793" w14:paraId="3B46449E" w14:textId="77777777" w:rsidTr="0069630A">
        <w:trPr>
          <w:cantSplit/>
          <w:trHeight w:val="340"/>
          <w:tblHeader/>
          <w:jc w:val="center"/>
        </w:trPr>
        <w:tc>
          <w:tcPr>
            <w:tcW w:w="1760" w:type="dxa"/>
            <w:shd w:val="clear" w:color="auto" w:fill="auto"/>
            <w:vAlign w:val="center"/>
            <w:hideMark/>
          </w:tcPr>
          <w:p w14:paraId="3C653084" w14:textId="77777777" w:rsidR="00BB6B42" w:rsidRPr="00207793" w:rsidRDefault="00BB6B42" w:rsidP="007768B8">
            <w:pPr>
              <w:keepLines/>
              <w:snapToGrid w:val="0"/>
              <w:spacing w:line="240" w:lineRule="exact"/>
              <w:ind w:right="0"/>
              <w:jc w:val="center"/>
              <w:rPr>
                <w:sz w:val="20"/>
                <w:szCs w:val="20"/>
              </w:rPr>
            </w:pPr>
            <w:r w:rsidRPr="00207793">
              <w:rPr>
                <w:sz w:val="20"/>
                <w:szCs w:val="20"/>
              </w:rPr>
              <w:t>2005</w:t>
            </w:r>
          </w:p>
        </w:tc>
        <w:tc>
          <w:tcPr>
            <w:tcW w:w="1580" w:type="dxa"/>
            <w:shd w:val="clear" w:color="auto" w:fill="auto"/>
            <w:vAlign w:val="center"/>
            <w:hideMark/>
          </w:tcPr>
          <w:p w14:paraId="11030163" w14:textId="77777777" w:rsidR="00BB6B42" w:rsidRPr="00207793" w:rsidRDefault="00BB6B42" w:rsidP="007768B8">
            <w:pPr>
              <w:keepLines/>
              <w:snapToGrid w:val="0"/>
              <w:spacing w:line="240" w:lineRule="exact"/>
              <w:ind w:right="0"/>
              <w:jc w:val="center"/>
              <w:rPr>
                <w:sz w:val="20"/>
                <w:szCs w:val="20"/>
              </w:rPr>
            </w:pPr>
            <w:r w:rsidRPr="00207793">
              <w:rPr>
                <w:sz w:val="20"/>
                <w:szCs w:val="20"/>
              </w:rPr>
              <w:t>41</w:t>
            </w:r>
          </w:p>
        </w:tc>
        <w:tc>
          <w:tcPr>
            <w:tcW w:w="1580" w:type="dxa"/>
            <w:shd w:val="clear" w:color="auto" w:fill="auto"/>
            <w:vAlign w:val="center"/>
            <w:hideMark/>
          </w:tcPr>
          <w:p w14:paraId="3B58E6BE" w14:textId="77777777" w:rsidR="00BB6B42" w:rsidRPr="00207793" w:rsidRDefault="00BB6B42" w:rsidP="007768B8">
            <w:pPr>
              <w:keepLines/>
              <w:snapToGrid w:val="0"/>
              <w:spacing w:line="240" w:lineRule="exact"/>
              <w:ind w:right="0"/>
              <w:jc w:val="center"/>
              <w:rPr>
                <w:sz w:val="20"/>
                <w:szCs w:val="20"/>
              </w:rPr>
            </w:pPr>
            <w:r w:rsidRPr="00207793">
              <w:rPr>
                <w:sz w:val="20"/>
                <w:szCs w:val="20"/>
              </w:rPr>
              <w:t>12</w:t>
            </w:r>
          </w:p>
        </w:tc>
        <w:tc>
          <w:tcPr>
            <w:tcW w:w="1580" w:type="dxa"/>
            <w:shd w:val="clear" w:color="auto" w:fill="auto"/>
            <w:vAlign w:val="center"/>
            <w:hideMark/>
          </w:tcPr>
          <w:p w14:paraId="5C98CE34" w14:textId="77777777" w:rsidR="00BB6B42" w:rsidRPr="00207793" w:rsidRDefault="00BB6B42" w:rsidP="007768B8">
            <w:pPr>
              <w:keepLines/>
              <w:snapToGrid w:val="0"/>
              <w:spacing w:line="240" w:lineRule="exact"/>
              <w:ind w:right="0"/>
              <w:jc w:val="center"/>
              <w:rPr>
                <w:sz w:val="20"/>
                <w:szCs w:val="20"/>
              </w:rPr>
            </w:pPr>
            <w:r w:rsidRPr="00207793">
              <w:rPr>
                <w:sz w:val="20"/>
                <w:szCs w:val="20"/>
              </w:rPr>
              <w:t>22</w:t>
            </w:r>
          </w:p>
        </w:tc>
        <w:tc>
          <w:tcPr>
            <w:tcW w:w="1580" w:type="dxa"/>
            <w:shd w:val="clear" w:color="auto" w:fill="auto"/>
            <w:vAlign w:val="center"/>
            <w:hideMark/>
          </w:tcPr>
          <w:p w14:paraId="6D2B9028" w14:textId="77777777" w:rsidR="00BB6B42" w:rsidRPr="00207793" w:rsidRDefault="00BB6B42" w:rsidP="007768B8">
            <w:pPr>
              <w:keepLines/>
              <w:snapToGrid w:val="0"/>
              <w:spacing w:line="240" w:lineRule="exact"/>
              <w:ind w:right="0"/>
              <w:jc w:val="center"/>
              <w:rPr>
                <w:sz w:val="20"/>
                <w:szCs w:val="20"/>
              </w:rPr>
            </w:pPr>
            <w:r w:rsidRPr="00207793">
              <w:rPr>
                <w:sz w:val="20"/>
                <w:szCs w:val="20"/>
              </w:rPr>
              <w:t>77</w:t>
            </w:r>
          </w:p>
        </w:tc>
      </w:tr>
      <w:tr w:rsidR="00BB6B42" w:rsidRPr="00207793" w14:paraId="656423C0" w14:textId="77777777" w:rsidTr="0069630A">
        <w:trPr>
          <w:cantSplit/>
          <w:trHeight w:val="340"/>
          <w:tblHeader/>
          <w:jc w:val="center"/>
        </w:trPr>
        <w:tc>
          <w:tcPr>
            <w:tcW w:w="1760" w:type="dxa"/>
            <w:shd w:val="clear" w:color="auto" w:fill="auto"/>
            <w:vAlign w:val="center"/>
            <w:hideMark/>
          </w:tcPr>
          <w:p w14:paraId="11C3456E" w14:textId="77777777" w:rsidR="00BB6B42" w:rsidRPr="00207793" w:rsidRDefault="00BB6B42" w:rsidP="007768B8">
            <w:pPr>
              <w:keepLines/>
              <w:snapToGrid w:val="0"/>
              <w:spacing w:line="240" w:lineRule="exact"/>
              <w:ind w:right="0"/>
              <w:jc w:val="center"/>
              <w:rPr>
                <w:sz w:val="20"/>
                <w:szCs w:val="20"/>
              </w:rPr>
            </w:pPr>
            <w:r w:rsidRPr="00207793">
              <w:rPr>
                <w:sz w:val="20"/>
                <w:szCs w:val="20"/>
              </w:rPr>
              <w:t>2006</w:t>
            </w:r>
          </w:p>
        </w:tc>
        <w:tc>
          <w:tcPr>
            <w:tcW w:w="1580" w:type="dxa"/>
            <w:shd w:val="clear" w:color="auto" w:fill="auto"/>
            <w:vAlign w:val="center"/>
            <w:hideMark/>
          </w:tcPr>
          <w:p w14:paraId="0B4B533F" w14:textId="77777777" w:rsidR="00BB6B42" w:rsidRPr="00207793" w:rsidRDefault="00BB6B42" w:rsidP="007768B8">
            <w:pPr>
              <w:keepLines/>
              <w:snapToGrid w:val="0"/>
              <w:spacing w:line="240" w:lineRule="exact"/>
              <w:ind w:right="0"/>
              <w:jc w:val="center"/>
              <w:rPr>
                <w:sz w:val="20"/>
                <w:szCs w:val="20"/>
              </w:rPr>
            </w:pPr>
            <w:r w:rsidRPr="00207793">
              <w:rPr>
                <w:sz w:val="20"/>
                <w:szCs w:val="20"/>
              </w:rPr>
              <w:t>51</w:t>
            </w:r>
          </w:p>
        </w:tc>
        <w:tc>
          <w:tcPr>
            <w:tcW w:w="1580" w:type="dxa"/>
            <w:shd w:val="clear" w:color="auto" w:fill="auto"/>
            <w:vAlign w:val="center"/>
            <w:hideMark/>
          </w:tcPr>
          <w:p w14:paraId="63C559E6" w14:textId="77777777" w:rsidR="00BB6B42" w:rsidRPr="00207793" w:rsidRDefault="00BB6B42" w:rsidP="007768B8">
            <w:pPr>
              <w:keepLines/>
              <w:snapToGrid w:val="0"/>
              <w:spacing w:line="240" w:lineRule="exact"/>
              <w:ind w:right="0"/>
              <w:jc w:val="center"/>
              <w:rPr>
                <w:sz w:val="20"/>
                <w:szCs w:val="20"/>
              </w:rPr>
            </w:pPr>
            <w:r w:rsidRPr="00207793">
              <w:rPr>
                <w:sz w:val="20"/>
                <w:szCs w:val="20"/>
              </w:rPr>
              <w:t>18</w:t>
            </w:r>
          </w:p>
        </w:tc>
        <w:tc>
          <w:tcPr>
            <w:tcW w:w="1580" w:type="dxa"/>
            <w:shd w:val="clear" w:color="auto" w:fill="auto"/>
            <w:vAlign w:val="center"/>
            <w:hideMark/>
          </w:tcPr>
          <w:p w14:paraId="2516A75F" w14:textId="77777777" w:rsidR="00BB6B42" w:rsidRPr="00207793" w:rsidRDefault="00BB6B42" w:rsidP="007768B8">
            <w:pPr>
              <w:keepLines/>
              <w:snapToGrid w:val="0"/>
              <w:spacing w:line="240" w:lineRule="exact"/>
              <w:ind w:right="0"/>
              <w:jc w:val="center"/>
              <w:rPr>
                <w:sz w:val="20"/>
                <w:szCs w:val="20"/>
              </w:rPr>
            </w:pPr>
            <w:r w:rsidRPr="00207793">
              <w:rPr>
                <w:sz w:val="20"/>
                <w:szCs w:val="20"/>
              </w:rPr>
              <w:t>9</w:t>
            </w:r>
          </w:p>
        </w:tc>
        <w:tc>
          <w:tcPr>
            <w:tcW w:w="1580" w:type="dxa"/>
            <w:shd w:val="clear" w:color="auto" w:fill="auto"/>
            <w:vAlign w:val="center"/>
            <w:hideMark/>
          </w:tcPr>
          <w:p w14:paraId="711FA0AE" w14:textId="77777777" w:rsidR="00BB6B42" w:rsidRPr="00207793" w:rsidRDefault="00BB6B42" w:rsidP="007768B8">
            <w:pPr>
              <w:keepLines/>
              <w:snapToGrid w:val="0"/>
              <w:spacing w:line="240" w:lineRule="exact"/>
              <w:ind w:right="0"/>
              <w:jc w:val="center"/>
              <w:rPr>
                <w:sz w:val="20"/>
                <w:szCs w:val="20"/>
              </w:rPr>
            </w:pPr>
            <w:r w:rsidRPr="00207793">
              <w:rPr>
                <w:sz w:val="20"/>
                <w:szCs w:val="20"/>
              </w:rPr>
              <w:t>82</w:t>
            </w:r>
          </w:p>
        </w:tc>
      </w:tr>
      <w:tr w:rsidR="00BB6B42" w:rsidRPr="00207793" w14:paraId="3F4FD321" w14:textId="77777777" w:rsidTr="0069630A">
        <w:trPr>
          <w:cantSplit/>
          <w:trHeight w:val="340"/>
          <w:tblHeader/>
          <w:jc w:val="center"/>
        </w:trPr>
        <w:tc>
          <w:tcPr>
            <w:tcW w:w="1760" w:type="dxa"/>
            <w:shd w:val="clear" w:color="auto" w:fill="auto"/>
            <w:vAlign w:val="center"/>
            <w:hideMark/>
          </w:tcPr>
          <w:p w14:paraId="4DBC765C" w14:textId="77777777" w:rsidR="00BB6B42" w:rsidRPr="00207793" w:rsidRDefault="00BB6B42" w:rsidP="007768B8">
            <w:pPr>
              <w:keepLines/>
              <w:snapToGrid w:val="0"/>
              <w:spacing w:line="240" w:lineRule="exact"/>
              <w:ind w:right="0"/>
              <w:jc w:val="center"/>
              <w:rPr>
                <w:sz w:val="20"/>
                <w:szCs w:val="20"/>
              </w:rPr>
            </w:pPr>
            <w:r w:rsidRPr="00207793">
              <w:rPr>
                <w:sz w:val="20"/>
                <w:szCs w:val="20"/>
              </w:rPr>
              <w:t>2007</w:t>
            </w:r>
          </w:p>
        </w:tc>
        <w:tc>
          <w:tcPr>
            <w:tcW w:w="1580" w:type="dxa"/>
            <w:shd w:val="clear" w:color="auto" w:fill="auto"/>
            <w:vAlign w:val="center"/>
            <w:hideMark/>
          </w:tcPr>
          <w:p w14:paraId="521579B1" w14:textId="77777777" w:rsidR="00BB6B42" w:rsidRPr="00207793" w:rsidRDefault="00BB6B42" w:rsidP="007768B8">
            <w:pPr>
              <w:keepLines/>
              <w:snapToGrid w:val="0"/>
              <w:spacing w:line="240" w:lineRule="exact"/>
              <w:ind w:right="0"/>
              <w:jc w:val="center"/>
              <w:rPr>
                <w:sz w:val="20"/>
                <w:szCs w:val="20"/>
              </w:rPr>
            </w:pPr>
            <w:r w:rsidRPr="00207793">
              <w:rPr>
                <w:sz w:val="20"/>
                <w:szCs w:val="20"/>
              </w:rPr>
              <w:t>47</w:t>
            </w:r>
          </w:p>
        </w:tc>
        <w:tc>
          <w:tcPr>
            <w:tcW w:w="1580" w:type="dxa"/>
            <w:shd w:val="clear" w:color="auto" w:fill="auto"/>
            <w:vAlign w:val="center"/>
            <w:hideMark/>
          </w:tcPr>
          <w:p w14:paraId="1CEA6613" w14:textId="77777777" w:rsidR="00BB6B42" w:rsidRPr="00207793" w:rsidRDefault="00BB6B42" w:rsidP="007768B8">
            <w:pPr>
              <w:keepLines/>
              <w:snapToGrid w:val="0"/>
              <w:spacing w:line="240" w:lineRule="exact"/>
              <w:ind w:right="0"/>
              <w:jc w:val="center"/>
              <w:rPr>
                <w:sz w:val="20"/>
                <w:szCs w:val="20"/>
              </w:rPr>
            </w:pPr>
            <w:r w:rsidRPr="00207793">
              <w:rPr>
                <w:sz w:val="20"/>
                <w:szCs w:val="20"/>
              </w:rPr>
              <w:t>7</w:t>
            </w:r>
          </w:p>
        </w:tc>
        <w:tc>
          <w:tcPr>
            <w:tcW w:w="1580" w:type="dxa"/>
            <w:shd w:val="clear" w:color="auto" w:fill="auto"/>
            <w:vAlign w:val="center"/>
            <w:hideMark/>
          </w:tcPr>
          <w:p w14:paraId="675ABA85" w14:textId="77777777" w:rsidR="00BB6B42" w:rsidRPr="00207793" w:rsidRDefault="00BB6B42" w:rsidP="007768B8">
            <w:pPr>
              <w:keepLines/>
              <w:snapToGrid w:val="0"/>
              <w:spacing w:line="240" w:lineRule="exact"/>
              <w:ind w:right="0"/>
              <w:jc w:val="center"/>
              <w:rPr>
                <w:sz w:val="20"/>
                <w:szCs w:val="20"/>
              </w:rPr>
            </w:pPr>
            <w:r w:rsidRPr="00207793">
              <w:rPr>
                <w:sz w:val="20"/>
                <w:szCs w:val="20"/>
              </w:rPr>
              <w:t>14</w:t>
            </w:r>
          </w:p>
        </w:tc>
        <w:tc>
          <w:tcPr>
            <w:tcW w:w="1580" w:type="dxa"/>
            <w:shd w:val="clear" w:color="auto" w:fill="auto"/>
            <w:vAlign w:val="center"/>
            <w:hideMark/>
          </w:tcPr>
          <w:p w14:paraId="1EB2756F" w14:textId="77777777" w:rsidR="00BB6B42" w:rsidRPr="00207793" w:rsidRDefault="00BB6B42" w:rsidP="007768B8">
            <w:pPr>
              <w:keepLines/>
              <w:snapToGrid w:val="0"/>
              <w:spacing w:line="240" w:lineRule="exact"/>
              <w:ind w:right="0"/>
              <w:jc w:val="center"/>
              <w:rPr>
                <w:sz w:val="20"/>
                <w:szCs w:val="20"/>
              </w:rPr>
            </w:pPr>
            <w:r w:rsidRPr="00207793">
              <w:rPr>
                <w:sz w:val="20"/>
                <w:szCs w:val="20"/>
              </w:rPr>
              <w:t>69</w:t>
            </w:r>
          </w:p>
        </w:tc>
      </w:tr>
      <w:tr w:rsidR="00BB6B42" w:rsidRPr="00207793" w14:paraId="1EB38A71" w14:textId="77777777" w:rsidTr="0069630A">
        <w:trPr>
          <w:cantSplit/>
          <w:trHeight w:val="340"/>
          <w:tblHeader/>
          <w:jc w:val="center"/>
        </w:trPr>
        <w:tc>
          <w:tcPr>
            <w:tcW w:w="1760" w:type="dxa"/>
            <w:shd w:val="clear" w:color="auto" w:fill="auto"/>
            <w:vAlign w:val="center"/>
            <w:hideMark/>
          </w:tcPr>
          <w:p w14:paraId="74636E7B" w14:textId="77777777" w:rsidR="00BB6B42" w:rsidRPr="00207793" w:rsidRDefault="00BB6B42" w:rsidP="007768B8">
            <w:pPr>
              <w:keepLines/>
              <w:snapToGrid w:val="0"/>
              <w:spacing w:line="240" w:lineRule="exact"/>
              <w:ind w:right="0"/>
              <w:jc w:val="center"/>
              <w:rPr>
                <w:sz w:val="20"/>
                <w:szCs w:val="20"/>
              </w:rPr>
            </w:pPr>
            <w:r w:rsidRPr="00207793">
              <w:rPr>
                <w:sz w:val="20"/>
                <w:szCs w:val="20"/>
              </w:rPr>
              <w:t>2008</w:t>
            </w:r>
          </w:p>
        </w:tc>
        <w:tc>
          <w:tcPr>
            <w:tcW w:w="1580" w:type="dxa"/>
            <w:shd w:val="clear" w:color="auto" w:fill="auto"/>
            <w:vAlign w:val="center"/>
            <w:hideMark/>
          </w:tcPr>
          <w:p w14:paraId="25924831" w14:textId="77777777" w:rsidR="00BB6B42" w:rsidRPr="00207793" w:rsidRDefault="00BB6B42" w:rsidP="007768B8">
            <w:pPr>
              <w:keepLines/>
              <w:snapToGrid w:val="0"/>
              <w:spacing w:line="240" w:lineRule="exact"/>
              <w:ind w:right="0"/>
              <w:jc w:val="center"/>
              <w:rPr>
                <w:sz w:val="20"/>
                <w:szCs w:val="20"/>
              </w:rPr>
            </w:pPr>
            <w:r w:rsidRPr="00207793">
              <w:rPr>
                <w:sz w:val="20"/>
                <w:szCs w:val="20"/>
              </w:rPr>
              <w:t>30</w:t>
            </w:r>
          </w:p>
        </w:tc>
        <w:tc>
          <w:tcPr>
            <w:tcW w:w="1580" w:type="dxa"/>
            <w:shd w:val="clear" w:color="auto" w:fill="auto"/>
            <w:vAlign w:val="center"/>
            <w:hideMark/>
          </w:tcPr>
          <w:p w14:paraId="77E83BAA" w14:textId="77777777" w:rsidR="00BB6B42" w:rsidRPr="00207793" w:rsidRDefault="00BB6B42" w:rsidP="007768B8">
            <w:pPr>
              <w:keepLines/>
              <w:snapToGrid w:val="0"/>
              <w:spacing w:line="240" w:lineRule="exact"/>
              <w:ind w:right="0"/>
              <w:jc w:val="center"/>
              <w:rPr>
                <w:sz w:val="20"/>
                <w:szCs w:val="20"/>
              </w:rPr>
            </w:pPr>
            <w:r w:rsidRPr="00207793">
              <w:rPr>
                <w:sz w:val="20"/>
                <w:szCs w:val="20"/>
              </w:rPr>
              <w:t>4</w:t>
            </w:r>
          </w:p>
        </w:tc>
        <w:tc>
          <w:tcPr>
            <w:tcW w:w="1580" w:type="dxa"/>
            <w:shd w:val="clear" w:color="auto" w:fill="auto"/>
            <w:vAlign w:val="center"/>
            <w:hideMark/>
          </w:tcPr>
          <w:p w14:paraId="2345EDFB" w14:textId="77777777" w:rsidR="00BB6B42" w:rsidRPr="00207793" w:rsidRDefault="00BB6B42" w:rsidP="007768B8">
            <w:pPr>
              <w:keepLines/>
              <w:snapToGrid w:val="0"/>
              <w:spacing w:line="240" w:lineRule="exact"/>
              <w:ind w:right="0"/>
              <w:jc w:val="center"/>
              <w:rPr>
                <w:sz w:val="20"/>
                <w:szCs w:val="20"/>
              </w:rPr>
            </w:pPr>
            <w:r w:rsidRPr="00207793">
              <w:rPr>
                <w:sz w:val="20"/>
                <w:szCs w:val="20"/>
              </w:rPr>
              <w:t>7</w:t>
            </w:r>
          </w:p>
        </w:tc>
        <w:tc>
          <w:tcPr>
            <w:tcW w:w="1580" w:type="dxa"/>
            <w:shd w:val="clear" w:color="auto" w:fill="auto"/>
            <w:vAlign w:val="center"/>
            <w:hideMark/>
          </w:tcPr>
          <w:p w14:paraId="4CC78E86" w14:textId="77777777" w:rsidR="00BB6B42" w:rsidRPr="00207793" w:rsidRDefault="00BB6B42" w:rsidP="007768B8">
            <w:pPr>
              <w:keepLines/>
              <w:snapToGrid w:val="0"/>
              <w:spacing w:line="240" w:lineRule="exact"/>
              <w:ind w:right="0"/>
              <w:jc w:val="center"/>
              <w:rPr>
                <w:sz w:val="20"/>
                <w:szCs w:val="20"/>
              </w:rPr>
            </w:pPr>
            <w:r w:rsidRPr="00207793">
              <w:rPr>
                <w:sz w:val="20"/>
                <w:szCs w:val="20"/>
              </w:rPr>
              <w:t>43</w:t>
            </w:r>
          </w:p>
        </w:tc>
      </w:tr>
      <w:tr w:rsidR="00BB6B42" w:rsidRPr="00207793" w14:paraId="45CDBF54" w14:textId="77777777" w:rsidTr="0069630A">
        <w:trPr>
          <w:cantSplit/>
          <w:trHeight w:val="340"/>
          <w:tblHeader/>
          <w:jc w:val="center"/>
        </w:trPr>
        <w:tc>
          <w:tcPr>
            <w:tcW w:w="1760" w:type="dxa"/>
            <w:shd w:val="clear" w:color="auto" w:fill="auto"/>
            <w:vAlign w:val="center"/>
            <w:hideMark/>
          </w:tcPr>
          <w:p w14:paraId="68D2C9C5" w14:textId="77777777" w:rsidR="00BB6B42" w:rsidRPr="00207793" w:rsidRDefault="00BB6B42" w:rsidP="007768B8">
            <w:pPr>
              <w:keepLines/>
              <w:snapToGrid w:val="0"/>
              <w:spacing w:line="240" w:lineRule="exact"/>
              <w:ind w:right="0"/>
              <w:jc w:val="center"/>
              <w:rPr>
                <w:sz w:val="20"/>
                <w:szCs w:val="20"/>
              </w:rPr>
            </w:pPr>
            <w:r w:rsidRPr="00207793">
              <w:rPr>
                <w:sz w:val="20"/>
                <w:szCs w:val="20"/>
              </w:rPr>
              <w:t>2009</w:t>
            </w:r>
          </w:p>
        </w:tc>
        <w:tc>
          <w:tcPr>
            <w:tcW w:w="1580" w:type="dxa"/>
            <w:shd w:val="clear" w:color="auto" w:fill="auto"/>
            <w:vAlign w:val="center"/>
            <w:hideMark/>
          </w:tcPr>
          <w:p w14:paraId="799377A9" w14:textId="77777777" w:rsidR="00BB6B42" w:rsidRPr="00207793" w:rsidRDefault="00BB6B42" w:rsidP="007768B8">
            <w:pPr>
              <w:keepLines/>
              <w:snapToGrid w:val="0"/>
              <w:spacing w:line="240" w:lineRule="exact"/>
              <w:ind w:right="0"/>
              <w:jc w:val="center"/>
              <w:rPr>
                <w:sz w:val="20"/>
                <w:szCs w:val="20"/>
              </w:rPr>
            </w:pPr>
            <w:r w:rsidRPr="00207793">
              <w:rPr>
                <w:sz w:val="20"/>
                <w:szCs w:val="20"/>
              </w:rPr>
              <w:t>21</w:t>
            </w:r>
          </w:p>
        </w:tc>
        <w:tc>
          <w:tcPr>
            <w:tcW w:w="1580" w:type="dxa"/>
            <w:shd w:val="clear" w:color="auto" w:fill="auto"/>
            <w:vAlign w:val="center"/>
            <w:hideMark/>
          </w:tcPr>
          <w:p w14:paraId="29627A38" w14:textId="77777777" w:rsidR="00BB6B42" w:rsidRPr="00207793" w:rsidRDefault="00BB6B42" w:rsidP="007768B8">
            <w:pPr>
              <w:keepLines/>
              <w:snapToGrid w:val="0"/>
              <w:spacing w:line="240" w:lineRule="exact"/>
              <w:ind w:right="0"/>
              <w:jc w:val="center"/>
              <w:rPr>
                <w:sz w:val="20"/>
                <w:szCs w:val="20"/>
              </w:rPr>
            </w:pPr>
            <w:r w:rsidRPr="00207793">
              <w:rPr>
                <w:sz w:val="20"/>
                <w:szCs w:val="20"/>
              </w:rPr>
              <w:t>10</w:t>
            </w:r>
          </w:p>
        </w:tc>
        <w:tc>
          <w:tcPr>
            <w:tcW w:w="1580" w:type="dxa"/>
            <w:shd w:val="clear" w:color="auto" w:fill="auto"/>
            <w:vAlign w:val="center"/>
            <w:hideMark/>
          </w:tcPr>
          <w:p w14:paraId="41F77881" w14:textId="77777777" w:rsidR="00BB6B42" w:rsidRPr="00207793" w:rsidRDefault="00BB6B42" w:rsidP="007768B8">
            <w:pPr>
              <w:keepLines/>
              <w:snapToGrid w:val="0"/>
              <w:spacing w:line="240" w:lineRule="exact"/>
              <w:ind w:right="0"/>
              <w:jc w:val="center"/>
              <w:rPr>
                <w:sz w:val="20"/>
                <w:szCs w:val="20"/>
              </w:rPr>
            </w:pPr>
            <w:r w:rsidRPr="00207793">
              <w:rPr>
                <w:sz w:val="20"/>
                <w:szCs w:val="20"/>
              </w:rPr>
              <w:t>9</w:t>
            </w:r>
          </w:p>
        </w:tc>
        <w:tc>
          <w:tcPr>
            <w:tcW w:w="1580" w:type="dxa"/>
            <w:shd w:val="clear" w:color="auto" w:fill="auto"/>
            <w:vAlign w:val="center"/>
            <w:hideMark/>
          </w:tcPr>
          <w:p w14:paraId="4DD6D59D" w14:textId="77777777" w:rsidR="00BB6B42" w:rsidRPr="00207793" w:rsidRDefault="00BB6B42" w:rsidP="007768B8">
            <w:pPr>
              <w:keepLines/>
              <w:snapToGrid w:val="0"/>
              <w:spacing w:line="240" w:lineRule="exact"/>
              <w:ind w:right="0"/>
              <w:jc w:val="center"/>
              <w:rPr>
                <w:sz w:val="20"/>
                <w:szCs w:val="20"/>
              </w:rPr>
            </w:pPr>
            <w:r w:rsidRPr="00207793">
              <w:rPr>
                <w:sz w:val="20"/>
                <w:szCs w:val="20"/>
              </w:rPr>
              <w:t>43</w:t>
            </w:r>
          </w:p>
        </w:tc>
      </w:tr>
      <w:tr w:rsidR="00BB6B42" w:rsidRPr="00207793" w14:paraId="616B2508" w14:textId="77777777" w:rsidTr="0069630A">
        <w:trPr>
          <w:cantSplit/>
          <w:trHeight w:val="340"/>
          <w:tblHeader/>
          <w:jc w:val="center"/>
        </w:trPr>
        <w:tc>
          <w:tcPr>
            <w:tcW w:w="1760" w:type="dxa"/>
            <w:shd w:val="clear" w:color="auto" w:fill="auto"/>
            <w:vAlign w:val="center"/>
            <w:hideMark/>
          </w:tcPr>
          <w:p w14:paraId="0131C473" w14:textId="77777777" w:rsidR="00BB6B42" w:rsidRPr="00207793" w:rsidRDefault="00BB6B42" w:rsidP="007768B8">
            <w:pPr>
              <w:keepLines/>
              <w:snapToGrid w:val="0"/>
              <w:spacing w:line="240" w:lineRule="exact"/>
              <w:ind w:right="0"/>
              <w:jc w:val="center"/>
              <w:rPr>
                <w:sz w:val="20"/>
                <w:szCs w:val="20"/>
              </w:rPr>
            </w:pPr>
            <w:r w:rsidRPr="00207793">
              <w:rPr>
                <w:sz w:val="20"/>
                <w:szCs w:val="20"/>
              </w:rPr>
              <w:t>2010</w:t>
            </w:r>
          </w:p>
        </w:tc>
        <w:tc>
          <w:tcPr>
            <w:tcW w:w="1580" w:type="dxa"/>
            <w:shd w:val="clear" w:color="auto" w:fill="auto"/>
            <w:vAlign w:val="center"/>
            <w:hideMark/>
          </w:tcPr>
          <w:p w14:paraId="6D4A1577" w14:textId="77777777" w:rsidR="00BB6B42" w:rsidRPr="00207793" w:rsidRDefault="00BB6B42" w:rsidP="007768B8">
            <w:pPr>
              <w:keepLines/>
              <w:snapToGrid w:val="0"/>
              <w:spacing w:line="240" w:lineRule="exact"/>
              <w:ind w:right="0"/>
              <w:jc w:val="center"/>
              <w:rPr>
                <w:sz w:val="20"/>
                <w:szCs w:val="20"/>
              </w:rPr>
            </w:pPr>
            <w:r w:rsidRPr="00207793">
              <w:rPr>
                <w:sz w:val="20"/>
                <w:szCs w:val="20"/>
              </w:rPr>
              <w:t>34</w:t>
            </w:r>
          </w:p>
        </w:tc>
        <w:tc>
          <w:tcPr>
            <w:tcW w:w="1580" w:type="dxa"/>
            <w:shd w:val="clear" w:color="auto" w:fill="auto"/>
            <w:vAlign w:val="center"/>
            <w:hideMark/>
          </w:tcPr>
          <w:p w14:paraId="4E265E15" w14:textId="77777777" w:rsidR="00BB6B42" w:rsidRPr="00207793" w:rsidRDefault="00BB6B42" w:rsidP="007768B8">
            <w:pPr>
              <w:keepLines/>
              <w:snapToGrid w:val="0"/>
              <w:spacing w:line="240" w:lineRule="exact"/>
              <w:ind w:right="0"/>
              <w:jc w:val="center"/>
              <w:rPr>
                <w:sz w:val="20"/>
                <w:szCs w:val="20"/>
              </w:rPr>
            </w:pPr>
            <w:r w:rsidRPr="00207793">
              <w:rPr>
                <w:sz w:val="20"/>
                <w:szCs w:val="20"/>
              </w:rPr>
              <w:t>7</w:t>
            </w:r>
          </w:p>
        </w:tc>
        <w:tc>
          <w:tcPr>
            <w:tcW w:w="1580" w:type="dxa"/>
            <w:shd w:val="clear" w:color="auto" w:fill="auto"/>
            <w:vAlign w:val="center"/>
            <w:hideMark/>
          </w:tcPr>
          <w:p w14:paraId="30F42791" w14:textId="77777777" w:rsidR="00BB6B42" w:rsidRPr="00207793" w:rsidRDefault="00BB6B42" w:rsidP="007768B8">
            <w:pPr>
              <w:keepLines/>
              <w:snapToGrid w:val="0"/>
              <w:spacing w:line="240" w:lineRule="exact"/>
              <w:ind w:right="0"/>
              <w:jc w:val="center"/>
              <w:rPr>
                <w:sz w:val="20"/>
                <w:szCs w:val="20"/>
              </w:rPr>
            </w:pPr>
            <w:r w:rsidRPr="00207793">
              <w:rPr>
                <w:sz w:val="20"/>
                <w:szCs w:val="20"/>
              </w:rPr>
              <w:t>9</w:t>
            </w:r>
          </w:p>
        </w:tc>
        <w:tc>
          <w:tcPr>
            <w:tcW w:w="1580" w:type="dxa"/>
            <w:shd w:val="clear" w:color="auto" w:fill="auto"/>
            <w:vAlign w:val="center"/>
            <w:hideMark/>
          </w:tcPr>
          <w:p w14:paraId="219EBAA6" w14:textId="77777777" w:rsidR="00BB6B42" w:rsidRPr="00207793" w:rsidRDefault="00BB6B42" w:rsidP="007768B8">
            <w:pPr>
              <w:keepLines/>
              <w:snapToGrid w:val="0"/>
              <w:spacing w:line="240" w:lineRule="exact"/>
              <w:ind w:right="0"/>
              <w:jc w:val="center"/>
              <w:rPr>
                <w:sz w:val="20"/>
                <w:szCs w:val="20"/>
              </w:rPr>
            </w:pPr>
            <w:r w:rsidRPr="00207793">
              <w:rPr>
                <w:sz w:val="20"/>
                <w:szCs w:val="20"/>
              </w:rPr>
              <w:t>53</w:t>
            </w:r>
          </w:p>
        </w:tc>
      </w:tr>
      <w:tr w:rsidR="00BB6B42" w:rsidRPr="00207793" w14:paraId="7014B73B" w14:textId="77777777" w:rsidTr="0069630A">
        <w:trPr>
          <w:cantSplit/>
          <w:trHeight w:val="340"/>
          <w:tblHeader/>
          <w:jc w:val="center"/>
        </w:trPr>
        <w:tc>
          <w:tcPr>
            <w:tcW w:w="1760" w:type="dxa"/>
            <w:shd w:val="clear" w:color="auto" w:fill="auto"/>
            <w:vAlign w:val="center"/>
            <w:hideMark/>
          </w:tcPr>
          <w:p w14:paraId="66787C9F" w14:textId="77777777" w:rsidR="00BB6B42" w:rsidRPr="00207793" w:rsidRDefault="00BB6B42" w:rsidP="007768B8">
            <w:pPr>
              <w:keepLines/>
              <w:snapToGrid w:val="0"/>
              <w:spacing w:line="240" w:lineRule="exact"/>
              <w:ind w:right="0"/>
              <w:jc w:val="center"/>
              <w:rPr>
                <w:sz w:val="20"/>
                <w:szCs w:val="20"/>
              </w:rPr>
            </w:pPr>
            <w:r w:rsidRPr="00207793">
              <w:rPr>
                <w:sz w:val="20"/>
                <w:szCs w:val="20"/>
              </w:rPr>
              <w:t>2011</w:t>
            </w:r>
          </w:p>
        </w:tc>
        <w:tc>
          <w:tcPr>
            <w:tcW w:w="1580" w:type="dxa"/>
            <w:shd w:val="clear" w:color="auto" w:fill="auto"/>
            <w:vAlign w:val="center"/>
            <w:hideMark/>
          </w:tcPr>
          <w:p w14:paraId="3751BC00" w14:textId="77777777" w:rsidR="00BB6B42" w:rsidRPr="00207793" w:rsidRDefault="00BB6B42" w:rsidP="007768B8">
            <w:pPr>
              <w:keepLines/>
              <w:snapToGrid w:val="0"/>
              <w:spacing w:line="240" w:lineRule="exact"/>
              <w:ind w:right="0"/>
              <w:jc w:val="center"/>
              <w:rPr>
                <w:sz w:val="20"/>
                <w:szCs w:val="20"/>
              </w:rPr>
            </w:pPr>
            <w:r w:rsidRPr="00207793">
              <w:rPr>
                <w:sz w:val="20"/>
                <w:szCs w:val="20"/>
              </w:rPr>
              <w:t>15</w:t>
            </w:r>
          </w:p>
        </w:tc>
        <w:tc>
          <w:tcPr>
            <w:tcW w:w="1580" w:type="dxa"/>
            <w:shd w:val="clear" w:color="auto" w:fill="auto"/>
            <w:vAlign w:val="center"/>
            <w:hideMark/>
          </w:tcPr>
          <w:p w14:paraId="55A6167A" w14:textId="77777777" w:rsidR="00BB6B42" w:rsidRPr="00207793" w:rsidRDefault="00BB6B42" w:rsidP="007768B8">
            <w:pPr>
              <w:keepLines/>
              <w:snapToGrid w:val="0"/>
              <w:spacing w:line="240" w:lineRule="exact"/>
              <w:ind w:right="0"/>
              <w:jc w:val="center"/>
              <w:rPr>
                <w:sz w:val="20"/>
                <w:szCs w:val="20"/>
              </w:rPr>
            </w:pPr>
            <w:r w:rsidRPr="00207793">
              <w:rPr>
                <w:sz w:val="20"/>
                <w:szCs w:val="20"/>
              </w:rPr>
              <w:t>2</w:t>
            </w:r>
          </w:p>
        </w:tc>
        <w:tc>
          <w:tcPr>
            <w:tcW w:w="1580" w:type="dxa"/>
            <w:shd w:val="clear" w:color="auto" w:fill="auto"/>
            <w:vAlign w:val="center"/>
            <w:hideMark/>
          </w:tcPr>
          <w:p w14:paraId="5FB9354A" w14:textId="77777777" w:rsidR="00BB6B42" w:rsidRPr="00207793" w:rsidRDefault="00BB6B42" w:rsidP="007768B8">
            <w:pPr>
              <w:keepLines/>
              <w:snapToGrid w:val="0"/>
              <w:spacing w:line="240" w:lineRule="exact"/>
              <w:ind w:right="0"/>
              <w:jc w:val="center"/>
              <w:rPr>
                <w:sz w:val="20"/>
                <w:szCs w:val="20"/>
              </w:rPr>
            </w:pPr>
            <w:r w:rsidRPr="00207793">
              <w:rPr>
                <w:sz w:val="20"/>
                <w:szCs w:val="20"/>
              </w:rPr>
              <w:t>7</w:t>
            </w:r>
          </w:p>
        </w:tc>
        <w:tc>
          <w:tcPr>
            <w:tcW w:w="1580" w:type="dxa"/>
            <w:shd w:val="clear" w:color="auto" w:fill="auto"/>
            <w:vAlign w:val="center"/>
            <w:hideMark/>
          </w:tcPr>
          <w:p w14:paraId="5F3E3218" w14:textId="77777777" w:rsidR="00BB6B42" w:rsidRPr="00207793" w:rsidRDefault="00BB6B42" w:rsidP="007768B8">
            <w:pPr>
              <w:keepLines/>
              <w:snapToGrid w:val="0"/>
              <w:spacing w:line="240" w:lineRule="exact"/>
              <w:ind w:right="0"/>
              <w:jc w:val="center"/>
              <w:rPr>
                <w:sz w:val="20"/>
                <w:szCs w:val="20"/>
              </w:rPr>
            </w:pPr>
            <w:r w:rsidRPr="00207793">
              <w:rPr>
                <w:sz w:val="20"/>
                <w:szCs w:val="20"/>
              </w:rPr>
              <w:t>26</w:t>
            </w:r>
          </w:p>
        </w:tc>
      </w:tr>
      <w:tr w:rsidR="00BB6B42" w:rsidRPr="00207793" w14:paraId="5F2FF3E3" w14:textId="77777777" w:rsidTr="0069630A">
        <w:trPr>
          <w:cantSplit/>
          <w:trHeight w:val="340"/>
          <w:tblHeader/>
          <w:jc w:val="center"/>
        </w:trPr>
        <w:tc>
          <w:tcPr>
            <w:tcW w:w="1760" w:type="dxa"/>
            <w:shd w:val="clear" w:color="auto" w:fill="auto"/>
            <w:vAlign w:val="center"/>
            <w:hideMark/>
          </w:tcPr>
          <w:p w14:paraId="65C63D94" w14:textId="77777777" w:rsidR="00BB6B42" w:rsidRPr="00207793" w:rsidRDefault="00BB6B42" w:rsidP="007768B8">
            <w:pPr>
              <w:keepLines/>
              <w:snapToGrid w:val="0"/>
              <w:spacing w:line="240" w:lineRule="exact"/>
              <w:ind w:right="0"/>
              <w:jc w:val="center"/>
              <w:rPr>
                <w:sz w:val="20"/>
                <w:szCs w:val="20"/>
              </w:rPr>
            </w:pPr>
            <w:r w:rsidRPr="00207793">
              <w:rPr>
                <w:sz w:val="20"/>
                <w:szCs w:val="20"/>
              </w:rPr>
              <w:t>2012</w:t>
            </w:r>
          </w:p>
        </w:tc>
        <w:tc>
          <w:tcPr>
            <w:tcW w:w="1580" w:type="dxa"/>
            <w:shd w:val="clear" w:color="auto" w:fill="auto"/>
            <w:vAlign w:val="center"/>
            <w:hideMark/>
          </w:tcPr>
          <w:p w14:paraId="01354D62" w14:textId="77777777" w:rsidR="00BB6B42" w:rsidRPr="00207793" w:rsidRDefault="00BB6B42" w:rsidP="007768B8">
            <w:pPr>
              <w:keepLines/>
              <w:snapToGrid w:val="0"/>
              <w:spacing w:line="240" w:lineRule="exact"/>
              <w:ind w:right="0"/>
              <w:jc w:val="center"/>
              <w:rPr>
                <w:sz w:val="20"/>
                <w:szCs w:val="20"/>
              </w:rPr>
            </w:pPr>
            <w:r w:rsidRPr="00207793">
              <w:rPr>
                <w:sz w:val="20"/>
                <w:szCs w:val="20"/>
              </w:rPr>
              <w:t>34</w:t>
            </w:r>
          </w:p>
        </w:tc>
        <w:tc>
          <w:tcPr>
            <w:tcW w:w="1580" w:type="dxa"/>
            <w:shd w:val="clear" w:color="auto" w:fill="auto"/>
            <w:vAlign w:val="center"/>
            <w:hideMark/>
          </w:tcPr>
          <w:p w14:paraId="74E64A51" w14:textId="77777777" w:rsidR="00BB6B42" w:rsidRPr="00207793" w:rsidRDefault="00BB6B42" w:rsidP="007768B8">
            <w:pPr>
              <w:keepLines/>
              <w:snapToGrid w:val="0"/>
              <w:spacing w:line="240" w:lineRule="exact"/>
              <w:ind w:right="0"/>
              <w:jc w:val="center"/>
              <w:rPr>
                <w:sz w:val="20"/>
                <w:szCs w:val="20"/>
              </w:rPr>
            </w:pPr>
            <w:r w:rsidRPr="00207793">
              <w:rPr>
                <w:sz w:val="20"/>
                <w:szCs w:val="20"/>
              </w:rPr>
              <w:t>3</w:t>
            </w:r>
          </w:p>
        </w:tc>
        <w:tc>
          <w:tcPr>
            <w:tcW w:w="1580" w:type="dxa"/>
            <w:shd w:val="clear" w:color="auto" w:fill="auto"/>
            <w:vAlign w:val="center"/>
            <w:hideMark/>
          </w:tcPr>
          <w:p w14:paraId="41BDFB97" w14:textId="77777777" w:rsidR="00BB6B42" w:rsidRPr="00207793" w:rsidRDefault="00BB6B42" w:rsidP="007768B8">
            <w:pPr>
              <w:keepLines/>
              <w:snapToGrid w:val="0"/>
              <w:spacing w:line="240" w:lineRule="exact"/>
              <w:ind w:right="0"/>
              <w:jc w:val="center"/>
              <w:rPr>
                <w:sz w:val="20"/>
                <w:szCs w:val="20"/>
              </w:rPr>
            </w:pPr>
            <w:r w:rsidRPr="00207793">
              <w:rPr>
                <w:sz w:val="20"/>
                <w:szCs w:val="20"/>
              </w:rPr>
              <w:t>7</w:t>
            </w:r>
          </w:p>
        </w:tc>
        <w:tc>
          <w:tcPr>
            <w:tcW w:w="1580" w:type="dxa"/>
            <w:shd w:val="clear" w:color="auto" w:fill="auto"/>
            <w:vAlign w:val="center"/>
            <w:hideMark/>
          </w:tcPr>
          <w:p w14:paraId="3069A01B" w14:textId="77777777" w:rsidR="00BB6B42" w:rsidRPr="00207793" w:rsidRDefault="00BB6B42" w:rsidP="007768B8">
            <w:pPr>
              <w:keepLines/>
              <w:snapToGrid w:val="0"/>
              <w:spacing w:line="240" w:lineRule="exact"/>
              <w:ind w:right="0"/>
              <w:jc w:val="center"/>
              <w:rPr>
                <w:sz w:val="20"/>
                <w:szCs w:val="20"/>
              </w:rPr>
            </w:pPr>
            <w:r w:rsidRPr="00207793">
              <w:rPr>
                <w:sz w:val="20"/>
                <w:szCs w:val="20"/>
              </w:rPr>
              <w:t>50</w:t>
            </w:r>
          </w:p>
        </w:tc>
      </w:tr>
      <w:tr w:rsidR="00BB6B42" w:rsidRPr="00207793" w14:paraId="412290DA" w14:textId="77777777" w:rsidTr="0069630A">
        <w:trPr>
          <w:cantSplit/>
          <w:trHeight w:val="340"/>
          <w:tblHeader/>
          <w:jc w:val="center"/>
        </w:trPr>
        <w:tc>
          <w:tcPr>
            <w:tcW w:w="1760" w:type="dxa"/>
            <w:shd w:val="clear" w:color="auto" w:fill="auto"/>
            <w:vAlign w:val="center"/>
            <w:hideMark/>
          </w:tcPr>
          <w:p w14:paraId="4DAC41A0" w14:textId="77777777" w:rsidR="00BB6B42" w:rsidRPr="00207793" w:rsidRDefault="00BB6B42" w:rsidP="007768B8">
            <w:pPr>
              <w:keepLines/>
              <w:snapToGrid w:val="0"/>
              <w:spacing w:line="240" w:lineRule="exact"/>
              <w:ind w:right="0"/>
              <w:jc w:val="center"/>
              <w:rPr>
                <w:sz w:val="20"/>
                <w:szCs w:val="20"/>
              </w:rPr>
            </w:pPr>
            <w:r w:rsidRPr="00207793">
              <w:rPr>
                <w:sz w:val="20"/>
                <w:szCs w:val="20"/>
              </w:rPr>
              <w:t>2013</w:t>
            </w:r>
          </w:p>
        </w:tc>
        <w:tc>
          <w:tcPr>
            <w:tcW w:w="1580" w:type="dxa"/>
            <w:shd w:val="clear" w:color="auto" w:fill="auto"/>
            <w:vAlign w:val="center"/>
            <w:hideMark/>
          </w:tcPr>
          <w:p w14:paraId="645E821F" w14:textId="77777777" w:rsidR="00BB6B42" w:rsidRPr="00207793" w:rsidRDefault="00BB6B42" w:rsidP="007768B8">
            <w:pPr>
              <w:keepLines/>
              <w:snapToGrid w:val="0"/>
              <w:spacing w:line="240" w:lineRule="exact"/>
              <w:ind w:right="0"/>
              <w:jc w:val="center"/>
              <w:rPr>
                <w:sz w:val="20"/>
                <w:szCs w:val="20"/>
              </w:rPr>
            </w:pPr>
            <w:r w:rsidRPr="00207793">
              <w:rPr>
                <w:sz w:val="20"/>
                <w:szCs w:val="20"/>
              </w:rPr>
              <w:t>27</w:t>
            </w:r>
          </w:p>
        </w:tc>
        <w:tc>
          <w:tcPr>
            <w:tcW w:w="1580" w:type="dxa"/>
            <w:shd w:val="clear" w:color="auto" w:fill="auto"/>
            <w:vAlign w:val="center"/>
            <w:hideMark/>
          </w:tcPr>
          <w:p w14:paraId="18B2C7CA" w14:textId="77777777" w:rsidR="00BB6B42" w:rsidRPr="00207793" w:rsidRDefault="00BB6B42" w:rsidP="007768B8">
            <w:pPr>
              <w:keepLines/>
              <w:snapToGrid w:val="0"/>
              <w:spacing w:line="240" w:lineRule="exact"/>
              <w:ind w:right="0"/>
              <w:jc w:val="center"/>
              <w:rPr>
                <w:sz w:val="20"/>
                <w:szCs w:val="20"/>
              </w:rPr>
            </w:pPr>
            <w:r w:rsidRPr="00207793">
              <w:rPr>
                <w:sz w:val="20"/>
                <w:szCs w:val="20"/>
              </w:rPr>
              <w:t>3</w:t>
            </w:r>
          </w:p>
        </w:tc>
        <w:tc>
          <w:tcPr>
            <w:tcW w:w="1580" w:type="dxa"/>
            <w:shd w:val="clear" w:color="auto" w:fill="auto"/>
            <w:vAlign w:val="center"/>
            <w:hideMark/>
          </w:tcPr>
          <w:p w14:paraId="1DA752C6" w14:textId="77777777" w:rsidR="00BB6B42" w:rsidRPr="00207793" w:rsidRDefault="00BB6B42" w:rsidP="007768B8">
            <w:pPr>
              <w:keepLines/>
              <w:snapToGrid w:val="0"/>
              <w:spacing w:line="240" w:lineRule="exact"/>
              <w:ind w:right="0"/>
              <w:jc w:val="center"/>
              <w:rPr>
                <w:sz w:val="20"/>
                <w:szCs w:val="20"/>
              </w:rPr>
            </w:pPr>
            <w:r w:rsidRPr="00207793">
              <w:rPr>
                <w:sz w:val="20"/>
                <w:szCs w:val="20"/>
              </w:rPr>
              <w:t>2</w:t>
            </w:r>
          </w:p>
        </w:tc>
        <w:tc>
          <w:tcPr>
            <w:tcW w:w="1580" w:type="dxa"/>
            <w:shd w:val="clear" w:color="auto" w:fill="auto"/>
            <w:vAlign w:val="center"/>
            <w:hideMark/>
          </w:tcPr>
          <w:p w14:paraId="371F26DC" w14:textId="77777777" w:rsidR="00BB6B42" w:rsidRPr="00207793" w:rsidRDefault="00BB6B42" w:rsidP="007768B8">
            <w:pPr>
              <w:keepLines/>
              <w:snapToGrid w:val="0"/>
              <w:spacing w:line="240" w:lineRule="exact"/>
              <w:ind w:right="0"/>
              <w:jc w:val="center"/>
              <w:rPr>
                <w:sz w:val="20"/>
                <w:szCs w:val="20"/>
              </w:rPr>
            </w:pPr>
            <w:r w:rsidRPr="00207793">
              <w:rPr>
                <w:sz w:val="20"/>
                <w:szCs w:val="20"/>
              </w:rPr>
              <w:t>37</w:t>
            </w:r>
          </w:p>
        </w:tc>
      </w:tr>
      <w:tr w:rsidR="00BB6B42" w:rsidRPr="00207793" w14:paraId="6130B38D" w14:textId="77777777" w:rsidTr="0069630A">
        <w:trPr>
          <w:cantSplit/>
          <w:trHeight w:val="340"/>
          <w:tblHeader/>
          <w:jc w:val="center"/>
        </w:trPr>
        <w:tc>
          <w:tcPr>
            <w:tcW w:w="1760" w:type="dxa"/>
            <w:shd w:val="clear" w:color="auto" w:fill="auto"/>
            <w:vAlign w:val="center"/>
            <w:hideMark/>
          </w:tcPr>
          <w:p w14:paraId="661BC73F" w14:textId="77777777" w:rsidR="00BB6B42" w:rsidRPr="00207793" w:rsidRDefault="00BB6B42" w:rsidP="007768B8">
            <w:pPr>
              <w:keepLines/>
              <w:snapToGrid w:val="0"/>
              <w:spacing w:line="240" w:lineRule="exact"/>
              <w:ind w:right="0"/>
              <w:jc w:val="center"/>
              <w:rPr>
                <w:sz w:val="20"/>
                <w:szCs w:val="20"/>
              </w:rPr>
            </w:pPr>
            <w:r w:rsidRPr="00207793">
              <w:rPr>
                <w:sz w:val="20"/>
                <w:szCs w:val="20"/>
              </w:rPr>
              <w:t>2014</w:t>
            </w:r>
          </w:p>
        </w:tc>
        <w:tc>
          <w:tcPr>
            <w:tcW w:w="1580" w:type="dxa"/>
            <w:shd w:val="clear" w:color="auto" w:fill="auto"/>
            <w:vAlign w:val="center"/>
            <w:hideMark/>
          </w:tcPr>
          <w:p w14:paraId="52B7A3BD" w14:textId="77777777" w:rsidR="00BB6B42" w:rsidRPr="00207793" w:rsidRDefault="00BB6B42" w:rsidP="007768B8">
            <w:pPr>
              <w:keepLines/>
              <w:snapToGrid w:val="0"/>
              <w:spacing w:line="240" w:lineRule="exact"/>
              <w:ind w:right="0"/>
              <w:jc w:val="center"/>
              <w:rPr>
                <w:sz w:val="20"/>
                <w:szCs w:val="20"/>
              </w:rPr>
            </w:pPr>
            <w:r w:rsidRPr="00207793">
              <w:rPr>
                <w:sz w:val="20"/>
                <w:szCs w:val="20"/>
              </w:rPr>
              <w:t>24</w:t>
            </w:r>
          </w:p>
        </w:tc>
        <w:tc>
          <w:tcPr>
            <w:tcW w:w="1580" w:type="dxa"/>
            <w:shd w:val="clear" w:color="auto" w:fill="auto"/>
            <w:vAlign w:val="center"/>
            <w:hideMark/>
          </w:tcPr>
          <w:p w14:paraId="6A115A0E" w14:textId="77777777" w:rsidR="00BB6B42" w:rsidRPr="00207793" w:rsidRDefault="00BB6B42" w:rsidP="007768B8">
            <w:pPr>
              <w:keepLines/>
              <w:snapToGrid w:val="0"/>
              <w:spacing w:line="240" w:lineRule="exact"/>
              <w:ind w:right="0"/>
              <w:jc w:val="center"/>
              <w:rPr>
                <w:sz w:val="20"/>
                <w:szCs w:val="20"/>
              </w:rPr>
            </w:pPr>
            <w:r w:rsidRPr="00207793">
              <w:rPr>
                <w:sz w:val="20"/>
                <w:szCs w:val="20"/>
              </w:rPr>
              <w:t>7</w:t>
            </w:r>
          </w:p>
        </w:tc>
        <w:tc>
          <w:tcPr>
            <w:tcW w:w="1580" w:type="dxa"/>
            <w:shd w:val="clear" w:color="auto" w:fill="auto"/>
            <w:vAlign w:val="center"/>
            <w:hideMark/>
          </w:tcPr>
          <w:p w14:paraId="36B8C778" w14:textId="77777777" w:rsidR="00BB6B42" w:rsidRPr="00207793" w:rsidRDefault="00BB6B42" w:rsidP="007768B8">
            <w:pPr>
              <w:keepLines/>
              <w:snapToGrid w:val="0"/>
              <w:spacing w:line="240" w:lineRule="exact"/>
              <w:ind w:right="0"/>
              <w:jc w:val="center"/>
              <w:rPr>
                <w:sz w:val="20"/>
                <w:szCs w:val="20"/>
              </w:rPr>
            </w:pPr>
            <w:r w:rsidRPr="00207793">
              <w:rPr>
                <w:sz w:val="20"/>
                <w:szCs w:val="20"/>
              </w:rPr>
              <w:t>12</w:t>
            </w:r>
          </w:p>
        </w:tc>
        <w:tc>
          <w:tcPr>
            <w:tcW w:w="1580" w:type="dxa"/>
            <w:shd w:val="clear" w:color="auto" w:fill="auto"/>
            <w:vAlign w:val="center"/>
            <w:hideMark/>
          </w:tcPr>
          <w:p w14:paraId="69C90E26" w14:textId="77777777" w:rsidR="00BB6B42" w:rsidRPr="00207793" w:rsidRDefault="00BB6B42" w:rsidP="007768B8">
            <w:pPr>
              <w:keepLines/>
              <w:snapToGrid w:val="0"/>
              <w:spacing w:line="240" w:lineRule="exact"/>
              <w:ind w:right="0"/>
              <w:jc w:val="center"/>
              <w:rPr>
                <w:sz w:val="20"/>
                <w:szCs w:val="20"/>
              </w:rPr>
            </w:pPr>
            <w:r w:rsidRPr="00207793">
              <w:rPr>
                <w:sz w:val="20"/>
                <w:szCs w:val="20"/>
              </w:rPr>
              <w:t>49</w:t>
            </w:r>
          </w:p>
        </w:tc>
      </w:tr>
      <w:tr w:rsidR="00BB6B42" w:rsidRPr="00207793" w14:paraId="0C014647" w14:textId="77777777" w:rsidTr="0069630A">
        <w:trPr>
          <w:cantSplit/>
          <w:trHeight w:val="340"/>
          <w:tblHeader/>
          <w:jc w:val="center"/>
        </w:trPr>
        <w:tc>
          <w:tcPr>
            <w:tcW w:w="1760" w:type="dxa"/>
            <w:shd w:val="clear" w:color="auto" w:fill="auto"/>
            <w:vAlign w:val="center"/>
            <w:hideMark/>
          </w:tcPr>
          <w:p w14:paraId="246509B5" w14:textId="77777777" w:rsidR="00BB6B42" w:rsidRPr="00207793" w:rsidRDefault="00BB6B42" w:rsidP="007768B8">
            <w:pPr>
              <w:keepLines/>
              <w:snapToGrid w:val="0"/>
              <w:spacing w:line="240" w:lineRule="exact"/>
              <w:ind w:right="0"/>
              <w:jc w:val="center"/>
              <w:rPr>
                <w:sz w:val="20"/>
                <w:szCs w:val="20"/>
              </w:rPr>
            </w:pPr>
            <w:r w:rsidRPr="00207793">
              <w:rPr>
                <w:sz w:val="20"/>
                <w:szCs w:val="20"/>
              </w:rPr>
              <w:t>2015</w:t>
            </w:r>
          </w:p>
        </w:tc>
        <w:tc>
          <w:tcPr>
            <w:tcW w:w="1580" w:type="dxa"/>
            <w:shd w:val="clear" w:color="auto" w:fill="auto"/>
            <w:vAlign w:val="center"/>
            <w:hideMark/>
          </w:tcPr>
          <w:p w14:paraId="5332244B" w14:textId="77777777" w:rsidR="00BB6B42" w:rsidRPr="00207793" w:rsidRDefault="00BB6B42" w:rsidP="007768B8">
            <w:pPr>
              <w:keepLines/>
              <w:snapToGrid w:val="0"/>
              <w:spacing w:line="240" w:lineRule="exact"/>
              <w:ind w:right="0"/>
              <w:jc w:val="center"/>
              <w:rPr>
                <w:sz w:val="20"/>
                <w:szCs w:val="20"/>
              </w:rPr>
            </w:pPr>
            <w:r w:rsidRPr="00207793">
              <w:rPr>
                <w:sz w:val="20"/>
                <w:szCs w:val="20"/>
              </w:rPr>
              <w:t>31</w:t>
            </w:r>
          </w:p>
        </w:tc>
        <w:tc>
          <w:tcPr>
            <w:tcW w:w="1580" w:type="dxa"/>
            <w:shd w:val="clear" w:color="auto" w:fill="auto"/>
            <w:vAlign w:val="center"/>
            <w:hideMark/>
          </w:tcPr>
          <w:p w14:paraId="45A72C49" w14:textId="77777777" w:rsidR="00BB6B42" w:rsidRPr="00207793" w:rsidRDefault="00BB6B42" w:rsidP="007768B8">
            <w:pPr>
              <w:keepLines/>
              <w:snapToGrid w:val="0"/>
              <w:spacing w:line="240" w:lineRule="exact"/>
              <w:ind w:right="0"/>
              <w:jc w:val="center"/>
              <w:rPr>
                <w:sz w:val="20"/>
                <w:szCs w:val="20"/>
              </w:rPr>
            </w:pPr>
            <w:r w:rsidRPr="00207793">
              <w:rPr>
                <w:sz w:val="20"/>
                <w:szCs w:val="20"/>
              </w:rPr>
              <w:t>10</w:t>
            </w:r>
          </w:p>
        </w:tc>
        <w:tc>
          <w:tcPr>
            <w:tcW w:w="1580" w:type="dxa"/>
            <w:shd w:val="clear" w:color="auto" w:fill="auto"/>
            <w:vAlign w:val="center"/>
            <w:hideMark/>
          </w:tcPr>
          <w:p w14:paraId="395ABA98" w14:textId="77777777" w:rsidR="00BB6B42" w:rsidRPr="00207793" w:rsidRDefault="00BB6B42" w:rsidP="007768B8">
            <w:pPr>
              <w:keepLines/>
              <w:snapToGrid w:val="0"/>
              <w:spacing w:line="240" w:lineRule="exact"/>
              <w:ind w:right="0"/>
              <w:jc w:val="center"/>
              <w:rPr>
                <w:sz w:val="20"/>
                <w:szCs w:val="20"/>
              </w:rPr>
            </w:pPr>
            <w:r w:rsidRPr="00207793">
              <w:rPr>
                <w:sz w:val="20"/>
                <w:szCs w:val="20"/>
              </w:rPr>
              <w:t>21</w:t>
            </w:r>
          </w:p>
        </w:tc>
        <w:tc>
          <w:tcPr>
            <w:tcW w:w="1580" w:type="dxa"/>
            <w:shd w:val="clear" w:color="auto" w:fill="auto"/>
            <w:vAlign w:val="center"/>
            <w:hideMark/>
          </w:tcPr>
          <w:p w14:paraId="68B53D65" w14:textId="77777777" w:rsidR="00BB6B42" w:rsidRPr="00207793" w:rsidRDefault="00BB6B42" w:rsidP="007768B8">
            <w:pPr>
              <w:keepLines/>
              <w:snapToGrid w:val="0"/>
              <w:spacing w:line="240" w:lineRule="exact"/>
              <w:ind w:right="0"/>
              <w:jc w:val="center"/>
              <w:rPr>
                <w:sz w:val="20"/>
                <w:szCs w:val="20"/>
              </w:rPr>
            </w:pPr>
            <w:r w:rsidRPr="00207793">
              <w:rPr>
                <w:sz w:val="20"/>
                <w:szCs w:val="20"/>
              </w:rPr>
              <w:t>67</w:t>
            </w:r>
          </w:p>
        </w:tc>
      </w:tr>
      <w:tr w:rsidR="00BB6B42" w:rsidRPr="00207793" w14:paraId="43F4AE52" w14:textId="77777777" w:rsidTr="0069630A">
        <w:trPr>
          <w:cantSplit/>
          <w:trHeight w:val="340"/>
          <w:tblHeader/>
          <w:jc w:val="center"/>
        </w:trPr>
        <w:tc>
          <w:tcPr>
            <w:tcW w:w="1760" w:type="dxa"/>
            <w:tcBorders>
              <w:bottom w:val="nil"/>
            </w:tcBorders>
            <w:shd w:val="clear" w:color="auto" w:fill="auto"/>
            <w:vAlign w:val="center"/>
            <w:hideMark/>
          </w:tcPr>
          <w:p w14:paraId="27F1CB91" w14:textId="77777777" w:rsidR="00BB6B42" w:rsidRPr="00207793" w:rsidRDefault="00BB6B42" w:rsidP="007768B8">
            <w:pPr>
              <w:keepLines/>
              <w:snapToGrid w:val="0"/>
              <w:spacing w:line="240" w:lineRule="exact"/>
              <w:ind w:right="0"/>
              <w:jc w:val="center"/>
              <w:rPr>
                <w:sz w:val="20"/>
                <w:szCs w:val="20"/>
              </w:rPr>
            </w:pPr>
            <w:r w:rsidRPr="00207793">
              <w:rPr>
                <w:sz w:val="20"/>
                <w:szCs w:val="20"/>
              </w:rPr>
              <w:t>2016</w:t>
            </w:r>
          </w:p>
        </w:tc>
        <w:tc>
          <w:tcPr>
            <w:tcW w:w="1580" w:type="dxa"/>
            <w:tcBorders>
              <w:bottom w:val="nil"/>
            </w:tcBorders>
            <w:shd w:val="clear" w:color="auto" w:fill="auto"/>
            <w:vAlign w:val="center"/>
            <w:hideMark/>
          </w:tcPr>
          <w:p w14:paraId="021B2EE1" w14:textId="77777777" w:rsidR="00BB6B42" w:rsidRPr="00207793" w:rsidRDefault="00BB6B42" w:rsidP="007768B8">
            <w:pPr>
              <w:keepLines/>
              <w:snapToGrid w:val="0"/>
              <w:spacing w:line="240" w:lineRule="exact"/>
              <w:ind w:right="0"/>
              <w:jc w:val="center"/>
              <w:rPr>
                <w:sz w:val="20"/>
                <w:szCs w:val="20"/>
              </w:rPr>
            </w:pPr>
            <w:r w:rsidRPr="00207793">
              <w:rPr>
                <w:sz w:val="20"/>
                <w:szCs w:val="20"/>
              </w:rPr>
              <w:t>33</w:t>
            </w:r>
          </w:p>
        </w:tc>
        <w:tc>
          <w:tcPr>
            <w:tcW w:w="1580" w:type="dxa"/>
            <w:tcBorders>
              <w:bottom w:val="nil"/>
            </w:tcBorders>
            <w:shd w:val="clear" w:color="auto" w:fill="auto"/>
            <w:vAlign w:val="center"/>
            <w:hideMark/>
          </w:tcPr>
          <w:p w14:paraId="67E21FDD" w14:textId="77777777" w:rsidR="00BB6B42" w:rsidRPr="00207793" w:rsidRDefault="00BB6B42" w:rsidP="007768B8">
            <w:pPr>
              <w:keepLines/>
              <w:snapToGrid w:val="0"/>
              <w:spacing w:line="240" w:lineRule="exact"/>
              <w:ind w:right="0"/>
              <w:jc w:val="center"/>
              <w:rPr>
                <w:sz w:val="20"/>
                <w:szCs w:val="20"/>
              </w:rPr>
            </w:pPr>
            <w:r w:rsidRPr="00207793">
              <w:rPr>
                <w:sz w:val="20"/>
                <w:szCs w:val="20"/>
              </w:rPr>
              <w:t>3</w:t>
            </w:r>
          </w:p>
        </w:tc>
        <w:tc>
          <w:tcPr>
            <w:tcW w:w="1580" w:type="dxa"/>
            <w:tcBorders>
              <w:bottom w:val="nil"/>
            </w:tcBorders>
            <w:shd w:val="clear" w:color="auto" w:fill="auto"/>
            <w:vAlign w:val="center"/>
            <w:hideMark/>
          </w:tcPr>
          <w:p w14:paraId="68ED4EFB" w14:textId="77777777" w:rsidR="00BB6B42" w:rsidRPr="00207793" w:rsidRDefault="00BB6B42" w:rsidP="007768B8">
            <w:pPr>
              <w:keepLines/>
              <w:snapToGrid w:val="0"/>
              <w:spacing w:line="240" w:lineRule="exact"/>
              <w:ind w:right="0"/>
              <w:jc w:val="center"/>
              <w:rPr>
                <w:sz w:val="20"/>
                <w:szCs w:val="20"/>
              </w:rPr>
            </w:pPr>
            <w:r w:rsidRPr="00207793">
              <w:rPr>
                <w:sz w:val="20"/>
                <w:szCs w:val="20"/>
              </w:rPr>
              <w:t>10</w:t>
            </w:r>
          </w:p>
        </w:tc>
        <w:tc>
          <w:tcPr>
            <w:tcW w:w="1580" w:type="dxa"/>
            <w:tcBorders>
              <w:bottom w:val="nil"/>
            </w:tcBorders>
            <w:shd w:val="clear" w:color="auto" w:fill="auto"/>
            <w:vAlign w:val="center"/>
            <w:hideMark/>
          </w:tcPr>
          <w:p w14:paraId="72FBE107" w14:textId="77777777" w:rsidR="00BB6B42" w:rsidRPr="00207793" w:rsidRDefault="00BB6B42" w:rsidP="007768B8">
            <w:pPr>
              <w:keepLines/>
              <w:snapToGrid w:val="0"/>
              <w:spacing w:line="240" w:lineRule="exact"/>
              <w:ind w:right="0"/>
              <w:jc w:val="center"/>
              <w:rPr>
                <w:sz w:val="20"/>
                <w:szCs w:val="20"/>
              </w:rPr>
            </w:pPr>
            <w:r w:rsidRPr="00207793">
              <w:rPr>
                <w:sz w:val="20"/>
                <w:szCs w:val="20"/>
              </w:rPr>
              <w:t>50</w:t>
            </w:r>
          </w:p>
        </w:tc>
      </w:tr>
      <w:tr w:rsidR="00BB6B42" w:rsidRPr="00207793" w14:paraId="0B0EEE93" w14:textId="77777777" w:rsidTr="0069630A">
        <w:trPr>
          <w:cantSplit/>
          <w:trHeight w:val="340"/>
          <w:tblHeader/>
          <w:jc w:val="center"/>
        </w:trPr>
        <w:tc>
          <w:tcPr>
            <w:tcW w:w="1760" w:type="dxa"/>
            <w:tcBorders>
              <w:top w:val="nil"/>
              <w:bottom w:val="single" w:sz="4" w:space="0" w:color="auto"/>
            </w:tcBorders>
            <w:shd w:val="clear" w:color="auto" w:fill="auto"/>
            <w:vAlign w:val="center"/>
            <w:hideMark/>
          </w:tcPr>
          <w:p w14:paraId="1CD06578" w14:textId="77777777" w:rsidR="00BB6B42" w:rsidRPr="00207793" w:rsidRDefault="00BB6B42" w:rsidP="007768B8">
            <w:pPr>
              <w:keepLines/>
              <w:snapToGrid w:val="0"/>
              <w:spacing w:line="240" w:lineRule="exact"/>
              <w:ind w:right="0"/>
              <w:jc w:val="center"/>
              <w:rPr>
                <w:sz w:val="20"/>
                <w:szCs w:val="20"/>
              </w:rPr>
            </w:pPr>
            <w:r w:rsidRPr="00207793">
              <w:rPr>
                <w:sz w:val="20"/>
                <w:szCs w:val="20"/>
              </w:rPr>
              <w:t>2017</w:t>
            </w:r>
          </w:p>
        </w:tc>
        <w:tc>
          <w:tcPr>
            <w:tcW w:w="1580" w:type="dxa"/>
            <w:tcBorders>
              <w:top w:val="nil"/>
              <w:bottom w:val="single" w:sz="4" w:space="0" w:color="auto"/>
            </w:tcBorders>
            <w:shd w:val="clear" w:color="auto" w:fill="auto"/>
            <w:vAlign w:val="center"/>
            <w:hideMark/>
          </w:tcPr>
          <w:p w14:paraId="01D172BB" w14:textId="77777777" w:rsidR="00BB6B42" w:rsidRPr="00207793" w:rsidRDefault="00BB6B42" w:rsidP="007768B8">
            <w:pPr>
              <w:keepLines/>
              <w:snapToGrid w:val="0"/>
              <w:spacing w:line="240" w:lineRule="exact"/>
              <w:ind w:right="0"/>
              <w:jc w:val="center"/>
              <w:rPr>
                <w:sz w:val="20"/>
                <w:szCs w:val="20"/>
              </w:rPr>
            </w:pPr>
            <w:r w:rsidRPr="00207793">
              <w:rPr>
                <w:sz w:val="20"/>
                <w:szCs w:val="20"/>
              </w:rPr>
              <w:t>20</w:t>
            </w:r>
          </w:p>
        </w:tc>
        <w:tc>
          <w:tcPr>
            <w:tcW w:w="1580" w:type="dxa"/>
            <w:tcBorders>
              <w:top w:val="nil"/>
              <w:bottom w:val="single" w:sz="4" w:space="0" w:color="auto"/>
            </w:tcBorders>
            <w:shd w:val="clear" w:color="auto" w:fill="auto"/>
            <w:vAlign w:val="center"/>
            <w:hideMark/>
          </w:tcPr>
          <w:p w14:paraId="5B2B2402" w14:textId="77777777" w:rsidR="00BB6B42" w:rsidRPr="00207793" w:rsidRDefault="00BB6B42" w:rsidP="007768B8">
            <w:pPr>
              <w:keepLines/>
              <w:snapToGrid w:val="0"/>
              <w:spacing w:line="240" w:lineRule="exact"/>
              <w:ind w:right="0"/>
              <w:jc w:val="center"/>
              <w:rPr>
                <w:sz w:val="20"/>
                <w:szCs w:val="20"/>
              </w:rPr>
            </w:pPr>
            <w:r w:rsidRPr="00207793">
              <w:rPr>
                <w:sz w:val="20"/>
                <w:szCs w:val="20"/>
              </w:rPr>
              <w:t>3</w:t>
            </w:r>
          </w:p>
        </w:tc>
        <w:tc>
          <w:tcPr>
            <w:tcW w:w="1580" w:type="dxa"/>
            <w:tcBorders>
              <w:top w:val="nil"/>
              <w:bottom w:val="single" w:sz="4" w:space="0" w:color="auto"/>
            </w:tcBorders>
            <w:shd w:val="clear" w:color="auto" w:fill="auto"/>
            <w:vAlign w:val="center"/>
            <w:hideMark/>
          </w:tcPr>
          <w:p w14:paraId="211143C9" w14:textId="77777777" w:rsidR="00BB6B42" w:rsidRPr="00207793" w:rsidRDefault="00BB6B42" w:rsidP="007768B8">
            <w:pPr>
              <w:keepLines/>
              <w:snapToGrid w:val="0"/>
              <w:spacing w:line="240" w:lineRule="exact"/>
              <w:ind w:right="0"/>
              <w:jc w:val="center"/>
              <w:rPr>
                <w:sz w:val="20"/>
                <w:szCs w:val="20"/>
              </w:rPr>
            </w:pPr>
            <w:r w:rsidRPr="00207793">
              <w:rPr>
                <w:sz w:val="20"/>
                <w:szCs w:val="20"/>
              </w:rPr>
              <w:t>5</w:t>
            </w:r>
          </w:p>
        </w:tc>
        <w:tc>
          <w:tcPr>
            <w:tcW w:w="1580" w:type="dxa"/>
            <w:tcBorders>
              <w:top w:val="nil"/>
              <w:bottom w:val="single" w:sz="4" w:space="0" w:color="auto"/>
            </w:tcBorders>
            <w:shd w:val="clear" w:color="auto" w:fill="auto"/>
            <w:vAlign w:val="center"/>
            <w:hideMark/>
          </w:tcPr>
          <w:p w14:paraId="2E624572" w14:textId="77777777" w:rsidR="00BB6B42" w:rsidRPr="00207793" w:rsidRDefault="00BB6B42" w:rsidP="007768B8">
            <w:pPr>
              <w:keepLines/>
              <w:snapToGrid w:val="0"/>
              <w:spacing w:line="240" w:lineRule="exact"/>
              <w:ind w:right="0"/>
              <w:jc w:val="center"/>
              <w:rPr>
                <w:sz w:val="20"/>
                <w:szCs w:val="20"/>
              </w:rPr>
            </w:pPr>
            <w:r w:rsidRPr="00207793">
              <w:rPr>
                <w:sz w:val="20"/>
                <w:szCs w:val="20"/>
              </w:rPr>
              <w:t>31</w:t>
            </w:r>
          </w:p>
        </w:tc>
      </w:tr>
      <w:tr w:rsidR="00BB6B42" w:rsidRPr="00207793" w14:paraId="67259A03" w14:textId="77777777" w:rsidTr="0069630A">
        <w:trPr>
          <w:cantSplit/>
          <w:trHeight w:val="340"/>
          <w:tblHeader/>
          <w:jc w:val="center"/>
        </w:trPr>
        <w:tc>
          <w:tcPr>
            <w:tcW w:w="1760" w:type="dxa"/>
            <w:tcBorders>
              <w:top w:val="single" w:sz="4" w:space="0" w:color="auto"/>
            </w:tcBorders>
            <w:shd w:val="clear" w:color="auto" w:fill="auto"/>
            <w:noWrap/>
            <w:vAlign w:val="center"/>
            <w:hideMark/>
          </w:tcPr>
          <w:p w14:paraId="56E32DCE" w14:textId="77777777" w:rsidR="00BB6B42" w:rsidRPr="00207793" w:rsidRDefault="00BB6B42" w:rsidP="007768B8">
            <w:pPr>
              <w:keepLines/>
              <w:snapToGrid w:val="0"/>
              <w:spacing w:line="240" w:lineRule="exact"/>
              <w:ind w:right="0"/>
              <w:jc w:val="center"/>
              <w:rPr>
                <w:sz w:val="20"/>
                <w:szCs w:val="20"/>
              </w:rPr>
            </w:pPr>
            <w:r w:rsidRPr="00207793">
              <w:rPr>
                <w:sz w:val="20"/>
                <w:szCs w:val="20"/>
              </w:rPr>
              <w:t>Sum</w:t>
            </w:r>
          </w:p>
        </w:tc>
        <w:tc>
          <w:tcPr>
            <w:tcW w:w="1580" w:type="dxa"/>
            <w:tcBorders>
              <w:top w:val="single" w:sz="4" w:space="0" w:color="auto"/>
            </w:tcBorders>
            <w:shd w:val="clear" w:color="auto" w:fill="auto"/>
            <w:noWrap/>
            <w:vAlign w:val="center"/>
            <w:hideMark/>
          </w:tcPr>
          <w:p w14:paraId="64611EB6" w14:textId="77777777" w:rsidR="00BB6B42" w:rsidRPr="00207793" w:rsidRDefault="00BB6B42" w:rsidP="007768B8">
            <w:pPr>
              <w:keepLines/>
              <w:snapToGrid w:val="0"/>
              <w:spacing w:line="240" w:lineRule="exact"/>
              <w:ind w:right="0"/>
              <w:jc w:val="center"/>
              <w:rPr>
                <w:sz w:val="20"/>
                <w:szCs w:val="20"/>
              </w:rPr>
            </w:pPr>
            <w:r w:rsidRPr="00207793">
              <w:rPr>
                <w:sz w:val="20"/>
                <w:szCs w:val="20"/>
              </w:rPr>
              <w:t>583</w:t>
            </w:r>
          </w:p>
        </w:tc>
        <w:tc>
          <w:tcPr>
            <w:tcW w:w="1580" w:type="dxa"/>
            <w:tcBorders>
              <w:top w:val="single" w:sz="4" w:space="0" w:color="auto"/>
            </w:tcBorders>
            <w:shd w:val="clear" w:color="auto" w:fill="auto"/>
            <w:noWrap/>
            <w:vAlign w:val="center"/>
            <w:hideMark/>
          </w:tcPr>
          <w:p w14:paraId="7CE41503" w14:textId="77777777" w:rsidR="00BB6B42" w:rsidRPr="00207793" w:rsidRDefault="00BB6B42" w:rsidP="007768B8">
            <w:pPr>
              <w:keepLines/>
              <w:snapToGrid w:val="0"/>
              <w:spacing w:line="240" w:lineRule="exact"/>
              <w:ind w:right="0"/>
              <w:jc w:val="center"/>
              <w:rPr>
                <w:sz w:val="20"/>
                <w:szCs w:val="20"/>
              </w:rPr>
            </w:pPr>
            <w:r w:rsidRPr="00207793">
              <w:rPr>
                <w:sz w:val="20"/>
                <w:szCs w:val="20"/>
              </w:rPr>
              <w:t>266</w:t>
            </w:r>
          </w:p>
        </w:tc>
        <w:tc>
          <w:tcPr>
            <w:tcW w:w="1580" w:type="dxa"/>
            <w:tcBorders>
              <w:top w:val="single" w:sz="4" w:space="0" w:color="auto"/>
            </w:tcBorders>
            <w:shd w:val="clear" w:color="auto" w:fill="auto"/>
            <w:noWrap/>
            <w:vAlign w:val="center"/>
            <w:hideMark/>
          </w:tcPr>
          <w:p w14:paraId="55071FAE" w14:textId="77777777" w:rsidR="00BB6B42" w:rsidRPr="00207793" w:rsidRDefault="00BB6B42" w:rsidP="007768B8">
            <w:pPr>
              <w:keepLines/>
              <w:snapToGrid w:val="0"/>
              <w:spacing w:line="240" w:lineRule="exact"/>
              <w:ind w:right="0"/>
              <w:jc w:val="center"/>
              <w:rPr>
                <w:sz w:val="20"/>
                <w:szCs w:val="20"/>
              </w:rPr>
            </w:pPr>
            <w:r w:rsidRPr="00207793">
              <w:rPr>
                <w:sz w:val="20"/>
                <w:szCs w:val="20"/>
              </w:rPr>
              <w:t>199</w:t>
            </w:r>
          </w:p>
        </w:tc>
        <w:tc>
          <w:tcPr>
            <w:tcW w:w="1580" w:type="dxa"/>
            <w:tcBorders>
              <w:top w:val="single" w:sz="4" w:space="0" w:color="auto"/>
            </w:tcBorders>
            <w:shd w:val="clear" w:color="auto" w:fill="auto"/>
            <w:noWrap/>
            <w:vAlign w:val="center"/>
            <w:hideMark/>
          </w:tcPr>
          <w:p w14:paraId="0D573F57" w14:textId="77777777" w:rsidR="00BB6B42" w:rsidRPr="00207793" w:rsidRDefault="00BB6B42" w:rsidP="007768B8">
            <w:pPr>
              <w:keepLines/>
              <w:snapToGrid w:val="0"/>
              <w:spacing w:line="240" w:lineRule="exact"/>
              <w:ind w:right="0"/>
              <w:jc w:val="center"/>
              <w:rPr>
                <w:sz w:val="20"/>
                <w:szCs w:val="20"/>
              </w:rPr>
            </w:pPr>
            <w:r w:rsidRPr="00207793">
              <w:rPr>
                <w:sz w:val="20"/>
                <w:szCs w:val="20"/>
              </w:rPr>
              <w:t>1106</w:t>
            </w:r>
          </w:p>
        </w:tc>
      </w:tr>
    </w:tbl>
    <w:p w14:paraId="068B9357" w14:textId="3D8D501C" w:rsidR="00112691" w:rsidRDefault="00112691" w:rsidP="00C3335D">
      <w:pPr>
        <w:pStyle w:val="text"/>
        <w:spacing w:beforeLines="50" w:before="180"/>
      </w:pPr>
      <w:r>
        <w:t xml:space="preserve">Secondly, we present the summary statistics of all empirical variables in Table 2, which provide insights into the characteristics of the acquiring firms in our sample. The </w:t>
      </w:r>
      <w:r w:rsidR="00707136">
        <w:t>firm</w:t>
      </w:r>
      <w:r>
        <w:t xml:space="preserve"> size, measured by the natural logarithm of market capitalization, exhibits a normal distribution. The mean and median values are closely aligned, and the tail distribution is smooth, indicating a well-behaved distribution.</w:t>
      </w:r>
    </w:p>
    <w:p w14:paraId="7E11AAA3" w14:textId="62459DB8" w:rsidR="00112691" w:rsidRDefault="00112691" w:rsidP="00324F2F">
      <w:pPr>
        <w:pStyle w:val="text"/>
      </w:pPr>
      <w:r>
        <w:t xml:space="preserve">Interestingly, the book-to-market ratio of acquiring firms is generally below one, as evidenced by the mean, median, and the 10th and 90th percentile values. This finding suggests that more than 80% of the acquiring firms in our sample are likely to be growth </w:t>
      </w:r>
      <w:r>
        <w:lastRenderedPageBreak/>
        <w:t>firms, which may partially explain their motivation to expand operations through M&amp;A activities.</w:t>
      </w:r>
    </w:p>
    <w:p w14:paraId="06CC2531" w14:textId="77777777" w:rsidR="00112691" w:rsidRDefault="00112691" w:rsidP="00324F2F">
      <w:pPr>
        <w:pStyle w:val="text"/>
      </w:pPr>
      <w:r>
        <w:t>Turning to profitability measures, the sample firms exhibit positive earnings before undertaking acquisitions. Specifically, the first quartile (Q1) of return on assets (ROA) is 0.4%, implying that more than 75% of acquirers have positive accounting earnings. This observation underscores the financial strength and operational performance of the acquiring firms prior to engaging in M&amp;A transactions.</w:t>
      </w:r>
    </w:p>
    <w:p w14:paraId="1675A09E" w14:textId="4DEB2934" w:rsidR="00112691" w:rsidRDefault="00112691" w:rsidP="00324F2F">
      <w:pPr>
        <w:pStyle w:val="text"/>
      </w:pPr>
      <w:r>
        <w:t xml:space="preserve">Regarding capital structure, more than 50% of the sample firms have a debt ratio exceeding 0.5, indicating a substantial reliance on financial leverage. This finding highlights the importance of considering leverage in the analysis of M&amp;A transactions and their potential impact on </w:t>
      </w:r>
      <w:r w:rsidR="00707136">
        <w:t>firm</w:t>
      </w:r>
      <w:r>
        <w:t xml:space="preserve"> performance.</w:t>
      </w:r>
    </w:p>
    <w:p w14:paraId="3B2AB47D" w14:textId="77777777" w:rsidR="00112691" w:rsidRDefault="00112691" w:rsidP="00324F2F">
      <w:pPr>
        <w:pStyle w:val="text"/>
      </w:pPr>
      <w:r>
        <w:t>Finally, the mean values of the stock and cash payment dummies reveal that a higher proportion of acquirers in our sample opted for 100% cash payments in M&amp;A transactions. This observation is consistent with the sample distribution presented in Table 1 and may reflect the prevailing market conditions and valuation trends during the sample period.</w:t>
      </w:r>
    </w:p>
    <w:p w14:paraId="65B04DF4" w14:textId="6EEA88F8" w:rsidR="007D6152" w:rsidRPr="002E3264" w:rsidRDefault="00112691" w:rsidP="00324F2F">
      <w:pPr>
        <w:pStyle w:val="text"/>
      </w:pPr>
      <w:r>
        <w:t>Overall, the summary statistics provide valuable insights into the characteristics of the acquiring firms, including their size, growth prospects, profitability, leverage, and preferred payment methods. These findings lay the foundation for further analysis and assist in interpreting the empirical results in the context of the sample's unique features.</w:t>
      </w:r>
    </w:p>
    <w:p w14:paraId="37AB6906" w14:textId="3CAD3826" w:rsidR="007D6152" w:rsidRPr="00353396" w:rsidRDefault="006313B8" w:rsidP="00C3335D">
      <w:pPr>
        <w:pStyle w:val="3"/>
      </w:pPr>
      <w:r>
        <w:t xml:space="preserve">Table </w:t>
      </w:r>
      <w:r w:rsidR="00350966">
        <w:fldChar w:fldCharType="begin"/>
      </w:r>
      <w:r w:rsidR="00350966">
        <w:instrText xml:space="preserve"> SEQ Table \* ARABIC </w:instrText>
      </w:r>
      <w:r w:rsidR="00350966">
        <w:fldChar w:fldCharType="separate"/>
      </w:r>
      <w:r w:rsidR="00350966">
        <w:rPr>
          <w:noProof/>
        </w:rPr>
        <w:t>2</w:t>
      </w:r>
      <w:r w:rsidR="00350966">
        <w:rPr>
          <w:noProof/>
        </w:rPr>
        <w:fldChar w:fldCharType="end"/>
      </w:r>
      <w:r>
        <w:rPr>
          <w:rFonts w:hint="eastAsia"/>
        </w:rPr>
        <w:t>.</w:t>
      </w:r>
      <w:r w:rsidR="007D6152" w:rsidRPr="00353396">
        <w:t xml:space="preserve"> Summary Statistics</w:t>
      </w:r>
    </w:p>
    <w:p w14:paraId="45E8EDC9" w14:textId="77777777" w:rsidR="007D6152" w:rsidRPr="00353396" w:rsidRDefault="003C575D" w:rsidP="00C3335D">
      <w:pPr>
        <w:pStyle w:val="table-note"/>
      </w:pPr>
      <w:r w:rsidRPr="00353396">
        <w:t xml:space="preserve">This table shows the summary statistics of empirical variables for all sample firms. Size is the log of market capital, BM is the ratio of book to market value, ROA is return on assets, Runup is the three-month buy-and-hold abnormal return before M&amp;A announcement date, Dividend is the payout ratio, CR is the current ratio, Leverage is the debt ratio, Stock is 100% stock payment in M&amp;As, Cash is 100% cash payment in M&amp;As, and Mix is the mixed payment. </w:t>
      </w:r>
    </w:p>
    <w:tbl>
      <w:tblPr>
        <w:tblW w:w="8222" w:type="dxa"/>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993"/>
        <w:gridCol w:w="803"/>
        <w:gridCol w:w="803"/>
        <w:gridCol w:w="803"/>
        <w:gridCol w:w="803"/>
        <w:gridCol w:w="804"/>
        <w:gridCol w:w="803"/>
        <w:gridCol w:w="803"/>
        <w:gridCol w:w="803"/>
        <w:gridCol w:w="804"/>
      </w:tblGrid>
      <w:tr w:rsidR="007D6152" w:rsidRPr="00207793" w14:paraId="04DCB667" w14:textId="77777777" w:rsidTr="00C3335D">
        <w:trPr>
          <w:cantSplit/>
          <w:trHeight w:val="340"/>
          <w:tblHeader/>
        </w:trPr>
        <w:tc>
          <w:tcPr>
            <w:tcW w:w="993" w:type="dxa"/>
            <w:tcBorders>
              <w:top w:val="single" w:sz="4" w:space="0" w:color="auto"/>
              <w:bottom w:val="single" w:sz="4" w:space="0" w:color="auto"/>
            </w:tcBorders>
            <w:shd w:val="clear" w:color="auto" w:fill="auto"/>
            <w:noWrap/>
            <w:vAlign w:val="center"/>
            <w:hideMark/>
          </w:tcPr>
          <w:p w14:paraId="13F7135C" w14:textId="77777777" w:rsidR="007D6152" w:rsidRPr="00207793" w:rsidRDefault="007D6152" w:rsidP="0069630A">
            <w:pPr>
              <w:keepLines/>
              <w:snapToGrid w:val="0"/>
              <w:spacing w:line="240" w:lineRule="exact"/>
              <w:ind w:right="0"/>
              <w:rPr>
                <w:sz w:val="20"/>
                <w:szCs w:val="20"/>
              </w:rPr>
            </w:pPr>
            <w:r w:rsidRPr="00207793">
              <w:rPr>
                <w:sz w:val="20"/>
                <w:szCs w:val="20"/>
              </w:rPr>
              <w:t>Variables</w:t>
            </w:r>
          </w:p>
        </w:tc>
        <w:tc>
          <w:tcPr>
            <w:tcW w:w="803" w:type="dxa"/>
            <w:tcBorders>
              <w:top w:val="single" w:sz="4" w:space="0" w:color="auto"/>
              <w:bottom w:val="single" w:sz="4" w:space="0" w:color="auto"/>
            </w:tcBorders>
            <w:shd w:val="clear" w:color="auto" w:fill="auto"/>
            <w:noWrap/>
            <w:vAlign w:val="center"/>
            <w:hideMark/>
          </w:tcPr>
          <w:p w14:paraId="08AE7403" w14:textId="77777777" w:rsidR="007D6152" w:rsidRPr="00207793" w:rsidRDefault="007D6152" w:rsidP="00507409">
            <w:pPr>
              <w:keepLines/>
              <w:snapToGrid w:val="0"/>
              <w:spacing w:line="240" w:lineRule="exact"/>
              <w:ind w:right="0"/>
              <w:jc w:val="center"/>
              <w:rPr>
                <w:sz w:val="20"/>
                <w:szCs w:val="20"/>
              </w:rPr>
            </w:pPr>
            <w:r w:rsidRPr="00207793">
              <w:rPr>
                <w:sz w:val="20"/>
                <w:szCs w:val="20"/>
              </w:rPr>
              <w:t>Mean</w:t>
            </w:r>
          </w:p>
        </w:tc>
        <w:tc>
          <w:tcPr>
            <w:tcW w:w="803" w:type="dxa"/>
            <w:tcBorders>
              <w:top w:val="single" w:sz="4" w:space="0" w:color="auto"/>
              <w:bottom w:val="single" w:sz="4" w:space="0" w:color="auto"/>
            </w:tcBorders>
            <w:shd w:val="clear" w:color="auto" w:fill="auto"/>
            <w:noWrap/>
            <w:vAlign w:val="center"/>
            <w:hideMark/>
          </w:tcPr>
          <w:p w14:paraId="27A5446C" w14:textId="77777777" w:rsidR="007D6152" w:rsidRPr="00207793" w:rsidRDefault="007D6152" w:rsidP="00507409">
            <w:pPr>
              <w:keepLines/>
              <w:snapToGrid w:val="0"/>
              <w:spacing w:line="240" w:lineRule="exact"/>
              <w:ind w:right="0"/>
              <w:jc w:val="center"/>
              <w:rPr>
                <w:sz w:val="20"/>
                <w:szCs w:val="20"/>
              </w:rPr>
            </w:pPr>
            <w:r w:rsidRPr="00207793">
              <w:rPr>
                <w:sz w:val="20"/>
                <w:szCs w:val="20"/>
              </w:rPr>
              <w:t>Median</w:t>
            </w:r>
          </w:p>
        </w:tc>
        <w:tc>
          <w:tcPr>
            <w:tcW w:w="803" w:type="dxa"/>
            <w:tcBorders>
              <w:top w:val="single" w:sz="4" w:space="0" w:color="auto"/>
              <w:bottom w:val="single" w:sz="4" w:space="0" w:color="auto"/>
            </w:tcBorders>
            <w:shd w:val="clear" w:color="auto" w:fill="auto"/>
            <w:noWrap/>
            <w:vAlign w:val="center"/>
            <w:hideMark/>
          </w:tcPr>
          <w:p w14:paraId="0A3EB8F5" w14:textId="77777777" w:rsidR="007D6152" w:rsidRPr="00207793" w:rsidRDefault="007D6152" w:rsidP="00507409">
            <w:pPr>
              <w:keepLines/>
              <w:snapToGrid w:val="0"/>
              <w:spacing w:line="240" w:lineRule="exact"/>
              <w:ind w:right="0"/>
              <w:jc w:val="center"/>
              <w:rPr>
                <w:sz w:val="20"/>
                <w:szCs w:val="20"/>
              </w:rPr>
            </w:pPr>
            <w:r w:rsidRPr="00207793">
              <w:rPr>
                <w:sz w:val="20"/>
                <w:szCs w:val="20"/>
              </w:rPr>
              <w:t>STD</w:t>
            </w:r>
          </w:p>
        </w:tc>
        <w:tc>
          <w:tcPr>
            <w:tcW w:w="803" w:type="dxa"/>
            <w:tcBorders>
              <w:top w:val="single" w:sz="4" w:space="0" w:color="auto"/>
              <w:bottom w:val="single" w:sz="4" w:space="0" w:color="auto"/>
            </w:tcBorders>
            <w:shd w:val="clear" w:color="auto" w:fill="auto"/>
            <w:noWrap/>
            <w:vAlign w:val="center"/>
            <w:hideMark/>
          </w:tcPr>
          <w:p w14:paraId="234A3AB0" w14:textId="77777777" w:rsidR="007D6152" w:rsidRPr="00207793" w:rsidRDefault="007D6152" w:rsidP="00507409">
            <w:pPr>
              <w:keepLines/>
              <w:snapToGrid w:val="0"/>
              <w:spacing w:line="240" w:lineRule="exact"/>
              <w:ind w:right="0"/>
              <w:jc w:val="center"/>
              <w:rPr>
                <w:sz w:val="20"/>
                <w:szCs w:val="20"/>
              </w:rPr>
            </w:pPr>
            <w:r w:rsidRPr="00207793">
              <w:rPr>
                <w:sz w:val="20"/>
                <w:szCs w:val="20"/>
              </w:rPr>
              <w:t>Q1</w:t>
            </w:r>
          </w:p>
        </w:tc>
        <w:tc>
          <w:tcPr>
            <w:tcW w:w="804" w:type="dxa"/>
            <w:tcBorders>
              <w:top w:val="single" w:sz="4" w:space="0" w:color="auto"/>
              <w:bottom w:val="single" w:sz="4" w:space="0" w:color="auto"/>
            </w:tcBorders>
            <w:shd w:val="clear" w:color="auto" w:fill="auto"/>
            <w:noWrap/>
            <w:vAlign w:val="center"/>
            <w:hideMark/>
          </w:tcPr>
          <w:p w14:paraId="71BA47CD" w14:textId="77777777" w:rsidR="007D6152" w:rsidRPr="00207793" w:rsidRDefault="007D6152" w:rsidP="00507409">
            <w:pPr>
              <w:keepLines/>
              <w:snapToGrid w:val="0"/>
              <w:spacing w:line="240" w:lineRule="exact"/>
              <w:ind w:right="0"/>
              <w:jc w:val="center"/>
              <w:rPr>
                <w:sz w:val="20"/>
                <w:szCs w:val="20"/>
              </w:rPr>
            </w:pPr>
            <w:r w:rsidRPr="00207793">
              <w:rPr>
                <w:sz w:val="20"/>
                <w:szCs w:val="20"/>
              </w:rPr>
              <w:t>Q3</w:t>
            </w:r>
          </w:p>
        </w:tc>
        <w:tc>
          <w:tcPr>
            <w:tcW w:w="803" w:type="dxa"/>
            <w:tcBorders>
              <w:top w:val="single" w:sz="4" w:space="0" w:color="auto"/>
              <w:bottom w:val="single" w:sz="4" w:space="0" w:color="auto"/>
            </w:tcBorders>
            <w:shd w:val="clear" w:color="auto" w:fill="auto"/>
            <w:noWrap/>
            <w:vAlign w:val="center"/>
            <w:hideMark/>
          </w:tcPr>
          <w:p w14:paraId="126189D2" w14:textId="77777777" w:rsidR="007D6152" w:rsidRPr="00207793" w:rsidRDefault="007D6152" w:rsidP="00507409">
            <w:pPr>
              <w:keepLines/>
              <w:snapToGrid w:val="0"/>
              <w:spacing w:line="240" w:lineRule="exact"/>
              <w:ind w:right="0"/>
              <w:jc w:val="center"/>
              <w:rPr>
                <w:sz w:val="20"/>
                <w:szCs w:val="20"/>
              </w:rPr>
            </w:pPr>
            <w:r w:rsidRPr="00207793">
              <w:rPr>
                <w:sz w:val="20"/>
                <w:szCs w:val="20"/>
              </w:rPr>
              <w:t>P10</w:t>
            </w:r>
          </w:p>
        </w:tc>
        <w:tc>
          <w:tcPr>
            <w:tcW w:w="803" w:type="dxa"/>
            <w:tcBorders>
              <w:top w:val="single" w:sz="4" w:space="0" w:color="auto"/>
              <w:bottom w:val="single" w:sz="4" w:space="0" w:color="auto"/>
            </w:tcBorders>
            <w:shd w:val="clear" w:color="auto" w:fill="auto"/>
            <w:noWrap/>
            <w:vAlign w:val="center"/>
            <w:hideMark/>
          </w:tcPr>
          <w:p w14:paraId="42F10AFD" w14:textId="77777777" w:rsidR="007D6152" w:rsidRPr="00207793" w:rsidRDefault="007D6152" w:rsidP="00507409">
            <w:pPr>
              <w:keepLines/>
              <w:snapToGrid w:val="0"/>
              <w:spacing w:line="240" w:lineRule="exact"/>
              <w:ind w:right="0"/>
              <w:jc w:val="center"/>
              <w:rPr>
                <w:sz w:val="20"/>
                <w:szCs w:val="20"/>
              </w:rPr>
            </w:pPr>
            <w:r w:rsidRPr="00207793">
              <w:rPr>
                <w:sz w:val="20"/>
                <w:szCs w:val="20"/>
              </w:rPr>
              <w:t>P90</w:t>
            </w:r>
          </w:p>
        </w:tc>
        <w:tc>
          <w:tcPr>
            <w:tcW w:w="803" w:type="dxa"/>
            <w:tcBorders>
              <w:top w:val="single" w:sz="4" w:space="0" w:color="auto"/>
              <w:bottom w:val="single" w:sz="4" w:space="0" w:color="auto"/>
            </w:tcBorders>
            <w:shd w:val="clear" w:color="auto" w:fill="auto"/>
            <w:noWrap/>
            <w:vAlign w:val="center"/>
            <w:hideMark/>
          </w:tcPr>
          <w:p w14:paraId="343F739D" w14:textId="77777777" w:rsidR="007D6152" w:rsidRPr="00207793" w:rsidRDefault="007D6152" w:rsidP="00507409">
            <w:pPr>
              <w:keepLines/>
              <w:snapToGrid w:val="0"/>
              <w:spacing w:line="240" w:lineRule="exact"/>
              <w:ind w:right="0"/>
              <w:jc w:val="center"/>
              <w:rPr>
                <w:sz w:val="20"/>
                <w:szCs w:val="20"/>
              </w:rPr>
            </w:pPr>
            <w:r w:rsidRPr="00207793">
              <w:rPr>
                <w:sz w:val="20"/>
                <w:szCs w:val="20"/>
              </w:rPr>
              <w:t>Min</w:t>
            </w:r>
          </w:p>
        </w:tc>
        <w:tc>
          <w:tcPr>
            <w:tcW w:w="804" w:type="dxa"/>
            <w:tcBorders>
              <w:top w:val="single" w:sz="4" w:space="0" w:color="auto"/>
              <w:bottom w:val="single" w:sz="4" w:space="0" w:color="auto"/>
            </w:tcBorders>
            <w:shd w:val="clear" w:color="auto" w:fill="auto"/>
            <w:noWrap/>
            <w:vAlign w:val="center"/>
            <w:hideMark/>
          </w:tcPr>
          <w:p w14:paraId="01431080" w14:textId="77777777" w:rsidR="007D6152" w:rsidRPr="00207793" w:rsidRDefault="007D6152" w:rsidP="00507409">
            <w:pPr>
              <w:keepLines/>
              <w:snapToGrid w:val="0"/>
              <w:spacing w:line="240" w:lineRule="exact"/>
              <w:ind w:right="0"/>
              <w:jc w:val="center"/>
              <w:rPr>
                <w:sz w:val="20"/>
                <w:szCs w:val="20"/>
              </w:rPr>
            </w:pPr>
            <w:r w:rsidRPr="00207793">
              <w:rPr>
                <w:sz w:val="20"/>
                <w:szCs w:val="20"/>
              </w:rPr>
              <w:t>Max</w:t>
            </w:r>
          </w:p>
        </w:tc>
      </w:tr>
      <w:tr w:rsidR="007D6152" w:rsidRPr="00207793" w14:paraId="5A867FB3" w14:textId="77777777" w:rsidTr="00C3335D">
        <w:trPr>
          <w:cantSplit/>
          <w:trHeight w:val="350"/>
          <w:tblHeader/>
        </w:trPr>
        <w:tc>
          <w:tcPr>
            <w:tcW w:w="993" w:type="dxa"/>
            <w:tcBorders>
              <w:top w:val="single" w:sz="4" w:space="0" w:color="auto"/>
            </w:tcBorders>
            <w:shd w:val="clear" w:color="auto" w:fill="auto"/>
            <w:noWrap/>
            <w:vAlign w:val="center"/>
            <w:hideMark/>
          </w:tcPr>
          <w:p w14:paraId="224E2DDD" w14:textId="77777777" w:rsidR="007D6152" w:rsidRPr="00207793" w:rsidRDefault="007D6152" w:rsidP="0069630A">
            <w:pPr>
              <w:keepLines/>
              <w:snapToGrid w:val="0"/>
              <w:spacing w:line="240" w:lineRule="exact"/>
              <w:ind w:right="0"/>
              <w:rPr>
                <w:sz w:val="20"/>
                <w:szCs w:val="20"/>
              </w:rPr>
            </w:pPr>
            <w:r w:rsidRPr="00207793">
              <w:rPr>
                <w:sz w:val="20"/>
                <w:szCs w:val="20"/>
              </w:rPr>
              <w:t>Size</w:t>
            </w:r>
          </w:p>
        </w:tc>
        <w:tc>
          <w:tcPr>
            <w:tcW w:w="803" w:type="dxa"/>
            <w:tcBorders>
              <w:top w:val="single" w:sz="4" w:space="0" w:color="auto"/>
            </w:tcBorders>
            <w:shd w:val="clear" w:color="auto" w:fill="auto"/>
            <w:vAlign w:val="center"/>
            <w:hideMark/>
          </w:tcPr>
          <w:p w14:paraId="2C424F36" w14:textId="52811690" w:rsidR="007D6152" w:rsidRPr="00207793" w:rsidRDefault="007D6152" w:rsidP="00507409">
            <w:pPr>
              <w:keepLines/>
              <w:snapToGrid w:val="0"/>
              <w:spacing w:line="240" w:lineRule="exact"/>
              <w:ind w:right="0"/>
              <w:jc w:val="center"/>
              <w:rPr>
                <w:sz w:val="20"/>
                <w:szCs w:val="20"/>
              </w:rPr>
            </w:pPr>
            <w:r w:rsidRPr="00207793">
              <w:rPr>
                <w:sz w:val="20"/>
                <w:szCs w:val="20"/>
              </w:rPr>
              <w:t>2.107</w:t>
            </w:r>
          </w:p>
        </w:tc>
        <w:tc>
          <w:tcPr>
            <w:tcW w:w="803" w:type="dxa"/>
            <w:tcBorders>
              <w:top w:val="single" w:sz="4" w:space="0" w:color="auto"/>
            </w:tcBorders>
            <w:shd w:val="clear" w:color="auto" w:fill="auto"/>
            <w:vAlign w:val="center"/>
            <w:hideMark/>
          </w:tcPr>
          <w:p w14:paraId="06E58F98" w14:textId="3D4B7DE9" w:rsidR="007D6152" w:rsidRPr="00207793" w:rsidRDefault="007D6152" w:rsidP="00507409">
            <w:pPr>
              <w:keepLines/>
              <w:snapToGrid w:val="0"/>
              <w:spacing w:line="240" w:lineRule="exact"/>
              <w:ind w:right="0"/>
              <w:jc w:val="center"/>
              <w:rPr>
                <w:sz w:val="20"/>
                <w:szCs w:val="20"/>
              </w:rPr>
            </w:pPr>
            <w:r w:rsidRPr="00207793">
              <w:rPr>
                <w:sz w:val="20"/>
                <w:szCs w:val="20"/>
              </w:rPr>
              <w:t>2.127</w:t>
            </w:r>
          </w:p>
        </w:tc>
        <w:tc>
          <w:tcPr>
            <w:tcW w:w="803" w:type="dxa"/>
            <w:tcBorders>
              <w:top w:val="single" w:sz="4" w:space="0" w:color="auto"/>
            </w:tcBorders>
            <w:shd w:val="clear" w:color="auto" w:fill="auto"/>
            <w:vAlign w:val="center"/>
            <w:hideMark/>
          </w:tcPr>
          <w:p w14:paraId="2FC26232" w14:textId="142A2731" w:rsidR="007D6152" w:rsidRPr="00207793" w:rsidRDefault="007D6152" w:rsidP="00507409">
            <w:pPr>
              <w:keepLines/>
              <w:snapToGrid w:val="0"/>
              <w:spacing w:line="240" w:lineRule="exact"/>
              <w:ind w:right="0"/>
              <w:jc w:val="center"/>
              <w:rPr>
                <w:sz w:val="20"/>
                <w:szCs w:val="20"/>
              </w:rPr>
            </w:pPr>
            <w:r w:rsidRPr="00207793">
              <w:rPr>
                <w:sz w:val="20"/>
                <w:szCs w:val="20"/>
              </w:rPr>
              <w:t>0.233</w:t>
            </w:r>
          </w:p>
        </w:tc>
        <w:tc>
          <w:tcPr>
            <w:tcW w:w="803" w:type="dxa"/>
            <w:tcBorders>
              <w:top w:val="single" w:sz="4" w:space="0" w:color="auto"/>
            </w:tcBorders>
            <w:shd w:val="clear" w:color="auto" w:fill="auto"/>
            <w:vAlign w:val="center"/>
            <w:hideMark/>
          </w:tcPr>
          <w:p w14:paraId="4F3DDB30" w14:textId="302E4A95" w:rsidR="007D6152" w:rsidRPr="00207793" w:rsidRDefault="007D6152" w:rsidP="00507409">
            <w:pPr>
              <w:keepLines/>
              <w:snapToGrid w:val="0"/>
              <w:spacing w:line="240" w:lineRule="exact"/>
              <w:ind w:right="0"/>
              <w:jc w:val="center"/>
              <w:rPr>
                <w:sz w:val="20"/>
                <w:szCs w:val="20"/>
              </w:rPr>
            </w:pPr>
            <w:r w:rsidRPr="00207793">
              <w:rPr>
                <w:sz w:val="20"/>
                <w:szCs w:val="20"/>
              </w:rPr>
              <w:t>1.962</w:t>
            </w:r>
          </w:p>
        </w:tc>
        <w:tc>
          <w:tcPr>
            <w:tcW w:w="804" w:type="dxa"/>
            <w:tcBorders>
              <w:top w:val="single" w:sz="4" w:space="0" w:color="auto"/>
            </w:tcBorders>
            <w:shd w:val="clear" w:color="auto" w:fill="auto"/>
            <w:vAlign w:val="center"/>
            <w:hideMark/>
          </w:tcPr>
          <w:p w14:paraId="130E996B" w14:textId="7AF0106A" w:rsidR="007D6152" w:rsidRPr="00207793" w:rsidRDefault="007D6152" w:rsidP="00507409">
            <w:pPr>
              <w:keepLines/>
              <w:snapToGrid w:val="0"/>
              <w:spacing w:line="240" w:lineRule="exact"/>
              <w:ind w:right="0"/>
              <w:jc w:val="center"/>
              <w:rPr>
                <w:sz w:val="20"/>
                <w:szCs w:val="20"/>
              </w:rPr>
            </w:pPr>
            <w:r w:rsidRPr="00207793">
              <w:rPr>
                <w:sz w:val="20"/>
                <w:szCs w:val="20"/>
              </w:rPr>
              <w:t>2.274</w:t>
            </w:r>
          </w:p>
        </w:tc>
        <w:tc>
          <w:tcPr>
            <w:tcW w:w="803" w:type="dxa"/>
            <w:tcBorders>
              <w:top w:val="single" w:sz="4" w:space="0" w:color="auto"/>
            </w:tcBorders>
            <w:shd w:val="clear" w:color="auto" w:fill="auto"/>
            <w:vAlign w:val="center"/>
            <w:hideMark/>
          </w:tcPr>
          <w:p w14:paraId="322058EA" w14:textId="66B2ADFD" w:rsidR="007D6152" w:rsidRPr="00207793" w:rsidRDefault="007D6152" w:rsidP="00507409">
            <w:pPr>
              <w:keepLines/>
              <w:snapToGrid w:val="0"/>
              <w:spacing w:line="240" w:lineRule="exact"/>
              <w:ind w:right="0"/>
              <w:jc w:val="center"/>
              <w:rPr>
                <w:sz w:val="20"/>
                <w:szCs w:val="20"/>
              </w:rPr>
            </w:pPr>
            <w:r w:rsidRPr="00207793">
              <w:rPr>
                <w:sz w:val="20"/>
                <w:szCs w:val="20"/>
              </w:rPr>
              <w:t>1.806</w:t>
            </w:r>
          </w:p>
        </w:tc>
        <w:tc>
          <w:tcPr>
            <w:tcW w:w="803" w:type="dxa"/>
            <w:tcBorders>
              <w:top w:val="single" w:sz="4" w:space="0" w:color="auto"/>
            </w:tcBorders>
            <w:shd w:val="clear" w:color="auto" w:fill="auto"/>
            <w:vAlign w:val="center"/>
            <w:hideMark/>
          </w:tcPr>
          <w:p w14:paraId="1DFFE7F2" w14:textId="6FC9A9EF" w:rsidR="007D6152" w:rsidRPr="00207793" w:rsidRDefault="007D6152" w:rsidP="00507409">
            <w:pPr>
              <w:keepLines/>
              <w:snapToGrid w:val="0"/>
              <w:spacing w:line="240" w:lineRule="exact"/>
              <w:ind w:right="0"/>
              <w:jc w:val="center"/>
              <w:rPr>
                <w:sz w:val="20"/>
                <w:szCs w:val="20"/>
              </w:rPr>
            </w:pPr>
            <w:r w:rsidRPr="00207793">
              <w:rPr>
                <w:sz w:val="20"/>
                <w:szCs w:val="20"/>
              </w:rPr>
              <w:t>2.410</w:t>
            </w:r>
          </w:p>
        </w:tc>
        <w:tc>
          <w:tcPr>
            <w:tcW w:w="803" w:type="dxa"/>
            <w:tcBorders>
              <w:top w:val="single" w:sz="4" w:space="0" w:color="auto"/>
            </w:tcBorders>
            <w:shd w:val="clear" w:color="auto" w:fill="auto"/>
            <w:vAlign w:val="center"/>
            <w:hideMark/>
          </w:tcPr>
          <w:p w14:paraId="7D71E7B5" w14:textId="26892CAA" w:rsidR="007D6152" w:rsidRPr="00207793" w:rsidRDefault="007D6152" w:rsidP="00507409">
            <w:pPr>
              <w:keepLines/>
              <w:snapToGrid w:val="0"/>
              <w:spacing w:line="240" w:lineRule="exact"/>
              <w:ind w:right="0"/>
              <w:jc w:val="center"/>
              <w:rPr>
                <w:sz w:val="20"/>
                <w:szCs w:val="20"/>
              </w:rPr>
            </w:pPr>
            <w:r w:rsidRPr="00207793">
              <w:rPr>
                <w:sz w:val="20"/>
                <w:szCs w:val="20"/>
              </w:rPr>
              <w:t>1.333</w:t>
            </w:r>
          </w:p>
        </w:tc>
        <w:tc>
          <w:tcPr>
            <w:tcW w:w="804" w:type="dxa"/>
            <w:tcBorders>
              <w:top w:val="single" w:sz="4" w:space="0" w:color="auto"/>
            </w:tcBorders>
            <w:shd w:val="clear" w:color="auto" w:fill="auto"/>
            <w:vAlign w:val="center"/>
            <w:hideMark/>
          </w:tcPr>
          <w:p w14:paraId="15D2FED2" w14:textId="77832C87" w:rsidR="007D6152" w:rsidRPr="00207793" w:rsidRDefault="007D6152" w:rsidP="00507409">
            <w:pPr>
              <w:keepLines/>
              <w:snapToGrid w:val="0"/>
              <w:spacing w:line="240" w:lineRule="exact"/>
              <w:ind w:right="0"/>
              <w:jc w:val="center"/>
              <w:rPr>
                <w:sz w:val="20"/>
                <w:szCs w:val="20"/>
              </w:rPr>
            </w:pPr>
            <w:r w:rsidRPr="00207793">
              <w:rPr>
                <w:sz w:val="20"/>
                <w:szCs w:val="20"/>
              </w:rPr>
              <w:t>2.591</w:t>
            </w:r>
          </w:p>
        </w:tc>
      </w:tr>
      <w:tr w:rsidR="007D6152" w:rsidRPr="00207793" w14:paraId="7A69BB8B" w14:textId="77777777" w:rsidTr="00C3335D">
        <w:trPr>
          <w:cantSplit/>
          <w:trHeight w:val="350"/>
          <w:tblHeader/>
        </w:trPr>
        <w:tc>
          <w:tcPr>
            <w:tcW w:w="993" w:type="dxa"/>
            <w:shd w:val="clear" w:color="auto" w:fill="auto"/>
            <w:noWrap/>
            <w:vAlign w:val="center"/>
            <w:hideMark/>
          </w:tcPr>
          <w:p w14:paraId="74DDE5D1" w14:textId="77777777" w:rsidR="007D6152" w:rsidRPr="00207793" w:rsidRDefault="007D6152" w:rsidP="0069630A">
            <w:pPr>
              <w:keepLines/>
              <w:snapToGrid w:val="0"/>
              <w:spacing w:line="240" w:lineRule="exact"/>
              <w:ind w:right="0"/>
              <w:rPr>
                <w:sz w:val="20"/>
                <w:szCs w:val="20"/>
              </w:rPr>
            </w:pPr>
            <w:r w:rsidRPr="00207793">
              <w:rPr>
                <w:sz w:val="20"/>
                <w:szCs w:val="20"/>
              </w:rPr>
              <w:t>BM</w:t>
            </w:r>
          </w:p>
        </w:tc>
        <w:tc>
          <w:tcPr>
            <w:tcW w:w="803" w:type="dxa"/>
            <w:shd w:val="clear" w:color="auto" w:fill="auto"/>
            <w:vAlign w:val="center"/>
            <w:hideMark/>
          </w:tcPr>
          <w:p w14:paraId="7FC6836D" w14:textId="7E502EC6" w:rsidR="007D6152" w:rsidRPr="00207793" w:rsidRDefault="007D6152" w:rsidP="00507409">
            <w:pPr>
              <w:keepLines/>
              <w:snapToGrid w:val="0"/>
              <w:spacing w:line="240" w:lineRule="exact"/>
              <w:ind w:right="0"/>
              <w:jc w:val="center"/>
              <w:rPr>
                <w:sz w:val="20"/>
                <w:szCs w:val="20"/>
              </w:rPr>
            </w:pPr>
            <w:r w:rsidRPr="00207793">
              <w:rPr>
                <w:sz w:val="20"/>
                <w:szCs w:val="20"/>
              </w:rPr>
              <w:t>0.401</w:t>
            </w:r>
          </w:p>
        </w:tc>
        <w:tc>
          <w:tcPr>
            <w:tcW w:w="803" w:type="dxa"/>
            <w:shd w:val="clear" w:color="auto" w:fill="auto"/>
            <w:vAlign w:val="center"/>
            <w:hideMark/>
          </w:tcPr>
          <w:p w14:paraId="7DACDA37" w14:textId="651F6C52" w:rsidR="007D6152" w:rsidRPr="00207793" w:rsidRDefault="007D6152" w:rsidP="00507409">
            <w:pPr>
              <w:keepLines/>
              <w:snapToGrid w:val="0"/>
              <w:spacing w:line="240" w:lineRule="exact"/>
              <w:ind w:right="0"/>
              <w:jc w:val="center"/>
              <w:rPr>
                <w:sz w:val="20"/>
                <w:szCs w:val="20"/>
              </w:rPr>
            </w:pPr>
            <w:r w:rsidRPr="00207793">
              <w:rPr>
                <w:sz w:val="20"/>
                <w:szCs w:val="20"/>
              </w:rPr>
              <w:t>0.361</w:t>
            </w:r>
          </w:p>
        </w:tc>
        <w:tc>
          <w:tcPr>
            <w:tcW w:w="803" w:type="dxa"/>
            <w:shd w:val="clear" w:color="auto" w:fill="auto"/>
            <w:vAlign w:val="center"/>
            <w:hideMark/>
          </w:tcPr>
          <w:p w14:paraId="6B3C664A" w14:textId="018B7284" w:rsidR="007D6152" w:rsidRPr="00207793" w:rsidRDefault="007D6152" w:rsidP="00507409">
            <w:pPr>
              <w:keepLines/>
              <w:snapToGrid w:val="0"/>
              <w:spacing w:line="240" w:lineRule="exact"/>
              <w:ind w:right="0"/>
              <w:jc w:val="center"/>
              <w:rPr>
                <w:sz w:val="20"/>
                <w:szCs w:val="20"/>
              </w:rPr>
            </w:pPr>
            <w:r w:rsidRPr="00207793">
              <w:rPr>
                <w:sz w:val="20"/>
                <w:szCs w:val="20"/>
              </w:rPr>
              <w:t>0.995</w:t>
            </w:r>
          </w:p>
        </w:tc>
        <w:tc>
          <w:tcPr>
            <w:tcW w:w="803" w:type="dxa"/>
            <w:shd w:val="clear" w:color="auto" w:fill="auto"/>
            <w:vAlign w:val="center"/>
            <w:hideMark/>
          </w:tcPr>
          <w:p w14:paraId="072D1DE5" w14:textId="5DB4D492" w:rsidR="007D6152" w:rsidRPr="00207793" w:rsidRDefault="007D6152" w:rsidP="00507409">
            <w:pPr>
              <w:keepLines/>
              <w:snapToGrid w:val="0"/>
              <w:spacing w:line="240" w:lineRule="exact"/>
              <w:ind w:right="0"/>
              <w:jc w:val="center"/>
              <w:rPr>
                <w:sz w:val="20"/>
                <w:szCs w:val="20"/>
              </w:rPr>
            </w:pPr>
            <w:r w:rsidRPr="00207793">
              <w:rPr>
                <w:sz w:val="20"/>
                <w:szCs w:val="20"/>
              </w:rPr>
              <w:t>0.209</w:t>
            </w:r>
          </w:p>
        </w:tc>
        <w:tc>
          <w:tcPr>
            <w:tcW w:w="804" w:type="dxa"/>
            <w:shd w:val="clear" w:color="auto" w:fill="auto"/>
            <w:vAlign w:val="center"/>
            <w:hideMark/>
          </w:tcPr>
          <w:p w14:paraId="68E09B27" w14:textId="7D4BBBBB" w:rsidR="007D6152" w:rsidRPr="00207793" w:rsidRDefault="007D6152" w:rsidP="00507409">
            <w:pPr>
              <w:keepLines/>
              <w:snapToGrid w:val="0"/>
              <w:spacing w:line="240" w:lineRule="exact"/>
              <w:ind w:right="0"/>
              <w:jc w:val="center"/>
              <w:rPr>
                <w:sz w:val="20"/>
                <w:szCs w:val="20"/>
              </w:rPr>
            </w:pPr>
            <w:r w:rsidRPr="00207793">
              <w:rPr>
                <w:sz w:val="20"/>
                <w:szCs w:val="20"/>
              </w:rPr>
              <w:t>0.534</w:t>
            </w:r>
          </w:p>
        </w:tc>
        <w:tc>
          <w:tcPr>
            <w:tcW w:w="803" w:type="dxa"/>
            <w:shd w:val="clear" w:color="auto" w:fill="auto"/>
            <w:vAlign w:val="center"/>
            <w:hideMark/>
          </w:tcPr>
          <w:p w14:paraId="0BAD1385" w14:textId="5D6DE04E" w:rsidR="007D6152" w:rsidRPr="00207793" w:rsidRDefault="007D6152" w:rsidP="00507409">
            <w:pPr>
              <w:keepLines/>
              <w:snapToGrid w:val="0"/>
              <w:spacing w:line="240" w:lineRule="exact"/>
              <w:ind w:right="0"/>
              <w:jc w:val="center"/>
              <w:rPr>
                <w:sz w:val="20"/>
                <w:szCs w:val="20"/>
              </w:rPr>
            </w:pPr>
            <w:r w:rsidRPr="00207793">
              <w:rPr>
                <w:sz w:val="20"/>
                <w:szCs w:val="20"/>
              </w:rPr>
              <w:t>0.112</w:t>
            </w:r>
          </w:p>
        </w:tc>
        <w:tc>
          <w:tcPr>
            <w:tcW w:w="803" w:type="dxa"/>
            <w:shd w:val="clear" w:color="auto" w:fill="auto"/>
            <w:vAlign w:val="center"/>
            <w:hideMark/>
          </w:tcPr>
          <w:p w14:paraId="09D27B75" w14:textId="5B42F56A" w:rsidR="007D6152" w:rsidRPr="00207793" w:rsidRDefault="007D6152" w:rsidP="00507409">
            <w:pPr>
              <w:keepLines/>
              <w:snapToGrid w:val="0"/>
              <w:spacing w:line="240" w:lineRule="exact"/>
              <w:ind w:right="0"/>
              <w:jc w:val="center"/>
              <w:rPr>
                <w:sz w:val="20"/>
                <w:szCs w:val="20"/>
              </w:rPr>
            </w:pPr>
            <w:r w:rsidRPr="00207793">
              <w:rPr>
                <w:sz w:val="20"/>
                <w:szCs w:val="20"/>
              </w:rPr>
              <w:t>0.824</w:t>
            </w:r>
          </w:p>
        </w:tc>
        <w:tc>
          <w:tcPr>
            <w:tcW w:w="803" w:type="dxa"/>
            <w:shd w:val="clear" w:color="auto" w:fill="auto"/>
            <w:noWrap/>
            <w:vAlign w:val="center"/>
            <w:hideMark/>
          </w:tcPr>
          <w:p w14:paraId="6AD6FC70" w14:textId="32CDBE9F" w:rsidR="007D6152" w:rsidRPr="00207793" w:rsidRDefault="007D6152" w:rsidP="00507409">
            <w:pPr>
              <w:keepLines/>
              <w:snapToGrid w:val="0"/>
              <w:spacing w:line="240" w:lineRule="exact"/>
              <w:ind w:right="0"/>
              <w:jc w:val="center"/>
              <w:rPr>
                <w:sz w:val="20"/>
                <w:szCs w:val="20"/>
              </w:rPr>
            </w:pPr>
            <w:r w:rsidRPr="00207793">
              <w:rPr>
                <w:sz w:val="20"/>
                <w:szCs w:val="20"/>
              </w:rPr>
              <w:t>-21.915</w:t>
            </w:r>
          </w:p>
        </w:tc>
        <w:tc>
          <w:tcPr>
            <w:tcW w:w="804" w:type="dxa"/>
            <w:shd w:val="clear" w:color="auto" w:fill="auto"/>
            <w:vAlign w:val="center"/>
            <w:hideMark/>
          </w:tcPr>
          <w:p w14:paraId="549F32B9" w14:textId="1A16AECF" w:rsidR="007D6152" w:rsidRPr="00207793" w:rsidRDefault="007D6152" w:rsidP="00507409">
            <w:pPr>
              <w:keepLines/>
              <w:snapToGrid w:val="0"/>
              <w:spacing w:line="240" w:lineRule="exact"/>
              <w:ind w:right="0"/>
              <w:jc w:val="center"/>
              <w:rPr>
                <w:sz w:val="20"/>
                <w:szCs w:val="20"/>
              </w:rPr>
            </w:pPr>
            <w:r w:rsidRPr="00207793">
              <w:rPr>
                <w:sz w:val="20"/>
                <w:szCs w:val="20"/>
              </w:rPr>
              <w:t>6.959</w:t>
            </w:r>
          </w:p>
        </w:tc>
      </w:tr>
      <w:tr w:rsidR="007D6152" w:rsidRPr="00207793" w14:paraId="29CF48D9" w14:textId="77777777" w:rsidTr="00C3335D">
        <w:trPr>
          <w:cantSplit/>
          <w:trHeight w:val="350"/>
          <w:tblHeader/>
        </w:trPr>
        <w:tc>
          <w:tcPr>
            <w:tcW w:w="993" w:type="dxa"/>
            <w:shd w:val="clear" w:color="auto" w:fill="auto"/>
            <w:noWrap/>
            <w:vAlign w:val="center"/>
            <w:hideMark/>
          </w:tcPr>
          <w:p w14:paraId="454CC99E" w14:textId="77777777" w:rsidR="007D6152" w:rsidRPr="00207793" w:rsidRDefault="007D6152" w:rsidP="0069630A">
            <w:pPr>
              <w:keepLines/>
              <w:snapToGrid w:val="0"/>
              <w:spacing w:line="240" w:lineRule="exact"/>
              <w:ind w:right="0"/>
              <w:rPr>
                <w:sz w:val="20"/>
                <w:szCs w:val="20"/>
              </w:rPr>
            </w:pPr>
            <w:r w:rsidRPr="00207793">
              <w:rPr>
                <w:sz w:val="20"/>
                <w:szCs w:val="20"/>
              </w:rPr>
              <w:t>ROA</w:t>
            </w:r>
          </w:p>
        </w:tc>
        <w:tc>
          <w:tcPr>
            <w:tcW w:w="803" w:type="dxa"/>
            <w:shd w:val="clear" w:color="auto" w:fill="auto"/>
            <w:vAlign w:val="center"/>
            <w:hideMark/>
          </w:tcPr>
          <w:p w14:paraId="2DDF91A2" w14:textId="733CF4E4" w:rsidR="007D6152" w:rsidRPr="00207793" w:rsidRDefault="007D6152" w:rsidP="00507409">
            <w:pPr>
              <w:keepLines/>
              <w:snapToGrid w:val="0"/>
              <w:spacing w:line="240" w:lineRule="exact"/>
              <w:ind w:right="0"/>
              <w:jc w:val="center"/>
              <w:rPr>
                <w:sz w:val="20"/>
                <w:szCs w:val="20"/>
              </w:rPr>
            </w:pPr>
            <w:r w:rsidRPr="00207793">
              <w:rPr>
                <w:sz w:val="20"/>
                <w:szCs w:val="20"/>
              </w:rPr>
              <w:t>0.015</w:t>
            </w:r>
          </w:p>
        </w:tc>
        <w:tc>
          <w:tcPr>
            <w:tcW w:w="803" w:type="dxa"/>
            <w:shd w:val="clear" w:color="auto" w:fill="auto"/>
            <w:vAlign w:val="center"/>
            <w:hideMark/>
          </w:tcPr>
          <w:p w14:paraId="74E2C885" w14:textId="048BC9CA" w:rsidR="007D6152" w:rsidRPr="00207793" w:rsidRDefault="007D6152" w:rsidP="00507409">
            <w:pPr>
              <w:keepLines/>
              <w:snapToGrid w:val="0"/>
              <w:spacing w:line="240" w:lineRule="exact"/>
              <w:ind w:right="0"/>
              <w:jc w:val="center"/>
              <w:rPr>
                <w:sz w:val="20"/>
                <w:szCs w:val="20"/>
              </w:rPr>
            </w:pPr>
            <w:r w:rsidRPr="00207793">
              <w:rPr>
                <w:sz w:val="20"/>
                <w:szCs w:val="20"/>
              </w:rPr>
              <w:t>0.047</w:t>
            </w:r>
          </w:p>
        </w:tc>
        <w:tc>
          <w:tcPr>
            <w:tcW w:w="803" w:type="dxa"/>
            <w:shd w:val="clear" w:color="auto" w:fill="auto"/>
            <w:vAlign w:val="center"/>
            <w:hideMark/>
          </w:tcPr>
          <w:p w14:paraId="3B3379E6" w14:textId="01C900B6" w:rsidR="007D6152" w:rsidRPr="00207793" w:rsidRDefault="007D6152" w:rsidP="00507409">
            <w:pPr>
              <w:keepLines/>
              <w:snapToGrid w:val="0"/>
              <w:spacing w:line="240" w:lineRule="exact"/>
              <w:ind w:right="0"/>
              <w:jc w:val="center"/>
              <w:rPr>
                <w:sz w:val="20"/>
                <w:szCs w:val="20"/>
              </w:rPr>
            </w:pPr>
            <w:r w:rsidRPr="00207793">
              <w:rPr>
                <w:sz w:val="20"/>
                <w:szCs w:val="20"/>
              </w:rPr>
              <w:t>0.169</w:t>
            </w:r>
          </w:p>
        </w:tc>
        <w:tc>
          <w:tcPr>
            <w:tcW w:w="803" w:type="dxa"/>
            <w:shd w:val="clear" w:color="auto" w:fill="auto"/>
            <w:vAlign w:val="center"/>
            <w:hideMark/>
          </w:tcPr>
          <w:p w14:paraId="40D82F77" w14:textId="172CEDAF" w:rsidR="007D6152" w:rsidRPr="00207793" w:rsidRDefault="007D6152" w:rsidP="00507409">
            <w:pPr>
              <w:keepLines/>
              <w:snapToGrid w:val="0"/>
              <w:spacing w:line="240" w:lineRule="exact"/>
              <w:ind w:right="0"/>
              <w:jc w:val="center"/>
              <w:rPr>
                <w:sz w:val="20"/>
                <w:szCs w:val="20"/>
              </w:rPr>
            </w:pPr>
            <w:r w:rsidRPr="00207793">
              <w:rPr>
                <w:sz w:val="20"/>
                <w:szCs w:val="20"/>
              </w:rPr>
              <w:t>0.004</w:t>
            </w:r>
          </w:p>
        </w:tc>
        <w:tc>
          <w:tcPr>
            <w:tcW w:w="804" w:type="dxa"/>
            <w:shd w:val="clear" w:color="auto" w:fill="auto"/>
            <w:vAlign w:val="center"/>
            <w:hideMark/>
          </w:tcPr>
          <w:p w14:paraId="40A1C9F0" w14:textId="31A70275" w:rsidR="007D6152" w:rsidRPr="00207793" w:rsidRDefault="007D6152" w:rsidP="00507409">
            <w:pPr>
              <w:keepLines/>
              <w:snapToGrid w:val="0"/>
              <w:spacing w:line="240" w:lineRule="exact"/>
              <w:ind w:right="0"/>
              <w:jc w:val="center"/>
              <w:rPr>
                <w:sz w:val="20"/>
                <w:szCs w:val="20"/>
              </w:rPr>
            </w:pPr>
            <w:r w:rsidRPr="00207793">
              <w:rPr>
                <w:sz w:val="20"/>
                <w:szCs w:val="20"/>
              </w:rPr>
              <w:t>0.083</w:t>
            </w:r>
          </w:p>
        </w:tc>
        <w:tc>
          <w:tcPr>
            <w:tcW w:w="803" w:type="dxa"/>
            <w:shd w:val="clear" w:color="auto" w:fill="auto"/>
            <w:noWrap/>
            <w:vAlign w:val="center"/>
            <w:hideMark/>
          </w:tcPr>
          <w:p w14:paraId="19CCD0A2" w14:textId="6F160F9A" w:rsidR="007D6152" w:rsidRPr="00207793" w:rsidRDefault="007D6152" w:rsidP="00507409">
            <w:pPr>
              <w:keepLines/>
              <w:snapToGrid w:val="0"/>
              <w:spacing w:line="240" w:lineRule="exact"/>
              <w:ind w:right="0"/>
              <w:jc w:val="center"/>
              <w:rPr>
                <w:sz w:val="20"/>
                <w:szCs w:val="20"/>
              </w:rPr>
            </w:pPr>
            <w:r w:rsidRPr="00207793">
              <w:rPr>
                <w:sz w:val="20"/>
                <w:szCs w:val="20"/>
              </w:rPr>
              <w:t>-0.113</w:t>
            </w:r>
          </w:p>
        </w:tc>
        <w:tc>
          <w:tcPr>
            <w:tcW w:w="803" w:type="dxa"/>
            <w:shd w:val="clear" w:color="auto" w:fill="auto"/>
            <w:vAlign w:val="center"/>
            <w:hideMark/>
          </w:tcPr>
          <w:p w14:paraId="616CA586" w14:textId="3C6183A0" w:rsidR="007D6152" w:rsidRPr="00207793" w:rsidRDefault="007D6152" w:rsidP="00507409">
            <w:pPr>
              <w:keepLines/>
              <w:snapToGrid w:val="0"/>
              <w:spacing w:line="240" w:lineRule="exact"/>
              <w:ind w:right="0"/>
              <w:jc w:val="center"/>
              <w:rPr>
                <w:sz w:val="20"/>
                <w:szCs w:val="20"/>
              </w:rPr>
            </w:pPr>
            <w:r w:rsidRPr="00207793">
              <w:rPr>
                <w:sz w:val="20"/>
                <w:szCs w:val="20"/>
              </w:rPr>
              <w:t>0.124</w:t>
            </w:r>
          </w:p>
        </w:tc>
        <w:tc>
          <w:tcPr>
            <w:tcW w:w="803" w:type="dxa"/>
            <w:shd w:val="clear" w:color="auto" w:fill="auto"/>
            <w:noWrap/>
            <w:vAlign w:val="center"/>
            <w:hideMark/>
          </w:tcPr>
          <w:p w14:paraId="2016FB3F" w14:textId="0403748F" w:rsidR="007D6152" w:rsidRPr="00207793" w:rsidRDefault="007D6152" w:rsidP="00507409">
            <w:pPr>
              <w:keepLines/>
              <w:snapToGrid w:val="0"/>
              <w:spacing w:line="240" w:lineRule="exact"/>
              <w:ind w:right="0"/>
              <w:jc w:val="center"/>
              <w:rPr>
                <w:sz w:val="20"/>
                <w:szCs w:val="20"/>
              </w:rPr>
            </w:pPr>
            <w:r w:rsidRPr="00207793">
              <w:rPr>
                <w:sz w:val="20"/>
                <w:szCs w:val="20"/>
              </w:rPr>
              <w:t>-1.927</w:t>
            </w:r>
          </w:p>
        </w:tc>
        <w:tc>
          <w:tcPr>
            <w:tcW w:w="804" w:type="dxa"/>
            <w:shd w:val="clear" w:color="auto" w:fill="auto"/>
            <w:vAlign w:val="center"/>
            <w:hideMark/>
          </w:tcPr>
          <w:p w14:paraId="2CB15324" w14:textId="139B46DA" w:rsidR="007D6152" w:rsidRPr="00207793" w:rsidRDefault="007D6152" w:rsidP="00507409">
            <w:pPr>
              <w:keepLines/>
              <w:snapToGrid w:val="0"/>
              <w:spacing w:line="240" w:lineRule="exact"/>
              <w:ind w:right="0"/>
              <w:jc w:val="center"/>
              <w:rPr>
                <w:sz w:val="20"/>
                <w:szCs w:val="20"/>
              </w:rPr>
            </w:pPr>
            <w:r w:rsidRPr="00207793">
              <w:rPr>
                <w:sz w:val="20"/>
                <w:szCs w:val="20"/>
              </w:rPr>
              <w:t>0.282</w:t>
            </w:r>
          </w:p>
        </w:tc>
      </w:tr>
      <w:tr w:rsidR="007D6152" w:rsidRPr="00207793" w14:paraId="383C1037" w14:textId="77777777" w:rsidTr="00C3335D">
        <w:trPr>
          <w:cantSplit/>
          <w:trHeight w:val="350"/>
          <w:tblHeader/>
        </w:trPr>
        <w:tc>
          <w:tcPr>
            <w:tcW w:w="993" w:type="dxa"/>
            <w:shd w:val="clear" w:color="auto" w:fill="auto"/>
            <w:noWrap/>
            <w:vAlign w:val="center"/>
            <w:hideMark/>
          </w:tcPr>
          <w:p w14:paraId="102A6C3A" w14:textId="77777777" w:rsidR="007D6152" w:rsidRPr="00207793" w:rsidRDefault="007D6152" w:rsidP="0069630A">
            <w:pPr>
              <w:keepLines/>
              <w:snapToGrid w:val="0"/>
              <w:spacing w:line="240" w:lineRule="exact"/>
              <w:ind w:right="0"/>
              <w:rPr>
                <w:sz w:val="20"/>
                <w:szCs w:val="20"/>
              </w:rPr>
            </w:pPr>
            <w:r w:rsidRPr="00207793">
              <w:rPr>
                <w:sz w:val="20"/>
                <w:szCs w:val="20"/>
              </w:rPr>
              <w:t>Runup</w:t>
            </w:r>
          </w:p>
        </w:tc>
        <w:tc>
          <w:tcPr>
            <w:tcW w:w="803" w:type="dxa"/>
            <w:shd w:val="clear" w:color="auto" w:fill="auto"/>
            <w:noWrap/>
            <w:vAlign w:val="center"/>
            <w:hideMark/>
          </w:tcPr>
          <w:p w14:paraId="468693CF" w14:textId="46F9D5D0" w:rsidR="007D6152" w:rsidRPr="00207793" w:rsidRDefault="007D6152" w:rsidP="00507409">
            <w:pPr>
              <w:keepLines/>
              <w:snapToGrid w:val="0"/>
              <w:spacing w:line="240" w:lineRule="exact"/>
              <w:ind w:right="0"/>
              <w:jc w:val="center"/>
              <w:rPr>
                <w:sz w:val="20"/>
                <w:szCs w:val="20"/>
              </w:rPr>
            </w:pPr>
            <w:r w:rsidRPr="00207793">
              <w:rPr>
                <w:sz w:val="20"/>
                <w:szCs w:val="20"/>
              </w:rPr>
              <w:t>-0.039</w:t>
            </w:r>
          </w:p>
        </w:tc>
        <w:tc>
          <w:tcPr>
            <w:tcW w:w="803" w:type="dxa"/>
            <w:shd w:val="clear" w:color="auto" w:fill="auto"/>
            <w:noWrap/>
            <w:vAlign w:val="center"/>
            <w:hideMark/>
          </w:tcPr>
          <w:p w14:paraId="33E14285" w14:textId="798C6460" w:rsidR="007D6152" w:rsidRPr="00207793" w:rsidRDefault="007D6152" w:rsidP="00507409">
            <w:pPr>
              <w:keepLines/>
              <w:snapToGrid w:val="0"/>
              <w:spacing w:line="240" w:lineRule="exact"/>
              <w:ind w:right="0"/>
              <w:jc w:val="center"/>
              <w:rPr>
                <w:sz w:val="20"/>
                <w:szCs w:val="20"/>
              </w:rPr>
            </w:pPr>
            <w:r w:rsidRPr="00207793">
              <w:rPr>
                <w:sz w:val="20"/>
                <w:szCs w:val="20"/>
              </w:rPr>
              <w:t>-0.030</w:t>
            </w:r>
          </w:p>
        </w:tc>
        <w:tc>
          <w:tcPr>
            <w:tcW w:w="803" w:type="dxa"/>
            <w:shd w:val="clear" w:color="auto" w:fill="auto"/>
            <w:vAlign w:val="center"/>
            <w:hideMark/>
          </w:tcPr>
          <w:p w14:paraId="63C1A562" w14:textId="19F3B296" w:rsidR="007D6152" w:rsidRPr="00207793" w:rsidRDefault="007D6152" w:rsidP="00507409">
            <w:pPr>
              <w:keepLines/>
              <w:snapToGrid w:val="0"/>
              <w:spacing w:line="240" w:lineRule="exact"/>
              <w:ind w:right="0"/>
              <w:jc w:val="center"/>
              <w:rPr>
                <w:sz w:val="20"/>
                <w:szCs w:val="20"/>
              </w:rPr>
            </w:pPr>
            <w:r w:rsidRPr="00207793">
              <w:rPr>
                <w:sz w:val="20"/>
                <w:szCs w:val="20"/>
              </w:rPr>
              <w:t>0.195</w:t>
            </w:r>
          </w:p>
        </w:tc>
        <w:tc>
          <w:tcPr>
            <w:tcW w:w="803" w:type="dxa"/>
            <w:shd w:val="clear" w:color="auto" w:fill="auto"/>
            <w:noWrap/>
            <w:vAlign w:val="center"/>
            <w:hideMark/>
          </w:tcPr>
          <w:p w14:paraId="16F27BDE" w14:textId="3516D3C6" w:rsidR="007D6152" w:rsidRPr="00207793" w:rsidRDefault="007D6152" w:rsidP="00507409">
            <w:pPr>
              <w:keepLines/>
              <w:snapToGrid w:val="0"/>
              <w:spacing w:line="240" w:lineRule="exact"/>
              <w:ind w:right="0"/>
              <w:jc w:val="center"/>
              <w:rPr>
                <w:sz w:val="20"/>
                <w:szCs w:val="20"/>
              </w:rPr>
            </w:pPr>
            <w:r w:rsidRPr="00207793">
              <w:rPr>
                <w:sz w:val="20"/>
                <w:szCs w:val="20"/>
              </w:rPr>
              <w:t>-0.125</w:t>
            </w:r>
          </w:p>
        </w:tc>
        <w:tc>
          <w:tcPr>
            <w:tcW w:w="804" w:type="dxa"/>
            <w:shd w:val="clear" w:color="auto" w:fill="auto"/>
            <w:vAlign w:val="center"/>
            <w:hideMark/>
          </w:tcPr>
          <w:p w14:paraId="6F86B043" w14:textId="47C71E02" w:rsidR="007D6152" w:rsidRPr="00207793" w:rsidRDefault="007D6152" w:rsidP="00507409">
            <w:pPr>
              <w:keepLines/>
              <w:snapToGrid w:val="0"/>
              <w:spacing w:line="240" w:lineRule="exact"/>
              <w:ind w:right="0"/>
              <w:jc w:val="center"/>
              <w:rPr>
                <w:sz w:val="20"/>
                <w:szCs w:val="20"/>
              </w:rPr>
            </w:pPr>
            <w:r w:rsidRPr="00207793">
              <w:rPr>
                <w:sz w:val="20"/>
                <w:szCs w:val="20"/>
              </w:rPr>
              <w:t>0.066</w:t>
            </w:r>
          </w:p>
        </w:tc>
        <w:tc>
          <w:tcPr>
            <w:tcW w:w="803" w:type="dxa"/>
            <w:shd w:val="clear" w:color="auto" w:fill="auto"/>
            <w:noWrap/>
            <w:vAlign w:val="center"/>
            <w:hideMark/>
          </w:tcPr>
          <w:p w14:paraId="1D24F886" w14:textId="3CD70CB7" w:rsidR="007D6152" w:rsidRPr="00207793" w:rsidRDefault="007D6152" w:rsidP="00507409">
            <w:pPr>
              <w:keepLines/>
              <w:snapToGrid w:val="0"/>
              <w:spacing w:line="240" w:lineRule="exact"/>
              <w:ind w:right="0"/>
              <w:jc w:val="center"/>
              <w:rPr>
                <w:sz w:val="20"/>
                <w:szCs w:val="20"/>
              </w:rPr>
            </w:pPr>
            <w:r w:rsidRPr="00207793">
              <w:rPr>
                <w:sz w:val="20"/>
                <w:szCs w:val="20"/>
              </w:rPr>
              <w:t>-0.249</w:t>
            </w:r>
          </w:p>
        </w:tc>
        <w:tc>
          <w:tcPr>
            <w:tcW w:w="803" w:type="dxa"/>
            <w:shd w:val="clear" w:color="auto" w:fill="auto"/>
            <w:vAlign w:val="center"/>
            <w:hideMark/>
          </w:tcPr>
          <w:p w14:paraId="2E5EDBA9" w14:textId="210FA817" w:rsidR="007D6152" w:rsidRPr="00207793" w:rsidRDefault="007D6152" w:rsidP="00507409">
            <w:pPr>
              <w:keepLines/>
              <w:snapToGrid w:val="0"/>
              <w:spacing w:line="240" w:lineRule="exact"/>
              <w:ind w:right="0"/>
              <w:jc w:val="center"/>
              <w:rPr>
                <w:sz w:val="20"/>
                <w:szCs w:val="20"/>
              </w:rPr>
            </w:pPr>
            <w:r w:rsidRPr="00207793">
              <w:rPr>
                <w:sz w:val="20"/>
                <w:szCs w:val="20"/>
              </w:rPr>
              <w:t>0.175</w:t>
            </w:r>
          </w:p>
        </w:tc>
        <w:tc>
          <w:tcPr>
            <w:tcW w:w="803" w:type="dxa"/>
            <w:shd w:val="clear" w:color="auto" w:fill="auto"/>
            <w:noWrap/>
            <w:vAlign w:val="center"/>
            <w:hideMark/>
          </w:tcPr>
          <w:p w14:paraId="081DB7F7" w14:textId="70B04B80" w:rsidR="007D6152" w:rsidRPr="00207793" w:rsidRDefault="007D6152" w:rsidP="00507409">
            <w:pPr>
              <w:keepLines/>
              <w:snapToGrid w:val="0"/>
              <w:spacing w:line="240" w:lineRule="exact"/>
              <w:ind w:right="0"/>
              <w:jc w:val="center"/>
              <w:rPr>
                <w:sz w:val="20"/>
                <w:szCs w:val="20"/>
              </w:rPr>
            </w:pPr>
            <w:r w:rsidRPr="00207793">
              <w:rPr>
                <w:sz w:val="20"/>
                <w:szCs w:val="20"/>
              </w:rPr>
              <w:t>-1.039</w:t>
            </w:r>
          </w:p>
        </w:tc>
        <w:tc>
          <w:tcPr>
            <w:tcW w:w="804" w:type="dxa"/>
            <w:shd w:val="clear" w:color="auto" w:fill="auto"/>
            <w:vAlign w:val="center"/>
            <w:hideMark/>
          </w:tcPr>
          <w:p w14:paraId="772742D6" w14:textId="364D62D7" w:rsidR="007D6152" w:rsidRPr="00207793" w:rsidRDefault="007D6152" w:rsidP="00507409">
            <w:pPr>
              <w:keepLines/>
              <w:snapToGrid w:val="0"/>
              <w:spacing w:line="240" w:lineRule="exact"/>
              <w:ind w:right="0"/>
              <w:jc w:val="center"/>
              <w:rPr>
                <w:sz w:val="20"/>
                <w:szCs w:val="20"/>
              </w:rPr>
            </w:pPr>
            <w:r w:rsidRPr="00207793">
              <w:rPr>
                <w:sz w:val="20"/>
                <w:szCs w:val="20"/>
              </w:rPr>
              <w:t>0.685</w:t>
            </w:r>
          </w:p>
        </w:tc>
      </w:tr>
      <w:tr w:rsidR="007D6152" w:rsidRPr="00207793" w14:paraId="0D1A99D6" w14:textId="77777777" w:rsidTr="00C3335D">
        <w:trPr>
          <w:cantSplit/>
          <w:trHeight w:val="350"/>
          <w:tblHeader/>
        </w:trPr>
        <w:tc>
          <w:tcPr>
            <w:tcW w:w="993" w:type="dxa"/>
            <w:shd w:val="clear" w:color="auto" w:fill="auto"/>
            <w:noWrap/>
            <w:vAlign w:val="center"/>
            <w:hideMark/>
          </w:tcPr>
          <w:p w14:paraId="7346ED36" w14:textId="77777777" w:rsidR="007D6152" w:rsidRPr="00207793" w:rsidRDefault="007D6152" w:rsidP="0069630A">
            <w:pPr>
              <w:keepLines/>
              <w:snapToGrid w:val="0"/>
              <w:spacing w:line="240" w:lineRule="exact"/>
              <w:ind w:right="0"/>
              <w:rPr>
                <w:sz w:val="20"/>
                <w:szCs w:val="20"/>
              </w:rPr>
            </w:pPr>
            <w:r w:rsidRPr="00207793">
              <w:rPr>
                <w:sz w:val="20"/>
                <w:szCs w:val="20"/>
              </w:rPr>
              <w:t>Dividend</w:t>
            </w:r>
          </w:p>
        </w:tc>
        <w:tc>
          <w:tcPr>
            <w:tcW w:w="803" w:type="dxa"/>
            <w:shd w:val="clear" w:color="auto" w:fill="auto"/>
            <w:vAlign w:val="center"/>
            <w:hideMark/>
          </w:tcPr>
          <w:p w14:paraId="03072BA7" w14:textId="51D596F7" w:rsidR="007D6152" w:rsidRPr="00207793" w:rsidRDefault="007D6152" w:rsidP="00507409">
            <w:pPr>
              <w:keepLines/>
              <w:snapToGrid w:val="0"/>
              <w:spacing w:line="240" w:lineRule="exact"/>
              <w:ind w:right="0"/>
              <w:jc w:val="center"/>
              <w:rPr>
                <w:sz w:val="20"/>
                <w:szCs w:val="20"/>
              </w:rPr>
            </w:pPr>
            <w:r w:rsidRPr="00207793">
              <w:rPr>
                <w:sz w:val="20"/>
                <w:szCs w:val="20"/>
              </w:rPr>
              <w:t>0.014</w:t>
            </w:r>
          </w:p>
        </w:tc>
        <w:tc>
          <w:tcPr>
            <w:tcW w:w="803" w:type="dxa"/>
            <w:shd w:val="clear" w:color="auto" w:fill="auto"/>
            <w:vAlign w:val="center"/>
            <w:hideMark/>
          </w:tcPr>
          <w:p w14:paraId="45226309" w14:textId="0A0D58CD" w:rsidR="007D6152" w:rsidRPr="00207793" w:rsidRDefault="007D6152" w:rsidP="00507409">
            <w:pPr>
              <w:keepLines/>
              <w:snapToGrid w:val="0"/>
              <w:spacing w:line="240" w:lineRule="exact"/>
              <w:ind w:right="0"/>
              <w:jc w:val="center"/>
              <w:rPr>
                <w:sz w:val="20"/>
                <w:szCs w:val="20"/>
              </w:rPr>
            </w:pPr>
            <w:r w:rsidRPr="00207793">
              <w:rPr>
                <w:sz w:val="20"/>
                <w:szCs w:val="20"/>
              </w:rPr>
              <w:t>0.000</w:t>
            </w:r>
          </w:p>
        </w:tc>
        <w:tc>
          <w:tcPr>
            <w:tcW w:w="803" w:type="dxa"/>
            <w:shd w:val="clear" w:color="auto" w:fill="auto"/>
            <w:vAlign w:val="center"/>
            <w:hideMark/>
          </w:tcPr>
          <w:p w14:paraId="533E210B" w14:textId="3D14667F" w:rsidR="007D6152" w:rsidRPr="00207793" w:rsidRDefault="007D6152" w:rsidP="00507409">
            <w:pPr>
              <w:keepLines/>
              <w:snapToGrid w:val="0"/>
              <w:spacing w:line="240" w:lineRule="exact"/>
              <w:ind w:right="0"/>
              <w:jc w:val="center"/>
              <w:rPr>
                <w:sz w:val="20"/>
                <w:szCs w:val="20"/>
              </w:rPr>
            </w:pPr>
            <w:r w:rsidRPr="00207793">
              <w:rPr>
                <w:sz w:val="20"/>
                <w:szCs w:val="20"/>
              </w:rPr>
              <w:t>0.544</w:t>
            </w:r>
          </w:p>
        </w:tc>
        <w:tc>
          <w:tcPr>
            <w:tcW w:w="803" w:type="dxa"/>
            <w:shd w:val="clear" w:color="auto" w:fill="auto"/>
            <w:vAlign w:val="center"/>
            <w:hideMark/>
          </w:tcPr>
          <w:p w14:paraId="11868C80" w14:textId="52ACEE8D" w:rsidR="007D6152" w:rsidRPr="00207793" w:rsidRDefault="007D6152" w:rsidP="00507409">
            <w:pPr>
              <w:keepLines/>
              <w:snapToGrid w:val="0"/>
              <w:spacing w:line="240" w:lineRule="exact"/>
              <w:ind w:right="0"/>
              <w:jc w:val="center"/>
              <w:rPr>
                <w:sz w:val="20"/>
                <w:szCs w:val="20"/>
              </w:rPr>
            </w:pPr>
            <w:r w:rsidRPr="00207793">
              <w:rPr>
                <w:sz w:val="20"/>
                <w:szCs w:val="20"/>
              </w:rPr>
              <w:t>0.000</w:t>
            </w:r>
          </w:p>
        </w:tc>
        <w:tc>
          <w:tcPr>
            <w:tcW w:w="804" w:type="dxa"/>
            <w:shd w:val="clear" w:color="auto" w:fill="auto"/>
            <w:vAlign w:val="center"/>
            <w:hideMark/>
          </w:tcPr>
          <w:p w14:paraId="71C8B462" w14:textId="4F487DF3" w:rsidR="007D6152" w:rsidRPr="00207793" w:rsidRDefault="007D6152" w:rsidP="00507409">
            <w:pPr>
              <w:keepLines/>
              <w:snapToGrid w:val="0"/>
              <w:spacing w:line="240" w:lineRule="exact"/>
              <w:ind w:right="0"/>
              <w:jc w:val="center"/>
              <w:rPr>
                <w:sz w:val="20"/>
                <w:szCs w:val="20"/>
              </w:rPr>
            </w:pPr>
            <w:r w:rsidRPr="00207793">
              <w:rPr>
                <w:sz w:val="20"/>
                <w:szCs w:val="20"/>
              </w:rPr>
              <w:t>0.042</w:t>
            </w:r>
          </w:p>
        </w:tc>
        <w:tc>
          <w:tcPr>
            <w:tcW w:w="803" w:type="dxa"/>
            <w:shd w:val="clear" w:color="auto" w:fill="auto"/>
            <w:vAlign w:val="center"/>
            <w:hideMark/>
          </w:tcPr>
          <w:p w14:paraId="3BBD020C" w14:textId="2B14AE3E" w:rsidR="007D6152" w:rsidRPr="00207793" w:rsidRDefault="007D6152" w:rsidP="00507409">
            <w:pPr>
              <w:keepLines/>
              <w:snapToGrid w:val="0"/>
              <w:spacing w:line="240" w:lineRule="exact"/>
              <w:ind w:right="0"/>
              <w:jc w:val="center"/>
              <w:rPr>
                <w:sz w:val="20"/>
                <w:szCs w:val="20"/>
              </w:rPr>
            </w:pPr>
            <w:r w:rsidRPr="00207793">
              <w:rPr>
                <w:sz w:val="20"/>
                <w:szCs w:val="20"/>
              </w:rPr>
              <w:t>0.000</w:t>
            </w:r>
          </w:p>
        </w:tc>
        <w:tc>
          <w:tcPr>
            <w:tcW w:w="803" w:type="dxa"/>
            <w:shd w:val="clear" w:color="auto" w:fill="auto"/>
            <w:vAlign w:val="center"/>
            <w:hideMark/>
          </w:tcPr>
          <w:p w14:paraId="5D04564E" w14:textId="536D47A1" w:rsidR="007D6152" w:rsidRPr="00207793" w:rsidRDefault="007D6152" w:rsidP="00507409">
            <w:pPr>
              <w:keepLines/>
              <w:snapToGrid w:val="0"/>
              <w:spacing w:line="240" w:lineRule="exact"/>
              <w:ind w:right="0"/>
              <w:jc w:val="center"/>
              <w:rPr>
                <w:sz w:val="20"/>
                <w:szCs w:val="20"/>
              </w:rPr>
            </w:pPr>
            <w:r w:rsidRPr="00207793">
              <w:rPr>
                <w:sz w:val="20"/>
                <w:szCs w:val="20"/>
              </w:rPr>
              <w:t>0.105</w:t>
            </w:r>
          </w:p>
        </w:tc>
        <w:tc>
          <w:tcPr>
            <w:tcW w:w="803" w:type="dxa"/>
            <w:shd w:val="clear" w:color="auto" w:fill="auto"/>
            <w:noWrap/>
            <w:vAlign w:val="center"/>
            <w:hideMark/>
          </w:tcPr>
          <w:p w14:paraId="0A6FE746" w14:textId="2261D3CA" w:rsidR="007D6152" w:rsidRPr="00207793" w:rsidRDefault="007D6152" w:rsidP="00507409">
            <w:pPr>
              <w:keepLines/>
              <w:snapToGrid w:val="0"/>
              <w:spacing w:line="240" w:lineRule="exact"/>
              <w:ind w:right="0"/>
              <w:jc w:val="center"/>
              <w:rPr>
                <w:sz w:val="20"/>
                <w:szCs w:val="20"/>
              </w:rPr>
            </w:pPr>
            <w:r w:rsidRPr="00207793">
              <w:rPr>
                <w:sz w:val="20"/>
                <w:szCs w:val="20"/>
              </w:rPr>
              <w:t>-10.962</w:t>
            </w:r>
          </w:p>
        </w:tc>
        <w:tc>
          <w:tcPr>
            <w:tcW w:w="804" w:type="dxa"/>
            <w:shd w:val="clear" w:color="auto" w:fill="auto"/>
            <w:vAlign w:val="center"/>
            <w:hideMark/>
          </w:tcPr>
          <w:p w14:paraId="0208225A" w14:textId="1E06C03B" w:rsidR="007D6152" w:rsidRPr="00207793" w:rsidRDefault="007D6152" w:rsidP="00507409">
            <w:pPr>
              <w:keepLines/>
              <w:snapToGrid w:val="0"/>
              <w:spacing w:line="240" w:lineRule="exact"/>
              <w:ind w:right="0"/>
              <w:jc w:val="center"/>
              <w:rPr>
                <w:sz w:val="20"/>
                <w:szCs w:val="20"/>
              </w:rPr>
            </w:pPr>
            <w:r w:rsidRPr="00207793">
              <w:rPr>
                <w:sz w:val="20"/>
                <w:szCs w:val="20"/>
              </w:rPr>
              <w:t>4.854</w:t>
            </w:r>
          </w:p>
        </w:tc>
      </w:tr>
      <w:tr w:rsidR="007D6152" w:rsidRPr="00207793" w14:paraId="2F0A537C" w14:textId="77777777" w:rsidTr="00C3335D">
        <w:trPr>
          <w:cantSplit/>
          <w:trHeight w:val="350"/>
          <w:tblHeader/>
        </w:trPr>
        <w:tc>
          <w:tcPr>
            <w:tcW w:w="993" w:type="dxa"/>
            <w:shd w:val="clear" w:color="auto" w:fill="auto"/>
            <w:noWrap/>
            <w:vAlign w:val="center"/>
            <w:hideMark/>
          </w:tcPr>
          <w:p w14:paraId="508C50A1" w14:textId="77777777" w:rsidR="007D6152" w:rsidRPr="00207793" w:rsidRDefault="003C575D" w:rsidP="0069630A">
            <w:pPr>
              <w:keepLines/>
              <w:snapToGrid w:val="0"/>
              <w:spacing w:line="240" w:lineRule="exact"/>
              <w:ind w:right="0"/>
              <w:rPr>
                <w:sz w:val="20"/>
                <w:szCs w:val="20"/>
              </w:rPr>
            </w:pPr>
            <w:r w:rsidRPr="00207793">
              <w:rPr>
                <w:sz w:val="20"/>
                <w:szCs w:val="20"/>
              </w:rPr>
              <w:t>CR</w:t>
            </w:r>
          </w:p>
        </w:tc>
        <w:tc>
          <w:tcPr>
            <w:tcW w:w="803" w:type="dxa"/>
            <w:shd w:val="clear" w:color="auto" w:fill="auto"/>
            <w:vAlign w:val="center"/>
            <w:hideMark/>
          </w:tcPr>
          <w:p w14:paraId="31FE0F90" w14:textId="040954BB" w:rsidR="007D6152" w:rsidRPr="00207793" w:rsidRDefault="007D6152" w:rsidP="00507409">
            <w:pPr>
              <w:keepLines/>
              <w:snapToGrid w:val="0"/>
              <w:spacing w:line="240" w:lineRule="exact"/>
              <w:ind w:right="0"/>
              <w:jc w:val="center"/>
              <w:rPr>
                <w:sz w:val="20"/>
                <w:szCs w:val="20"/>
              </w:rPr>
            </w:pPr>
            <w:r w:rsidRPr="00207793">
              <w:rPr>
                <w:sz w:val="20"/>
                <w:szCs w:val="20"/>
              </w:rPr>
              <w:t>0.120</w:t>
            </w:r>
          </w:p>
        </w:tc>
        <w:tc>
          <w:tcPr>
            <w:tcW w:w="803" w:type="dxa"/>
            <w:shd w:val="clear" w:color="auto" w:fill="auto"/>
            <w:vAlign w:val="center"/>
            <w:hideMark/>
          </w:tcPr>
          <w:p w14:paraId="7AA7E51F" w14:textId="75042D5F" w:rsidR="007D6152" w:rsidRPr="00207793" w:rsidRDefault="007D6152" w:rsidP="00507409">
            <w:pPr>
              <w:keepLines/>
              <w:snapToGrid w:val="0"/>
              <w:spacing w:line="240" w:lineRule="exact"/>
              <w:ind w:right="0"/>
              <w:jc w:val="center"/>
              <w:rPr>
                <w:sz w:val="20"/>
                <w:szCs w:val="20"/>
              </w:rPr>
            </w:pPr>
            <w:r w:rsidRPr="00207793">
              <w:rPr>
                <w:sz w:val="20"/>
                <w:szCs w:val="20"/>
              </w:rPr>
              <w:t>0.083</w:t>
            </w:r>
          </w:p>
        </w:tc>
        <w:tc>
          <w:tcPr>
            <w:tcW w:w="803" w:type="dxa"/>
            <w:shd w:val="clear" w:color="auto" w:fill="auto"/>
            <w:vAlign w:val="center"/>
            <w:hideMark/>
          </w:tcPr>
          <w:p w14:paraId="160DBFFD" w14:textId="3C4D927E" w:rsidR="007D6152" w:rsidRPr="00207793" w:rsidRDefault="007D6152" w:rsidP="00507409">
            <w:pPr>
              <w:keepLines/>
              <w:snapToGrid w:val="0"/>
              <w:spacing w:line="240" w:lineRule="exact"/>
              <w:ind w:right="0"/>
              <w:jc w:val="center"/>
              <w:rPr>
                <w:sz w:val="20"/>
                <w:szCs w:val="20"/>
              </w:rPr>
            </w:pPr>
            <w:r w:rsidRPr="00207793">
              <w:rPr>
                <w:sz w:val="20"/>
                <w:szCs w:val="20"/>
              </w:rPr>
              <w:t>0.116</w:t>
            </w:r>
          </w:p>
        </w:tc>
        <w:tc>
          <w:tcPr>
            <w:tcW w:w="803" w:type="dxa"/>
            <w:shd w:val="clear" w:color="auto" w:fill="auto"/>
            <w:vAlign w:val="center"/>
            <w:hideMark/>
          </w:tcPr>
          <w:p w14:paraId="288B0BC7" w14:textId="06F9C4B8" w:rsidR="007D6152" w:rsidRPr="00207793" w:rsidRDefault="007D6152" w:rsidP="00507409">
            <w:pPr>
              <w:keepLines/>
              <w:snapToGrid w:val="0"/>
              <w:spacing w:line="240" w:lineRule="exact"/>
              <w:ind w:right="0"/>
              <w:jc w:val="center"/>
              <w:rPr>
                <w:sz w:val="20"/>
                <w:szCs w:val="20"/>
              </w:rPr>
            </w:pPr>
            <w:r w:rsidRPr="00207793">
              <w:rPr>
                <w:sz w:val="20"/>
                <w:szCs w:val="20"/>
              </w:rPr>
              <w:t>0.035</w:t>
            </w:r>
          </w:p>
        </w:tc>
        <w:tc>
          <w:tcPr>
            <w:tcW w:w="804" w:type="dxa"/>
            <w:shd w:val="clear" w:color="auto" w:fill="auto"/>
            <w:vAlign w:val="center"/>
            <w:hideMark/>
          </w:tcPr>
          <w:p w14:paraId="794F93FA" w14:textId="36FC6B43" w:rsidR="007D6152" w:rsidRPr="00207793" w:rsidRDefault="007D6152" w:rsidP="00507409">
            <w:pPr>
              <w:keepLines/>
              <w:snapToGrid w:val="0"/>
              <w:spacing w:line="240" w:lineRule="exact"/>
              <w:ind w:right="0"/>
              <w:jc w:val="center"/>
              <w:rPr>
                <w:sz w:val="20"/>
                <w:szCs w:val="20"/>
              </w:rPr>
            </w:pPr>
            <w:r w:rsidRPr="00207793">
              <w:rPr>
                <w:sz w:val="20"/>
                <w:szCs w:val="20"/>
              </w:rPr>
              <w:t>0.164</w:t>
            </w:r>
          </w:p>
        </w:tc>
        <w:tc>
          <w:tcPr>
            <w:tcW w:w="803" w:type="dxa"/>
            <w:shd w:val="clear" w:color="auto" w:fill="auto"/>
            <w:vAlign w:val="center"/>
            <w:hideMark/>
          </w:tcPr>
          <w:p w14:paraId="7CECD0FB" w14:textId="0CABA775" w:rsidR="007D6152" w:rsidRPr="00207793" w:rsidRDefault="007D6152" w:rsidP="00507409">
            <w:pPr>
              <w:keepLines/>
              <w:snapToGrid w:val="0"/>
              <w:spacing w:line="240" w:lineRule="exact"/>
              <w:ind w:right="0"/>
              <w:jc w:val="center"/>
              <w:rPr>
                <w:sz w:val="20"/>
                <w:szCs w:val="20"/>
              </w:rPr>
            </w:pPr>
            <w:r w:rsidRPr="00207793">
              <w:rPr>
                <w:sz w:val="20"/>
                <w:szCs w:val="20"/>
              </w:rPr>
              <w:t>0.015</w:t>
            </w:r>
          </w:p>
        </w:tc>
        <w:tc>
          <w:tcPr>
            <w:tcW w:w="803" w:type="dxa"/>
            <w:shd w:val="clear" w:color="auto" w:fill="auto"/>
            <w:vAlign w:val="center"/>
            <w:hideMark/>
          </w:tcPr>
          <w:p w14:paraId="241A346E" w14:textId="3043FD3C" w:rsidR="007D6152" w:rsidRPr="00207793" w:rsidRDefault="007D6152" w:rsidP="00507409">
            <w:pPr>
              <w:keepLines/>
              <w:snapToGrid w:val="0"/>
              <w:spacing w:line="240" w:lineRule="exact"/>
              <w:ind w:right="0"/>
              <w:jc w:val="center"/>
              <w:rPr>
                <w:sz w:val="20"/>
                <w:szCs w:val="20"/>
              </w:rPr>
            </w:pPr>
            <w:r w:rsidRPr="00207793">
              <w:rPr>
                <w:sz w:val="20"/>
                <w:szCs w:val="20"/>
              </w:rPr>
              <w:t>0.283</w:t>
            </w:r>
          </w:p>
        </w:tc>
        <w:tc>
          <w:tcPr>
            <w:tcW w:w="803" w:type="dxa"/>
            <w:shd w:val="clear" w:color="auto" w:fill="auto"/>
            <w:vAlign w:val="center"/>
            <w:hideMark/>
          </w:tcPr>
          <w:p w14:paraId="1C5A348F" w14:textId="3B56B672" w:rsidR="007D6152" w:rsidRPr="00207793" w:rsidRDefault="007D6152" w:rsidP="00507409">
            <w:pPr>
              <w:keepLines/>
              <w:snapToGrid w:val="0"/>
              <w:spacing w:line="240" w:lineRule="exact"/>
              <w:ind w:right="0"/>
              <w:jc w:val="center"/>
              <w:rPr>
                <w:sz w:val="20"/>
                <w:szCs w:val="20"/>
              </w:rPr>
            </w:pPr>
            <w:r w:rsidRPr="00207793">
              <w:rPr>
                <w:sz w:val="20"/>
                <w:szCs w:val="20"/>
              </w:rPr>
              <w:t>0.000</w:t>
            </w:r>
          </w:p>
        </w:tc>
        <w:tc>
          <w:tcPr>
            <w:tcW w:w="804" w:type="dxa"/>
            <w:shd w:val="clear" w:color="auto" w:fill="auto"/>
            <w:vAlign w:val="center"/>
            <w:hideMark/>
          </w:tcPr>
          <w:p w14:paraId="4B9F0832" w14:textId="08A2107B" w:rsidR="007D6152" w:rsidRPr="00207793" w:rsidRDefault="007D6152" w:rsidP="00507409">
            <w:pPr>
              <w:keepLines/>
              <w:snapToGrid w:val="0"/>
              <w:spacing w:line="240" w:lineRule="exact"/>
              <w:ind w:right="0"/>
              <w:jc w:val="center"/>
              <w:rPr>
                <w:sz w:val="20"/>
                <w:szCs w:val="20"/>
              </w:rPr>
            </w:pPr>
            <w:r w:rsidRPr="00207793">
              <w:rPr>
                <w:sz w:val="20"/>
                <w:szCs w:val="20"/>
              </w:rPr>
              <w:t>0.760</w:t>
            </w:r>
          </w:p>
        </w:tc>
      </w:tr>
      <w:tr w:rsidR="007D6152" w:rsidRPr="00207793" w14:paraId="333C32CD" w14:textId="77777777" w:rsidTr="00C3335D">
        <w:trPr>
          <w:cantSplit/>
          <w:trHeight w:val="350"/>
          <w:tblHeader/>
        </w:trPr>
        <w:tc>
          <w:tcPr>
            <w:tcW w:w="993" w:type="dxa"/>
            <w:shd w:val="clear" w:color="auto" w:fill="auto"/>
            <w:noWrap/>
            <w:vAlign w:val="center"/>
            <w:hideMark/>
          </w:tcPr>
          <w:p w14:paraId="3A319669" w14:textId="77777777" w:rsidR="007D6152" w:rsidRPr="00207793" w:rsidRDefault="007D6152" w:rsidP="0069630A">
            <w:pPr>
              <w:keepLines/>
              <w:snapToGrid w:val="0"/>
              <w:spacing w:line="240" w:lineRule="exact"/>
              <w:ind w:right="0"/>
              <w:rPr>
                <w:sz w:val="20"/>
                <w:szCs w:val="20"/>
              </w:rPr>
            </w:pPr>
            <w:r w:rsidRPr="00207793">
              <w:rPr>
                <w:sz w:val="20"/>
                <w:szCs w:val="20"/>
              </w:rPr>
              <w:t>Leverage</w:t>
            </w:r>
          </w:p>
        </w:tc>
        <w:tc>
          <w:tcPr>
            <w:tcW w:w="803" w:type="dxa"/>
            <w:shd w:val="clear" w:color="auto" w:fill="auto"/>
            <w:vAlign w:val="center"/>
            <w:hideMark/>
          </w:tcPr>
          <w:p w14:paraId="1B64163C" w14:textId="4C5EE2B9" w:rsidR="007D6152" w:rsidRPr="00207793" w:rsidRDefault="007D6152" w:rsidP="00507409">
            <w:pPr>
              <w:keepLines/>
              <w:snapToGrid w:val="0"/>
              <w:spacing w:line="240" w:lineRule="exact"/>
              <w:ind w:right="0"/>
              <w:jc w:val="center"/>
              <w:rPr>
                <w:sz w:val="20"/>
                <w:szCs w:val="20"/>
              </w:rPr>
            </w:pPr>
            <w:r w:rsidRPr="00207793">
              <w:rPr>
                <w:sz w:val="20"/>
                <w:szCs w:val="20"/>
              </w:rPr>
              <w:t>0.507</w:t>
            </w:r>
          </w:p>
        </w:tc>
        <w:tc>
          <w:tcPr>
            <w:tcW w:w="803" w:type="dxa"/>
            <w:shd w:val="clear" w:color="auto" w:fill="auto"/>
            <w:vAlign w:val="center"/>
            <w:hideMark/>
          </w:tcPr>
          <w:p w14:paraId="69B5B856" w14:textId="6F2CBB34" w:rsidR="007D6152" w:rsidRPr="00207793" w:rsidRDefault="007D6152" w:rsidP="00507409">
            <w:pPr>
              <w:keepLines/>
              <w:snapToGrid w:val="0"/>
              <w:spacing w:line="240" w:lineRule="exact"/>
              <w:ind w:right="0"/>
              <w:jc w:val="center"/>
              <w:rPr>
                <w:sz w:val="20"/>
                <w:szCs w:val="20"/>
              </w:rPr>
            </w:pPr>
            <w:r w:rsidRPr="00207793">
              <w:rPr>
                <w:sz w:val="20"/>
                <w:szCs w:val="20"/>
              </w:rPr>
              <w:t>0.507</w:t>
            </w:r>
          </w:p>
        </w:tc>
        <w:tc>
          <w:tcPr>
            <w:tcW w:w="803" w:type="dxa"/>
            <w:shd w:val="clear" w:color="auto" w:fill="auto"/>
            <w:vAlign w:val="center"/>
            <w:hideMark/>
          </w:tcPr>
          <w:p w14:paraId="7B6DB273" w14:textId="2216BE97" w:rsidR="007D6152" w:rsidRPr="00207793" w:rsidRDefault="007D6152" w:rsidP="00507409">
            <w:pPr>
              <w:keepLines/>
              <w:snapToGrid w:val="0"/>
              <w:spacing w:line="240" w:lineRule="exact"/>
              <w:ind w:right="0"/>
              <w:jc w:val="center"/>
              <w:rPr>
                <w:sz w:val="20"/>
                <w:szCs w:val="20"/>
              </w:rPr>
            </w:pPr>
            <w:r w:rsidRPr="00207793">
              <w:rPr>
                <w:sz w:val="20"/>
                <w:szCs w:val="20"/>
              </w:rPr>
              <w:t>0.235</w:t>
            </w:r>
          </w:p>
        </w:tc>
        <w:tc>
          <w:tcPr>
            <w:tcW w:w="803" w:type="dxa"/>
            <w:shd w:val="clear" w:color="auto" w:fill="auto"/>
            <w:vAlign w:val="center"/>
            <w:hideMark/>
          </w:tcPr>
          <w:p w14:paraId="3A63E59B" w14:textId="5D9A74B4" w:rsidR="007D6152" w:rsidRPr="00207793" w:rsidRDefault="007D6152" w:rsidP="00507409">
            <w:pPr>
              <w:keepLines/>
              <w:snapToGrid w:val="0"/>
              <w:spacing w:line="240" w:lineRule="exact"/>
              <w:ind w:right="0"/>
              <w:jc w:val="center"/>
              <w:rPr>
                <w:sz w:val="20"/>
                <w:szCs w:val="20"/>
              </w:rPr>
            </w:pPr>
            <w:r w:rsidRPr="00207793">
              <w:rPr>
                <w:sz w:val="20"/>
                <w:szCs w:val="20"/>
              </w:rPr>
              <w:t>0.353</w:t>
            </w:r>
          </w:p>
        </w:tc>
        <w:tc>
          <w:tcPr>
            <w:tcW w:w="804" w:type="dxa"/>
            <w:shd w:val="clear" w:color="auto" w:fill="auto"/>
            <w:vAlign w:val="center"/>
            <w:hideMark/>
          </w:tcPr>
          <w:p w14:paraId="256C40A7" w14:textId="097C1308" w:rsidR="007D6152" w:rsidRPr="00207793" w:rsidRDefault="007D6152" w:rsidP="00507409">
            <w:pPr>
              <w:keepLines/>
              <w:snapToGrid w:val="0"/>
              <w:spacing w:line="240" w:lineRule="exact"/>
              <w:ind w:right="0"/>
              <w:jc w:val="center"/>
              <w:rPr>
                <w:sz w:val="20"/>
                <w:szCs w:val="20"/>
              </w:rPr>
            </w:pPr>
            <w:r w:rsidRPr="00207793">
              <w:rPr>
                <w:sz w:val="20"/>
                <w:szCs w:val="20"/>
              </w:rPr>
              <w:t>0.642</w:t>
            </w:r>
          </w:p>
        </w:tc>
        <w:tc>
          <w:tcPr>
            <w:tcW w:w="803" w:type="dxa"/>
            <w:shd w:val="clear" w:color="auto" w:fill="auto"/>
            <w:vAlign w:val="center"/>
            <w:hideMark/>
          </w:tcPr>
          <w:p w14:paraId="44F91C3C" w14:textId="77F2D41F" w:rsidR="007D6152" w:rsidRPr="00207793" w:rsidRDefault="007D6152" w:rsidP="00507409">
            <w:pPr>
              <w:keepLines/>
              <w:snapToGrid w:val="0"/>
              <w:spacing w:line="240" w:lineRule="exact"/>
              <w:ind w:right="0"/>
              <w:jc w:val="center"/>
              <w:rPr>
                <w:sz w:val="20"/>
                <w:szCs w:val="20"/>
              </w:rPr>
            </w:pPr>
            <w:r w:rsidRPr="00207793">
              <w:rPr>
                <w:sz w:val="20"/>
                <w:szCs w:val="20"/>
              </w:rPr>
              <w:t>0.200</w:t>
            </w:r>
          </w:p>
        </w:tc>
        <w:tc>
          <w:tcPr>
            <w:tcW w:w="803" w:type="dxa"/>
            <w:shd w:val="clear" w:color="auto" w:fill="auto"/>
            <w:vAlign w:val="center"/>
            <w:hideMark/>
          </w:tcPr>
          <w:p w14:paraId="23BD1446" w14:textId="39C0AEA3" w:rsidR="007D6152" w:rsidRPr="00207793" w:rsidRDefault="007D6152" w:rsidP="00507409">
            <w:pPr>
              <w:keepLines/>
              <w:snapToGrid w:val="0"/>
              <w:spacing w:line="240" w:lineRule="exact"/>
              <w:ind w:right="0"/>
              <w:jc w:val="center"/>
              <w:rPr>
                <w:sz w:val="20"/>
                <w:szCs w:val="20"/>
              </w:rPr>
            </w:pPr>
            <w:r w:rsidRPr="00207793">
              <w:rPr>
                <w:sz w:val="20"/>
                <w:szCs w:val="20"/>
              </w:rPr>
              <w:t>0.777</w:t>
            </w:r>
          </w:p>
        </w:tc>
        <w:tc>
          <w:tcPr>
            <w:tcW w:w="803" w:type="dxa"/>
            <w:shd w:val="clear" w:color="auto" w:fill="auto"/>
            <w:vAlign w:val="center"/>
            <w:hideMark/>
          </w:tcPr>
          <w:p w14:paraId="27BF792E" w14:textId="2FF862FB" w:rsidR="007D6152" w:rsidRPr="00207793" w:rsidRDefault="007D6152" w:rsidP="00507409">
            <w:pPr>
              <w:keepLines/>
              <w:snapToGrid w:val="0"/>
              <w:spacing w:line="240" w:lineRule="exact"/>
              <w:ind w:right="0"/>
              <w:jc w:val="center"/>
              <w:rPr>
                <w:sz w:val="20"/>
                <w:szCs w:val="20"/>
              </w:rPr>
            </w:pPr>
            <w:r w:rsidRPr="00207793">
              <w:rPr>
                <w:sz w:val="20"/>
                <w:szCs w:val="20"/>
              </w:rPr>
              <w:t>0.021</w:t>
            </w:r>
          </w:p>
        </w:tc>
        <w:tc>
          <w:tcPr>
            <w:tcW w:w="804" w:type="dxa"/>
            <w:shd w:val="clear" w:color="auto" w:fill="auto"/>
            <w:vAlign w:val="center"/>
            <w:hideMark/>
          </w:tcPr>
          <w:p w14:paraId="77989294" w14:textId="66FA00C3" w:rsidR="007D6152" w:rsidRPr="00207793" w:rsidRDefault="007D6152" w:rsidP="00507409">
            <w:pPr>
              <w:keepLines/>
              <w:snapToGrid w:val="0"/>
              <w:spacing w:line="240" w:lineRule="exact"/>
              <w:ind w:right="0"/>
              <w:jc w:val="center"/>
              <w:rPr>
                <w:sz w:val="20"/>
                <w:szCs w:val="20"/>
              </w:rPr>
            </w:pPr>
            <w:r w:rsidRPr="00207793">
              <w:rPr>
                <w:sz w:val="20"/>
                <w:szCs w:val="20"/>
              </w:rPr>
              <w:t>2.346</w:t>
            </w:r>
          </w:p>
        </w:tc>
      </w:tr>
      <w:tr w:rsidR="007D6152" w:rsidRPr="00207793" w14:paraId="1CF83930" w14:textId="77777777" w:rsidTr="00C3335D">
        <w:trPr>
          <w:cantSplit/>
          <w:trHeight w:val="350"/>
          <w:tblHeader/>
        </w:trPr>
        <w:tc>
          <w:tcPr>
            <w:tcW w:w="993" w:type="dxa"/>
            <w:shd w:val="clear" w:color="auto" w:fill="auto"/>
            <w:noWrap/>
            <w:vAlign w:val="center"/>
            <w:hideMark/>
          </w:tcPr>
          <w:p w14:paraId="27759FD7" w14:textId="77777777" w:rsidR="007D6152" w:rsidRPr="00207793" w:rsidRDefault="007D6152" w:rsidP="0069630A">
            <w:pPr>
              <w:keepLines/>
              <w:snapToGrid w:val="0"/>
              <w:spacing w:line="240" w:lineRule="exact"/>
              <w:ind w:right="0"/>
              <w:rPr>
                <w:sz w:val="20"/>
                <w:szCs w:val="20"/>
              </w:rPr>
            </w:pPr>
            <w:r w:rsidRPr="00207793">
              <w:rPr>
                <w:sz w:val="20"/>
                <w:szCs w:val="20"/>
              </w:rPr>
              <w:t>Stock</w:t>
            </w:r>
          </w:p>
        </w:tc>
        <w:tc>
          <w:tcPr>
            <w:tcW w:w="803" w:type="dxa"/>
            <w:shd w:val="clear" w:color="auto" w:fill="auto"/>
            <w:vAlign w:val="center"/>
            <w:hideMark/>
          </w:tcPr>
          <w:p w14:paraId="6681CBE0" w14:textId="1FFC20EB" w:rsidR="007D6152" w:rsidRPr="00207793" w:rsidRDefault="007D6152" w:rsidP="00507409">
            <w:pPr>
              <w:keepLines/>
              <w:snapToGrid w:val="0"/>
              <w:spacing w:line="240" w:lineRule="exact"/>
              <w:ind w:right="0"/>
              <w:jc w:val="center"/>
              <w:rPr>
                <w:sz w:val="20"/>
                <w:szCs w:val="20"/>
              </w:rPr>
            </w:pPr>
            <w:r w:rsidRPr="00207793">
              <w:rPr>
                <w:sz w:val="20"/>
                <w:szCs w:val="20"/>
              </w:rPr>
              <w:t>0.255</w:t>
            </w:r>
          </w:p>
        </w:tc>
        <w:tc>
          <w:tcPr>
            <w:tcW w:w="803" w:type="dxa"/>
            <w:shd w:val="clear" w:color="auto" w:fill="auto"/>
            <w:vAlign w:val="center"/>
            <w:hideMark/>
          </w:tcPr>
          <w:p w14:paraId="1C77493D" w14:textId="26879650" w:rsidR="007D6152" w:rsidRPr="00207793" w:rsidRDefault="007D6152" w:rsidP="00507409">
            <w:pPr>
              <w:keepLines/>
              <w:snapToGrid w:val="0"/>
              <w:spacing w:line="240" w:lineRule="exact"/>
              <w:ind w:right="0"/>
              <w:jc w:val="center"/>
              <w:rPr>
                <w:sz w:val="20"/>
                <w:szCs w:val="20"/>
              </w:rPr>
            </w:pPr>
            <w:r w:rsidRPr="00207793">
              <w:rPr>
                <w:sz w:val="20"/>
                <w:szCs w:val="20"/>
              </w:rPr>
              <w:t>0.000</w:t>
            </w:r>
          </w:p>
        </w:tc>
        <w:tc>
          <w:tcPr>
            <w:tcW w:w="803" w:type="dxa"/>
            <w:shd w:val="clear" w:color="auto" w:fill="auto"/>
            <w:vAlign w:val="center"/>
            <w:hideMark/>
          </w:tcPr>
          <w:p w14:paraId="27415C1D" w14:textId="3A9E44B8" w:rsidR="007D6152" w:rsidRPr="00207793" w:rsidRDefault="007D6152" w:rsidP="00507409">
            <w:pPr>
              <w:keepLines/>
              <w:snapToGrid w:val="0"/>
              <w:spacing w:line="240" w:lineRule="exact"/>
              <w:ind w:right="0"/>
              <w:jc w:val="center"/>
              <w:rPr>
                <w:sz w:val="20"/>
                <w:szCs w:val="20"/>
              </w:rPr>
            </w:pPr>
            <w:r w:rsidRPr="00207793">
              <w:rPr>
                <w:sz w:val="20"/>
                <w:szCs w:val="20"/>
              </w:rPr>
              <w:t>0.436</w:t>
            </w:r>
          </w:p>
        </w:tc>
        <w:tc>
          <w:tcPr>
            <w:tcW w:w="803" w:type="dxa"/>
            <w:shd w:val="clear" w:color="auto" w:fill="auto"/>
            <w:vAlign w:val="center"/>
            <w:hideMark/>
          </w:tcPr>
          <w:p w14:paraId="11778BCC" w14:textId="64BF0F86" w:rsidR="007D6152" w:rsidRPr="00207793" w:rsidRDefault="007D6152" w:rsidP="00507409">
            <w:pPr>
              <w:keepLines/>
              <w:snapToGrid w:val="0"/>
              <w:spacing w:line="240" w:lineRule="exact"/>
              <w:ind w:right="0"/>
              <w:jc w:val="center"/>
              <w:rPr>
                <w:sz w:val="20"/>
                <w:szCs w:val="20"/>
              </w:rPr>
            </w:pPr>
            <w:r w:rsidRPr="00207793">
              <w:rPr>
                <w:sz w:val="20"/>
                <w:szCs w:val="20"/>
              </w:rPr>
              <w:t>0.000</w:t>
            </w:r>
          </w:p>
        </w:tc>
        <w:tc>
          <w:tcPr>
            <w:tcW w:w="804" w:type="dxa"/>
            <w:shd w:val="clear" w:color="auto" w:fill="auto"/>
            <w:vAlign w:val="center"/>
            <w:hideMark/>
          </w:tcPr>
          <w:p w14:paraId="323ABA9F" w14:textId="10C368DD" w:rsidR="007D6152" w:rsidRPr="00207793" w:rsidRDefault="007D6152" w:rsidP="00507409">
            <w:pPr>
              <w:keepLines/>
              <w:snapToGrid w:val="0"/>
              <w:spacing w:line="240" w:lineRule="exact"/>
              <w:ind w:right="0"/>
              <w:jc w:val="center"/>
              <w:rPr>
                <w:sz w:val="20"/>
                <w:szCs w:val="20"/>
              </w:rPr>
            </w:pPr>
            <w:r w:rsidRPr="00207793">
              <w:rPr>
                <w:sz w:val="20"/>
                <w:szCs w:val="20"/>
              </w:rPr>
              <w:t>1.000</w:t>
            </w:r>
          </w:p>
        </w:tc>
        <w:tc>
          <w:tcPr>
            <w:tcW w:w="803" w:type="dxa"/>
            <w:shd w:val="clear" w:color="auto" w:fill="auto"/>
            <w:vAlign w:val="center"/>
            <w:hideMark/>
          </w:tcPr>
          <w:p w14:paraId="1216315E" w14:textId="339AB051" w:rsidR="007D6152" w:rsidRPr="00207793" w:rsidRDefault="007D6152" w:rsidP="00507409">
            <w:pPr>
              <w:keepLines/>
              <w:snapToGrid w:val="0"/>
              <w:spacing w:line="240" w:lineRule="exact"/>
              <w:ind w:right="0"/>
              <w:jc w:val="center"/>
              <w:rPr>
                <w:sz w:val="20"/>
                <w:szCs w:val="20"/>
              </w:rPr>
            </w:pPr>
            <w:r w:rsidRPr="00207793">
              <w:rPr>
                <w:sz w:val="20"/>
                <w:szCs w:val="20"/>
              </w:rPr>
              <w:t>0.000</w:t>
            </w:r>
          </w:p>
        </w:tc>
        <w:tc>
          <w:tcPr>
            <w:tcW w:w="803" w:type="dxa"/>
            <w:shd w:val="clear" w:color="auto" w:fill="auto"/>
            <w:vAlign w:val="center"/>
            <w:hideMark/>
          </w:tcPr>
          <w:p w14:paraId="7870A130" w14:textId="506AD895" w:rsidR="007D6152" w:rsidRPr="00207793" w:rsidRDefault="007D6152" w:rsidP="00507409">
            <w:pPr>
              <w:keepLines/>
              <w:snapToGrid w:val="0"/>
              <w:spacing w:line="240" w:lineRule="exact"/>
              <w:ind w:right="0"/>
              <w:jc w:val="center"/>
              <w:rPr>
                <w:sz w:val="20"/>
                <w:szCs w:val="20"/>
              </w:rPr>
            </w:pPr>
            <w:r w:rsidRPr="00207793">
              <w:rPr>
                <w:sz w:val="20"/>
                <w:szCs w:val="20"/>
              </w:rPr>
              <w:t>1.000</w:t>
            </w:r>
          </w:p>
        </w:tc>
        <w:tc>
          <w:tcPr>
            <w:tcW w:w="803" w:type="dxa"/>
            <w:shd w:val="clear" w:color="auto" w:fill="auto"/>
            <w:vAlign w:val="center"/>
            <w:hideMark/>
          </w:tcPr>
          <w:p w14:paraId="13E49791" w14:textId="2E03BF12" w:rsidR="007D6152" w:rsidRPr="00207793" w:rsidRDefault="007D6152" w:rsidP="00507409">
            <w:pPr>
              <w:keepLines/>
              <w:snapToGrid w:val="0"/>
              <w:spacing w:line="240" w:lineRule="exact"/>
              <w:ind w:right="0"/>
              <w:jc w:val="center"/>
              <w:rPr>
                <w:sz w:val="20"/>
                <w:szCs w:val="20"/>
              </w:rPr>
            </w:pPr>
            <w:r w:rsidRPr="00207793">
              <w:rPr>
                <w:sz w:val="20"/>
                <w:szCs w:val="20"/>
              </w:rPr>
              <w:t>0.000</w:t>
            </w:r>
          </w:p>
        </w:tc>
        <w:tc>
          <w:tcPr>
            <w:tcW w:w="804" w:type="dxa"/>
            <w:shd w:val="clear" w:color="auto" w:fill="auto"/>
            <w:vAlign w:val="center"/>
            <w:hideMark/>
          </w:tcPr>
          <w:p w14:paraId="43974328" w14:textId="60C5E171" w:rsidR="007D6152" w:rsidRPr="00207793" w:rsidRDefault="007D6152" w:rsidP="00507409">
            <w:pPr>
              <w:keepLines/>
              <w:snapToGrid w:val="0"/>
              <w:spacing w:line="240" w:lineRule="exact"/>
              <w:ind w:right="0"/>
              <w:jc w:val="center"/>
              <w:rPr>
                <w:sz w:val="20"/>
                <w:szCs w:val="20"/>
              </w:rPr>
            </w:pPr>
            <w:r w:rsidRPr="00207793">
              <w:rPr>
                <w:sz w:val="20"/>
                <w:szCs w:val="20"/>
              </w:rPr>
              <w:t>1.000</w:t>
            </w:r>
          </w:p>
        </w:tc>
      </w:tr>
      <w:tr w:rsidR="007D6152" w:rsidRPr="00207793" w14:paraId="2D7B92B9" w14:textId="77777777" w:rsidTr="00C3335D">
        <w:trPr>
          <w:cantSplit/>
          <w:trHeight w:val="350"/>
          <w:tblHeader/>
        </w:trPr>
        <w:tc>
          <w:tcPr>
            <w:tcW w:w="993" w:type="dxa"/>
            <w:shd w:val="clear" w:color="auto" w:fill="auto"/>
            <w:noWrap/>
            <w:vAlign w:val="center"/>
            <w:hideMark/>
          </w:tcPr>
          <w:p w14:paraId="79B6B03D" w14:textId="77777777" w:rsidR="007D6152" w:rsidRPr="00207793" w:rsidRDefault="007D6152" w:rsidP="0069630A">
            <w:pPr>
              <w:keepLines/>
              <w:snapToGrid w:val="0"/>
              <w:spacing w:line="240" w:lineRule="exact"/>
              <w:ind w:right="0"/>
              <w:rPr>
                <w:sz w:val="20"/>
                <w:szCs w:val="20"/>
              </w:rPr>
            </w:pPr>
            <w:r w:rsidRPr="00207793">
              <w:rPr>
                <w:sz w:val="20"/>
                <w:szCs w:val="20"/>
              </w:rPr>
              <w:t xml:space="preserve">Cash </w:t>
            </w:r>
          </w:p>
        </w:tc>
        <w:tc>
          <w:tcPr>
            <w:tcW w:w="803" w:type="dxa"/>
            <w:shd w:val="clear" w:color="auto" w:fill="auto"/>
            <w:vAlign w:val="center"/>
            <w:hideMark/>
          </w:tcPr>
          <w:p w14:paraId="70941123" w14:textId="226685F8" w:rsidR="007D6152" w:rsidRPr="00207793" w:rsidRDefault="007D6152" w:rsidP="00507409">
            <w:pPr>
              <w:keepLines/>
              <w:snapToGrid w:val="0"/>
              <w:spacing w:line="240" w:lineRule="exact"/>
              <w:ind w:right="0"/>
              <w:jc w:val="center"/>
              <w:rPr>
                <w:sz w:val="20"/>
                <w:szCs w:val="20"/>
              </w:rPr>
            </w:pPr>
            <w:r w:rsidRPr="00207793">
              <w:rPr>
                <w:sz w:val="20"/>
                <w:szCs w:val="20"/>
              </w:rPr>
              <w:t>0.551</w:t>
            </w:r>
          </w:p>
        </w:tc>
        <w:tc>
          <w:tcPr>
            <w:tcW w:w="803" w:type="dxa"/>
            <w:shd w:val="clear" w:color="auto" w:fill="auto"/>
            <w:vAlign w:val="center"/>
            <w:hideMark/>
          </w:tcPr>
          <w:p w14:paraId="7B626B04" w14:textId="522E2D5F" w:rsidR="007D6152" w:rsidRPr="00207793" w:rsidRDefault="007D6152" w:rsidP="00507409">
            <w:pPr>
              <w:keepLines/>
              <w:snapToGrid w:val="0"/>
              <w:spacing w:line="240" w:lineRule="exact"/>
              <w:ind w:right="0"/>
              <w:jc w:val="center"/>
              <w:rPr>
                <w:sz w:val="20"/>
                <w:szCs w:val="20"/>
              </w:rPr>
            </w:pPr>
            <w:r w:rsidRPr="00207793">
              <w:rPr>
                <w:sz w:val="20"/>
                <w:szCs w:val="20"/>
              </w:rPr>
              <w:t>1.000</w:t>
            </w:r>
          </w:p>
        </w:tc>
        <w:tc>
          <w:tcPr>
            <w:tcW w:w="803" w:type="dxa"/>
            <w:shd w:val="clear" w:color="auto" w:fill="auto"/>
            <w:vAlign w:val="center"/>
            <w:hideMark/>
          </w:tcPr>
          <w:p w14:paraId="09B069AC" w14:textId="508F6AC8" w:rsidR="007D6152" w:rsidRPr="00207793" w:rsidRDefault="007D6152" w:rsidP="00507409">
            <w:pPr>
              <w:keepLines/>
              <w:snapToGrid w:val="0"/>
              <w:spacing w:line="240" w:lineRule="exact"/>
              <w:ind w:right="0"/>
              <w:jc w:val="center"/>
              <w:rPr>
                <w:sz w:val="20"/>
                <w:szCs w:val="20"/>
              </w:rPr>
            </w:pPr>
            <w:r w:rsidRPr="00207793">
              <w:rPr>
                <w:sz w:val="20"/>
                <w:szCs w:val="20"/>
              </w:rPr>
              <w:t>0.498</w:t>
            </w:r>
          </w:p>
        </w:tc>
        <w:tc>
          <w:tcPr>
            <w:tcW w:w="803" w:type="dxa"/>
            <w:shd w:val="clear" w:color="auto" w:fill="auto"/>
            <w:vAlign w:val="center"/>
            <w:hideMark/>
          </w:tcPr>
          <w:p w14:paraId="4FD2B0A4" w14:textId="29004942" w:rsidR="007D6152" w:rsidRPr="00207793" w:rsidRDefault="007D6152" w:rsidP="00507409">
            <w:pPr>
              <w:keepLines/>
              <w:snapToGrid w:val="0"/>
              <w:spacing w:line="240" w:lineRule="exact"/>
              <w:ind w:right="0"/>
              <w:jc w:val="center"/>
              <w:rPr>
                <w:sz w:val="20"/>
                <w:szCs w:val="20"/>
              </w:rPr>
            </w:pPr>
            <w:r w:rsidRPr="00207793">
              <w:rPr>
                <w:sz w:val="20"/>
                <w:szCs w:val="20"/>
              </w:rPr>
              <w:t>0.000</w:t>
            </w:r>
          </w:p>
        </w:tc>
        <w:tc>
          <w:tcPr>
            <w:tcW w:w="804" w:type="dxa"/>
            <w:shd w:val="clear" w:color="auto" w:fill="auto"/>
            <w:vAlign w:val="center"/>
            <w:hideMark/>
          </w:tcPr>
          <w:p w14:paraId="60CF7684" w14:textId="0B073136" w:rsidR="007D6152" w:rsidRPr="00207793" w:rsidRDefault="007D6152" w:rsidP="00507409">
            <w:pPr>
              <w:keepLines/>
              <w:snapToGrid w:val="0"/>
              <w:spacing w:line="240" w:lineRule="exact"/>
              <w:ind w:right="0"/>
              <w:jc w:val="center"/>
              <w:rPr>
                <w:sz w:val="20"/>
                <w:szCs w:val="20"/>
              </w:rPr>
            </w:pPr>
            <w:r w:rsidRPr="00207793">
              <w:rPr>
                <w:sz w:val="20"/>
                <w:szCs w:val="20"/>
              </w:rPr>
              <w:t>1.000</w:t>
            </w:r>
          </w:p>
        </w:tc>
        <w:tc>
          <w:tcPr>
            <w:tcW w:w="803" w:type="dxa"/>
            <w:shd w:val="clear" w:color="auto" w:fill="auto"/>
            <w:vAlign w:val="center"/>
            <w:hideMark/>
          </w:tcPr>
          <w:p w14:paraId="12029839" w14:textId="2DF79BFE" w:rsidR="007D6152" w:rsidRPr="00207793" w:rsidRDefault="007D6152" w:rsidP="00507409">
            <w:pPr>
              <w:keepLines/>
              <w:snapToGrid w:val="0"/>
              <w:spacing w:line="240" w:lineRule="exact"/>
              <w:ind w:right="0"/>
              <w:jc w:val="center"/>
              <w:rPr>
                <w:sz w:val="20"/>
                <w:szCs w:val="20"/>
              </w:rPr>
            </w:pPr>
            <w:r w:rsidRPr="00207793">
              <w:rPr>
                <w:sz w:val="20"/>
                <w:szCs w:val="20"/>
              </w:rPr>
              <w:t>0.000</w:t>
            </w:r>
          </w:p>
        </w:tc>
        <w:tc>
          <w:tcPr>
            <w:tcW w:w="803" w:type="dxa"/>
            <w:shd w:val="clear" w:color="auto" w:fill="auto"/>
            <w:vAlign w:val="center"/>
            <w:hideMark/>
          </w:tcPr>
          <w:p w14:paraId="08967643" w14:textId="0F281BAB" w:rsidR="007D6152" w:rsidRPr="00207793" w:rsidRDefault="007D6152" w:rsidP="00507409">
            <w:pPr>
              <w:keepLines/>
              <w:snapToGrid w:val="0"/>
              <w:spacing w:line="240" w:lineRule="exact"/>
              <w:ind w:right="0"/>
              <w:jc w:val="center"/>
              <w:rPr>
                <w:sz w:val="20"/>
                <w:szCs w:val="20"/>
              </w:rPr>
            </w:pPr>
            <w:r w:rsidRPr="00207793">
              <w:rPr>
                <w:sz w:val="20"/>
                <w:szCs w:val="20"/>
              </w:rPr>
              <w:t>1.000</w:t>
            </w:r>
          </w:p>
        </w:tc>
        <w:tc>
          <w:tcPr>
            <w:tcW w:w="803" w:type="dxa"/>
            <w:shd w:val="clear" w:color="auto" w:fill="auto"/>
            <w:vAlign w:val="center"/>
            <w:hideMark/>
          </w:tcPr>
          <w:p w14:paraId="0F439A9F" w14:textId="10BA3209" w:rsidR="007D6152" w:rsidRPr="00207793" w:rsidRDefault="007D6152" w:rsidP="00507409">
            <w:pPr>
              <w:keepLines/>
              <w:snapToGrid w:val="0"/>
              <w:spacing w:line="240" w:lineRule="exact"/>
              <w:ind w:right="0"/>
              <w:jc w:val="center"/>
              <w:rPr>
                <w:sz w:val="20"/>
                <w:szCs w:val="20"/>
              </w:rPr>
            </w:pPr>
            <w:r w:rsidRPr="00207793">
              <w:rPr>
                <w:sz w:val="20"/>
                <w:szCs w:val="20"/>
              </w:rPr>
              <w:t>0.000</w:t>
            </w:r>
          </w:p>
        </w:tc>
        <w:tc>
          <w:tcPr>
            <w:tcW w:w="804" w:type="dxa"/>
            <w:shd w:val="clear" w:color="auto" w:fill="auto"/>
            <w:vAlign w:val="center"/>
            <w:hideMark/>
          </w:tcPr>
          <w:p w14:paraId="2F8F74AB" w14:textId="521E3E9D" w:rsidR="007D6152" w:rsidRPr="00207793" w:rsidRDefault="007D6152" w:rsidP="00507409">
            <w:pPr>
              <w:keepLines/>
              <w:snapToGrid w:val="0"/>
              <w:spacing w:line="240" w:lineRule="exact"/>
              <w:ind w:right="0"/>
              <w:jc w:val="center"/>
              <w:rPr>
                <w:sz w:val="20"/>
                <w:szCs w:val="20"/>
              </w:rPr>
            </w:pPr>
            <w:r w:rsidRPr="00207793">
              <w:rPr>
                <w:sz w:val="20"/>
                <w:szCs w:val="20"/>
              </w:rPr>
              <w:t>1.000</w:t>
            </w:r>
          </w:p>
        </w:tc>
      </w:tr>
      <w:tr w:rsidR="007D6152" w:rsidRPr="00207793" w14:paraId="0CC84A1E" w14:textId="77777777" w:rsidTr="00C3335D">
        <w:trPr>
          <w:cantSplit/>
          <w:trHeight w:val="350"/>
          <w:tblHeader/>
        </w:trPr>
        <w:tc>
          <w:tcPr>
            <w:tcW w:w="993" w:type="dxa"/>
            <w:shd w:val="clear" w:color="auto" w:fill="auto"/>
            <w:noWrap/>
            <w:vAlign w:val="center"/>
            <w:hideMark/>
          </w:tcPr>
          <w:p w14:paraId="78B88B6F" w14:textId="77777777" w:rsidR="007D6152" w:rsidRPr="00207793" w:rsidRDefault="007D6152" w:rsidP="0069630A">
            <w:pPr>
              <w:keepLines/>
              <w:snapToGrid w:val="0"/>
              <w:spacing w:line="240" w:lineRule="exact"/>
              <w:ind w:right="0"/>
              <w:rPr>
                <w:sz w:val="20"/>
                <w:szCs w:val="20"/>
              </w:rPr>
            </w:pPr>
            <w:r w:rsidRPr="00207793">
              <w:rPr>
                <w:sz w:val="20"/>
                <w:szCs w:val="20"/>
              </w:rPr>
              <w:t>Mix</w:t>
            </w:r>
          </w:p>
        </w:tc>
        <w:tc>
          <w:tcPr>
            <w:tcW w:w="803" w:type="dxa"/>
            <w:shd w:val="clear" w:color="auto" w:fill="auto"/>
            <w:vAlign w:val="center"/>
            <w:hideMark/>
          </w:tcPr>
          <w:p w14:paraId="5ACA256C" w14:textId="6D54E17A" w:rsidR="007D6152" w:rsidRPr="00207793" w:rsidRDefault="007D6152" w:rsidP="00507409">
            <w:pPr>
              <w:keepLines/>
              <w:snapToGrid w:val="0"/>
              <w:spacing w:line="240" w:lineRule="exact"/>
              <w:ind w:right="0"/>
              <w:jc w:val="center"/>
              <w:rPr>
                <w:sz w:val="20"/>
                <w:szCs w:val="20"/>
              </w:rPr>
            </w:pPr>
            <w:r w:rsidRPr="00207793">
              <w:rPr>
                <w:sz w:val="20"/>
                <w:szCs w:val="20"/>
              </w:rPr>
              <w:t>0.194</w:t>
            </w:r>
          </w:p>
        </w:tc>
        <w:tc>
          <w:tcPr>
            <w:tcW w:w="803" w:type="dxa"/>
            <w:shd w:val="clear" w:color="auto" w:fill="auto"/>
            <w:vAlign w:val="center"/>
            <w:hideMark/>
          </w:tcPr>
          <w:p w14:paraId="180A8311" w14:textId="6C5AFA5B" w:rsidR="007D6152" w:rsidRPr="00207793" w:rsidRDefault="007D6152" w:rsidP="00507409">
            <w:pPr>
              <w:keepLines/>
              <w:snapToGrid w:val="0"/>
              <w:spacing w:line="240" w:lineRule="exact"/>
              <w:ind w:right="0"/>
              <w:jc w:val="center"/>
              <w:rPr>
                <w:sz w:val="20"/>
                <w:szCs w:val="20"/>
              </w:rPr>
            </w:pPr>
            <w:r w:rsidRPr="00207793">
              <w:rPr>
                <w:sz w:val="20"/>
                <w:szCs w:val="20"/>
              </w:rPr>
              <w:t>0.000</w:t>
            </w:r>
          </w:p>
        </w:tc>
        <w:tc>
          <w:tcPr>
            <w:tcW w:w="803" w:type="dxa"/>
            <w:shd w:val="clear" w:color="auto" w:fill="auto"/>
            <w:vAlign w:val="center"/>
            <w:hideMark/>
          </w:tcPr>
          <w:p w14:paraId="6652ED0E" w14:textId="79436AC5" w:rsidR="007D6152" w:rsidRPr="00207793" w:rsidRDefault="007D6152" w:rsidP="00507409">
            <w:pPr>
              <w:keepLines/>
              <w:snapToGrid w:val="0"/>
              <w:spacing w:line="240" w:lineRule="exact"/>
              <w:ind w:right="0"/>
              <w:jc w:val="center"/>
              <w:rPr>
                <w:sz w:val="20"/>
                <w:szCs w:val="20"/>
              </w:rPr>
            </w:pPr>
            <w:r w:rsidRPr="00207793">
              <w:rPr>
                <w:sz w:val="20"/>
                <w:szCs w:val="20"/>
              </w:rPr>
              <w:t>0.396</w:t>
            </w:r>
          </w:p>
        </w:tc>
        <w:tc>
          <w:tcPr>
            <w:tcW w:w="803" w:type="dxa"/>
            <w:shd w:val="clear" w:color="auto" w:fill="auto"/>
            <w:vAlign w:val="center"/>
            <w:hideMark/>
          </w:tcPr>
          <w:p w14:paraId="165D0FAD" w14:textId="2A63EF32" w:rsidR="007D6152" w:rsidRPr="00207793" w:rsidRDefault="007D6152" w:rsidP="00507409">
            <w:pPr>
              <w:keepLines/>
              <w:snapToGrid w:val="0"/>
              <w:spacing w:line="240" w:lineRule="exact"/>
              <w:ind w:right="0"/>
              <w:jc w:val="center"/>
              <w:rPr>
                <w:sz w:val="20"/>
                <w:szCs w:val="20"/>
              </w:rPr>
            </w:pPr>
            <w:r w:rsidRPr="00207793">
              <w:rPr>
                <w:sz w:val="20"/>
                <w:szCs w:val="20"/>
              </w:rPr>
              <w:t>0.000</w:t>
            </w:r>
          </w:p>
        </w:tc>
        <w:tc>
          <w:tcPr>
            <w:tcW w:w="804" w:type="dxa"/>
            <w:shd w:val="clear" w:color="auto" w:fill="auto"/>
            <w:vAlign w:val="center"/>
            <w:hideMark/>
          </w:tcPr>
          <w:p w14:paraId="0B2F0E4F" w14:textId="56DC0CBB" w:rsidR="007D6152" w:rsidRPr="00207793" w:rsidRDefault="007D6152" w:rsidP="00507409">
            <w:pPr>
              <w:keepLines/>
              <w:snapToGrid w:val="0"/>
              <w:spacing w:line="240" w:lineRule="exact"/>
              <w:ind w:right="0"/>
              <w:jc w:val="center"/>
              <w:rPr>
                <w:sz w:val="20"/>
                <w:szCs w:val="20"/>
              </w:rPr>
            </w:pPr>
            <w:r w:rsidRPr="00207793">
              <w:rPr>
                <w:sz w:val="20"/>
                <w:szCs w:val="20"/>
              </w:rPr>
              <w:t>0.000</w:t>
            </w:r>
          </w:p>
        </w:tc>
        <w:tc>
          <w:tcPr>
            <w:tcW w:w="803" w:type="dxa"/>
            <w:shd w:val="clear" w:color="auto" w:fill="auto"/>
            <w:vAlign w:val="center"/>
            <w:hideMark/>
          </w:tcPr>
          <w:p w14:paraId="2744917E" w14:textId="52E14B48" w:rsidR="007D6152" w:rsidRPr="00207793" w:rsidRDefault="007D6152" w:rsidP="00507409">
            <w:pPr>
              <w:keepLines/>
              <w:snapToGrid w:val="0"/>
              <w:spacing w:line="240" w:lineRule="exact"/>
              <w:ind w:right="0"/>
              <w:jc w:val="center"/>
              <w:rPr>
                <w:sz w:val="20"/>
                <w:szCs w:val="20"/>
              </w:rPr>
            </w:pPr>
            <w:r w:rsidRPr="00207793">
              <w:rPr>
                <w:sz w:val="20"/>
                <w:szCs w:val="20"/>
              </w:rPr>
              <w:t>0.000</w:t>
            </w:r>
          </w:p>
        </w:tc>
        <w:tc>
          <w:tcPr>
            <w:tcW w:w="803" w:type="dxa"/>
            <w:shd w:val="clear" w:color="auto" w:fill="auto"/>
            <w:vAlign w:val="center"/>
            <w:hideMark/>
          </w:tcPr>
          <w:p w14:paraId="0C8E495F" w14:textId="2811F1D5" w:rsidR="007D6152" w:rsidRPr="00207793" w:rsidRDefault="007D6152" w:rsidP="00507409">
            <w:pPr>
              <w:keepLines/>
              <w:snapToGrid w:val="0"/>
              <w:spacing w:line="240" w:lineRule="exact"/>
              <w:ind w:right="0"/>
              <w:jc w:val="center"/>
              <w:rPr>
                <w:sz w:val="20"/>
                <w:szCs w:val="20"/>
              </w:rPr>
            </w:pPr>
            <w:r w:rsidRPr="00207793">
              <w:rPr>
                <w:sz w:val="20"/>
                <w:szCs w:val="20"/>
              </w:rPr>
              <w:t>1.000</w:t>
            </w:r>
          </w:p>
        </w:tc>
        <w:tc>
          <w:tcPr>
            <w:tcW w:w="803" w:type="dxa"/>
            <w:shd w:val="clear" w:color="auto" w:fill="auto"/>
            <w:vAlign w:val="center"/>
            <w:hideMark/>
          </w:tcPr>
          <w:p w14:paraId="49A176A3" w14:textId="537748B4" w:rsidR="007D6152" w:rsidRPr="00207793" w:rsidRDefault="007D6152" w:rsidP="00507409">
            <w:pPr>
              <w:keepLines/>
              <w:snapToGrid w:val="0"/>
              <w:spacing w:line="240" w:lineRule="exact"/>
              <w:ind w:right="0"/>
              <w:jc w:val="center"/>
              <w:rPr>
                <w:sz w:val="20"/>
                <w:szCs w:val="20"/>
              </w:rPr>
            </w:pPr>
            <w:r w:rsidRPr="00207793">
              <w:rPr>
                <w:sz w:val="20"/>
                <w:szCs w:val="20"/>
              </w:rPr>
              <w:t>0.000</w:t>
            </w:r>
          </w:p>
        </w:tc>
        <w:tc>
          <w:tcPr>
            <w:tcW w:w="804" w:type="dxa"/>
            <w:shd w:val="clear" w:color="auto" w:fill="auto"/>
            <w:vAlign w:val="center"/>
            <w:hideMark/>
          </w:tcPr>
          <w:p w14:paraId="52511CBC" w14:textId="222CF071" w:rsidR="007D6152" w:rsidRPr="00207793" w:rsidRDefault="007D6152" w:rsidP="00507409">
            <w:pPr>
              <w:keepLines/>
              <w:snapToGrid w:val="0"/>
              <w:spacing w:line="240" w:lineRule="exact"/>
              <w:ind w:right="0"/>
              <w:jc w:val="center"/>
              <w:rPr>
                <w:sz w:val="20"/>
                <w:szCs w:val="20"/>
              </w:rPr>
            </w:pPr>
            <w:r w:rsidRPr="00207793">
              <w:rPr>
                <w:sz w:val="20"/>
                <w:szCs w:val="20"/>
              </w:rPr>
              <w:t>1.000</w:t>
            </w:r>
          </w:p>
        </w:tc>
      </w:tr>
    </w:tbl>
    <w:p w14:paraId="1B291E5E" w14:textId="35D58C80" w:rsidR="003C575D" w:rsidRPr="00353396" w:rsidRDefault="00831377" w:rsidP="00E63B90">
      <w:pPr>
        <w:pStyle w:val="text"/>
        <w:spacing w:beforeLines="50" w:before="180"/>
      </w:pPr>
      <w:r w:rsidRPr="00831377">
        <w:lastRenderedPageBreak/>
        <w:t>Thirdly, we examine the correlation matrix among all empirical variables, presented in Table 3, for two primary reasons. On one hand, this analysis allows us to uncover simple relationships among variables, facilitating the interpretation of univariate analyses. On the other hand, it serves as a crucial diagnostic step preceding multivariate regression analyses, enabling us to identify and mitigate potential multicollinearity concerns.</w:t>
      </w:r>
      <w:r w:rsidR="000121B0" w:rsidRPr="00353396">
        <w:t xml:space="preserve"> </w:t>
      </w:r>
      <w:r w:rsidR="003607FD">
        <w:t>We</w:t>
      </w:r>
      <w:r w:rsidR="000121B0" w:rsidRPr="00353396">
        <w:t xml:space="preserve"> summarize the correlation coefficients in Table 3. </w:t>
      </w:r>
    </w:p>
    <w:p w14:paraId="137ECF3F" w14:textId="42609BA2" w:rsidR="003C575D" w:rsidRPr="00353396" w:rsidRDefault="006313B8" w:rsidP="00C3335D">
      <w:pPr>
        <w:pStyle w:val="3"/>
      </w:pPr>
      <w:r>
        <w:t xml:space="preserve">Table </w:t>
      </w:r>
      <w:r w:rsidR="00350966">
        <w:fldChar w:fldCharType="begin"/>
      </w:r>
      <w:r w:rsidR="00350966">
        <w:instrText xml:space="preserve"> SEQ Table \* ARABIC </w:instrText>
      </w:r>
      <w:r w:rsidR="00350966">
        <w:fldChar w:fldCharType="separate"/>
      </w:r>
      <w:r w:rsidR="00350966">
        <w:rPr>
          <w:noProof/>
        </w:rPr>
        <w:t>3</w:t>
      </w:r>
      <w:r w:rsidR="00350966">
        <w:rPr>
          <w:noProof/>
        </w:rPr>
        <w:fldChar w:fldCharType="end"/>
      </w:r>
      <w:r>
        <w:rPr>
          <w:rFonts w:hint="eastAsia"/>
        </w:rPr>
        <w:t>.</w:t>
      </w:r>
      <w:r w:rsidR="003C575D" w:rsidRPr="00353396">
        <w:t xml:space="preserve"> Correlation Matrix</w:t>
      </w:r>
    </w:p>
    <w:p w14:paraId="02E1683A" w14:textId="4E10C3E3" w:rsidR="003C575D" w:rsidRDefault="003C575D" w:rsidP="00C3335D">
      <w:pPr>
        <w:pStyle w:val="table-note"/>
      </w:pPr>
      <w:r w:rsidRPr="00353396">
        <w:t xml:space="preserve">This table shows the correlation matrix of empirical variables for all sample firms. Size is the log of market capital, BM is the ratio of book to market value, ROA is return on assets, Runup is the three-month buy-and-hold abnormal return before M&amp;A announcement date, Dividend is the payout ratio, CR is the current ratio, Leverage is the debt ratio, Stock is 100% stock payment in M&amp;As, Cash is 100% cash payment in M&amp;As, and Mix is the mixed payment. </w:t>
      </w:r>
    </w:p>
    <w:tbl>
      <w:tblPr>
        <w:tblStyle w:val="ad"/>
        <w:tblW w:w="8323"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59"/>
        <w:gridCol w:w="562"/>
        <w:gridCol w:w="744"/>
        <w:gridCol w:w="721"/>
        <w:gridCol w:w="750"/>
        <w:gridCol w:w="961"/>
        <w:gridCol w:w="648"/>
        <w:gridCol w:w="992"/>
        <w:gridCol w:w="721"/>
        <w:gridCol w:w="721"/>
        <w:gridCol w:w="644"/>
      </w:tblGrid>
      <w:tr w:rsidR="00E14268" w:rsidRPr="00AF59D1" w14:paraId="263841DC" w14:textId="1DF555C5" w:rsidTr="00AF59D1">
        <w:trPr>
          <w:cantSplit/>
          <w:tblHeader/>
        </w:trPr>
        <w:tc>
          <w:tcPr>
            <w:tcW w:w="859" w:type="dxa"/>
            <w:tcBorders>
              <w:top w:val="single" w:sz="4" w:space="0" w:color="auto"/>
              <w:bottom w:val="single" w:sz="4" w:space="0" w:color="auto"/>
            </w:tcBorders>
            <w:vAlign w:val="center"/>
          </w:tcPr>
          <w:p w14:paraId="0B0DD794" w14:textId="77777777" w:rsidR="00E14268" w:rsidRPr="00AF59D1" w:rsidRDefault="00E14268" w:rsidP="00AF59D1">
            <w:pPr>
              <w:snapToGrid w:val="0"/>
              <w:spacing w:line="240" w:lineRule="auto"/>
              <w:ind w:right="0"/>
              <w:rPr>
                <w:sz w:val="20"/>
                <w:szCs w:val="20"/>
              </w:rPr>
            </w:pPr>
          </w:p>
        </w:tc>
        <w:tc>
          <w:tcPr>
            <w:tcW w:w="562" w:type="dxa"/>
            <w:tcBorders>
              <w:top w:val="single" w:sz="4" w:space="0" w:color="auto"/>
              <w:bottom w:val="single" w:sz="4" w:space="0" w:color="auto"/>
            </w:tcBorders>
            <w:vAlign w:val="center"/>
          </w:tcPr>
          <w:p w14:paraId="2D13FFFD" w14:textId="076605EE" w:rsidR="00E14268" w:rsidRPr="00AF59D1" w:rsidRDefault="00E14268" w:rsidP="00AF59D1">
            <w:pPr>
              <w:snapToGrid w:val="0"/>
              <w:spacing w:line="240" w:lineRule="auto"/>
              <w:ind w:right="0"/>
              <w:jc w:val="center"/>
              <w:rPr>
                <w:b/>
                <w:bCs/>
                <w:sz w:val="20"/>
                <w:szCs w:val="20"/>
              </w:rPr>
            </w:pPr>
            <w:r w:rsidRPr="00AF59D1">
              <w:rPr>
                <w:sz w:val="20"/>
                <w:szCs w:val="20"/>
              </w:rPr>
              <w:t>Size</w:t>
            </w:r>
          </w:p>
        </w:tc>
        <w:tc>
          <w:tcPr>
            <w:tcW w:w="744" w:type="dxa"/>
            <w:tcBorders>
              <w:top w:val="single" w:sz="4" w:space="0" w:color="auto"/>
              <w:bottom w:val="single" w:sz="4" w:space="0" w:color="auto"/>
            </w:tcBorders>
            <w:vAlign w:val="center"/>
          </w:tcPr>
          <w:p w14:paraId="735061BA" w14:textId="6FFE2891" w:rsidR="00E14268" w:rsidRPr="00AF59D1" w:rsidRDefault="00E14268" w:rsidP="00AF59D1">
            <w:pPr>
              <w:snapToGrid w:val="0"/>
              <w:spacing w:line="240" w:lineRule="auto"/>
              <w:ind w:right="0"/>
              <w:jc w:val="center"/>
              <w:rPr>
                <w:b/>
                <w:bCs/>
                <w:sz w:val="20"/>
                <w:szCs w:val="20"/>
              </w:rPr>
            </w:pPr>
            <w:r w:rsidRPr="00AF59D1">
              <w:rPr>
                <w:sz w:val="20"/>
                <w:szCs w:val="20"/>
              </w:rPr>
              <w:t>BM</w:t>
            </w:r>
          </w:p>
        </w:tc>
        <w:tc>
          <w:tcPr>
            <w:tcW w:w="721" w:type="dxa"/>
            <w:tcBorders>
              <w:top w:val="single" w:sz="4" w:space="0" w:color="auto"/>
              <w:bottom w:val="single" w:sz="4" w:space="0" w:color="auto"/>
            </w:tcBorders>
            <w:vAlign w:val="center"/>
          </w:tcPr>
          <w:p w14:paraId="6DC20E16" w14:textId="046729DB" w:rsidR="00E14268" w:rsidRPr="00AF59D1" w:rsidRDefault="00E14268" w:rsidP="00AF59D1">
            <w:pPr>
              <w:snapToGrid w:val="0"/>
              <w:spacing w:line="240" w:lineRule="auto"/>
              <w:ind w:right="0"/>
              <w:jc w:val="center"/>
              <w:rPr>
                <w:b/>
                <w:bCs/>
                <w:sz w:val="20"/>
                <w:szCs w:val="20"/>
              </w:rPr>
            </w:pPr>
            <w:r w:rsidRPr="00AF59D1">
              <w:rPr>
                <w:sz w:val="20"/>
                <w:szCs w:val="20"/>
              </w:rPr>
              <w:t>ROA</w:t>
            </w:r>
          </w:p>
        </w:tc>
        <w:tc>
          <w:tcPr>
            <w:tcW w:w="750" w:type="dxa"/>
            <w:tcBorders>
              <w:top w:val="single" w:sz="4" w:space="0" w:color="auto"/>
              <w:bottom w:val="single" w:sz="4" w:space="0" w:color="auto"/>
            </w:tcBorders>
            <w:vAlign w:val="center"/>
          </w:tcPr>
          <w:p w14:paraId="48A34306" w14:textId="04BD6EAF" w:rsidR="00E14268" w:rsidRPr="00AF59D1" w:rsidRDefault="00E14268" w:rsidP="00AF59D1">
            <w:pPr>
              <w:snapToGrid w:val="0"/>
              <w:spacing w:line="240" w:lineRule="auto"/>
              <w:ind w:right="0"/>
              <w:jc w:val="center"/>
              <w:rPr>
                <w:b/>
                <w:bCs/>
                <w:sz w:val="20"/>
                <w:szCs w:val="20"/>
              </w:rPr>
            </w:pPr>
            <w:r w:rsidRPr="00AF59D1">
              <w:rPr>
                <w:sz w:val="20"/>
                <w:szCs w:val="20"/>
              </w:rPr>
              <w:t>Runup</w:t>
            </w:r>
          </w:p>
        </w:tc>
        <w:tc>
          <w:tcPr>
            <w:tcW w:w="961" w:type="dxa"/>
            <w:tcBorders>
              <w:top w:val="single" w:sz="4" w:space="0" w:color="auto"/>
              <w:bottom w:val="single" w:sz="4" w:space="0" w:color="auto"/>
            </w:tcBorders>
            <w:vAlign w:val="center"/>
          </w:tcPr>
          <w:p w14:paraId="3A4F1FB6" w14:textId="724BE4EC" w:rsidR="00E14268" w:rsidRPr="00AF59D1" w:rsidRDefault="00E14268" w:rsidP="00AF59D1">
            <w:pPr>
              <w:snapToGrid w:val="0"/>
              <w:spacing w:line="240" w:lineRule="auto"/>
              <w:ind w:right="0"/>
              <w:jc w:val="center"/>
              <w:rPr>
                <w:b/>
                <w:bCs/>
                <w:sz w:val="20"/>
                <w:szCs w:val="20"/>
              </w:rPr>
            </w:pPr>
            <w:r w:rsidRPr="00AF59D1">
              <w:rPr>
                <w:sz w:val="20"/>
                <w:szCs w:val="20"/>
              </w:rPr>
              <w:t>Dividend</w:t>
            </w:r>
          </w:p>
        </w:tc>
        <w:tc>
          <w:tcPr>
            <w:tcW w:w="648" w:type="dxa"/>
            <w:tcBorders>
              <w:top w:val="single" w:sz="4" w:space="0" w:color="auto"/>
              <w:bottom w:val="single" w:sz="4" w:space="0" w:color="auto"/>
            </w:tcBorders>
            <w:vAlign w:val="center"/>
          </w:tcPr>
          <w:p w14:paraId="08805D7D" w14:textId="649A1829" w:rsidR="00E14268" w:rsidRPr="00AF59D1" w:rsidRDefault="00E14268" w:rsidP="00AF59D1">
            <w:pPr>
              <w:snapToGrid w:val="0"/>
              <w:spacing w:line="240" w:lineRule="auto"/>
              <w:ind w:right="0"/>
              <w:jc w:val="center"/>
              <w:rPr>
                <w:b/>
                <w:bCs/>
                <w:sz w:val="20"/>
                <w:szCs w:val="20"/>
              </w:rPr>
            </w:pPr>
            <w:r w:rsidRPr="00AF59D1">
              <w:rPr>
                <w:sz w:val="20"/>
                <w:szCs w:val="20"/>
              </w:rPr>
              <w:t>CR</w:t>
            </w:r>
          </w:p>
        </w:tc>
        <w:tc>
          <w:tcPr>
            <w:tcW w:w="992" w:type="dxa"/>
            <w:tcBorders>
              <w:top w:val="single" w:sz="4" w:space="0" w:color="auto"/>
              <w:bottom w:val="single" w:sz="4" w:space="0" w:color="auto"/>
            </w:tcBorders>
            <w:vAlign w:val="center"/>
          </w:tcPr>
          <w:p w14:paraId="3F8F4C1E" w14:textId="069DC26D" w:rsidR="00E14268" w:rsidRPr="00AF59D1" w:rsidRDefault="00E14268" w:rsidP="00AF59D1">
            <w:pPr>
              <w:snapToGrid w:val="0"/>
              <w:spacing w:line="240" w:lineRule="auto"/>
              <w:ind w:right="0"/>
              <w:jc w:val="center"/>
              <w:rPr>
                <w:b/>
                <w:bCs/>
                <w:sz w:val="20"/>
                <w:szCs w:val="20"/>
              </w:rPr>
            </w:pPr>
            <w:r w:rsidRPr="00AF59D1">
              <w:rPr>
                <w:sz w:val="20"/>
                <w:szCs w:val="20"/>
              </w:rPr>
              <w:t>Leverage</w:t>
            </w:r>
          </w:p>
        </w:tc>
        <w:tc>
          <w:tcPr>
            <w:tcW w:w="721" w:type="dxa"/>
            <w:tcBorders>
              <w:top w:val="single" w:sz="4" w:space="0" w:color="auto"/>
              <w:bottom w:val="single" w:sz="4" w:space="0" w:color="auto"/>
            </w:tcBorders>
            <w:vAlign w:val="center"/>
          </w:tcPr>
          <w:p w14:paraId="7767EE37" w14:textId="6D3887CB" w:rsidR="00E14268" w:rsidRPr="00AF59D1" w:rsidRDefault="00E14268" w:rsidP="00AF59D1">
            <w:pPr>
              <w:snapToGrid w:val="0"/>
              <w:spacing w:line="240" w:lineRule="auto"/>
              <w:ind w:right="0"/>
              <w:jc w:val="center"/>
              <w:rPr>
                <w:b/>
                <w:bCs/>
                <w:sz w:val="20"/>
                <w:szCs w:val="20"/>
              </w:rPr>
            </w:pPr>
            <w:r w:rsidRPr="00AF59D1">
              <w:rPr>
                <w:sz w:val="20"/>
                <w:szCs w:val="20"/>
              </w:rPr>
              <w:t>Stock</w:t>
            </w:r>
          </w:p>
        </w:tc>
        <w:tc>
          <w:tcPr>
            <w:tcW w:w="721" w:type="dxa"/>
            <w:tcBorders>
              <w:top w:val="single" w:sz="4" w:space="0" w:color="auto"/>
              <w:bottom w:val="single" w:sz="4" w:space="0" w:color="auto"/>
            </w:tcBorders>
            <w:vAlign w:val="center"/>
          </w:tcPr>
          <w:p w14:paraId="692AB395" w14:textId="0823F892" w:rsidR="00E14268" w:rsidRPr="00AF59D1" w:rsidRDefault="00E14268" w:rsidP="00AF59D1">
            <w:pPr>
              <w:snapToGrid w:val="0"/>
              <w:spacing w:line="240" w:lineRule="auto"/>
              <w:ind w:right="0"/>
              <w:jc w:val="center"/>
              <w:rPr>
                <w:b/>
                <w:bCs/>
                <w:sz w:val="20"/>
                <w:szCs w:val="20"/>
              </w:rPr>
            </w:pPr>
            <w:r w:rsidRPr="00AF59D1">
              <w:rPr>
                <w:sz w:val="20"/>
                <w:szCs w:val="20"/>
              </w:rPr>
              <w:t>Cash</w:t>
            </w:r>
          </w:p>
        </w:tc>
        <w:tc>
          <w:tcPr>
            <w:tcW w:w="644" w:type="dxa"/>
            <w:tcBorders>
              <w:top w:val="single" w:sz="4" w:space="0" w:color="auto"/>
              <w:bottom w:val="single" w:sz="4" w:space="0" w:color="auto"/>
            </w:tcBorders>
            <w:vAlign w:val="center"/>
          </w:tcPr>
          <w:p w14:paraId="67E82A26" w14:textId="1D798CFB" w:rsidR="00E14268" w:rsidRPr="00AF59D1" w:rsidRDefault="00E14268" w:rsidP="00AF59D1">
            <w:pPr>
              <w:snapToGrid w:val="0"/>
              <w:spacing w:line="240" w:lineRule="auto"/>
              <w:ind w:right="0"/>
              <w:jc w:val="center"/>
              <w:rPr>
                <w:b/>
                <w:bCs/>
                <w:sz w:val="20"/>
                <w:szCs w:val="20"/>
              </w:rPr>
            </w:pPr>
            <w:r w:rsidRPr="00AF59D1">
              <w:rPr>
                <w:sz w:val="20"/>
                <w:szCs w:val="20"/>
              </w:rPr>
              <w:t>Mix</w:t>
            </w:r>
          </w:p>
        </w:tc>
      </w:tr>
      <w:tr w:rsidR="00E14268" w:rsidRPr="00AF59D1" w14:paraId="329BC5EC" w14:textId="7236B168" w:rsidTr="00AF59D1">
        <w:trPr>
          <w:cantSplit/>
          <w:tblHeader/>
        </w:trPr>
        <w:tc>
          <w:tcPr>
            <w:tcW w:w="859" w:type="dxa"/>
            <w:tcBorders>
              <w:top w:val="single" w:sz="4" w:space="0" w:color="auto"/>
            </w:tcBorders>
            <w:vAlign w:val="center"/>
          </w:tcPr>
          <w:p w14:paraId="57434985" w14:textId="068850D5" w:rsidR="00E14268" w:rsidRPr="00AF59D1" w:rsidRDefault="00E14268" w:rsidP="00AF59D1">
            <w:pPr>
              <w:snapToGrid w:val="0"/>
              <w:spacing w:line="240" w:lineRule="auto"/>
              <w:ind w:right="0"/>
              <w:rPr>
                <w:b/>
                <w:bCs/>
                <w:sz w:val="20"/>
                <w:szCs w:val="20"/>
              </w:rPr>
            </w:pPr>
            <w:r w:rsidRPr="00AF59D1">
              <w:rPr>
                <w:sz w:val="20"/>
                <w:szCs w:val="20"/>
              </w:rPr>
              <w:t>Size</w:t>
            </w:r>
          </w:p>
        </w:tc>
        <w:tc>
          <w:tcPr>
            <w:tcW w:w="562" w:type="dxa"/>
            <w:tcBorders>
              <w:top w:val="single" w:sz="4" w:space="0" w:color="auto"/>
            </w:tcBorders>
            <w:vAlign w:val="center"/>
          </w:tcPr>
          <w:p w14:paraId="4B6860C9" w14:textId="3691C110" w:rsidR="00E14268" w:rsidRPr="00AF59D1" w:rsidRDefault="00E14268" w:rsidP="00AF59D1">
            <w:pPr>
              <w:snapToGrid w:val="0"/>
              <w:spacing w:line="240" w:lineRule="auto"/>
              <w:ind w:right="0"/>
              <w:jc w:val="center"/>
              <w:rPr>
                <w:sz w:val="20"/>
                <w:szCs w:val="20"/>
              </w:rPr>
            </w:pPr>
            <w:r w:rsidRPr="00AF59D1">
              <w:rPr>
                <w:sz w:val="20"/>
                <w:szCs w:val="20"/>
              </w:rPr>
              <w:t>1</w:t>
            </w:r>
          </w:p>
        </w:tc>
        <w:tc>
          <w:tcPr>
            <w:tcW w:w="744" w:type="dxa"/>
            <w:tcBorders>
              <w:top w:val="single" w:sz="4" w:space="0" w:color="auto"/>
            </w:tcBorders>
            <w:vAlign w:val="center"/>
          </w:tcPr>
          <w:p w14:paraId="7E55E751" w14:textId="10A859CF" w:rsidR="00E14268" w:rsidRPr="00AF59D1" w:rsidRDefault="00E14268" w:rsidP="00AF59D1">
            <w:pPr>
              <w:snapToGrid w:val="0"/>
              <w:spacing w:line="240" w:lineRule="auto"/>
              <w:ind w:right="0"/>
              <w:jc w:val="center"/>
              <w:rPr>
                <w:b/>
                <w:bCs/>
                <w:sz w:val="20"/>
                <w:szCs w:val="20"/>
              </w:rPr>
            </w:pPr>
            <w:r w:rsidRPr="00AF59D1">
              <w:rPr>
                <w:sz w:val="20"/>
                <w:szCs w:val="20"/>
              </w:rPr>
              <w:t>-0.092</w:t>
            </w:r>
          </w:p>
        </w:tc>
        <w:tc>
          <w:tcPr>
            <w:tcW w:w="721" w:type="dxa"/>
            <w:tcBorders>
              <w:top w:val="single" w:sz="4" w:space="0" w:color="auto"/>
            </w:tcBorders>
            <w:vAlign w:val="center"/>
          </w:tcPr>
          <w:p w14:paraId="409808A2" w14:textId="258A0942" w:rsidR="00E14268" w:rsidRPr="00AF59D1" w:rsidRDefault="00E14268" w:rsidP="00AF59D1">
            <w:pPr>
              <w:snapToGrid w:val="0"/>
              <w:spacing w:line="240" w:lineRule="auto"/>
              <w:ind w:right="0"/>
              <w:jc w:val="center"/>
              <w:rPr>
                <w:b/>
                <w:bCs/>
                <w:sz w:val="20"/>
                <w:szCs w:val="20"/>
              </w:rPr>
            </w:pPr>
            <w:r w:rsidRPr="00AF59D1">
              <w:rPr>
                <w:sz w:val="20"/>
                <w:szCs w:val="20"/>
              </w:rPr>
              <w:t>0.425</w:t>
            </w:r>
          </w:p>
        </w:tc>
        <w:tc>
          <w:tcPr>
            <w:tcW w:w="750" w:type="dxa"/>
            <w:tcBorders>
              <w:top w:val="single" w:sz="4" w:space="0" w:color="auto"/>
            </w:tcBorders>
            <w:vAlign w:val="center"/>
          </w:tcPr>
          <w:p w14:paraId="23901295" w14:textId="3B91DF26" w:rsidR="00E14268" w:rsidRPr="00AF59D1" w:rsidRDefault="00E14268" w:rsidP="00AF59D1">
            <w:pPr>
              <w:snapToGrid w:val="0"/>
              <w:spacing w:line="240" w:lineRule="auto"/>
              <w:ind w:right="0"/>
              <w:jc w:val="center"/>
              <w:rPr>
                <w:b/>
                <w:bCs/>
                <w:sz w:val="20"/>
                <w:szCs w:val="20"/>
              </w:rPr>
            </w:pPr>
            <w:r w:rsidRPr="00AF59D1">
              <w:rPr>
                <w:sz w:val="20"/>
                <w:szCs w:val="20"/>
              </w:rPr>
              <w:t>0.005</w:t>
            </w:r>
          </w:p>
        </w:tc>
        <w:tc>
          <w:tcPr>
            <w:tcW w:w="961" w:type="dxa"/>
            <w:tcBorders>
              <w:top w:val="single" w:sz="4" w:space="0" w:color="auto"/>
            </w:tcBorders>
            <w:vAlign w:val="center"/>
          </w:tcPr>
          <w:p w14:paraId="6925AEE6" w14:textId="662A9B28" w:rsidR="00E14268" w:rsidRPr="00AF59D1" w:rsidRDefault="00E14268" w:rsidP="00AF59D1">
            <w:pPr>
              <w:snapToGrid w:val="0"/>
              <w:spacing w:line="240" w:lineRule="auto"/>
              <w:ind w:right="0"/>
              <w:jc w:val="center"/>
              <w:rPr>
                <w:b/>
                <w:bCs/>
                <w:sz w:val="20"/>
                <w:szCs w:val="20"/>
              </w:rPr>
            </w:pPr>
            <w:r w:rsidRPr="00AF59D1">
              <w:rPr>
                <w:sz w:val="20"/>
                <w:szCs w:val="20"/>
              </w:rPr>
              <w:t>0.020</w:t>
            </w:r>
          </w:p>
        </w:tc>
        <w:tc>
          <w:tcPr>
            <w:tcW w:w="648" w:type="dxa"/>
            <w:tcBorders>
              <w:top w:val="single" w:sz="4" w:space="0" w:color="auto"/>
            </w:tcBorders>
            <w:vAlign w:val="center"/>
          </w:tcPr>
          <w:p w14:paraId="65B3A669" w14:textId="0B8F2C05" w:rsidR="00E14268" w:rsidRPr="00AF59D1" w:rsidRDefault="00E14268" w:rsidP="00AF59D1">
            <w:pPr>
              <w:snapToGrid w:val="0"/>
              <w:spacing w:line="240" w:lineRule="auto"/>
              <w:ind w:right="0"/>
              <w:jc w:val="center"/>
              <w:rPr>
                <w:b/>
                <w:bCs/>
                <w:sz w:val="20"/>
                <w:szCs w:val="20"/>
              </w:rPr>
            </w:pPr>
            <w:r w:rsidRPr="00AF59D1">
              <w:rPr>
                <w:sz w:val="20"/>
                <w:szCs w:val="20"/>
              </w:rPr>
              <w:t>-0.283</w:t>
            </w:r>
          </w:p>
        </w:tc>
        <w:tc>
          <w:tcPr>
            <w:tcW w:w="992" w:type="dxa"/>
            <w:tcBorders>
              <w:top w:val="single" w:sz="4" w:space="0" w:color="auto"/>
            </w:tcBorders>
            <w:vAlign w:val="center"/>
          </w:tcPr>
          <w:p w14:paraId="380409D3" w14:textId="0E98712B" w:rsidR="00E14268" w:rsidRPr="00AF59D1" w:rsidRDefault="00E14268" w:rsidP="00AF59D1">
            <w:pPr>
              <w:snapToGrid w:val="0"/>
              <w:spacing w:line="240" w:lineRule="auto"/>
              <w:ind w:right="0"/>
              <w:jc w:val="center"/>
              <w:rPr>
                <w:b/>
                <w:bCs/>
                <w:sz w:val="20"/>
                <w:szCs w:val="20"/>
              </w:rPr>
            </w:pPr>
            <w:r w:rsidRPr="00AF59D1">
              <w:rPr>
                <w:sz w:val="20"/>
                <w:szCs w:val="20"/>
              </w:rPr>
              <w:t>0.147</w:t>
            </w:r>
          </w:p>
        </w:tc>
        <w:tc>
          <w:tcPr>
            <w:tcW w:w="721" w:type="dxa"/>
            <w:tcBorders>
              <w:top w:val="single" w:sz="4" w:space="0" w:color="auto"/>
            </w:tcBorders>
            <w:vAlign w:val="center"/>
          </w:tcPr>
          <w:p w14:paraId="0DF9AAEA" w14:textId="093A3EB0" w:rsidR="00E14268" w:rsidRPr="00AF59D1" w:rsidRDefault="00E14268" w:rsidP="00AF59D1">
            <w:pPr>
              <w:snapToGrid w:val="0"/>
              <w:spacing w:line="240" w:lineRule="auto"/>
              <w:ind w:right="0"/>
              <w:jc w:val="center"/>
              <w:rPr>
                <w:b/>
                <w:bCs/>
                <w:sz w:val="20"/>
                <w:szCs w:val="20"/>
              </w:rPr>
            </w:pPr>
            <w:r w:rsidRPr="00AF59D1">
              <w:rPr>
                <w:sz w:val="20"/>
                <w:szCs w:val="20"/>
              </w:rPr>
              <w:t>-0.175</w:t>
            </w:r>
          </w:p>
        </w:tc>
        <w:tc>
          <w:tcPr>
            <w:tcW w:w="721" w:type="dxa"/>
            <w:tcBorders>
              <w:top w:val="single" w:sz="4" w:space="0" w:color="auto"/>
            </w:tcBorders>
            <w:vAlign w:val="center"/>
          </w:tcPr>
          <w:p w14:paraId="3E1E7C85" w14:textId="1A83A508" w:rsidR="00E14268" w:rsidRPr="00AF59D1" w:rsidRDefault="00E14268" w:rsidP="00AF59D1">
            <w:pPr>
              <w:snapToGrid w:val="0"/>
              <w:spacing w:line="240" w:lineRule="auto"/>
              <w:ind w:right="0"/>
              <w:jc w:val="center"/>
              <w:rPr>
                <w:b/>
                <w:bCs/>
                <w:sz w:val="20"/>
                <w:szCs w:val="20"/>
              </w:rPr>
            </w:pPr>
            <w:r w:rsidRPr="00AF59D1">
              <w:rPr>
                <w:sz w:val="20"/>
                <w:szCs w:val="20"/>
              </w:rPr>
              <w:t>0.248</w:t>
            </w:r>
          </w:p>
        </w:tc>
        <w:tc>
          <w:tcPr>
            <w:tcW w:w="644" w:type="dxa"/>
            <w:tcBorders>
              <w:top w:val="single" w:sz="4" w:space="0" w:color="auto"/>
            </w:tcBorders>
            <w:vAlign w:val="center"/>
          </w:tcPr>
          <w:p w14:paraId="3740DF03" w14:textId="0D1F3590" w:rsidR="00E14268" w:rsidRPr="00AF59D1" w:rsidRDefault="00E14268" w:rsidP="00AF59D1">
            <w:pPr>
              <w:snapToGrid w:val="0"/>
              <w:spacing w:line="240" w:lineRule="auto"/>
              <w:ind w:right="0"/>
              <w:jc w:val="center"/>
              <w:rPr>
                <w:sz w:val="20"/>
                <w:szCs w:val="20"/>
              </w:rPr>
            </w:pPr>
            <w:r w:rsidRPr="00AF59D1">
              <w:rPr>
                <w:sz w:val="20"/>
                <w:szCs w:val="20"/>
              </w:rPr>
              <w:t>-0.119</w:t>
            </w:r>
          </w:p>
        </w:tc>
      </w:tr>
      <w:tr w:rsidR="00E14268" w:rsidRPr="00AF59D1" w14:paraId="3173BB55" w14:textId="2F3AC38F" w:rsidTr="00AF59D1">
        <w:trPr>
          <w:cantSplit/>
          <w:tblHeader/>
        </w:trPr>
        <w:tc>
          <w:tcPr>
            <w:tcW w:w="859" w:type="dxa"/>
            <w:vAlign w:val="center"/>
          </w:tcPr>
          <w:p w14:paraId="1D04ACC7" w14:textId="77777777" w:rsidR="00E14268" w:rsidRPr="00AF59D1" w:rsidRDefault="00E14268" w:rsidP="00AF59D1">
            <w:pPr>
              <w:snapToGrid w:val="0"/>
              <w:spacing w:line="240" w:lineRule="auto"/>
              <w:ind w:right="0"/>
              <w:rPr>
                <w:sz w:val="20"/>
                <w:szCs w:val="20"/>
              </w:rPr>
            </w:pPr>
          </w:p>
        </w:tc>
        <w:tc>
          <w:tcPr>
            <w:tcW w:w="562" w:type="dxa"/>
            <w:vAlign w:val="center"/>
          </w:tcPr>
          <w:p w14:paraId="5765110E" w14:textId="77777777" w:rsidR="00E14268" w:rsidRPr="00AF59D1" w:rsidRDefault="00E14268" w:rsidP="00AF59D1">
            <w:pPr>
              <w:snapToGrid w:val="0"/>
              <w:spacing w:line="240" w:lineRule="auto"/>
              <w:ind w:right="0"/>
              <w:jc w:val="center"/>
              <w:rPr>
                <w:sz w:val="20"/>
                <w:szCs w:val="20"/>
              </w:rPr>
            </w:pPr>
          </w:p>
        </w:tc>
        <w:tc>
          <w:tcPr>
            <w:tcW w:w="744" w:type="dxa"/>
            <w:vAlign w:val="center"/>
          </w:tcPr>
          <w:p w14:paraId="5B4C19DB" w14:textId="475ED522" w:rsidR="00E14268" w:rsidRPr="00AF59D1" w:rsidRDefault="00E14268" w:rsidP="00AF59D1">
            <w:pPr>
              <w:snapToGrid w:val="0"/>
              <w:spacing w:line="240" w:lineRule="auto"/>
              <w:ind w:right="0"/>
              <w:jc w:val="center"/>
              <w:rPr>
                <w:b/>
                <w:bCs/>
                <w:sz w:val="20"/>
                <w:szCs w:val="20"/>
              </w:rPr>
            </w:pPr>
            <w:r w:rsidRPr="00AF59D1">
              <w:rPr>
                <w:sz w:val="20"/>
                <w:szCs w:val="20"/>
              </w:rPr>
              <w:t>0.019</w:t>
            </w:r>
          </w:p>
        </w:tc>
        <w:tc>
          <w:tcPr>
            <w:tcW w:w="721" w:type="dxa"/>
            <w:vAlign w:val="center"/>
          </w:tcPr>
          <w:p w14:paraId="1188C340" w14:textId="5374067E" w:rsidR="00E14268" w:rsidRPr="00AF59D1" w:rsidRDefault="00E14268" w:rsidP="00AF59D1">
            <w:pPr>
              <w:snapToGrid w:val="0"/>
              <w:spacing w:line="240" w:lineRule="auto"/>
              <w:ind w:right="0"/>
              <w:jc w:val="center"/>
              <w:rPr>
                <w:b/>
                <w:bCs/>
                <w:sz w:val="20"/>
                <w:szCs w:val="20"/>
              </w:rPr>
            </w:pPr>
            <w:r w:rsidRPr="00AF59D1">
              <w:rPr>
                <w:sz w:val="20"/>
                <w:szCs w:val="20"/>
              </w:rPr>
              <w:t>&lt;.001</w:t>
            </w:r>
          </w:p>
        </w:tc>
        <w:tc>
          <w:tcPr>
            <w:tcW w:w="750" w:type="dxa"/>
            <w:vAlign w:val="center"/>
          </w:tcPr>
          <w:p w14:paraId="46B715D0" w14:textId="142C9A1A" w:rsidR="00E14268" w:rsidRPr="00AF59D1" w:rsidRDefault="00E14268" w:rsidP="00AF59D1">
            <w:pPr>
              <w:snapToGrid w:val="0"/>
              <w:spacing w:line="240" w:lineRule="auto"/>
              <w:ind w:right="0"/>
              <w:jc w:val="center"/>
              <w:rPr>
                <w:b/>
                <w:bCs/>
                <w:sz w:val="20"/>
                <w:szCs w:val="20"/>
              </w:rPr>
            </w:pPr>
            <w:r w:rsidRPr="00AF59D1">
              <w:rPr>
                <w:sz w:val="20"/>
                <w:szCs w:val="20"/>
              </w:rPr>
              <w:t>0.892</w:t>
            </w:r>
          </w:p>
        </w:tc>
        <w:tc>
          <w:tcPr>
            <w:tcW w:w="961" w:type="dxa"/>
            <w:vAlign w:val="center"/>
          </w:tcPr>
          <w:p w14:paraId="78CCA2CD" w14:textId="0E209A6F" w:rsidR="00E14268" w:rsidRPr="00AF59D1" w:rsidRDefault="00E14268" w:rsidP="00AF59D1">
            <w:pPr>
              <w:snapToGrid w:val="0"/>
              <w:spacing w:line="240" w:lineRule="auto"/>
              <w:ind w:right="0"/>
              <w:jc w:val="center"/>
              <w:rPr>
                <w:b/>
                <w:bCs/>
                <w:sz w:val="20"/>
                <w:szCs w:val="20"/>
              </w:rPr>
            </w:pPr>
            <w:r w:rsidRPr="00AF59D1">
              <w:rPr>
                <w:sz w:val="20"/>
                <w:szCs w:val="20"/>
              </w:rPr>
              <w:t>0.617</w:t>
            </w:r>
          </w:p>
        </w:tc>
        <w:tc>
          <w:tcPr>
            <w:tcW w:w="648" w:type="dxa"/>
            <w:vAlign w:val="center"/>
          </w:tcPr>
          <w:p w14:paraId="5D8E954C" w14:textId="557AEC1E" w:rsidR="00E14268" w:rsidRPr="00AF59D1" w:rsidRDefault="00E14268" w:rsidP="00AF59D1">
            <w:pPr>
              <w:snapToGrid w:val="0"/>
              <w:spacing w:line="240" w:lineRule="auto"/>
              <w:ind w:right="0"/>
              <w:jc w:val="center"/>
              <w:rPr>
                <w:b/>
                <w:bCs/>
                <w:sz w:val="20"/>
                <w:szCs w:val="20"/>
              </w:rPr>
            </w:pPr>
            <w:r w:rsidRPr="00AF59D1">
              <w:rPr>
                <w:sz w:val="20"/>
                <w:szCs w:val="20"/>
              </w:rPr>
              <w:t>&lt;.001</w:t>
            </w:r>
          </w:p>
        </w:tc>
        <w:tc>
          <w:tcPr>
            <w:tcW w:w="992" w:type="dxa"/>
            <w:vAlign w:val="center"/>
          </w:tcPr>
          <w:p w14:paraId="42026425" w14:textId="28C212B4" w:rsidR="00E14268" w:rsidRPr="00AF59D1" w:rsidRDefault="00507409" w:rsidP="00AF59D1">
            <w:pPr>
              <w:snapToGrid w:val="0"/>
              <w:spacing w:line="240" w:lineRule="auto"/>
              <w:ind w:right="0"/>
              <w:jc w:val="center"/>
              <w:rPr>
                <w:b/>
                <w:bCs/>
                <w:sz w:val="20"/>
                <w:szCs w:val="20"/>
              </w:rPr>
            </w:pPr>
            <w:r w:rsidRPr="00AF59D1">
              <w:rPr>
                <w:sz w:val="20"/>
                <w:szCs w:val="20"/>
              </w:rPr>
              <w:t>&lt;.001</w:t>
            </w:r>
          </w:p>
        </w:tc>
        <w:tc>
          <w:tcPr>
            <w:tcW w:w="721" w:type="dxa"/>
            <w:vAlign w:val="center"/>
          </w:tcPr>
          <w:p w14:paraId="70C8A99E" w14:textId="38545D75" w:rsidR="00E14268" w:rsidRPr="00AF59D1" w:rsidRDefault="00E14268" w:rsidP="00AF59D1">
            <w:pPr>
              <w:snapToGrid w:val="0"/>
              <w:spacing w:line="240" w:lineRule="auto"/>
              <w:ind w:right="0"/>
              <w:jc w:val="center"/>
              <w:rPr>
                <w:b/>
                <w:bCs/>
                <w:sz w:val="20"/>
                <w:szCs w:val="20"/>
              </w:rPr>
            </w:pPr>
            <w:r w:rsidRPr="00AF59D1">
              <w:rPr>
                <w:sz w:val="20"/>
                <w:szCs w:val="20"/>
              </w:rPr>
              <w:t>&lt;.001</w:t>
            </w:r>
          </w:p>
        </w:tc>
        <w:tc>
          <w:tcPr>
            <w:tcW w:w="721" w:type="dxa"/>
            <w:vAlign w:val="center"/>
          </w:tcPr>
          <w:p w14:paraId="5D200BDB" w14:textId="179211B8" w:rsidR="00E14268" w:rsidRPr="00AF59D1" w:rsidRDefault="00E14268" w:rsidP="00AF59D1">
            <w:pPr>
              <w:snapToGrid w:val="0"/>
              <w:spacing w:line="240" w:lineRule="auto"/>
              <w:ind w:right="0"/>
              <w:jc w:val="center"/>
              <w:rPr>
                <w:b/>
                <w:bCs/>
                <w:sz w:val="20"/>
                <w:szCs w:val="20"/>
              </w:rPr>
            </w:pPr>
            <w:r w:rsidRPr="00AF59D1">
              <w:rPr>
                <w:sz w:val="20"/>
                <w:szCs w:val="20"/>
              </w:rPr>
              <w:t>&lt;.001</w:t>
            </w:r>
          </w:p>
        </w:tc>
        <w:tc>
          <w:tcPr>
            <w:tcW w:w="644" w:type="dxa"/>
            <w:vAlign w:val="center"/>
          </w:tcPr>
          <w:p w14:paraId="7C6D0C47" w14:textId="01568E1D" w:rsidR="00E14268" w:rsidRPr="00AF59D1" w:rsidRDefault="00E14268" w:rsidP="00AF59D1">
            <w:pPr>
              <w:snapToGrid w:val="0"/>
              <w:spacing w:line="240" w:lineRule="auto"/>
              <w:ind w:right="0"/>
              <w:jc w:val="center"/>
              <w:rPr>
                <w:sz w:val="20"/>
                <w:szCs w:val="20"/>
              </w:rPr>
            </w:pPr>
            <w:r w:rsidRPr="00AF59D1">
              <w:rPr>
                <w:sz w:val="20"/>
                <w:szCs w:val="20"/>
              </w:rPr>
              <w:t>0.003</w:t>
            </w:r>
          </w:p>
        </w:tc>
      </w:tr>
      <w:tr w:rsidR="00E14268" w:rsidRPr="00AF59D1" w14:paraId="21509047" w14:textId="2E3C2369" w:rsidTr="00AF59D1">
        <w:trPr>
          <w:cantSplit/>
          <w:tblHeader/>
        </w:trPr>
        <w:tc>
          <w:tcPr>
            <w:tcW w:w="859" w:type="dxa"/>
            <w:vAlign w:val="center"/>
          </w:tcPr>
          <w:p w14:paraId="3FE67F80" w14:textId="3A99FB1F" w:rsidR="00E14268" w:rsidRPr="00AF59D1" w:rsidRDefault="00E14268" w:rsidP="00AF59D1">
            <w:pPr>
              <w:snapToGrid w:val="0"/>
              <w:spacing w:line="240" w:lineRule="auto"/>
              <w:ind w:right="0"/>
              <w:rPr>
                <w:b/>
                <w:bCs/>
                <w:sz w:val="20"/>
                <w:szCs w:val="20"/>
              </w:rPr>
            </w:pPr>
            <w:r w:rsidRPr="00AF59D1">
              <w:rPr>
                <w:sz w:val="20"/>
                <w:szCs w:val="20"/>
              </w:rPr>
              <w:t>BM</w:t>
            </w:r>
          </w:p>
        </w:tc>
        <w:tc>
          <w:tcPr>
            <w:tcW w:w="562" w:type="dxa"/>
            <w:vAlign w:val="center"/>
          </w:tcPr>
          <w:p w14:paraId="08B62041" w14:textId="77777777" w:rsidR="00E14268" w:rsidRPr="00AF59D1" w:rsidRDefault="00E14268" w:rsidP="00AF59D1">
            <w:pPr>
              <w:snapToGrid w:val="0"/>
              <w:spacing w:line="240" w:lineRule="auto"/>
              <w:ind w:right="0"/>
              <w:jc w:val="center"/>
              <w:rPr>
                <w:sz w:val="20"/>
                <w:szCs w:val="20"/>
              </w:rPr>
            </w:pPr>
          </w:p>
        </w:tc>
        <w:tc>
          <w:tcPr>
            <w:tcW w:w="744" w:type="dxa"/>
            <w:vAlign w:val="center"/>
          </w:tcPr>
          <w:p w14:paraId="4E000D6B" w14:textId="4043B944" w:rsidR="00E14268" w:rsidRPr="00AF59D1" w:rsidRDefault="00E14268" w:rsidP="00AF59D1">
            <w:pPr>
              <w:snapToGrid w:val="0"/>
              <w:spacing w:line="240" w:lineRule="auto"/>
              <w:ind w:right="0"/>
              <w:jc w:val="center"/>
              <w:rPr>
                <w:sz w:val="20"/>
                <w:szCs w:val="20"/>
              </w:rPr>
            </w:pPr>
            <w:r w:rsidRPr="00AF59D1">
              <w:rPr>
                <w:sz w:val="20"/>
                <w:szCs w:val="20"/>
              </w:rPr>
              <w:t>1</w:t>
            </w:r>
          </w:p>
        </w:tc>
        <w:tc>
          <w:tcPr>
            <w:tcW w:w="721" w:type="dxa"/>
            <w:vAlign w:val="center"/>
          </w:tcPr>
          <w:p w14:paraId="730F975D" w14:textId="012739DA" w:rsidR="00E14268" w:rsidRPr="00AF59D1" w:rsidRDefault="00E14268" w:rsidP="00AF59D1">
            <w:pPr>
              <w:snapToGrid w:val="0"/>
              <w:spacing w:line="240" w:lineRule="auto"/>
              <w:ind w:right="0"/>
              <w:jc w:val="center"/>
              <w:rPr>
                <w:b/>
                <w:bCs/>
                <w:sz w:val="20"/>
                <w:szCs w:val="20"/>
              </w:rPr>
            </w:pPr>
            <w:r w:rsidRPr="00AF59D1">
              <w:rPr>
                <w:sz w:val="20"/>
                <w:szCs w:val="20"/>
              </w:rPr>
              <w:t>0.302</w:t>
            </w:r>
          </w:p>
        </w:tc>
        <w:tc>
          <w:tcPr>
            <w:tcW w:w="750" w:type="dxa"/>
            <w:vAlign w:val="center"/>
          </w:tcPr>
          <w:p w14:paraId="382EAE4A" w14:textId="58E312FF" w:rsidR="00E14268" w:rsidRPr="00AF59D1" w:rsidRDefault="00E14268" w:rsidP="00AF59D1">
            <w:pPr>
              <w:snapToGrid w:val="0"/>
              <w:spacing w:line="240" w:lineRule="auto"/>
              <w:ind w:right="0"/>
              <w:jc w:val="center"/>
              <w:rPr>
                <w:b/>
                <w:bCs/>
                <w:sz w:val="20"/>
                <w:szCs w:val="20"/>
              </w:rPr>
            </w:pPr>
            <w:r w:rsidRPr="00AF59D1">
              <w:rPr>
                <w:sz w:val="20"/>
                <w:szCs w:val="20"/>
              </w:rPr>
              <w:t>-0.036</w:t>
            </w:r>
          </w:p>
        </w:tc>
        <w:tc>
          <w:tcPr>
            <w:tcW w:w="961" w:type="dxa"/>
            <w:vAlign w:val="center"/>
          </w:tcPr>
          <w:p w14:paraId="71E12F1C" w14:textId="1A5CA053" w:rsidR="00E14268" w:rsidRPr="00AF59D1" w:rsidRDefault="00E14268" w:rsidP="00AF59D1">
            <w:pPr>
              <w:snapToGrid w:val="0"/>
              <w:spacing w:line="240" w:lineRule="auto"/>
              <w:ind w:right="0"/>
              <w:jc w:val="center"/>
              <w:rPr>
                <w:b/>
                <w:bCs/>
                <w:sz w:val="20"/>
                <w:szCs w:val="20"/>
              </w:rPr>
            </w:pPr>
            <w:r w:rsidRPr="00AF59D1">
              <w:rPr>
                <w:sz w:val="20"/>
                <w:szCs w:val="20"/>
              </w:rPr>
              <w:t>0.008</w:t>
            </w:r>
          </w:p>
        </w:tc>
        <w:tc>
          <w:tcPr>
            <w:tcW w:w="648" w:type="dxa"/>
            <w:vAlign w:val="center"/>
          </w:tcPr>
          <w:p w14:paraId="66D94A64" w14:textId="6E7F4D5E" w:rsidR="00E14268" w:rsidRPr="00AF59D1" w:rsidRDefault="00E14268" w:rsidP="00AF59D1">
            <w:pPr>
              <w:snapToGrid w:val="0"/>
              <w:spacing w:line="240" w:lineRule="auto"/>
              <w:ind w:right="0"/>
              <w:jc w:val="center"/>
              <w:rPr>
                <w:b/>
                <w:bCs/>
                <w:sz w:val="20"/>
                <w:szCs w:val="20"/>
              </w:rPr>
            </w:pPr>
            <w:r w:rsidRPr="00AF59D1">
              <w:rPr>
                <w:sz w:val="20"/>
                <w:szCs w:val="20"/>
              </w:rPr>
              <w:t>-0.049</w:t>
            </w:r>
          </w:p>
        </w:tc>
        <w:tc>
          <w:tcPr>
            <w:tcW w:w="992" w:type="dxa"/>
            <w:vAlign w:val="center"/>
          </w:tcPr>
          <w:p w14:paraId="3907DD08" w14:textId="24C7F85A" w:rsidR="00E14268" w:rsidRPr="00AF59D1" w:rsidRDefault="00E14268" w:rsidP="00AF59D1">
            <w:pPr>
              <w:snapToGrid w:val="0"/>
              <w:spacing w:line="240" w:lineRule="auto"/>
              <w:ind w:right="0"/>
              <w:jc w:val="center"/>
              <w:rPr>
                <w:b/>
                <w:bCs/>
                <w:sz w:val="20"/>
                <w:szCs w:val="20"/>
              </w:rPr>
            </w:pPr>
            <w:r w:rsidRPr="00AF59D1">
              <w:rPr>
                <w:sz w:val="20"/>
                <w:szCs w:val="20"/>
              </w:rPr>
              <w:t>-0.306</w:t>
            </w:r>
          </w:p>
        </w:tc>
        <w:tc>
          <w:tcPr>
            <w:tcW w:w="721" w:type="dxa"/>
            <w:vAlign w:val="center"/>
          </w:tcPr>
          <w:p w14:paraId="7DB75BA9" w14:textId="268F4912" w:rsidR="00E14268" w:rsidRPr="00AF59D1" w:rsidRDefault="00E14268" w:rsidP="00AF59D1">
            <w:pPr>
              <w:snapToGrid w:val="0"/>
              <w:spacing w:line="240" w:lineRule="auto"/>
              <w:ind w:right="0"/>
              <w:jc w:val="center"/>
              <w:rPr>
                <w:b/>
                <w:bCs/>
                <w:sz w:val="20"/>
                <w:szCs w:val="20"/>
              </w:rPr>
            </w:pPr>
            <w:r w:rsidRPr="00AF59D1">
              <w:rPr>
                <w:sz w:val="20"/>
                <w:szCs w:val="20"/>
              </w:rPr>
              <w:t>-0.014</w:t>
            </w:r>
          </w:p>
        </w:tc>
        <w:tc>
          <w:tcPr>
            <w:tcW w:w="721" w:type="dxa"/>
            <w:vAlign w:val="center"/>
          </w:tcPr>
          <w:p w14:paraId="7E4467D7" w14:textId="61F3101A" w:rsidR="00E14268" w:rsidRPr="00AF59D1" w:rsidRDefault="00E14268" w:rsidP="00AF59D1">
            <w:pPr>
              <w:snapToGrid w:val="0"/>
              <w:spacing w:line="240" w:lineRule="auto"/>
              <w:ind w:right="0"/>
              <w:jc w:val="center"/>
              <w:rPr>
                <w:b/>
                <w:bCs/>
                <w:sz w:val="20"/>
                <w:szCs w:val="20"/>
              </w:rPr>
            </w:pPr>
            <w:r w:rsidRPr="00AF59D1">
              <w:rPr>
                <w:sz w:val="20"/>
                <w:szCs w:val="20"/>
              </w:rPr>
              <w:t>-0.029</w:t>
            </w:r>
          </w:p>
        </w:tc>
        <w:tc>
          <w:tcPr>
            <w:tcW w:w="644" w:type="dxa"/>
            <w:vAlign w:val="center"/>
          </w:tcPr>
          <w:p w14:paraId="5427353B" w14:textId="7096ACDD" w:rsidR="00E14268" w:rsidRPr="00AF59D1" w:rsidRDefault="00E14268" w:rsidP="00AF59D1">
            <w:pPr>
              <w:snapToGrid w:val="0"/>
              <w:spacing w:line="240" w:lineRule="auto"/>
              <w:ind w:right="0"/>
              <w:jc w:val="center"/>
              <w:rPr>
                <w:sz w:val="20"/>
                <w:szCs w:val="20"/>
              </w:rPr>
            </w:pPr>
            <w:r w:rsidRPr="00AF59D1">
              <w:rPr>
                <w:sz w:val="20"/>
                <w:szCs w:val="20"/>
              </w:rPr>
              <w:t>0.052</w:t>
            </w:r>
          </w:p>
        </w:tc>
      </w:tr>
      <w:tr w:rsidR="00E14268" w:rsidRPr="00AF59D1" w14:paraId="127ED224" w14:textId="5D4B4C3E" w:rsidTr="00AF59D1">
        <w:trPr>
          <w:cantSplit/>
          <w:tblHeader/>
        </w:trPr>
        <w:tc>
          <w:tcPr>
            <w:tcW w:w="859" w:type="dxa"/>
            <w:vAlign w:val="center"/>
          </w:tcPr>
          <w:p w14:paraId="2ABBC04C" w14:textId="77777777" w:rsidR="00E14268" w:rsidRPr="00AF59D1" w:rsidRDefault="00E14268" w:rsidP="00AF59D1">
            <w:pPr>
              <w:snapToGrid w:val="0"/>
              <w:spacing w:line="240" w:lineRule="auto"/>
              <w:ind w:right="0"/>
              <w:rPr>
                <w:sz w:val="20"/>
                <w:szCs w:val="20"/>
              </w:rPr>
            </w:pPr>
          </w:p>
        </w:tc>
        <w:tc>
          <w:tcPr>
            <w:tcW w:w="562" w:type="dxa"/>
            <w:vAlign w:val="center"/>
          </w:tcPr>
          <w:p w14:paraId="7FCCE88A" w14:textId="77777777" w:rsidR="00E14268" w:rsidRPr="00AF59D1" w:rsidRDefault="00E14268" w:rsidP="00AF59D1">
            <w:pPr>
              <w:snapToGrid w:val="0"/>
              <w:spacing w:line="240" w:lineRule="auto"/>
              <w:ind w:right="0"/>
              <w:jc w:val="center"/>
              <w:rPr>
                <w:sz w:val="20"/>
                <w:szCs w:val="20"/>
              </w:rPr>
            </w:pPr>
          </w:p>
        </w:tc>
        <w:tc>
          <w:tcPr>
            <w:tcW w:w="744" w:type="dxa"/>
            <w:vAlign w:val="center"/>
          </w:tcPr>
          <w:p w14:paraId="7301FA87" w14:textId="77777777" w:rsidR="00E14268" w:rsidRPr="00AF59D1" w:rsidRDefault="00E14268" w:rsidP="00AF59D1">
            <w:pPr>
              <w:snapToGrid w:val="0"/>
              <w:spacing w:line="240" w:lineRule="auto"/>
              <w:ind w:right="0"/>
              <w:jc w:val="center"/>
              <w:rPr>
                <w:sz w:val="20"/>
                <w:szCs w:val="20"/>
              </w:rPr>
            </w:pPr>
          </w:p>
        </w:tc>
        <w:tc>
          <w:tcPr>
            <w:tcW w:w="721" w:type="dxa"/>
            <w:vAlign w:val="center"/>
          </w:tcPr>
          <w:p w14:paraId="2DF50BC0" w14:textId="2529F3CE" w:rsidR="00E14268" w:rsidRPr="00AF59D1" w:rsidRDefault="00E14268" w:rsidP="00AF59D1">
            <w:pPr>
              <w:snapToGrid w:val="0"/>
              <w:spacing w:line="240" w:lineRule="auto"/>
              <w:ind w:right="0"/>
              <w:jc w:val="center"/>
              <w:rPr>
                <w:b/>
                <w:bCs/>
                <w:sz w:val="20"/>
                <w:szCs w:val="20"/>
              </w:rPr>
            </w:pPr>
            <w:r w:rsidRPr="00AF59D1">
              <w:rPr>
                <w:sz w:val="20"/>
                <w:szCs w:val="20"/>
              </w:rPr>
              <w:t>&lt;.001</w:t>
            </w:r>
          </w:p>
        </w:tc>
        <w:tc>
          <w:tcPr>
            <w:tcW w:w="750" w:type="dxa"/>
            <w:vAlign w:val="center"/>
          </w:tcPr>
          <w:p w14:paraId="2CD07E39" w14:textId="3B33C6E5" w:rsidR="00E14268" w:rsidRPr="00AF59D1" w:rsidRDefault="00E14268" w:rsidP="00AF59D1">
            <w:pPr>
              <w:snapToGrid w:val="0"/>
              <w:spacing w:line="240" w:lineRule="auto"/>
              <w:ind w:right="0"/>
              <w:jc w:val="center"/>
              <w:rPr>
                <w:b/>
                <w:bCs/>
                <w:sz w:val="20"/>
                <w:szCs w:val="20"/>
              </w:rPr>
            </w:pPr>
            <w:r w:rsidRPr="00AF59D1">
              <w:rPr>
                <w:sz w:val="20"/>
                <w:szCs w:val="20"/>
              </w:rPr>
              <w:t>0.366</w:t>
            </w:r>
          </w:p>
        </w:tc>
        <w:tc>
          <w:tcPr>
            <w:tcW w:w="961" w:type="dxa"/>
            <w:vAlign w:val="center"/>
          </w:tcPr>
          <w:p w14:paraId="55871065" w14:textId="4C62070C" w:rsidR="00E14268" w:rsidRPr="00AF59D1" w:rsidRDefault="00E14268" w:rsidP="00AF59D1">
            <w:pPr>
              <w:snapToGrid w:val="0"/>
              <w:spacing w:line="240" w:lineRule="auto"/>
              <w:ind w:right="0"/>
              <w:jc w:val="center"/>
              <w:rPr>
                <w:b/>
                <w:bCs/>
                <w:sz w:val="20"/>
                <w:szCs w:val="20"/>
              </w:rPr>
            </w:pPr>
            <w:r w:rsidRPr="00AF59D1">
              <w:rPr>
                <w:sz w:val="20"/>
                <w:szCs w:val="20"/>
              </w:rPr>
              <w:t>0.848</w:t>
            </w:r>
          </w:p>
        </w:tc>
        <w:tc>
          <w:tcPr>
            <w:tcW w:w="648" w:type="dxa"/>
            <w:vAlign w:val="center"/>
          </w:tcPr>
          <w:p w14:paraId="398CDBAB" w14:textId="67B5389D" w:rsidR="00E14268" w:rsidRPr="00AF59D1" w:rsidRDefault="00E14268" w:rsidP="00AF59D1">
            <w:pPr>
              <w:snapToGrid w:val="0"/>
              <w:spacing w:line="240" w:lineRule="auto"/>
              <w:ind w:right="0"/>
              <w:jc w:val="center"/>
              <w:rPr>
                <w:b/>
                <w:bCs/>
                <w:sz w:val="20"/>
                <w:szCs w:val="20"/>
              </w:rPr>
            </w:pPr>
            <w:r w:rsidRPr="00AF59D1">
              <w:rPr>
                <w:sz w:val="20"/>
                <w:szCs w:val="20"/>
              </w:rPr>
              <w:t>0.214</w:t>
            </w:r>
          </w:p>
        </w:tc>
        <w:tc>
          <w:tcPr>
            <w:tcW w:w="992" w:type="dxa"/>
            <w:vAlign w:val="center"/>
          </w:tcPr>
          <w:p w14:paraId="6BD3F4F4" w14:textId="59BE8CDE" w:rsidR="00E14268" w:rsidRPr="00AF59D1" w:rsidRDefault="00E14268" w:rsidP="00AF59D1">
            <w:pPr>
              <w:snapToGrid w:val="0"/>
              <w:spacing w:line="240" w:lineRule="auto"/>
              <w:ind w:right="0"/>
              <w:jc w:val="center"/>
              <w:rPr>
                <w:b/>
                <w:bCs/>
                <w:sz w:val="20"/>
                <w:szCs w:val="20"/>
              </w:rPr>
            </w:pPr>
            <w:r w:rsidRPr="00AF59D1">
              <w:rPr>
                <w:sz w:val="20"/>
                <w:szCs w:val="20"/>
              </w:rPr>
              <w:t>&lt;.001</w:t>
            </w:r>
          </w:p>
        </w:tc>
        <w:tc>
          <w:tcPr>
            <w:tcW w:w="721" w:type="dxa"/>
            <w:vAlign w:val="center"/>
          </w:tcPr>
          <w:p w14:paraId="3D691992" w14:textId="61B2C817" w:rsidR="00E14268" w:rsidRPr="00AF59D1" w:rsidRDefault="00E14268" w:rsidP="00AF59D1">
            <w:pPr>
              <w:snapToGrid w:val="0"/>
              <w:spacing w:line="240" w:lineRule="auto"/>
              <w:ind w:right="0"/>
              <w:jc w:val="center"/>
              <w:rPr>
                <w:b/>
                <w:bCs/>
                <w:sz w:val="20"/>
                <w:szCs w:val="20"/>
              </w:rPr>
            </w:pPr>
            <w:r w:rsidRPr="00AF59D1">
              <w:rPr>
                <w:sz w:val="20"/>
                <w:szCs w:val="20"/>
              </w:rPr>
              <w:t>0.720</w:t>
            </w:r>
          </w:p>
        </w:tc>
        <w:tc>
          <w:tcPr>
            <w:tcW w:w="721" w:type="dxa"/>
            <w:vAlign w:val="center"/>
          </w:tcPr>
          <w:p w14:paraId="0406C34B" w14:textId="22B30DAC" w:rsidR="00E14268" w:rsidRPr="00AF59D1" w:rsidRDefault="00E14268" w:rsidP="00AF59D1">
            <w:pPr>
              <w:snapToGrid w:val="0"/>
              <w:spacing w:line="240" w:lineRule="auto"/>
              <w:ind w:right="0"/>
              <w:jc w:val="center"/>
              <w:rPr>
                <w:b/>
                <w:bCs/>
                <w:sz w:val="20"/>
                <w:szCs w:val="20"/>
              </w:rPr>
            </w:pPr>
            <w:r w:rsidRPr="00AF59D1">
              <w:rPr>
                <w:sz w:val="20"/>
                <w:szCs w:val="20"/>
              </w:rPr>
              <w:t>0.460</w:t>
            </w:r>
          </w:p>
        </w:tc>
        <w:tc>
          <w:tcPr>
            <w:tcW w:w="644" w:type="dxa"/>
            <w:vAlign w:val="center"/>
          </w:tcPr>
          <w:p w14:paraId="2CB8DC76" w14:textId="5F729006" w:rsidR="00E14268" w:rsidRPr="00AF59D1" w:rsidRDefault="00E14268" w:rsidP="00AF59D1">
            <w:pPr>
              <w:snapToGrid w:val="0"/>
              <w:spacing w:line="240" w:lineRule="auto"/>
              <w:ind w:right="0"/>
              <w:jc w:val="center"/>
              <w:rPr>
                <w:sz w:val="20"/>
                <w:szCs w:val="20"/>
              </w:rPr>
            </w:pPr>
            <w:r w:rsidRPr="00AF59D1">
              <w:rPr>
                <w:sz w:val="20"/>
                <w:szCs w:val="20"/>
              </w:rPr>
              <w:t>0.185</w:t>
            </w:r>
          </w:p>
        </w:tc>
      </w:tr>
      <w:tr w:rsidR="00E14268" w:rsidRPr="00AF59D1" w14:paraId="2F3BBB6E" w14:textId="49822174" w:rsidTr="00AF59D1">
        <w:trPr>
          <w:cantSplit/>
          <w:tblHeader/>
        </w:trPr>
        <w:tc>
          <w:tcPr>
            <w:tcW w:w="859" w:type="dxa"/>
            <w:vAlign w:val="center"/>
          </w:tcPr>
          <w:p w14:paraId="265063E8" w14:textId="4A2047DD" w:rsidR="00E14268" w:rsidRPr="00AF59D1" w:rsidRDefault="00E14268" w:rsidP="00AF59D1">
            <w:pPr>
              <w:snapToGrid w:val="0"/>
              <w:spacing w:line="240" w:lineRule="auto"/>
              <w:ind w:right="0"/>
              <w:rPr>
                <w:b/>
                <w:bCs/>
                <w:sz w:val="20"/>
                <w:szCs w:val="20"/>
              </w:rPr>
            </w:pPr>
            <w:r w:rsidRPr="00AF59D1">
              <w:rPr>
                <w:sz w:val="20"/>
                <w:szCs w:val="20"/>
              </w:rPr>
              <w:t>ROA</w:t>
            </w:r>
          </w:p>
        </w:tc>
        <w:tc>
          <w:tcPr>
            <w:tcW w:w="562" w:type="dxa"/>
            <w:vAlign w:val="center"/>
          </w:tcPr>
          <w:p w14:paraId="751570ED" w14:textId="77777777" w:rsidR="00E14268" w:rsidRPr="00AF59D1" w:rsidRDefault="00E14268" w:rsidP="00AF59D1">
            <w:pPr>
              <w:snapToGrid w:val="0"/>
              <w:spacing w:line="240" w:lineRule="auto"/>
              <w:ind w:right="0"/>
              <w:jc w:val="center"/>
              <w:rPr>
                <w:sz w:val="20"/>
                <w:szCs w:val="20"/>
              </w:rPr>
            </w:pPr>
          </w:p>
        </w:tc>
        <w:tc>
          <w:tcPr>
            <w:tcW w:w="744" w:type="dxa"/>
            <w:vAlign w:val="center"/>
          </w:tcPr>
          <w:p w14:paraId="529A3666" w14:textId="77777777" w:rsidR="00E14268" w:rsidRPr="00AF59D1" w:rsidRDefault="00E14268" w:rsidP="00AF59D1">
            <w:pPr>
              <w:snapToGrid w:val="0"/>
              <w:spacing w:line="240" w:lineRule="auto"/>
              <w:ind w:right="0"/>
              <w:jc w:val="center"/>
              <w:rPr>
                <w:sz w:val="20"/>
                <w:szCs w:val="20"/>
              </w:rPr>
            </w:pPr>
          </w:p>
        </w:tc>
        <w:tc>
          <w:tcPr>
            <w:tcW w:w="721" w:type="dxa"/>
            <w:vAlign w:val="center"/>
          </w:tcPr>
          <w:p w14:paraId="0125BC1A" w14:textId="5371D4F5" w:rsidR="00E14268" w:rsidRPr="00AF59D1" w:rsidRDefault="00E14268" w:rsidP="00AF59D1">
            <w:pPr>
              <w:snapToGrid w:val="0"/>
              <w:spacing w:line="240" w:lineRule="auto"/>
              <w:ind w:right="0"/>
              <w:jc w:val="center"/>
              <w:rPr>
                <w:sz w:val="20"/>
                <w:szCs w:val="20"/>
              </w:rPr>
            </w:pPr>
            <w:r w:rsidRPr="00AF59D1">
              <w:rPr>
                <w:sz w:val="20"/>
                <w:szCs w:val="20"/>
              </w:rPr>
              <w:t>1</w:t>
            </w:r>
          </w:p>
        </w:tc>
        <w:tc>
          <w:tcPr>
            <w:tcW w:w="750" w:type="dxa"/>
            <w:vAlign w:val="center"/>
          </w:tcPr>
          <w:p w14:paraId="1FADEB24" w14:textId="51039584" w:rsidR="00E14268" w:rsidRPr="00AF59D1" w:rsidRDefault="00E14268" w:rsidP="00AF59D1">
            <w:pPr>
              <w:snapToGrid w:val="0"/>
              <w:spacing w:line="240" w:lineRule="auto"/>
              <w:ind w:right="0"/>
              <w:jc w:val="center"/>
              <w:rPr>
                <w:b/>
                <w:bCs/>
                <w:sz w:val="20"/>
                <w:szCs w:val="20"/>
              </w:rPr>
            </w:pPr>
            <w:r w:rsidRPr="00AF59D1">
              <w:rPr>
                <w:sz w:val="20"/>
                <w:szCs w:val="20"/>
              </w:rPr>
              <w:t>-0.027</w:t>
            </w:r>
          </w:p>
        </w:tc>
        <w:tc>
          <w:tcPr>
            <w:tcW w:w="961" w:type="dxa"/>
            <w:vAlign w:val="center"/>
          </w:tcPr>
          <w:p w14:paraId="6E2298AC" w14:textId="118BD2FB" w:rsidR="00E14268" w:rsidRPr="00AF59D1" w:rsidRDefault="00E14268" w:rsidP="00AF59D1">
            <w:pPr>
              <w:snapToGrid w:val="0"/>
              <w:spacing w:line="240" w:lineRule="auto"/>
              <w:ind w:right="0"/>
              <w:jc w:val="center"/>
              <w:rPr>
                <w:b/>
                <w:bCs/>
                <w:sz w:val="20"/>
                <w:szCs w:val="20"/>
              </w:rPr>
            </w:pPr>
            <w:r w:rsidRPr="00AF59D1">
              <w:rPr>
                <w:sz w:val="20"/>
                <w:szCs w:val="20"/>
              </w:rPr>
              <w:t>0.022</w:t>
            </w:r>
          </w:p>
        </w:tc>
        <w:tc>
          <w:tcPr>
            <w:tcW w:w="648" w:type="dxa"/>
            <w:vAlign w:val="center"/>
          </w:tcPr>
          <w:p w14:paraId="4047E699" w14:textId="3C299B7C" w:rsidR="00E14268" w:rsidRPr="00AF59D1" w:rsidRDefault="00E14268" w:rsidP="00AF59D1">
            <w:pPr>
              <w:snapToGrid w:val="0"/>
              <w:spacing w:line="240" w:lineRule="auto"/>
              <w:ind w:right="0"/>
              <w:jc w:val="center"/>
              <w:rPr>
                <w:b/>
                <w:bCs/>
                <w:sz w:val="20"/>
                <w:szCs w:val="20"/>
              </w:rPr>
            </w:pPr>
            <w:r w:rsidRPr="00AF59D1">
              <w:rPr>
                <w:sz w:val="20"/>
                <w:szCs w:val="20"/>
              </w:rPr>
              <w:t>-0.205</w:t>
            </w:r>
          </w:p>
        </w:tc>
        <w:tc>
          <w:tcPr>
            <w:tcW w:w="992" w:type="dxa"/>
            <w:vAlign w:val="center"/>
          </w:tcPr>
          <w:p w14:paraId="2166513A" w14:textId="233EB5A5" w:rsidR="00E14268" w:rsidRPr="00AF59D1" w:rsidRDefault="00E14268" w:rsidP="00AF59D1">
            <w:pPr>
              <w:snapToGrid w:val="0"/>
              <w:spacing w:line="240" w:lineRule="auto"/>
              <w:ind w:right="0"/>
              <w:jc w:val="center"/>
              <w:rPr>
                <w:b/>
                <w:bCs/>
                <w:sz w:val="20"/>
                <w:szCs w:val="20"/>
              </w:rPr>
            </w:pPr>
            <w:r w:rsidRPr="00AF59D1">
              <w:rPr>
                <w:sz w:val="20"/>
                <w:szCs w:val="20"/>
              </w:rPr>
              <w:t>-0.037</w:t>
            </w:r>
          </w:p>
        </w:tc>
        <w:tc>
          <w:tcPr>
            <w:tcW w:w="721" w:type="dxa"/>
            <w:vAlign w:val="center"/>
          </w:tcPr>
          <w:p w14:paraId="6D46E925" w14:textId="37CB4D5D" w:rsidR="00E14268" w:rsidRPr="00AF59D1" w:rsidRDefault="00E14268" w:rsidP="00AF59D1">
            <w:pPr>
              <w:snapToGrid w:val="0"/>
              <w:spacing w:line="240" w:lineRule="auto"/>
              <w:ind w:right="0"/>
              <w:jc w:val="center"/>
              <w:rPr>
                <w:b/>
                <w:bCs/>
                <w:sz w:val="20"/>
                <w:szCs w:val="20"/>
              </w:rPr>
            </w:pPr>
            <w:r w:rsidRPr="00AF59D1">
              <w:rPr>
                <w:sz w:val="20"/>
                <w:szCs w:val="20"/>
              </w:rPr>
              <w:t>-0.292</w:t>
            </w:r>
          </w:p>
        </w:tc>
        <w:tc>
          <w:tcPr>
            <w:tcW w:w="721" w:type="dxa"/>
            <w:vAlign w:val="center"/>
          </w:tcPr>
          <w:p w14:paraId="546B30CB" w14:textId="0D63BB22" w:rsidR="00E14268" w:rsidRPr="00AF59D1" w:rsidRDefault="00E14268" w:rsidP="00AF59D1">
            <w:pPr>
              <w:snapToGrid w:val="0"/>
              <w:spacing w:line="240" w:lineRule="auto"/>
              <w:ind w:right="0"/>
              <w:jc w:val="center"/>
              <w:rPr>
                <w:b/>
                <w:bCs/>
                <w:sz w:val="20"/>
                <w:szCs w:val="20"/>
              </w:rPr>
            </w:pPr>
            <w:r w:rsidRPr="00AF59D1">
              <w:rPr>
                <w:sz w:val="20"/>
                <w:szCs w:val="20"/>
              </w:rPr>
              <w:t>0.233</w:t>
            </w:r>
          </w:p>
        </w:tc>
        <w:tc>
          <w:tcPr>
            <w:tcW w:w="644" w:type="dxa"/>
            <w:vAlign w:val="center"/>
          </w:tcPr>
          <w:p w14:paraId="204A4100" w14:textId="490C30B0" w:rsidR="00E14268" w:rsidRPr="00AF59D1" w:rsidRDefault="00E14268" w:rsidP="00AF59D1">
            <w:pPr>
              <w:snapToGrid w:val="0"/>
              <w:spacing w:line="240" w:lineRule="auto"/>
              <w:ind w:right="0"/>
              <w:jc w:val="center"/>
              <w:rPr>
                <w:sz w:val="20"/>
                <w:szCs w:val="20"/>
              </w:rPr>
            </w:pPr>
            <w:r w:rsidRPr="00AF59D1">
              <w:rPr>
                <w:sz w:val="20"/>
                <w:szCs w:val="20"/>
              </w:rPr>
              <w:t>0.028</w:t>
            </w:r>
          </w:p>
        </w:tc>
      </w:tr>
      <w:tr w:rsidR="00E14268" w:rsidRPr="00AF59D1" w14:paraId="6671B885" w14:textId="0FEAF634" w:rsidTr="00AF59D1">
        <w:trPr>
          <w:cantSplit/>
          <w:tblHeader/>
        </w:trPr>
        <w:tc>
          <w:tcPr>
            <w:tcW w:w="859" w:type="dxa"/>
            <w:vAlign w:val="center"/>
          </w:tcPr>
          <w:p w14:paraId="21924314" w14:textId="77777777" w:rsidR="00E14268" w:rsidRPr="00AF59D1" w:rsidRDefault="00E14268" w:rsidP="00AF59D1">
            <w:pPr>
              <w:snapToGrid w:val="0"/>
              <w:spacing w:line="240" w:lineRule="auto"/>
              <w:ind w:right="0"/>
              <w:rPr>
                <w:sz w:val="20"/>
                <w:szCs w:val="20"/>
              </w:rPr>
            </w:pPr>
          </w:p>
        </w:tc>
        <w:tc>
          <w:tcPr>
            <w:tcW w:w="562" w:type="dxa"/>
            <w:vAlign w:val="center"/>
          </w:tcPr>
          <w:p w14:paraId="0324211F" w14:textId="77777777" w:rsidR="00E14268" w:rsidRPr="00AF59D1" w:rsidRDefault="00E14268" w:rsidP="00AF59D1">
            <w:pPr>
              <w:snapToGrid w:val="0"/>
              <w:spacing w:line="240" w:lineRule="auto"/>
              <w:ind w:right="0"/>
              <w:jc w:val="center"/>
              <w:rPr>
                <w:sz w:val="20"/>
                <w:szCs w:val="20"/>
              </w:rPr>
            </w:pPr>
          </w:p>
        </w:tc>
        <w:tc>
          <w:tcPr>
            <w:tcW w:w="744" w:type="dxa"/>
            <w:vAlign w:val="center"/>
          </w:tcPr>
          <w:p w14:paraId="1C176759" w14:textId="77777777" w:rsidR="00E14268" w:rsidRPr="00AF59D1" w:rsidRDefault="00E14268" w:rsidP="00AF59D1">
            <w:pPr>
              <w:snapToGrid w:val="0"/>
              <w:spacing w:line="240" w:lineRule="auto"/>
              <w:ind w:right="0"/>
              <w:jc w:val="center"/>
              <w:rPr>
                <w:sz w:val="20"/>
                <w:szCs w:val="20"/>
              </w:rPr>
            </w:pPr>
          </w:p>
        </w:tc>
        <w:tc>
          <w:tcPr>
            <w:tcW w:w="721" w:type="dxa"/>
            <w:vAlign w:val="center"/>
          </w:tcPr>
          <w:p w14:paraId="48E486F1" w14:textId="77777777" w:rsidR="00E14268" w:rsidRPr="00AF59D1" w:rsidRDefault="00E14268" w:rsidP="00AF59D1">
            <w:pPr>
              <w:snapToGrid w:val="0"/>
              <w:spacing w:line="240" w:lineRule="auto"/>
              <w:ind w:right="0"/>
              <w:jc w:val="center"/>
              <w:rPr>
                <w:sz w:val="20"/>
                <w:szCs w:val="20"/>
              </w:rPr>
            </w:pPr>
          </w:p>
        </w:tc>
        <w:tc>
          <w:tcPr>
            <w:tcW w:w="750" w:type="dxa"/>
            <w:vAlign w:val="center"/>
          </w:tcPr>
          <w:p w14:paraId="0219B295" w14:textId="460ED2BB" w:rsidR="00E14268" w:rsidRPr="00AF59D1" w:rsidRDefault="00E14268" w:rsidP="00AF59D1">
            <w:pPr>
              <w:snapToGrid w:val="0"/>
              <w:spacing w:line="240" w:lineRule="auto"/>
              <w:ind w:right="0"/>
              <w:jc w:val="center"/>
              <w:rPr>
                <w:b/>
                <w:bCs/>
                <w:sz w:val="20"/>
                <w:szCs w:val="20"/>
              </w:rPr>
            </w:pPr>
            <w:r w:rsidRPr="00AF59D1">
              <w:rPr>
                <w:sz w:val="20"/>
                <w:szCs w:val="20"/>
              </w:rPr>
              <w:t>0.498</w:t>
            </w:r>
          </w:p>
        </w:tc>
        <w:tc>
          <w:tcPr>
            <w:tcW w:w="961" w:type="dxa"/>
            <w:vAlign w:val="center"/>
          </w:tcPr>
          <w:p w14:paraId="2EE4A83D" w14:textId="41B71F6F" w:rsidR="00E14268" w:rsidRPr="00AF59D1" w:rsidRDefault="00E14268" w:rsidP="00AF59D1">
            <w:pPr>
              <w:snapToGrid w:val="0"/>
              <w:spacing w:line="240" w:lineRule="auto"/>
              <w:ind w:right="0"/>
              <w:jc w:val="center"/>
              <w:rPr>
                <w:b/>
                <w:bCs/>
                <w:sz w:val="20"/>
                <w:szCs w:val="20"/>
              </w:rPr>
            </w:pPr>
            <w:r w:rsidRPr="00AF59D1">
              <w:rPr>
                <w:sz w:val="20"/>
                <w:szCs w:val="20"/>
              </w:rPr>
              <w:t>0.571</w:t>
            </w:r>
          </w:p>
        </w:tc>
        <w:tc>
          <w:tcPr>
            <w:tcW w:w="648" w:type="dxa"/>
            <w:vAlign w:val="center"/>
          </w:tcPr>
          <w:p w14:paraId="15170927" w14:textId="7E2F165B" w:rsidR="00E14268" w:rsidRPr="00AF59D1" w:rsidRDefault="00E14268" w:rsidP="00AF59D1">
            <w:pPr>
              <w:snapToGrid w:val="0"/>
              <w:spacing w:line="240" w:lineRule="auto"/>
              <w:ind w:right="0"/>
              <w:jc w:val="center"/>
              <w:rPr>
                <w:b/>
                <w:bCs/>
                <w:sz w:val="20"/>
                <w:szCs w:val="20"/>
              </w:rPr>
            </w:pPr>
            <w:r w:rsidRPr="00AF59D1">
              <w:rPr>
                <w:sz w:val="20"/>
                <w:szCs w:val="20"/>
              </w:rPr>
              <w:t>&lt;.001</w:t>
            </w:r>
          </w:p>
        </w:tc>
        <w:tc>
          <w:tcPr>
            <w:tcW w:w="992" w:type="dxa"/>
            <w:vAlign w:val="center"/>
          </w:tcPr>
          <w:p w14:paraId="2FC6D13F" w14:textId="3F40726C" w:rsidR="00E14268" w:rsidRPr="00AF59D1" w:rsidRDefault="00E14268" w:rsidP="00AF59D1">
            <w:pPr>
              <w:snapToGrid w:val="0"/>
              <w:spacing w:line="240" w:lineRule="auto"/>
              <w:ind w:right="0"/>
              <w:jc w:val="center"/>
              <w:rPr>
                <w:b/>
                <w:bCs/>
                <w:sz w:val="20"/>
                <w:szCs w:val="20"/>
              </w:rPr>
            </w:pPr>
            <w:r w:rsidRPr="00AF59D1">
              <w:rPr>
                <w:sz w:val="20"/>
                <w:szCs w:val="20"/>
              </w:rPr>
              <w:t>0.352</w:t>
            </w:r>
          </w:p>
        </w:tc>
        <w:tc>
          <w:tcPr>
            <w:tcW w:w="721" w:type="dxa"/>
            <w:vAlign w:val="center"/>
          </w:tcPr>
          <w:p w14:paraId="79561A93" w14:textId="6F79AEF8" w:rsidR="00E14268" w:rsidRPr="00AF59D1" w:rsidRDefault="00E14268" w:rsidP="00AF59D1">
            <w:pPr>
              <w:snapToGrid w:val="0"/>
              <w:spacing w:line="240" w:lineRule="auto"/>
              <w:ind w:right="0"/>
              <w:jc w:val="center"/>
              <w:rPr>
                <w:b/>
                <w:bCs/>
                <w:sz w:val="20"/>
                <w:szCs w:val="20"/>
              </w:rPr>
            </w:pPr>
            <w:r w:rsidRPr="00AF59D1">
              <w:rPr>
                <w:sz w:val="20"/>
                <w:szCs w:val="20"/>
              </w:rPr>
              <w:t>&lt;.001</w:t>
            </w:r>
          </w:p>
        </w:tc>
        <w:tc>
          <w:tcPr>
            <w:tcW w:w="721" w:type="dxa"/>
            <w:vAlign w:val="center"/>
          </w:tcPr>
          <w:p w14:paraId="77467E8C" w14:textId="2A3A617F" w:rsidR="00E14268" w:rsidRPr="00AF59D1" w:rsidRDefault="00E14268" w:rsidP="00AF59D1">
            <w:pPr>
              <w:snapToGrid w:val="0"/>
              <w:spacing w:line="240" w:lineRule="auto"/>
              <w:ind w:right="0"/>
              <w:jc w:val="center"/>
              <w:rPr>
                <w:b/>
                <w:bCs/>
                <w:sz w:val="20"/>
                <w:szCs w:val="20"/>
              </w:rPr>
            </w:pPr>
            <w:r w:rsidRPr="00AF59D1">
              <w:rPr>
                <w:sz w:val="20"/>
                <w:szCs w:val="20"/>
              </w:rPr>
              <w:t>&lt;.001</w:t>
            </w:r>
          </w:p>
        </w:tc>
        <w:tc>
          <w:tcPr>
            <w:tcW w:w="644" w:type="dxa"/>
            <w:vAlign w:val="center"/>
          </w:tcPr>
          <w:p w14:paraId="43F3D52C" w14:textId="73B4A919" w:rsidR="00E14268" w:rsidRPr="00AF59D1" w:rsidRDefault="00E14268" w:rsidP="00AF59D1">
            <w:pPr>
              <w:snapToGrid w:val="0"/>
              <w:spacing w:line="240" w:lineRule="auto"/>
              <w:ind w:right="0"/>
              <w:jc w:val="center"/>
              <w:rPr>
                <w:sz w:val="20"/>
                <w:szCs w:val="20"/>
              </w:rPr>
            </w:pPr>
            <w:r w:rsidRPr="00AF59D1">
              <w:rPr>
                <w:sz w:val="20"/>
                <w:szCs w:val="20"/>
              </w:rPr>
              <w:t>0.478</w:t>
            </w:r>
          </w:p>
        </w:tc>
      </w:tr>
      <w:tr w:rsidR="00E14268" w:rsidRPr="00AF59D1" w14:paraId="11DEBA0D" w14:textId="7AF5E60B" w:rsidTr="00AF59D1">
        <w:trPr>
          <w:cantSplit/>
          <w:tblHeader/>
        </w:trPr>
        <w:tc>
          <w:tcPr>
            <w:tcW w:w="859" w:type="dxa"/>
            <w:vAlign w:val="center"/>
          </w:tcPr>
          <w:p w14:paraId="33C0A34E" w14:textId="5A0EF838" w:rsidR="00E14268" w:rsidRPr="00AF59D1" w:rsidRDefault="00E14268" w:rsidP="00AF59D1">
            <w:pPr>
              <w:snapToGrid w:val="0"/>
              <w:spacing w:line="240" w:lineRule="auto"/>
              <w:ind w:right="0"/>
              <w:rPr>
                <w:b/>
                <w:bCs/>
                <w:sz w:val="20"/>
                <w:szCs w:val="20"/>
              </w:rPr>
            </w:pPr>
            <w:r w:rsidRPr="00AF59D1">
              <w:rPr>
                <w:sz w:val="20"/>
                <w:szCs w:val="20"/>
              </w:rPr>
              <w:t>Runup</w:t>
            </w:r>
          </w:p>
        </w:tc>
        <w:tc>
          <w:tcPr>
            <w:tcW w:w="562" w:type="dxa"/>
            <w:vAlign w:val="center"/>
          </w:tcPr>
          <w:p w14:paraId="0045AAC7" w14:textId="77777777" w:rsidR="00E14268" w:rsidRPr="00AF59D1" w:rsidRDefault="00E14268" w:rsidP="00AF59D1">
            <w:pPr>
              <w:snapToGrid w:val="0"/>
              <w:spacing w:line="240" w:lineRule="auto"/>
              <w:ind w:right="0"/>
              <w:jc w:val="center"/>
              <w:rPr>
                <w:sz w:val="20"/>
                <w:szCs w:val="20"/>
              </w:rPr>
            </w:pPr>
          </w:p>
        </w:tc>
        <w:tc>
          <w:tcPr>
            <w:tcW w:w="744" w:type="dxa"/>
            <w:vAlign w:val="center"/>
          </w:tcPr>
          <w:p w14:paraId="0BB533B1" w14:textId="77777777" w:rsidR="00E14268" w:rsidRPr="00AF59D1" w:rsidRDefault="00E14268" w:rsidP="00AF59D1">
            <w:pPr>
              <w:snapToGrid w:val="0"/>
              <w:spacing w:line="240" w:lineRule="auto"/>
              <w:ind w:right="0"/>
              <w:jc w:val="center"/>
              <w:rPr>
                <w:sz w:val="20"/>
                <w:szCs w:val="20"/>
              </w:rPr>
            </w:pPr>
          </w:p>
        </w:tc>
        <w:tc>
          <w:tcPr>
            <w:tcW w:w="721" w:type="dxa"/>
            <w:vAlign w:val="center"/>
          </w:tcPr>
          <w:p w14:paraId="418CC4E6" w14:textId="77777777" w:rsidR="00E14268" w:rsidRPr="00AF59D1" w:rsidRDefault="00E14268" w:rsidP="00AF59D1">
            <w:pPr>
              <w:snapToGrid w:val="0"/>
              <w:spacing w:line="240" w:lineRule="auto"/>
              <w:ind w:right="0"/>
              <w:jc w:val="center"/>
              <w:rPr>
                <w:sz w:val="20"/>
                <w:szCs w:val="20"/>
              </w:rPr>
            </w:pPr>
          </w:p>
        </w:tc>
        <w:tc>
          <w:tcPr>
            <w:tcW w:w="750" w:type="dxa"/>
            <w:vAlign w:val="center"/>
          </w:tcPr>
          <w:p w14:paraId="506A8B3A" w14:textId="0B556745" w:rsidR="00E14268" w:rsidRPr="00AF59D1" w:rsidRDefault="00E14268" w:rsidP="00AF59D1">
            <w:pPr>
              <w:snapToGrid w:val="0"/>
              <w:spacing w:line="240" w:lineRule="auto"/>
              <w:ind w:right="0"/>
              <w:jc w:val="center"/>
              <w:rPr>
                <w:sz w:val="20"/>
                <w:szCs w:val="20"/>
              </w:rPr>
            </w:pPr>
            <w:r w:rsidRPr="00AF59D1">
              <w:rPr>
                <w:sz w:val="20"/>
                <w:szCs w:val="20"/>
              </w:rPr>
              <w:t>1</w:t>
            </w:r>
          </w:p>
        </w:tc>
        <w:tc>
          <w:tcPr>
            <w:tcW w:w="961" w:type="dxa"/>
            <w:vAlign w:val="center"/>
          </w:tcPr>
          <w:p w14:paraId="226C1F44" w14:textId="66677D42" w:rsidR="00E14268" w:rsidRPr="00AF59D1" w:rsidRDefault="00E14268" w:rsidP="00AF59D1">
            <w:pPr>
              <w:snapToGrid w:val="0"/>
              <w:spacing w:line="240" w:lineRule="auto"/>
              <w:ind w:right="0"/>
              <w:jc w:val="center"/>
              <w:rPr>
                <w:b/>
                <w:bCs/>
                <w:sz w:val="20"/>
                <w:szCs w:val="20"/>
              </w:rPr>
            </w:pPr>
            <w:r w:rsidRPr="00AF59D1">
              <w:rPr>
                <w:sz w:val="20"/>
                <w:szCs w:val="20"/>
              </w:rPr>
              <w:t>-0.012</w:t>
            </w:r>
          </w:p>
        </w:tc>
        <w:tc>
          <w:tcPr>
            <w:tcW w:w="648" w:type="dxa"/>
            <w:vAlign w:val="center"/>
          </w:tcPr>
          <w:p w14:paraId="28F83C76" w14:textId="2B3D39D9" w:rsidR="00E14268" w:rsidRPr="00AF59D1" w:rsidRDefault="00E14268" w:rsidP="00AF59D1">
            <w:pPr>
              <w:snapToGrid w:val="0"/>
              <w:spacing w:line="240" w:lineRule="auto"/>
              <w:ind w:right="0"/>
              <w:jc w:val="center"/>
              <w:rPr>
                <w:b/>
                <w:bCs/>
                <w:sz w:val="20"/>
                <w:szCs w:val="20"/>
              </w:rPr>
            </w:pPr>
            <w:r w:rsidRPr="00AF59D1">
              <w:rPr>
                <w:sz w:val="20"/>
                <w:szCs w:val="20"/>
              </w:rPr>
              <w:t>0.066</w:t>
            </w:r>
          </w:p>
        </w:tc>
        <w:tc>
          <w:tcPr>
            <w:tcW w:w="992" w:type="dxa"/>
            <w:vAlign w:val="center"/>
          </w:tcPr>
          <w:p w14:paraId="56343CA7" w14:textId="66E110BF" w:rsidR="00E14268" w:rsidRPr="00AF59D1" w:rsidRDefault="00E14268" w:rsidP="00AF59D1">
            <w:pPr>
              <w:snapToGrid w:val="0"/>
              <w:spacing w:line="240" w:lineRule="auto"/>
              <w:ind w:right="0"/>
              <w:jc w:val="center"/>
              <w:rPr>
                <w:b/>
                <w:bCs/>
                <w:sz w:val="20"/>
                <w:szCs w:val="20"/>
              </w:rPr>
            </w:pPr>
            <w:r w:rsidRPr="00AF59D1">
              <w:rPr>
                <w:sz w:val="20"/>
                <w:szCs w:val="20"/>
              </w:rPr>
              <w:t>0.040</w:t>
            </w:r>
          </w:p>
        </w:tc>
        <w:tc>
          <w:tcPr>
            <w:tcW w:w="721" w:type="dxa"/>
            <w:vAlign w:val="center"/>
          </w:tcPr>
          <w:p w14:paraId="2D07BEF1" w14:textId="634C6433" w:rsidR="00E14268" w:rsidRPr="00AF59D1" w:rsidRDefault="00E14268" w:rsidP="00AF59D1">
            <w:pPr>
              <w:snapToGrid w:val="0"/>
              <w:spacing w:line="240" w:lineRule="auto"/>
              <w:ind w:right="0"/>
              <w:jc w:val="center"/>
              <w:rPr>
                <w:b/>
                <w:bCs/>
                <w:sz w:val="20"/>
                <w:szCs w:val="20"/>
              </w:rPr>
            </w:pPr>
            <w:r w:rsidRPr="00AF59D1">
              <w:rPr>
                <w:sz w:val="20"/>
                <w:szCs w:val="20"/>
              </w:rPr>
              <w:t>-0.018</w:t>
            </w:r>
          </w:p>
        </w:tc>
        <w:tc>
          <w:tcPr>
            <w:tcW w:w="721" w:type="dxa"/>
            <w:vAlign w:val="center"/>
          </w:tcPr>
          <w:p w14:paraId="1D34E916" w14:textId="04ACD930" w:rsidR="00E14268" w:rsidRPr="00AF59D1" w:rsidRDefault="00E14268" w:rsidP="00AF59D1">
            <w:pPr>
              <w:snapToGrid w:val="0"/>
              <w:spacing w:line="240" w:lineRule="auto"/>
              <w:ind w:right="0"/>
              <w:jc w:val="center"/>
              <w:rPr>
                <w:b/>
                <w:bCs/>
                <w:sz w:val="20"/>
                <w:szCs w:val="20"/>
              </w:rPr>
            </w:pPr>
            <w:r w:rsidRPr="00AF59D1">
              <w:rPr>
                <w:sz w:val="20"/>
                <w:szCs w:val="20"/>
              </w:rPr>
              <w:t>0.040</w:t>
            </w:r>
          </w:p>
        </w:tc>
        <w:tc>
          <w:tcPr>
            <w:tcW w:w="644" w:type="dxa"/>
            <w:vAlign w:val="center"/>
          </w:tcPr>
          <w:p w14:paraId="468725E3" w14:textId="74C82A20" w:rsidR="00E14268" w:rsidRPr="00AF59D1" w:rsidRDefault="00E14268" w:rsidP="00AF59D1">
            <w:pPr>
              <w:snapToGrid w:val="0"/>
              <w:spacing w:line="240" w:lineRule="auto"/>
              <w:ind w:right="0"/>
              <w:jc w:val="center"/>
              <w:rPr>
                <w:sz w:val="20"/>
                <w:szCs w:val="20"/>
              </w:rPr>
            </w:pPr>
            <w:r w:rsidRPr="00AF59D1">
              <w:rPr>
                <w:sz w:val="20"/>
                <w:szCs w:val="20"/>
              </w:rPr>
              <w:t>-0.031</w:t>
            </w:r>
          </w:p>
        </w:tc>
      </w:tr>
      <w:tr w:rsidR="00E14268" w:rsidRPr="00AF59D1" w14:paraId="438FE5F5" w14:textId="4BB241DE" w:rsidTr="00AF59D1">
        <w:trPr>
          <w:cantSplit/>
          <w:tblHeader/>
        </w:trPr>
        <w:tc>
          <w:tcPr>
            <w:tcW w:w="859" w:type="dxa"/>
            <w:vAlign w:val="center"/>
          </w:tcPr>
          <w:p w14:paraId="28943C06" w14:textId="77777777" w:rsidR="00E14268" w:rsidRPr="00AF59D1" w:rsidRDefault="00E14268" w:rsidP="00AF59D1">
            <w:pPr>
              <w:snapToGrid w:val="0"/>
              <w:spacing w:line="240" w:lineRule="auto"/>
              <w:ind w:right="0"/>
              <w:rPr>
                <w:sz w:val="20"/>
                <w:szCs w:val="20"/>
              </w:rPr>
            </w:pPr>
          </w:p>
        </w:tc>
        <w:tc>
          <w:tcPr>
            <w:tcW w:w="562" w:type="dxa"/>
            <w:vAlign w:val="center"/>
          </w:tcPr>
          <w:p w14:paraId="59CF679A" w14:textId="77777777" w:rsidR="00E14268" w:rsidRPr="00AF59D1" w:rsidRDefault="00E14268" w:rsidP="00AF59D1">
            <w:pPr>
              <w:snapToGrid w:val="0"/>
              <w:spacing w:line="240" w:lineRule="auto"/>
              <w:ind w:right="0"/>
              <w:jc w:val="center"/>
              <w:rPr>
                <w:sz w:val="20"/>
                <w:szCs w:val="20"/>
              </w:rPr>
            </w:pPr>
          </w:p>
        </w:tc>
        <w:tc>
          <w:tcPr>
            <w:tcW w:w="744" w:type="dxa"/>
            <w:vAlign w:val="center"/>
          </w:tcPr>
          <w:p w14:paraId="04C66C58" w14:textId="77777777" w:rsidR="00E14268" w:rsidRPr="00AF59D1" w:rsidRDefault="00E14268" w:rsidP="00AF59D1">
            <w:pPr>
              <w:snapToGrid w:val="0"/>
              <w:spacing w:line="240" w:lineRule="auto"/>
              <w:ind w:right="0"/>
              <w:jc w:val="center"/>
              <w:rPr>
                <w:sz w:val="20"/>
                <w:szCs w:val="20"/>
              </w:rPr>
            </w:pPr>
          </w:p>
        </w:tc>
        <w:tc>
          <w:tcPr>
            <w:tcW w:w="721" w:type="dxa"/>
            <w:vAlign w:val="center"/>
          </w:tcPr>
          <w:p w14:paraId="4B3726F0" w14:textId="77777777" w:rsidR="00E14268" w:rsidRPr="00AF59D1" w:rsidRDefault="00E14268" w:rsidP="00AF59D1">
            <w:pPr>
              <w:snapToGrid w:val="0"/>
              <w:spacing w:line="240" w:lineRule="auto"/>
              <w:ind w:right="0"/>
              <w:jc w:val="center"/>
              <w:rPr>
                <w:sz w:val="20"/>
                <w:szCs w:val="20"/>
              </w:rPr>
            </w:pPr>
          </w:p>
        </w:tc>
        <w:tc>
          <w:tcPr>
            <w:tcW w:w="750" w:type="dxa"/>
            <w:vAlign w:val="center"/>
          </w:tcPr>
          <w:p w14:paraId="1DDD9D28" w14:textId="77777777" w:rsidR="00E14268" w:rsidRPr="00AF59D1" w:rsidRDefault="00E14268" w:rsidP="00AF59D1">
            <w:pPr>
              <w:snapToGrid w:val="0"/>
              <w:spacing w:line="240" w:lineRule="auto"/>
              <w:ind w:right="0"/>
              <w:jc w:val="center"/>
              <w:rPr>
                <w:sz w:val="20"/>
                <w:szCs w:val="20"/>
              </w:rPr>
            </w:pPr>
          </w:p>
        </w:tc>
        <w:tc>
          <w:tcPr>
            <w:tcW w:w="961" w:type="dxa"/>
            <w:vAlign w:val="center"/>
          </w:tcPr>
          <w:p w14:paraId="59E2C472" w14:textId="7614C60C" w:rsidR="00E14268" w:rsidRPr="00AF59D1" w:rsidRDefault="00E14268" w:rsidP="00AF59D1">
            <w:pPr>
              <w:snapToGrid w:val="0"/>
              <w:spacing w:line="240" w:lineRule="auto"/>
              <w:ind w:right="0"/>
              <w:jc w:val="center"/>
              <w:rPr>
                <w:b/>
                <w:bCs/>
                <w:sz w:val="20"/>
                <w:szCs w:val="20"/>
              </w:rPr>
            </w:pPr>
            <w:r w:rsidRPr="00AF59D1">
              <w:rPr>
                <w:sz w:val="20"/>
                <w:szCs w:val="20"/>
              </w:rPr>
              <w:t>0.765</w:t>
            </w:r>
          </w:p>
        </w:tc>
        <w:tc>
          <w:tcPr>
            <w:tcW w:w="648" w:type="dxa"/>
            <w:vAlign w:val="center"/>
          </w:tcPr>
          <w:p w14:paraId="6B973D1A" w14:textId="15FEC2BB" w:rsidR="00E14268" w:rsidRPr="00AF59D1" w:rsidRDefault="00E14268" w:rsidP="00AF59D1">
            <w:pPr>
              <w:snapToGrid w:val="0"/>
              <w:spacing w:line="240" w:lineRule="auto"/>
              <w:ind w:right="0"/>
              <w:jc w:val="center"/>
              <w:rPr>
                <w:b/>
                <w:bCs/>
                <w:sz w:val="20"/>
                <w:szCs w:val="20"/>
              </w:rPr>
            </w:pPr>
            <w:r w:rsidRPr="00AF59D1">
              <w:rPr>
                <w:sz w:val="20"/>
                <w:szCs w:val="20"/>
              </w:rPr>
              <w:t>0.093</w:t>
            </w:r>
          </w:p>
        </w:tc>
        <w:tc>
          <w:tcPr>
            <w:tcW w:w="992" w:type="dxa"/>
            <w:vAlign w:val="center"/>
          </w:tcPr>
          <w:p w14:paraId="240FF9AB" w14:textId="698149E3" w:rsidR="00E14268" w:rsidRPr="00AF59D1" w:rsidRDefault="00E14268" w:rsidP="00AF59D1">
            <w:pPr>
              <w:snapToGrid w:val="0"/>
              <w:spacing w:line="240" w:lineRule="auto"/>
              <w:ind w:right="0"/>
              <w:jc w:val="center"/>
              <w:rPr>
                <w:b/>
                <w:bCs/>
                <w:sz w:val="20"/>
                <w:szCs w:val="20"/>
              </w:rPr>
            </w:pPr>
            <w:r w:rsidRPr="00AF59D1">
              <w:rPr>
                <w:sz w:val="20"/>
                <w:szCs w:val="20"/>
              </w:rPr>
              <w:t>0.319</w:t>
            </w:r>
          </w:p>
        </w:tc>
        <w:tc>
          <w:tcPr>
            <w:tcW w:w="721" w:type="dxa"/>
            <w:vAlign w:val="center"/>
          </w:tcPr>
          <w:p w14:paraId="13E9EC44" w14:textId="1FFC6E05" w:rsidR="00E14268" w:rsidRPr="00AF59D1" w:rsidRDefault="00E14268" w:rsidP="00AF59D1">
            <w:pPr>
              <w:snapToGrid w:val="0"/>
              <w:spacing w:line="240" w:lineRule="auto"/>
              <w:ind w:right="0"/>
              <w:jc w:val="center"/>
              <w:rPr>
                <w:b/>
                <w:bCs/>
                <w:sz w:val="20"/>
                <w:szCs w:val="20"/>
              </w:rPr>
            </w:pPr>
            <w:r w:rsidRPr="00AF59D1">
              <w:rPr>
                <w:sz w:val="20"/>
                <w:szCs w:val="20"/>
              </w:rPr>
              <w:t>0.653</w:t>
            </w:r>
          </w:p>
        </w:tc>
        <w:tc>
          <w:tcPr>
            <w:tcW w:w="721" w:type="dxa"/>
            <w:vAlign w:val="center"/>
          </w:tcPr>
          <w:p w14:paraId="1019A9B3" w14:textId="32158684" w:rsidR="00E14268" w:rsidRPr="00AF59D1" w:rsidRDefault="00E14268" w:rsidP="00AF59D1">
            <w:pPr>
              <w:snapToGrid w:val="0"/>
              <w:spacing w:line="240" w:lineRule="auto"/>
              <w:ind w:right="0"/>
              <w:jc w:val="center"/>
              <w:rPr>
                <w:b/>
                <w:bCs/>
                <w:sz w:val="20"/>
                <w:szCs w:val="20"/>
              </w:rPr>
            </w:pPr>
            <w:r w:rsidRPr="00AF59D1">
              <w:rPr>
                <w:sz w:val="20"/>
                <w:szCs w:val="20"/>
              </w:rPr>
              <w:t>0.307</w:t>
            </w:r>
          </w:p>
        </w:tc>
        <w:tc>
          <w:tcPr>
            <w:tcW w:w="644" w:type="dxa"/>
            <w:vAlign w:val="center"/>
          </w:tcPr>
          <w:p w14:paraId="1095C1DC" w14:textId="3E050C2E" w:rsidR="00E14268" w:rsidRPr="00AF59D1" w:rsidRDefault="00E14268" w:rsidP="00AF59D1">
            <w:pPr>
              <w:snapToGrid w:val="0"/>
              <w:spacing w:line="240" w:lineRule="auto"/>
              <w:ind w:right="0"/>
              <w:jc w:val="center"/>
              <w:rPr>
                <w:sz w:val="20"/>
                <w:szCs w:val="20"/>
              </w:rPr>
            </w:pPr>
            <w:r w:rsidRPr="00AF59D1">
              <w:rPr>
                <w:sz w:val="20"/>
                <w:szCs w:val="20"/>
              </w:rPr>
              <w:t>0.431</w:t>
            </w:r>
          </w:p>
        </w:tc>
      </w:tr>
      <w:tr w:rsidR="00E14268" w:rsidRPr="00AF59D1" w14:paraId="75A3532C" w14:textId="1FF12E47" w:rsidTr="00AF59D1">
        <w:trPr>
          <w:cantSplit/>
          <w:tblHeader/>
        </w:trPr>
        <w:tc>
          <w:tcPr>
            <w:tcW w:w="859" w:type="dxa"/>
            <w:vAlign w:val="center"/>
          </w:tcPr>
          <w:p w14:paraId="0275CF1C" w14:textId="7ED6417A" w:rsidR="00E14268" w:rsidRPr="00AF59D1" w:rsidRDefault="00E14268" w:rsidP="00AF59D1">
            <w:pPr>
              <w:snapToGrid w:val="0"/>
              <w:spacing w:line="240" w:lineRule="auto"/>
              <w:ind w:right="0"/>
              <w:rPr>
                <w:b/>
                <w:bCs/>
                <w:sz w:val="20"/>
                <w:szCs w:val="20"/>
              </w:rPr>
            </w:pPr>
            <w:r w:rsidRPr="00AF59D1">
              <w:rPr>
                <w:sz w:val="20"/>
                <w:szCs w:val="20"/>
              </w:rPr>
              <w:t>Dividend</w:t>
            </w:r>
          </w:p>
        </w:tc>
        <w:tc>
          <w:tcPr>
            <w:tcW w:w="562" w:type="dxa"/>
            <w:vAlign w:val="center"/>
          </w:tcPr>
          <w:p w14:paraId="7C97163F" w14:textId="77777777" w:rsidR="00E14268" w:rsidRPr="00AF59D1" w:rsidRDefault="00E14268" w:rsidP="00AF59D1">
            <w:pPr>
              <w:snapToGrid w:val="0"/>
              <w:spacing w:line="240" w:lineRule="auto"/>
              <w:ind w:right="0"/>
              <w:jc w:val="center"/>
              <w:rPr>
                <w:sz w:val="20"/>
                <w:szCs w:val="20"/>
              </w:rPr>
            </w:pPr>
          </w:p>
        </w:tc>
        <w:tc>
          <w:tcPr>
            <w:tcW w:w="744" w:type="dxa"/>
            <w:vAlign w:val="center"/>
          </w:tcPr>
          <w:p w14:paraId="4B3D6E1E" w14:textId="77777777" w:rsidR="00E14268" w:rsidRPr="00AF59D1" w:rsidRDefault="00E14268" w:rsidP="00AF59D1">
            <w:pPr>
              <w:snapToGrid w:val="0"/>
              <w:spacing w:line="240" w:lineRule="auto"/>
              <w:ind w:right="0"/>
              <w:jc w:val="center"/>
              <w:rPr>
                <w:sz w:val="20"/>
                <w:szCs w:val="20"/>
              </w:rPr>
            </w:pPr>
          </w:p>
        </w:tc>
        <w:tc>
          <w:tcPr>
            <w:tcW w:w="721" w:type="dxa"/>
            <w:vAlign w:val="center"/>
          </w:tcPr>
          <w:p w14:paraId="0EB64FCA" w14:textId="77777777" w:rsidR="00E14268" w:rsidRPr="00AF59D1" w:rsidRDefault="00E14268" w:rsidP="00AF59D1">
            <w:pPr>
              <w:snapToGrid w:val="0"/>
              <w:spacing w:line="240" w:lineRule="auto"/>
              <w:ind w:right="0"/>
              <w:jc w:val="center"/>
              <w:rPr>
                <w:sz w:val="20"/>
                <w:szCs w:val="20"/>
              </w:rPr>
            </w:pPr>
          </w:p>
        </w:tc>
        <w:tc>
          <w:tcPr>
            <w:tcW w:w="750" w:type="dxa"/>
            <w:vAlign w:val="center"/>
          </w:tcPr>
          <w:p w14:paraId="031FB887" w14:textId="77777777" w:rsidR="00E14268" w:rsidRPr="00AF59D1" w:rsidRDefault="00E14268" w:rsidP="00AF59D1">
            <w:pPr>
              <w:snapToGrid w:val="0"/>
              <w:spacing w:line="240" w:lineRule="auto"/>
              <w:ind w:right="0"/>
              <w:jc w:val="center"/>
              <w:rPr>
                <w:sz w:val="20"/>
                <w:szCs w:val="20"/>
              </w:rPr>
            </w:pPr>
          </w:p>
        </w:tc>
        <w:tc>
          <w:tcPr>
            <w:tcW w:w="961" w:type="dxa"/>
            <w:vAlign w:val="center"/>
          </w:tcPr>
          <w:p w14:paraId="72F6B2BC" w14:textId="7C9AE91E" w:rsidR="00E14268" w:rsidRPr="00AF59D1" w:rsidRDefault="00E14268" w:rsidP="00AF59D1">
            <w:pPr>
              <w:snapToGrid w:val="0"/>
              <w:spacing w:line="240" w:lineRule="auto"/>
              <w:ind w:right="0"/>
              <w:jc w:val="center"/>
              <w:rPr>
                <w:sz w:val="20"/>
                <w:szCs w:val="20"/>
              </w:rPr>
            </w:pPr>
            <w:r w:rsidRPr="00AF59D1">
              <w:rPr>
                <w:sz w:val="20"/>
                <w:szCs w:val="20"/>
              </w:rPr>
              <w:t>1</w:t>
            </w:r>
          </w:p>
        </w:tc>
        <w:tc>
          <w:tcPr>
            <w:tcW w:w="648" w:type="dxa"/>
            <w:vAlign w:val="center"/>
          </w:tcPr>
          <w:p w14:paraId="7D33D021" w14:textId="5DEE1138" w:rsidR="00E14268" w:rsidRPr="00AF59D1" w:rsidRDefault="00E14268" w:rsidP="00AF59D1">
            <w:pPr>
              <w:snapToGrid w:val="0"/>
              <w:spacing w:line="240" w:lineRule="auto"/>
              <w:ind w:right="0"/>
              <w:jc w:val="center"/>
              <w:rPr>
                <w:b/>
                <w:bCs/>
                <w:sz w:val="20"/>
                <w:szCs w:val="20"/>
              </w:rPr>
            </w:pPr>
            <w:r w:rsidRPr="00AF59D1">
              <w:rPr>
                <w:sz w:val="20"/>
                <w:szCs w:val="20"/>
              </w:rPr>
              <w:t>-0.016</w:t>
            </w:r>
          </w:p>
        </w:tc>
        <w:tc>
          <w:tcPr>
            <w:tcW w:w="992" w:type="dxa"/>
            <w:vAlign w:val="center"/>
          </w:tcPr>
          <w:p w14:paraId="47C4803E" w14:textId="11176BC9" w:rsidR="00E14268" w:rsidRPr="00AF59D1" w:rsidRDefault="00E14268" w:rsidP="00AF59D1">
            <w:pPr>
              <w:snapToGrid w:val="0"/>
              <w:spacing w:line="240" w:lineRule="auto"/>
              <w:ind w:right="0"/>
              <w:jc w:val="center"/>
              <w:rPr>
                <w:b/>
                <w:bCs/>
                <w:sz w:val="20"/>
                <w:szCs w:val="20"/>
              </w:rPr>
            </w:pPr>
            <w:r w:rsidRPr="00AF59D1">
              <w:rPr>
                <w:sz w:val="20"/>
                <w:szCs w:val="20"/>
              </w:rPr>
              <w:t>-0.063</w:t>
            </w:r>
          </w:p>
        </w:tc>
        <w:tc>
          <w:tcPr>
            <w:tcW w:w="721" w:type="dxa"/>
            <w:vAlign w:val="center"/>
          </w:tcPr>
          <w:p w14:paraId="5878A6E9" w14:textId="4A8EBAB6" w:rsidR="00E14268" w:rsidRPr="00AF59D1" w:rsidRDefault="00E14268" w:rsidP="00AF59D1">
            <w:pPr>
              <w:snapToGrid w:val="0"/>
              <w:spacing w:line="240" w:lineRule="auto"/>
              <w:ind w:right="0"/>
              <w:jc w:val="center"/>
              <w:rPr>
                <w:b/>
                <w:bCs/>
                <w:sz w:val="20"/>
                <w:szCs w:val="20"/>
              </w:rPr>
            </w:pPr>
            <w:r w:rsidRPr="00AF59D1">
              <w:rPr>
                <w:sz w:val="20"/>
                <w:szCs w:val="20"/>
              </w:rPr>
              <w:t>0.027</w:t>
            </w:r>
          </w:p>
        </w:tc>
        <w:tc>
          <w:tcPr>
            <w:tcW w:w="721" w:type="dxa"/>
            <w:vAlign w:val="center"/>
          </w:tcPr>
          <w:p w14:paraId="27A81110" w14:textId="609DB6E6" w:rsidR="00E14268" w:rsidRPr="00AF59D1" w:rsidRDefault="00E14268" w:rsidP="00AF59D1">
            <w:pPr>
              <w:snapToGrid w:val="0"/>
              <w:spacing w:line="240" w:lineRule="auto"/>
              <w:ind w:right="0"/>
              <w:jc w:val="center"/>
              <w:rPr>
                <w:b/>
                <w:bCs/>
                <w:sz w:val="20"/>
                <w:szCs w:val="20"/>
              </w:rPr>
            </w:pPr>
            <w:r w:rsidRPr="00AF59D1">
              <w:rPr>
                <w:sz w:val="20"/>
                <w:szCs w:val="20"/>
              </w:rPr>
              <w:t>0.044</w:t>
            </w:r>
          </w:p>
        </w:tc>
        <w:tc>
          <w:tcPr>
            <w:tcW w:w="644" w:type="dxa"/>
            <w:vAlign w:val="center"/>
          </w:tcPr>
          <w:p w14:paraId="02892D1E" w14:textId="62B1129B" w:rsidR="00E14268" w:rsidRPr="00AF59D1" w:rsidRDefault="00E14268" w:rsidP="00AF59D1">
            <w:pPr>
              <w:snapToGrid w:val="0"/>
              <w:spacing w:line="240" w:lineRule="auto"/>
              <w:ind w:right="0"/>
              <w:jc w:val="center"/>
              <w:rPr>
                <w:sz w:val="20"/>
                <w:szCs w:val="20"/>
              </w:rPr>
            </w:pPr>
            <w:r w:rsidRPr="00AF59D1">
              <w:rPr>
                <w:sz w:val="20"/>
                <w:szCs w:val="20"/>
              </w:rPr>
              <w:t>-0.085</w:t>
            </w:r>
          </w:p>
        </w:tc>
      </w:tr>
      <w:tr w:rsidR="00E14268" w:rsidRPr="00AF59D1" w14:paraId="71F015A4" w14:textId="1AC8A321" w:rsidTr="00AF59D1">
        <w:trPr>
          <w:cantSplit/>
          <w:tblHeader/>
        </w:trPr>
        <w:tc>
          <w:tcPr>
            <w:tcW w:w="859" w:type="dxa"/>
            <w:vAlign w:val="center"/>
          </w:tcPr>
          <w:p w14:paraId="15BAC050" w14:textId="77777777" w:rsidR="00E14268" w:rsidRPr="00AF59D1" w:rsidRDefault="00E14268" w:rsidP="00AF59D1">
            <w:pPr>
              <w:snapToGrid w:val="0"/>
              <w:spacing w:line="240" w:lineRule="auto"/>
              <w:ind w:right="0"/>
              <w:rPr>
                <w:sz w:val="20"/>
                <w:szCs w:val="20"/>
              </w:rPr>
            </w:pPr>
          </w:p>
        </w:tc>
        <w:tc>
          <w:tcPr>
            <w:tcW w:w="562" w:type="dxa"/>
            <w:vAlign w:val="center"/>
          </w:tcPr>
          <w:p w14:paraId="38708452" w14:textId="77777777" w:rsidR="00E14268" w:rsidRPr="00AF59D1" w:rsidRDefault="00E14268" w:rsidP="00AF59D1">
            <w:pPr>
              <w:snapToGrid w:val="0"/>
              <w:spacing w:line="240" w:lineRule="auto"/>
              <w:ind w:right="0"/>
              <w:jc w:val="center"/>
              <w:rPr>
                <w:sz w:val="20"/>
                <w:szCs w:val="20"/>
              </w:rPr>
            </w:pPr>
          </w:p>
        </w:tc>
        <w:tc>
          <w:tcPr>
            <w:tcW w:w="744" w:type="dxa"/>
            <w:vAlign w:val="center"/>
          </w:tcPr>
          <w:p w14:paraId="4F910DA9" w14:textId="77777777" w:rsidR="00E14268" w:rsidRPr="00AF59D1" w:rsidRDefault="00E14268" w:rsidP="00AF59D1">
            <w:pPr>
              <w:snapToGrid w:val="0"/>
              <w:spacing w:line="240" w:lineRule="auto"/>
              <w:ind w:right="0"/>
              <w:jc w:val="center"/>
              <w:rPr>
                <w:sz w:val="20"/>
                <w:szCs w:val="20"/>
              </w:rPr>
            </w:pPr>
          </w:p>
        </w:tc>
        <w:tc>
          <w:tcPr>
            <w:tcW w:w="721" w:type="dxa"/>
            <w:vAlign w:val="center"/>
          </w:tcPr>
          <w:p w14:paraId="0AC5FE5D" w14:textId="77777777" w:rsidR="00E14268" w:rsidRPr="00AF59D1" w:rsidRDefault="00E14268" w:rsidP="00AF59D1">
            <w:pPr>
              <w:snapToGrid w:val="0"/>
              <w:spacing w:line="240" w:lineRule="auto"/>
              <w:ind w:right="0"/>
              <w:jc w:val="center"/>
              <w:rPr>
                <w:sz w:val="20"/>
                <w:szCs w:val="20"/>
              </w:rPr>
            </w:pPr>
          </w:p>
        </w:tc>
        <w:tc>
          <w:tcPr>
            <w:tcW w:w="750" w:type="dxa"/>
            <w:vAlign w:val="center"/>
          </w:tcPr>
          <w:p w14:paraId="68BBF3D3" w14:textId="77777777" w:rsidR="00E14268" w:rsidRPr="00AF59D1" w:rsidRDefault="00E14268" w:rsidP="00AF59D1">
            <w:pPr>
              <w:snapToGrid w:val="0"/>
              <w:spacing w:line="240" w:lineRule="auto"/>
              <w:ind w:right="0"/>
              <w:jc w:val="center"/>
              <w:rPr>
                <w:sz w:val="20"/>
                <w:szCs w:val="20"/>
              </w:rPr>
            </w:pPr>
          </w:p>
        </w:tc>
        <w:tc>
          <w:tcPr>
            <w:tcW w:w="961" w:type="dxa"/>
            <w:vAlign w:val="center"/>
          </w:tcPr>
          <w:p w14:paraId="0D85CEC8" w14:textId="77777777" w:rsidR="00E14268" w:rsidRPr="00AF59D1" w:rsidRDefault="00E14268" w:rsidP="00AF59D1">
            <w:pPr>
              <w:snapToGrid w:val="0"/>
              <w:spacing w:line="240" w:lineRule="auto"/>
              <w:ind w:right="0"/>
              <w:jc w:val="center"/>
              <w:rPr>
                <w:sz w:val="20"/>
                <w:szCs w:val="20"/>
              </w:rPr>
            </w:pPr>
          </w:p>
        </w:tc>
        <w:tc>
          <w:tcPr>
            <w:tcW w:w="648" w:type="dxa"/>
            <w:vAlign w:val="center"/>
          </w:tcPr>
          <w:p w14:paraId="615A7C10" w14:textId="1D7E8D25" w:rsidR="00E14268" w:rsidRPr="00AF59D1" w:rsidRDefault="00E14268" w:rsidP="00AF59D1">
            <w:pPr>
              <w:snapToGrid w:val="0"/>
              <w:spacing w:line="240" w:lineRule="auto"/>
              <w:ind w:right="0"/>
              <w:jc w:val="center"/>
              <w:rPr>
                <w:b/>
                <w:bCs/>
                <w:sz w:val="20"/>
                <w:szCs w:val="20"/>
              </w:rPr>
            </w:pPr>
            <w:r w:rsidRPr="00AF59D1">
              <w:rPr>
                <w:sz w:val="20"/>
                <w:szCs w:val="20"/>
              </w:rPr>
              <w:t>0.678</w:t>
            </w:r>
          </w:p>
        </w:tc>
        <w:tc>
          <w:tcPr>
            <w:tcW w:w="992" w:type="dxa"/>
            <w:vAlign w:val="center"/>
          </w:tcPr>
          <w:p w14:paraId="67564E7F" w14:textId="1AF97406" w:rsidR="00E14268" w:rsidRPr="00AF59D1" w:rsidRDefault="00E14268" w:rsidP="00AF59D1">
            <w:pPr>
              <w:snapToGrid w:val="0"/>
              <w:spacing w:line="240" w:lineRule="auto"/>
              <w:ind w:right="0"/>
              <w:jc w:val="center"/>
              <w:rPr>
                <w:b/>
                <w:bCs/>
                <w:sz w:val="20"/>
                <w:szCs w:val="20"/>
              </w:rPr>
            </w:pPr>
            <w:r w:rsidRPr="00AF59D1">
              <w:rPr>
                <w:sz w:val="20"/>
                <w:szCs w:val="20"/>
              </w:rPr>
              <w:t>0.117</w:t>
            </w:r>
          </w:p>
        </w:tc>
        <w:tc>
          <w:tcPr>
            <w:tcW w:w="721" w:type="dxa"/>
            <w:vAlign w:val="center"/>
          </w:tcPr>
          <w:p w14:paraId="750E526C" w14:textId="6EE4CAC4" w:rsidR="00E14268" w:rsidRPr="00AF59D1" w:rsidRDefault="00E14268" w:rsidP="00AF59D1">
            <w:pPr>
              <w:snapToGrid w:val="0"/>
              <w:spacing w:line="240" w:lineRule="auto"/>
              <w:ind w:right="0"/>
              <w:jc w:val="center"/>
              <w:rPr>
                <w:b/>
                <w:bCs/>
                <w:sz w:val="20"/>
                <w:szCs w:val="20"/>
              </w:rPr>
            </w:pPr>
            <w:r w:rsidRPr="00AF59D1">
              <w:rPr>
                <w:sz w:val="20"/>
                <w:szCs w:val="20"/>
              </w:rPr>
              <w:t>0.496</w:t>
            </w:r>
          </w:p>
        </w:tc>
        <w:tc>
          <w:tcPr>
            <w:tcW w:w="721" w:type="dxa"/>
            <w:vAlign w:val="center"/>
          </w:tcPr>
          <w:p w14:paraId="417CF5D7" w14:textId="5A43B112" w:rsidR="00E14268" w:rsidRPr="00AF59D1" w:rsidRDefault="00E14268" w:rsidP="00AF59D1">
            <w:pPr>
              <w:snapToGrid w:val="0"/>
              <w:spacing w:line="240" w:lineRule="auto"/>
              <w:ind w:right="0"/>
              <w:jc w:val="center"/>
              <w:rPr>
                <w:b/>
                <w:bCs/>
                <w:sz w:val="20"/>
                <w:szCs w:val="20"/>
              </w:rPr>
            </w:pPr>
            <w:r w:rsidRPr="00AF59D1">
              <w:rPr>
                <w:sz w:val="20"/>
                <w:szCs w:val="20"/>
              </w:rPr>
              <w:t>0.269</w:t>
            </w:r>
          </w:p>
        </w:tc>
        <w:tc>
          <w:tcPr>
            <w:tcW w:w="644" w:type="dxa"/>
            <w:vAlign w:val="center"/>
          </w:tcPr>
          <w:p w14:paraId="1E26EB27" w14:textId="3E23B29A" w:rsidR="00E14268" w:rsidRPr="00AF59D1" w:rsidRDefault="00E14268" w:rsidP="00AF59D1">
            <w:pPr>
              <w:snapToGrid w:val="0"/>
              <w:spacing w:line="240" w:lineRule="auto"/>
              <w:ind w:right="0"/>
              <w:jc w:val="center"/>
              <w:rPr>
                <w:sz w:val="20"/>
                <w:szCs w:val="20"/>
              </w:rPr>
            </w:pPr>
            <w:r w:rsidRPr="00AF59D1">
              <w:rPr>
                <w:sz w:val="20"/>
                <w:szCs w:val="20"/>
              </w:rPr>
              <w:t>0.032</w:t>
            </w:r>
          </w:p>
        </w:tc>
      </w:tr>
      <w:tr w:rsidR="00E14268" w:rsidRPr="00AF59D1" w14:paraId="368A6EB3" w14:textId="19AEE9AB" w:rsidTr="00AF59D1">
        <w:trPr>
          <w:cantSplit/>
          <w:tblHeader/>
        </w:trPr>
        <w:tc>
          <w:tcPr>
            <w:tcW w:w="859" w:type="dxa"/>
            <w:vAlign w:val="center"/>
          </w:tcPr>
          <w:p w14:paraId="227B1AEF" w14:textId="71ECE0B8" w:rsidR="00E14268" w:rsidRPr="00AF59D1" w:rsidRDefault="00E14268" w:rsidP="00AF59D1">
            <w:pPr>
              <w:snapToGrid w:val="0"/>
              <w:spacing w:line="240" w:lineRule="auto"/>
              <w:ind w:right="0"/>
              <w:rPr>
                <w:b/>
                <w:bCs/>
                <w:sz w:val="20"/>
                <w:szCs w:val="20"/>
              </w:rPr>
            </w:pPr>
            <w:r w:rsidRPr="00AF59D1">
              <w:rPr>
                <w:sz w:val="20"/>
                <w:szCs w:val="20"/>
              </w:rPr>
              <w:t>CR</w:t>
            </w:r>
          </w:p>
        </w:tc>
        <w:tc>
          <w:tcPr>
            <w:tcW w:w="562" w:type="dxa"/>
            <w:vAlign w:val="center"/>
          </w:tcPr>
          <w:p w14:paraId="67C4FB18" w14:textId="77777777" w:rsidR="00E14268" w:rsidRPr="00AF59D1" w:rsidRDefault="00E14268" w:rsidP="00AF59D1">
            <w:pPr>
              <w:snapToGrid w:val="0"/>
              <w:spacing w:line="240" w:lineRule="auto"/>
              <w:ind w:right="0"/>
              <w:jc w:val="center"/>
              <w:rPr>
                <w:sz w:val="20"/>
                <w:szCs w:val="20"/>
              </w:rPr>
            </w:pPr>
          </w:p>
        </w:tc>
        <w:tc>
          <w:tcPr>
            <w:tcW w:w="744" w:type="dxa"/>
            <w:vAlign w:val="center"/>
          </w:tcPr>
          <w:p w14:paraId="0AE1B15F" w14:textId="77777777" w:rsidR="00E14268" w:rsidRPr="00AF59D1" w:rsidRDefault="00E14268" w:rsidP="00AF59D1">
            <w:pPr>
              <w:snapToGrid w:val="0"/>
              <w:spacing w:line="240" w:lineRule="auto"/>
              <w:ind w:right="0"/>
              <w:jc w:val="center"/>
              <w:rPr>
                <w:sz w:val="20"/>
                <w:szCs w:val="20"/>
              </w:rPr>
            </w:pPr>
          </w:p>
        </w:tc>
        <w:tc>
          <w:tcPr>
            <w:tcW w:w="721" w:type="dxa"/>
            <w:vAlign w:val="center"/>
          </w:tcPr>
          <w:p w14:paraId="0F5E4156" w14:textId="77777777" w:rsidR="00E14268" w:rsidRPr="00AF59D1" w:rsidRDefault="00E14268" w:rsidP="00AF59D1">
            <w:pPr>
              <w:snapToGrid w:val="0"/>
              <w:spacing w:line="240" w:lineRule="auto"/>
              <w:ind w:right="0"/>
              <w:jc w:val="center"/>
              <w:rPr>
                <w:sz w:val="20"/>
                <w:szCs w:val="20"/>
              </w:rPr>
            </w:pPr>
          </w:p>
        </w:tc>
        <w:tc>
          <w:tcPr>
            <w:tcW w:w="750" w:type="dxa"/>
            <w:vAlign w:val="center"/>
          </w:tcPr>
          <w:p w14:paraId="2DFD4015" w14:textId="77777777" w:rsidR="00E14268" w:rsidRPr="00AF59D1" w:rsidRDefault="00E14268" w:rsidP="00AF59D1">
            <w:pPr>
              <w:snapToGrid w:val="0"/>
              <w:spacing w:line="240" w:lineRule="auto"/>
              <w:ind w:right="0"/>
              <w:jc w:val="center"/>
              <w:rPr>
                <w:sz w:val="20"/>
                <w:szCs w:val="20"/>
              </w:rPr>
            </w:pPr>
          </w:p>
        </w:tc>
        <w:tc>
          <w:tcPr>
            <w:tcW w:w="961" w:type="dxa"/>
            <w:vAlign w:val="center"/>
          </w:tcPr>
          <w:p w14:paraId="6790362D" w14:textId="77777777" w:rsidR="00E14268" w:rsidRPr="00AF59D1" w:rsidRDefault="00E14268" w:rsidP="00AF59D1">
            <w:pPr>
              <w:snapToGrid w:val="0"/>
              <w:spacing w:line="240" w:lineRule="auto"/>
              <w:ind w:right="0"/>
              <w:jc w:val="center"/>
              <w:rPr>
                <w:sz w:val="20"/>
                <w:szCs w:val="20"/>
              </w:rPr>
            </w:pPr>
          </w:p>
        </w:tc>
        <w:tc>
          <w:tcPr>
            <w:tcW w:w="648" w:type="dxa"/>
            <w:vAlign w:val="center"/>
          </w:tcPr>
          <w:p w14:paraId="227B404E" w14:textId="2775E33D" w:rsidR="00E14268" w:rsidRPr="00AF59D1" w:rsidRDefault="00E14268" w:rsidP="00AF59D1">
            <w:pPr>
              <w:snapToGrid w:val="0"/>
              <w:spacing w:line="240" w:lineRule="auto"/>
              <w:ind w:right="0"/>
              <w:jc w:val="center"/>
              <w:rPr>
                <w:sz w:val="20"/>
                <w:szCs w:val="20"/>
              </w:rPr>
            </w:pPr>
            <w:r w:rsidRPr="00AF59D1">
              <w:rPr>
                <w:sz w:val="20"/>
                <w:szCs w:val="20"/>
              </w:rPr>
              <w:t>1</w:t>
            </w:r>
          </w:p>
        </w:tc>
        <w:tc>
          <w:tcPr>
            <w:tcW w:w="992" w:type="dxa"/>
            <w:vAlign w:val="center"/>
          </w:tcPr>
          <w:p w14:paraId="6D5EAFA6" w14:textId="709B6051" w:rsidR="00E14268" w:rsidRPr="00AF59D1" w:rsidRDefault="00E14268" w:rsidP="00AF59D1">
            <w:pPr>
              <w:snapToGrid w:val="0"/>
              <w:spacing w:line="240" w:lineRule="auto"/>
              <w:ind w:right="0"/>
              <w:jc w:val="center"/>
              <w:rPr>
                <w:b/>
                <w:bCs/>
                <w:sz w:val="20"/>
                <w:szCs w:val="20"/>
              </w:rPr>
            </w:pPr>
            <w:r w:rsidRPr="00AF59D1">
              <w:rPr>
                <w:sz w:val="20"/>
                <w:szCs w:val="20"/>
              </w:rPr>
              <w:t>-0.196</w:t>
            </w:r>
          </w:p>
        </w:tc>
        <w:tc>
          <w:tcPr>
            <w:tcW w:w="721" w:type="dxa"/>
            <w:vAlign w:val="center"/>
          </w:tcPr>
          <w:p w14:paraId="64855FCD" w14:textId="13CAF65E" w:rsidR="00E14268" w:rsidRPr="00AF59D1" w:rsidRDefault="00E14268" w:rsidP="00AF59D1">
            <w:pPr>
              <w:snapToGrid w:val="0"/>
              <w:spacing w:line="240" w:lineRule="auto"/>
              <w:ind w:right="0"/>
              <w:jc w:val="center"/>
              <w:rPr>
                <w:b/>
                <w:bCs/>
                <w:sz w:val="20"/>
                <w:szCs w:val="20"/>
              </w:rPr>
            </w:pPr>
            <w:r w:rsidRPr="00AF59D1">
              <w:rPr>
                <w:sz w:val="20"/>
                <w:szCs w:val="20"/>
              </w:rPr>
              <w:t>0.070</w:t>
            </w:r>
          </w:p>
        </w:tc>
        <w:tc>
          <w:tcPr>
            <w:tcW w:w="721" w:type="dxa"/>
            <w:vAlign w:val="center"/>
          </w:tcPr>
          <w:p w14:paraId="6BB915E9" w14:textId="6C5A4033" w:rsidR="00E14268" w:rsidRPr="00AF59D1" w:rsidRDefault="00E14268" w:rsidP="00AF59D1">
            <w:pPr>
              <w:snapToGrid w:val="0"/>
              <w:spacing w:line="240" w:lineRule="auto"/>
              <w:ind w:right="0"/>
              <w:jc w:val="center"/>
              <w:rPr>
                <w:b/>
                <w:bCs/>
                <w:sz w:val="20"/>
                <w:szCs w:val="20"/>
              </w:rPr>
            </w:pPr>
            <w:r w:rsidRPr="00AF59D1">
              <w:rPr>
                <w:sz w:val="20"/>
                <w:szCs w:val="20"/>
              </w:rPr>
              <w:t>-0.043</w:t>
            </w:r>
          </w:p>
        </w:tc>
        <w:tc>
          <w:tcPr>
            <w:tcW w:w="644" w:type="dxa"/>
            <w:vAlign w:val="center"/>
          </w:tcPr>
          <w:p w14:paraId="6647112C" w14:textId="7A87A62B" w:rsidR="00E14268" w:rsidRPr="00AF59D1" w:rsidRDefault="00E14268" w:rsidP="00AF59D1">
            <w:pPr>
              <w:snapToGrid w:val="0"/>
              <w:spacing w:line="240" w:lineRule="auto"/>
              <w:ind w:right="0"/>
              <w:jc w:val="center"/>
              <w:rPr>
                <w:sz w:val="20"/>
                <w:szCs w:val="20"/>
              </w:rPr>
            </w:pPr>
            <w:r w:rsidRPr="00AF59D1">
              <w:rPr>
                <w:sz w:val="20"/>
                <w:szCs w:val="20"/>
              </w:rPr>
              <w:t>-0.023</w:t>
            </w:r>
          </w:p>
        </w:tc>
      </w:tr>
      <w:tr w:rsidR="00E14268" w:rsidRPr="00AF59D1" w14:paraId="5C9DAEFB" w14:textId="13A96119" w:rsidTr="00AF59D1">
        <w:trPr>
          <w:cantSplit/>
          <w:tblHeader/>
        </w:trPr>
        <w:tc>
          <w:tcPr>
            <w:tcW w:w="859" w:type="dxa"/>
            <w:vAlign w:val="center"/>
          </w:tcPr>
          <w:p w14:paraId="77C5A7F5" w14:textId="77777777" w:rsidR="00E14268" w:rsidRPr="00AF59D1" w:rsidRDefault="00E14268" w:rsidP="00AF59D1">
            <w:pPr>
              <w:snapToGrid w:val="0"/>
              <w:spacing w:line="240" w:lineRule="auto"/>
              <w:ind w:right="0"/>
              <w:rPr>
                <w:sz w:val="20"/>
                <w:szCs w:val="20"/>
              </w:rPr>
            </w:pPr>
          </w:p>
        </w:tc>
        <w:tc>
          <w:tcPr>
            <w:tcW w:w="562" w:type="dxa"/>
            <w:vAlign w:val="center"/>
          </w:tcPr>
          <w:p w14:paraId="74C96786" w14:textId="77777777" w:rsidR="00E14268" w:rsidRPr="00AF59D1" w:rsidRDefault="00E14268" w:rsidP="00AF59D1">
            <w:pPr>
              <w:snapToGrid w:val="0"/>
              <w:spacing w:line="240" w:lineRule="auto"/>
              <w:ind w:right="0"/>
              <w:jc w:val="center"/>
              <w:rPr>
                <w:sz w:val="20"/>
                <w:szCs w:val="20"/>
              </w:rPr>
            </w:pPr>
          </w:p>
        </w:tc>
        <w:tc>
          <w:tcPr>
            <w:tcW w:w="744" w:type="dxa"/>
            <w:vAlign w:val="center"/>
          </w:tcPr>
          <w:p w14:paraId="6D9573E4" w14:textId="77777777" w:rsidR="00E14268" w:rsidRPr="00AF59D1" w:rsidRDefault="00E14268" w:rsidP="00AF59D1">
            <w:pPr>
              <w:snapToGrid w:val="0"/>
              <w:spacing w:line="240" w:lineRule="auto"/>
              <w:ind w:right="0"/>
              <w:jc w:val="center"/>
              <w:rPr>
                <w:sz w:val="20"/>
                <w:szCs w:val="20"/>
              </w:rPr>
            </w:pPr>
          </w:p>
        </w:tc>
        <w:tc>
          <w:tcPr>
            <w:tcW w:w="721" w:type="dxa"/>
            <w:vAlign w:val="center"/>
          </w:tcPr>
          <w:p w14:paraId="198BE78B" w14:textId="77777777" w:rsidR="00E14268" w:rsidRPr="00AF59D1" w:rsidRDefault="00E14268" w:rsidP="00AF59D1">
            <w:pPr>
              <w:snapToGrid w:val="0"/>
              <w:spacing w:line="240" w:lineRule="auto"/>
              <w:ind w:right="0"/>
              <w:jc w:val="center"/>
              <w:rPr>
                <w:sz w:val="20"/>
                <w:szCs w:val="20"/>
              </w:rPr>
            </w:pPr>
          </w:p>
        </w:tc>
        <w:tc>
          <w:tcPr>
            <w:tcW w:w="750" w:type="dxa"/>
            <w:vAlign w:val="center"/>
          </w:tcPr>
          <w:p w14:paraId="273E80C3" w14:textId="77777777" w:rsidR="00E14268" w:rsidRPr="00AF59D1" w:rsidRDefault="00E14268" w:rsidP="00AF59D1">
            <w:pPr>
              <w:snapToGrid w:val="0"/>
              <w:spacing w:line="240" w:lineRule="auto"/>
              <w:ind w:right="0"/>
              <w:jc w:val="center"/>
              <w:rPr>
                <w:sz w:val="20"/>
                <w:szCs w:val="20"/>
              </w:rPr>
            </w:pPr>
          </w:p>
        </w:tc>
        <w:tc>
          <w:tcPr>
            <w:tcW w:w="961" w:type="dxa"/>
            <w:vAlign w:val="center"/>
          </w:tcPr>
          <w:p w14:paraId="23DE7456" w14:textId="77777777" w:rsidR="00E14268" w:rsidRPr="00AF59D1" w:rsidRDefault="00E14268" w:rsidP="00AF59D1">
            <w:pPr>
              <w:snapToGrid w:val="0"/>
              <w:spacing w:line="240" w:lineRule="auto"/>
              <w:ind w:right="0"/>
              <w:jc w:val="center"/>
              <w:rPr>
                <w:sz w:val="20"/>
                <w:szCs w:val="20"/>
              </w:rPr>
            </w:pPr>
          </w:p>
        </w:tc>
        <w:tc>
          <w:tcPr>
            <w:tcW w:w="648" w:type="dxa"/>
            <w:vAlign w:val="center"/>
          </w:tcPr>
          <w:p w14:paraId="2821C343" w14:textId="77777777" w:rsidR="00E14268" w:rsidRPr="00AF59D1" w:rsidRDefault="00E14268" w:rsidP="00AF59D1">
            <w:pPr>
              <w:snapToGrid w:val="0"/>
              <w:spacing w:line="240" w:lineRule="auto"/>
              <w:ind w:right="0"/>
              <w:jc w:val="center"/>
              <w:rPr>
                <w:sz w:val="20"/>
                <w:szCs w:val="20"/>
              </w:rPr>
            </w:pPr>
          </w:p>
        </w:tc>
        <w:tc>
          <w:tcPr>
            <w:tcW w:w="992" w:type="dxa"/>
            <w:vAlign w:val="center"/>
          </w:tcPr>
          <w:p w14:paraId="324CA7C6" w14:textId="1CBB134A" w:rsidR="00E14268" w:rsidRPr="00AF59D1" w:rsidRDefault="00E14268" w:rsidP="00AF59D1">
            <w:pPr>
              <w:snapToGrid w:val="0"/>
              <w:spacing w:line="240" w:lineRule="auto"/>
              <w:ind w:right="0"/>
              <w:jc w:val="center"/>
              <w:rPr>
                <w:b/>
                <w:bCs/>
                <w:sz w:val="20"/>
                <w:szCs w:val="20"/>
              </w:rPr>
            </w:pPr>
            <w:r w:rsidRPr="00AF59D1">
              <w:rPr>
                <w:sz w:val="20"/>
                <w:szCs w:val="20"/>
              </w:rPr>
              <w:t>&lt;.001</w:t>
            </w:r>
          </w:p>
        </w:tc>
        <w:tc>
          <w:tcPr>
            <w:tcW w:w="721" w:type="dxa"/>
            <w:vAlign w:val="center"/>
          </w:tcPr>
          <w:p w14:paraId="41CD26E1" w14:textId="727675C9" w:rsidR="00E14268" w:rsidRPr="00AF59D1" w:rsidRDefault="00E14268" w:rsidP="00AF59D1">
            <w:pPr>
              <w:snapToGrid w:val="0"/>
              <w:spacing w:line="240" w:lineRule="auto"/>
              <w:ind w:right="0"/>
              <w:jc w:val="center"/>
              <w:rPr>
                <w:b/>
                <w:bCs/>
                <w:sz w:val="20"/>
                <w:szCs w:val="20"/>
              </w:rPr>
            </w:pPr>
            <w:r w:rsidRPr="00AF59D1">
              <w:rPr>
                <w:sz w:val="20"/>
                <w:szCs w:val="20"/>
              </w:rPr>
              <w:t>0.078</w:t>
            </w:r>
          </w:p>
        </w:tc>
        <w:tc>
          <w:tcPr>
            <w:tcW w:w="721" w:type="dxa"/>
            <w:vAlign w:val="center"/>
          </w:tcPr>
          <w:p w14:paraId="7659584E" w14:textId="459183F9" w:rsidR="00E14268" w:rsidRPr="00AF59D1" w:rsidRDefault="00E14268" w:rsidP="00AF59D1">
            <w:pPr>
              <w:snapToGrid w:val="0"/>
              <w:spacing w:line="240" w:lineRule="auto"/>
              <w:ind w:right="0"/>
              <w:jc w:val="center"/>
              <w:rPr>
                <w:b/>
                <w:bCs/>
                <w:sz w:val="20"/>
                <w:szCs w:val="20"/>
              </w:rPr>
            </w:pPr>
            <w:r w:rsidRPr="00AF59D1">
              <w:rPr>
                <w:sz w:val="20"/>
                <w:szCs w:val="20"/>
              </w:rPr>
              <w:t>0.277</w:t>
            </w:r>
          </w:p>
        </w:tc>
        <w:tc>
          <w:tcPr>
            <w:tcW w:w="644" w:type="dxa"/>
            <w:vAlign w:val="center"/>
          </w:tcPr>
          <w:p w14:paraId="63FEC3A3" w14:textId="40FEB2DC" w:rsidR="00E14268" w:rsidRPr="00AF59D1" w:rsidRDefault="00E14268" w:rsidP="00AF59D1">
            <w:pPr>
              <w:snapToGrid w:val="0"/>
              <w:spacing w:line="240" w:lineRule="auto"/>
              <w:ind w:right="0"/>
              <w:jc w:val="center"/>
              <w:rPr>
                <w:sz w:val="20"/>
                <w:szCs w:val="20"/>
              </w:rPr>
            </w:pPr>
            <w:r w:rsidRPr="00AF59D1">
              <w:rPr>
                <w:sz w:val="20"/>
                <w:szCs w:val="20"/>
              </w:rPr>
              <w:t>0.565</w:t>
            </w:r>
          </w:p>
        </w:tc>
      </w:tr>
      <w:tr w:rsidR="00E14268" w:rsidRPr="00AF59D1" w14:paraId="0BE3BB84" w14:textId="1E0F57BD" w:rsidTr="00AF59D1">
        <w:trPr>
          <w:cantSplit/>
          <w:tblHeader/>
        </w:trPr>
        <w:tc>
          <w:tcPr>
            <w:tcW w:w="859" w:type="dxa"/>
            <w:vAlign w:val="center"/>
          </w:tcPr>
          <w:p w14:paraId="284EBCC2" w14:textId="7A80CD48" w:rsidR="00E14268" w:rsidRPr="00AF59D1" w:rsidRDefault="00E14268" w:rsidP="00AF59D1">
            <w:pPr>
              <w:snapToGrid w:val="0"/>
              <w:spacing w:line="240" w:lineRule="auto"/>
              <w:ind w:right="0"/>
              <w:rPr>
                <w:b/>
                <w:bCs/>
                <w:sz w:val="20"/>
                <w:szCs w:val="20"/>
              </w:rPr>
            </w:pPr>
            <w:r w:rsidRPr="00AF59D1">
              <w:rPr>
                <w:sz w:val="20"/>
                <w:szCs w:val="20"/>
              </w:rPr>
              <w:t>Leverage</w:t>
            </w:r>
          </w:p>
        </w:tc>
        <w:tc>
          <w:tcPr>
            <w:tcW w:w="562" w:type="dxa"/>
            <w:vAlign w:val="center"/>
          </w:tcPr>
          <w:p w14:paraId="6FAC35B1" w14:textId="77777777" w:rsidR="00E14268" w:rsidRPr="00AF59D1" w:rsidRDefault="00E14268" w:rsidP="00AF59D1">
            <w:pPr>
              <w:snapToGrid w:val="0"/>
              <w:spacing w:line="240" w:lineRule="auto"/>
              <w:ind w:right="0"/>
              <w:jc w:val="center"/>
              <w:rPr>
                <w:sz w:val="20"/>
                <w:szCs w:val="20"/>
              </w:rPr>
            </w:pPr>
          </w:p>
        </w:tc>
        <w:tc>
          <w:tcPr>
            <w:tcW w:w="744" w:type="dxa"/>
            <w:vAlign w:val="center"/>
          </w:tcPr>
          <w:p w14:paraId="3C94B1A0" w14:textId="77777777" w:rsidR="00E14268" w:rsidRPr="00AF59D1" w:rsidRDefault="00E14268" w:rsidP="00AF59D1">
            <w:pPr>
              <w:snapToGrid w:val="0"/>
              <w:spacing w:line="240" w:lineRule="auto"/>
              <w:ind w:right="0"/>
              <w:jc w:val="center"/>
              <w:rPr>
                <w:sz w:val="20"/>
                <w:szCs w:val="20"/>
              </w:rPr>
            </w:pPr>
          </w:p>
        </w:tc>
        <w:tc>
          <w:tcPr>
            <w:tcW w:w="721" w:type="dxa"/>
            <w:vAlign w:val="center"/>
          </w:tcPr>
          <w:p w14:paraId="2F6F1760" w14:textId="77777777" w:rsidR="00E14268" w:rsidRPr="00AF59D1" w:rsidRDefault="00E14268" w:rsidP="00AF59D1">
            <w:pPr>
              <w:snapToGrid w:val="0"/>
              <w:spacing w:line="240" w:lineRule="auto"/>
              <w:ind w:right="0"/>
              <w:jc w:val="center"/>
              <w:rPr>
                <w:sz w:val="20"/>
                <w:szCs w:val="20"/>
              </w:rPr>
            </w:pPr>
          </w:p>
        </w:tc>
        <w:tc>
          <w:tcPr>
            <w:tcW w:w="750" w:type="dxa"/>
            <w:vAlign w:val="center"/>
          </w:tcPr>
          <w:p w14:paraId="53E085F5" w14:textId="77777777" w:rsidR="00E14268" w:rsidRPr="00AF59D1" w:rsidRDefault="00E14268" w:rsidP="00AF59D1">
            <w:pPr>
              <w:snapToGrid w:val="0"/>
              <w:spacing w:line="240" w:lineRule="auto"/>
              <w:ind w:right="0"/>
              <w:jc w:val="center"/>
              <w:rPr>
                <w:sz w:val="20"/>
                <w:szCs w:val="20"/>
              </w:rPr>
            </w:pPr>
          </w:p>
        </w:tc>
        <w:tc>
          <w:tcPr>
            <w:tcW w:w="961" w:type="dxa"/>
            <w:vAlign w:val="center"/>
          </w:tcPr>
          <w:p w14:paraId="677FD7CD" w14:textId="77777777" w:rsidR="00E14268" w:rsidRPr="00AF59D1" w:rsidRDefault="00E14268" w:rsidP="00AF59D1">
            <w:pPr>
              <w:snapToGrid w:val="0"/>
              <w:spacing w:line="240" w:lineRule="auto"/>
              <w:ind w:right="0"/>
              <w:jc w:val="center"/>
              <w:rPr>
                <w:sz w:val="20"/>
                <w:szCs w:val="20"/>
              </w:rPr>
            </w:pPr>
          </w:p>
        </w:tc>
        <w:tc>
          <w:tcPr>
            <w:tcW w:w="648" w:type="dxa"/>
            <w:vAlign w:val="center"/>
          </w:tcPr>
          <w:p w14:paraId="2E86BE79" w14:textId="77777777" w:rsidR="00E14268" w:rsidRPr="00AF59D1" w:rsidRDefault="00E14268" w:rsidP="00AF59D1">
            <w:pPr>
              <w:snapToGrid w:val="0"/>
              <w:spacing w:line="240" w:lineRule="auto"/>
              <w:ind w:right="0"/>
              <w:jc w:val="center"/>
              <w:rPr>
                <w:sz w:val="20"/>
                <w:szCs w:val="20"/>
              </w:rPr>
            </w:pPr>
          </w:p>
        </w:tc>
        <w:tc>
          <w:tcPr>
            <w:tcW w:w="992" w:type="dxa"/>
            <w:vAlign w:val="center"/>
          </w:tcPr>
          <w:p w14:paraId="0245EA1F" w14:textId="3A503D97" w:rsidR="00E14268" w:rsidRPr="00AF59D1" w:rsidRDefault="00E14268" w:rsidP="00AF59D1">
            <w:pPr>
              <w:snapToGrid w:val="0"/>
              <w:spacing w:line="240" w:lineRule="auto"/>
              <w:ind w:right="0"/>
              <w:jc w:val="center"/>
              <w:rPr>
                <w:sz w:val="20"/>
                <w:szCs w:val="20"/>
              </w:rPr>
            </w:pPr>
            <w:r w:rsidRPr="00AF59D1">
              <w:rPr>
                <w:sz w:val="20"/>
                <w:szCs w:val="20"/>
              </w:rPr>
              <w:t>1</w:t>
            </w:r>
          </w:p>
        </w:tc>
        <w:tc>
          <w:tcPr>
            <w:tcW w:w="721" w:type="dxa"/>
            <w:vAlign w:val="center"/>
          </w:tcPr>
          <w:p w14:paraId="4F3369A6" w14:textId="33579C34" w:rsidR="00E14268" w:rsidRPr="00AF59D1" w:rsidRDefault="00E14268" w:rsidP="00AF59D1">
            <w:pPr>
              <w:snapToGrid w:val="0"/>
              <w:spacing w:line="240" w:lineRule="auto"/>
              <w:ind w:right="0"/>
              <w:jc w:val="center"/>
              <w:rPr>
                <w:b/>
                <w:bCs/>
                <w:sz w:val="20"/>
                <w:szCs w:val="20"/>
              </w:rPr>
            </w:pPr>
            <w:r w:rsidRPr="00AF59D1">
              <w:rPr>
                <w:sz w:val="20"/>
                <w:szCs w:val="20"/>
              </w:rPr>
              <w:t>-0.189</w:t>
            </w:r>
          </w:p>
        </w:tc>
        <w:tc>
          <w:tcPr>
            <w:tcW w:w="721" w:type="dxa"/>
            <w:vAlign w:val="center"/>
          </w:tcPr>
          <w:p w14:paraId="0268DC9A" w14:textId="43104245" w:rsidR="00E14268" w:rsidRPr="00AF59D1" w:rsidRDefault="00E14268" w:rsidP="00AF59D1">
            <w:pPr>
              <w:snapToGrid w:val="0"/>
              <w:spacing w:line="240" w:lineRule="auto"/>
              <w:ind w:right="0"/>
              <w:jc w:val="center"/>
              <w:rPr>
                <w:b/>
                <w:bCs/>
                <w:sz w:val="20"/>
                <w:szCs w:val="20"/>
              </w:rPr>
            </w:pPr>
            <w:r w:rsidRPr="00AF59D1">
              <w:rPr>
                <w:sz w:val="20"/>
                <w:szCs w:val="20"/>
              </w:rPr>
              <w:t>0.171</w:t>
            </w:r>
          </w:p>
        </w:tc>
        <w:tc>
          <w:tcPr>
            <w:tcW w:w="644" w:type="dxa"/>
            <w:vAlign w:val="center"/>
          </w:tcPr>
          <w:p w14:paraId="4DA5A256" w14:textId="062089DA" w:rsidR="00E14268" w:rsidRPr="00AF59D1" w:rsidRDefault="00E14268" w:rsidP="00AF59D1">
            <w:pPr>
              <w:snapToGrid w:val="0"/>
              <w:spacing w:line="240" w:lineRule="auto"/>
              <w:ind w:right="0"/>
              <w:jc w:val="center"/>
              <w:rPr>
                <w:sz w:val="20"/>
                <w:szCs w:val="20"/>
              </w:rPr>
            </w:pPr>
            <w:r w:rsidRPr="00AF59D1">
              <w:rPr>
                <w:sz w:val="20"/>
                <w:szCs w:val="20"/>
              </w:rPr>
              <w:t>-0.006</w:t>
            </w:r>
          </w:p>
        </w:tc>
      </w:tr>
      <w:tr w:rsidR="00E14268" w:rsidRPr="00AF59D1" w14:paraId="7C073A70" w14:textId="68EABC87" w:rsidTr="00AF59D1">
        <w:trPr>
          <w:cantSplit/>
          <w:tblHeader/>
        </w:trPr>
        <w:tc>
          <w:tcPr>
            <w:tcW w:w="859" w:type="dxa"/>
            <w:vAlign w:val="center"/>
          </w:tcPr>
          <w:p w14:paraId="3A9D79F1" w14:textId="77777777" w:rsidR="00E14268" w:rsidRPr="00AF59D1" w:rsidRDefault="00E14268" w:rsidP="00AF59D1">
            <w:pPr>
              <w:snapToGrid w:val="0"/>
              <w:spacing w:line="240" w:lineRule="auto"/>
              <w:ind w:right="0"/>
              <w:rPr>
                <w:sz w:val="20"/>
                <w:szCs w:val="20"/>
              </w:rPr>
            </w:pPr>
          </w:p>
        </w:tc>
        <w:tc>
          <w:tcPr>
            <w:tcW w:w="562" w:type="dxa"/>
            <w:vAlign w:val="center"/>
          </w:tcPr>
          <w:p w14:paraId="465BEBDB" w14:textId="77777777" w:rsidR="00E14268" w:rsidRPr="00AF59D1" w:rsidRDefault="00E14268" w:rsidP="00AF59D1">
            <w:pPr>
              <w:snapToGrid w:val="0"/>
              <w:spacing w:line="240" w:lineRule="auto"/>
              <w:ind w:right="0"/>
              <w:jc w:val="center"/>
              <w:rPr>
                <w:sz w:val="20"/>
                <w:szCs w:val="20"/>
              </w:rPr>
            </w:pPr>
          </w:p>
        </w:tc>
        <w:tc>
          <w:tcPr>
            <w:tcW w:w="744" w:type="dxa"/>
            <w:vAlign w:val="center"/>
          </w:tcPr>
          <w:p w14:paraId="4F740EE5" w14:textId="77777777" w:rsidR="00E14268" w:rsidRPr="00AF59D1" w:rsidRDefault="00E14268" w:rsidP="00AF59D1">
            <w:pPr>
              <w:snapToGrid w:val="0"/>
              <w:spacing w:line="240" w:lineRule="auto"/>
              <w:ind w:right="0"/>
              <w:jc w:val="center"/>
              <w:rPr>
                <w:sz w:val="20"/>
                <w:szCs w:val="20"/>
              </w:rPr>
            </w:pPr>
          </w:p>
        </w:tc>
        <w:tc>
          <w:tcPr>
            <w:tcW w:w="721" w:type="dxa"/>
            <w:vAlign w:val="center"/>
          </w:tcPr>
          <w:p w14:paraId="326C34F8" w14:textId="77777777" w:rsidR="00E14268" w:rsidRPr="00AF59D1" w:rsidRDefault="00E14268" w:rsidP="00AF59D1">
            <w:pPr>
              <w:snapToGrid w:val="0"/>
              <w:spacing w:line="240" w:lineRule="auto"/>
              <w:ind w:right="0"/>
              <w:jc w:val="center"/>
              <w:rPr>
                <w:sz w:val="20"/>
                <w:szCs w:val="20"/>
              </w:rPr>
            </w:pPr>
          </w:p>
        </w:tc>
        <w:tc>
          <w:tcPr>
            <w:tcW w:w="750" w:type="dxa"/>
            <w:vAlign w:val="center"/>
          </w:tcPr>
          <w:p w14:paraId="7C38D665" w14:textId="77777777" w:rsidR="00E14268" w:rsidRPr="00AF59D1" w:rsidRDefault="00E14268" w:rsidP="00AF59D1">
            <w:pPr>
              <w:snapToGrid w:val="0"/>
              <w:spacing w:line="240" w:lineRule="auto"/>
              <w:ind w:right="0"/>
              <w:jc w:val="center"/>
              <w:rPr>
                <w:sz w:val="20"/>
                <w:szCs w:val="20"/>
              </w:rPr>
            </w:pPr>
          </w:p>
        </w:tc>
        <w:tc>
          <w:tcPr>
            <w:tcW w:w="961" w:type="dxa"/>
            <w:vAlign w:val="center"/>
          </w:tcPr>
          <w:p w14:paraId="2B85EBC3" w14:textId="77777777" w:rsidR="00E14268" w:rsidRPr="00AF59D1" w:rsidRDefault="00E14268" w:rsidP="00AF59D1">
            <w:pPr>
              <w:snapToGrid w:val="0"/>
              <w:spacing w:line="240" w:lineRule="auto"/>
              <w:ind w:right="0"/>
              <w:jc w:val="center"/>
              <w:rPr>
                <w:sz w:val="20"/>
                <w:szCs w:val="20"/>
              </w:rPr>
            </w:pPr>
          </w:p>
        </w:tc>
        <w:tc>
          <w:tcPr>
            <w:tcW w:w="648" w:type="dxa"/>
            <w:vAlign w:val="center"/>
          </w:tcPr>
          <w:p w14:paraId="4BB2501C" w14:textId="77777777" w:rsidR="00E14268" w:rsidRPr="00AF59D1" w:rsidRDefault="00E14268" w:rsidP="00AF59D1">
            <w:pPr>
              <w:snapToGrid w:val="0"/>
              <w:spacing w:line="240" w:lineRule="auto"/>
              <w:ind w:right="0"/>
              <w:jc w:val="center"/>
              <w:rPr>
                <w:sz w:val="20"/>
                <w:szCs w:val="20"/>
              </w:rPr>
            </w:pPr>
          </w:p>
        </w:tc>
        <w:tc>
          <w:tcPr>
            <w:tcW w:w="992" w:type="dxa"/>
            <w:vAlign w:val="center"/>
          </w:tcPr>
          <w:p w14:paraId="12B82BD3" w14:textId="77777777" w:rsidR="00E14268" w:rsidRPr="00AF59D1" w:rsidRDefault="00E14268" w:rsidP="00AF59D1">
            <w:pPr>
              <w:snapToGrid w:val="0"/>
              <w:spacing w:line="240" w:lineRule="auto"/>
              <w:ind w:right="0"/>
              <w:jc w:val="center"/>
              <w:rPr>
                <w:sz w:val="20"/>
                <w:szCs w:val="20"/>
              </w:rPr>
            </w:pPr>
          </w:p>
        </w:tc>
        <w:tc>
          <w:tcPr>
            <w:tcW w:w="721" w:type="dxa"/>
            <w:vAlign w:val="center"/>
          </w:tcPr>
          <w:p w14:paraId="3E75F579" w14:textId="4FDFC2AB" w:rsidR="00E14268" w:rsidRPr="00AF59D1" w:rsidRDefault="00E14268" w:rsidP="00AF59D1">
            <w:pPr>
              <w:snapToGrid w:val="0"/>
              <w:spacing w:line="240" w:lineRule="auto"/>
              <w:ind w:right="0"/>
              <w:jc w:val="center"/>
              <w:rPr>
                <w:b/>
                <w:bCs/>
                <w:sz w:val="20"/>
                <w:szCs w:val="20"/>
              </w:rPr>
            </w:pPr>
            <w:r w:rsidRPr="00AF59D1">
              <w:rPr>
                <w:sz w:val="20"/>
                <w:szCs w:val="20"/>
              </w:rPr>
              <w:t>&lt;.001</w:t>
            </w:r>
          </w:p>
        </w:tc>
        <w:tc>
          <w:tcPr>
            <w:tcW w:w="721" w:type="dxa"/>
            <w:vAlign w:val="center"/>
          </w:tcPr>
          <w:p w14:paraId="4E570929" w14:textId="563BEA38" w:rsidR="00E14268" w:rsidRPr="00AF59D1" w:rsidRDefault="00E14268" w:rsidP="00AF59D1">
            <w:pPr>
              <w:snapToGrid w:val="0"/>
              <w:spacing w:line="240" w:lineRule="auto"/>
              <w:ind w:right="0"/>
              <w:jc w:val="center"/>
              <w:rPr>
                <w:b/>
                <w:bCs/>
                <w:sz w:val="20"/>
                <w:szCs w:val="20"/>
              </w:rPr>
            </w:pPr>
            <w:r w:rsidRPr="00AF59D1">
              <w:rPr>
                <w:sz w:val="20"/>
                <w:szCs w:val="20"/>
              </w:rPr>
              <w:t>&lt;.001</w:t>
            </w:r>
          </w:p>
        </w:tc>
        <w:tc>
          <w:tcPr>
            <w:tcW w:w="644" w:type="dxa"/>
            <w:vAlign w:val="center"/>
          </w:tcPr>
          <w:p w14:paraId="104F672E" w14:textId="29552133" w:rsidR="00E14268" w:rsidRPr="00AF59D1" w:rsidRDefault="00E14268" w:rsidP="00AF59D1">
            <w:pPr>
              <w:snapToGrid w:val="0"/>
              <w:spacing w:line="240" w:lineRule="auto"/>
              <w:ind w:right="0"/>
              <w:jc w:val="center"/>
              <w:rPr>
                <w:sz w:val="20"/>
                <w:szCs w:val="20"/>
              </w:rPr>
            </w:pPr>
            <w:r w:rsidRPr="00AF59D1">
              <w:rPr>
                <w:sz w:val="20"/>
                <w:szCs w:val="20"/>
              </w:rPr>
              <w:t>0.872</w:t>
            </w:r>
          </w:p>
        </w:tc>
      </w:tr>
      <w:tr w:rsidR="00E14268" w:rsidRPr="00AF59D1" w14:paraId="4A84C749" w14:textId="32BB010C" w:rsidTr="00AF59D1">
        <w:trPr>
          <w:cantSplit/>
          <w:tblHeader/>
        </w:trPr>
        <w:tc>
          <w:tcPr>
            <w:tcW w:w="859" w:type="dxa"/>
            <w:vAlign w:val="center"/>
          </w:tcPr>
          <w:p w14:paraId="3C59E501" w14:textId="3629701F" w:rsidR="00E14268" w:rsidRPr="00AF59D1" w:rsidRDefault="00E14268" w:rsidP="00AF59D1">
            <w:pPr>
              <w:snapToGrid w:val="0"/>
              <w:spacing w:line="240" w:lineRule="auto"/>
              <w:ind w:right="0"/>
              <w:rPr>
                <w:b/>
                <w:bCs/>
                <w:sz w:val="20"/>
                <w:szCs w:val="20"/>
              </w:rPr>
            </w:pPr>
            <w:r w:rsidRPr="00AF59D1">
              <w:rPr>
                <w:sz w:val="20"/>
                <w:szCs w:val="20"/>
              </w:rPr>
              <w:t>Stock</w:t>
            </w:r>
          </w:p>
        </w:tc>
        <w:tc>
          <w:tcPr>
            <w:tcW w:w="562" w:type="dxa"/>
            <w:vAlign w:val="center"/>
          </w:tcPr>
          <w:p w14:paraId="5FB33D30" w14:textId="77777777" w:rsidR="00E14268" w:rsidRPr="00AF59D1" w:rsidRDefault="00E14268" w:rsidP="00AF59D1">
            <w:pPr>
              <w:snapToGrid w:val="0"/>
              <w:spacing w:line="240" w:lineRule="auto"/>
              <w:ind w:right="0"/>
              <w:jc w:val="center"/>
              <w:rPr>
                <w:sz w:val="20"/>
                <w:szCs w:val="20"/>
              </w:rPr>
            </w:pPr>
          </w:p>
        </w:tc>
        <w:tc>
          <w:tcPr>
            <w:tcW w:w="744" w:type="dxa"/>
            <w:vAlign w:val="center"/>
          </w:tcPr>
          <w:p w14:paraId="7A3F54DE" w14:textId="77777777" w:rsidR="00E14268" w:rsidRPr="00AF59D1" w:rsidRDefault="00E14268" w:rsidP="00AF59D1">
            <w:pPr>
              <w:snapToGrid w:val="0"/>
              <w:spacing w:line="240" w:lineRule="auto"/>
              <w:ind w:right="0"/>
              <w:jc w:val="center"/>
              <w:rPr>
                <w:sz w:val="20"/>
                <w:szCs w:val="20"/>
              </w:rPr>
            </w:pPr>
          </w:p>
        </w:tc>
        <w:tc>
          <w:tcPr>
            <w:tcW w:w="721" w:type="dxa"/>
            <w:vAlign w:val="center"/>
          </w:tcPr>
          <w:p w14:paraId="6AA7C135" w14:textId="77777777" w:rsidR="00E14268" w:rsidRPr="00AF59D1" w:rsidRDefault="00E14268" w:rsidP="00AF59D1">
            <w:pPr>
              <w:snapToGrid w:val="0"/>
              <w:spacing w:line="240" w:lineRule="auto"/>
              <w:ind w:right="0"/>
              <w:jc w:val="center"/>
              <w:rPr>
                <w:sz w:val="20"/>
                <w:szCs w:val="20"/>
              </w:rPr>
            </w:pPr>
          </w:p>
        </w:tc>
        <w:tc>
          <w:tcPr>
            <w:tcW w:w="750" w:type="dxa"/>
            <w:vAlign w:val="center"/>
          </w:tcPr>
          <w:p w14:paraId="40ABF222" w14:textId="77777777" w:rsidR="00E14268" w:rsidRPr="00AF59D1" w:rsidRDefault="00E14268" w:rsidP="00AF59D1">
            <w:pPr>
              <w:snapToGrid w:val="0"/>
              <w:spacing w:line="240" w:lineRule="auto"/>
              <w:ind w:right="0"/>
              <w:jc w:val="center"/>
              <w:rPr>
                <w:sz w:val="20"/>
                <w:szCs w:val="20"/>
              </w:rPr>
            </w:pPr>
          </w:p>
        </w:tc>
        <w:tc>
          <w:tcPr>
            <w:tcW w:w="961" w:type="dxa"/>
            <w:vAlign w:val="center"/>
          </w:tcPr>
          <w:p w14:paraId="1F74E110" w14:textId="77777777" w:rsidR="00E14268" w:rsidRPr="00AF59D1" w:rsidRDefault="00E14268" w:rsidP="00AF59D1">
            <w:pPr>
              <w:snapToGrid w:val="0"/>
              <w:spacing w:line="240" w:lineRule="auto"/>
              <w:ind w:right="0"/>
              <w:jc w:val="center"/>
              <w:rPr>
                <w:sz w:val="20"/>
                <w:szCs w:val="20"/>
              </w:rPr>
            </w:pPr>
          </w:p>
        </w:tc>
        <w:tc>
          <w:tcPr>
            <w:tcW w:w="648" w:type="dxa"/>
            <w:vAlign w:val="center"/>
          </w:tcPr>
          <w:p w14:paraId="61EAED11" w14:textId="77777777" w:rsidR="00E14268" w:rsidRPr="00AF59D1" w:rsidRDefault="00E14268" w:rsidP="00AF59D1">
            <w:pPr>
              <w:snapToGrid w:val="0"/>
              <w:spacing w:line="240" w:lineRule="auto"/>
              <w:ind w:right="0"/>
              <w:jc w:val="center"/>
              <w:rPr>
                <w:sz w:val="20"/>
                <w:szCs w:val="20"/>
              </w:rPr>
            </w:pPr>
          </w:p>
        </w:tc>
        <w:tc>
          <w:tcPr>
            <w:tcW w:w="992" w:type="dxa"/>
            <w:vAlign w:val="center"/>
          </w:tcPr>
          <w:p w14:paraId="0C957F3E" w14:textId="77777777" w:rsidR="00E14268" w:rsidRPr="00AF59D1" w:rsidRDefault="00E14268" w:rsidP="00AF59D1">
            <w:pPr>
              <w:snapToGrid w:val="0"/>
              <w:spacing w:line="240" w:lineRule="auto"/>
              <w:ind w:right="0"/>
              <w:jc w:val="center"/>
              <w:rPr>
                <w:sz w:val="20"/>
                <w:szCs w:val="20"/>
              </w:rPr>
            </w:pPr>
          </w:p>
        </w:tc>
        <w:tc>
          <w:tcPr>
            <w:tcW w:w="721" w:type="dxa"/>
            <w:vAlign w:val="center"/>
          </w:tcPr>
          <w:p w14:paraId="5E3F2DBC" w14:textId="6EBF1626" w:rsidR="00E14268" w:rsidRPr="00AF59D1" w:rsidRDefault="00E14268" w:rsidP="00AF59D1">
            <w:pPr>
              <w:snapToGrid w:val="0"/>
              <w:spacing w:line="240" w:lineRule="auto"/>
              <w:ind w:right="0"/>
              <w:jc w:val="center"/>
              <w:rPr>
                <w:sz w:val="20"/>
                <w:szCs w:val="20"/>
              </w:rPr>
            </w:pPr>
            <w:r w:rsidRPr="00AF59D1">
              <w:rPr>
                <w:sz w:val="20"/>
                <w:szCs w:val="20"/>
              </w:rPr>
              <w:t>1</w:t>
            </w:r>
          </w:p>
        </w:tc>
        <w:tc>
          <w:tcPr>
            <w:tcW w:w="721" w:type="dxa"/>
            <w:vAlign w:val="center"/>
          </w:tcPr>
          <w:p w14:paraId="38CA78B0" w14:textId="33C1952F" w:rsidR="00E14268" w:rsidRPr="00AF59D1" w:rsidRDefault="00E14268" w:rsidP="00AF59D1">
            <w:pPr>
              <w:snapToGrid w:val="0"/>
              <w:spacing w:line="240" w:lineRule="auto"/>
              <w:ind w:right="0"/>
              <w:jc w:val="center"/>
              <w:rPr>
                <w:b/>
                <w:bCs/>
                <w:sz w:val="20"/>
                <w:szCs w:val="20"/>
              </w:rPr>
            </w:pPr>
            <w:r w:rsidRPr="00AF59D1">
              <w:rPr>
                <w:sz w:val="20"/>
                <w:szCs w:val="20"/>
              </w:rPr>
              <w:t>-0.648</w:t>
            </w:r>
          </w:p>
        </w:tc>
        <w:tc>
          <w:tcPr>
            <w:tcW w:w="644" w:type="dxa"/>
            <w:vAlign w:val="center"/>
          </w:tcPr>
          <w:p w14:paraId="4B240033" w14:textId="41E7736D" w:rsidR="00E14268" w:rsidRPr="00AF59D1" w:rsidRDefault="00E14268" w:rsidP="00AF59D1">
            <w:pPr>
              <w:snapToGrid w:val="0"/>
              <w:spacing w:line="240" w:lineRule="auto"/>
              <w:ind w:right="0"/>
              <w:jc w:val="center"/>
              <w:rPr>
                <w:sz w:val="20"/>
                <w:szCs w:val="20"/>
              </w:rPr>
            </w:pPr>
            <w:r w:rsidRPr="00AF59D1">
              <w:rPr>
                <w:sz w:val="20"/>
                <w:szCs w:val="20"/>
              </w:rPr>
              <w:t>-0.287</w:t>
            </w:r>
          </w:p>
        </w:tc>
      </w:tr>
      <w:tr w:rsidR="00E14268" w:rsidRPr="00AF59D1" w14:paraId="2B69C200" w14:textId="737D9B7C" w:rsidTr="00AF59D1">
        <w:trPr>
          <w:cantSplit/>
          <w:tblHeader/>
        </w:trPr>
        <w:tc>
          <w:tcPr>
            <w:tcW w:w="859" w:type="dxa"/>
            <w:vAlign w:val="center"/>
          </w:tcPr>
          <w:p w14:paraId="62DE2312" w14:textId="77777777" w:rsidR="00E14268" w:rsidRPr="00AF59D1" w:rsidRDefault="00E14268" w:rsidP="00AF59D1">
            <w:pPr>
              <w:snapToGrid w:val="0"/>
              <w:spacing w:line="240" w:lineRule="auto"/>
              <w:ind w:right="0"/>
              <w:rPr>
                <w:sz w:val="20"/>
                <w:szCs w:val="20"/>
              </w:rPr>
            </w:pPr>
          </w:p>
        </w:tc>
        <w:tc>
          <w:tcPr>
            <w:tcW w:w="562" w:type="dxa"/>
            <w:vAlign w:val="center"/>
          </w:tcPr>
          <w:p w14:paraId="7EF4446C" w14:textId="77777777" w:rsidR="00E14268" w:rsidRPr="00AF59D1" w:rsidRDefault="00E14268" w:rsidP="00AF59D1">
            <w:pPr>
              <w:snapToGrid w:val="0"/>
              <w:spacing w:line="240" w:lineRule="auto"/>
              <w:ind w:right="0"/>
              <w:jc w:val="center"/>
              <w:rPr>
                <w:sz w:val="20"/>
                <w:szCs w:val="20"/>
              </w:rPr>
            </w:pPr>
          </w:p>
        </w:tc>
        <w:tc>
          <w:tcPr>
            <w:tcW w:w="744" w:type="dxa"/>
            <w:vAlign w:val="center"/>
          </w:tcPr>
          <w:p w14:paraId="7BF1F019" w14:textId="77777777" w:rsidR="00E14268" w:rsidRPr="00AF59D1" w:rsidRDefault="00E14268" w:rsidP="00AF59D1">
            <w:pPr>
              <w:snapToGrid w:val="0"/>
              <w:spacing w:line="240" w:lineRule="auto"/>
              <w:ind w:right="0"/>
              <w:jc w:val="center"/>
              <w:rPr>
                <w:sz w:val="20"/>
                <w:szCs w:val="20"/>
              </w:rPr>
            </w:pPr>
          </w:p>
        </w:tc>
        <w:tc>
          <w:tcPr>
            <w:tcW w:w="721" w:type="dxa"/>
            <w:vAlign w:val="center"/>
          </w:tcPr>
          <w:p w14:paraId="0B94DB82" w14:textId="77777777" w:rsidR="00E14268" w:rsidRPr="00AF59D1" w:rsidRDefault="00E14268" w:rsidP="00AF59D1">
            <w:pPr>
              <w:snapToGrid w:val="0"/>
              <w:spacing w:line="240" w:lineRule="auto"/>
              <w:ind w:right="0"/>
              <w:jc w:val="center"/>
              <w:rPr>
                <w:sz w:val="20"/>
                <w:szCs w:val="20"/>
              </w:rPr>
            </w:pPr>
          </w:p>
        </w:tc>
        <w:tc>
          <w:tcPr>
            <w:tcW w:w="750" w:type="dxa"/>
            <w:vAlign w:val="center"/>
          </w:tcPr>
          <w:p w14:paraId="68B5B768" w14:textId="77777777" w:rsidR="00E14268" w:rsidRPr="00AF59D1" w:rsidRDefault="00E14268" w:rsidP="00AF59D1">
            <w:pPr>
              <w:snapToGrid w:val="0"/>
              <w:spacing w:line="240" w:lineRule="auto"/>
              <w:ind w:right="0"/>
              <w:jc w:val="center"/>
              <w:rPr>
                <w:sz w:val="20"/>
                <w:szCs w:val="20"/>
              </w:rPr>
            </w:pPr>
          </w:p>
        </w:tc>
        <w:tc>
          <w:tcPr>
            <w:tcW w:w="961" w:type="dxa"/>
            <w:vAlign w:val="center"/>
          </w:tcPr>
          <w:p w14:paraId="1E49FEEE" w14:textId="77777777" w:rsidR="00E14268" w:rsidRPr="00AF59D1" w:rsidRDefault="00E14268" w:rsidP="00AF59D1">
            <w:pPr>
              <w:snapToGrid w:val="0"/>
              <w:spacing w:line="240" w:lineRule="auto"/>
              <w:ind w:right="0"/>
              <w:jc w:val="center"/>
              <w:rPr>
                <w:sz w:val="20"/>
                <w:szCs w:val="20"/>
              </w:rPr>
            </w:pPr>
          </w:p>
        </w:tc>
        <w:tc>
          <w:tcPr>
            <w:tcW w:w="648" w:type="dxa"/>
            <w:vAlign w:val="center"/>
          </w:tcPr>
          <w:p w14:paraId="17C5A464" w14:textId="77777777" w:rsidR="00E14268" w:rsidRPr="00AF59D1" w:rsidRDefault="00E14268" w:rsidP="00AF59D1">
            <w:pPr>
              <w:snapToGrid w:val="0"/>
              <w:spacing w:line="240" w:lineRule="auto"/>
              <w:ind w:right="0"/>
              <w:jc w:val="center"/>
              <w:rPr>
                <w:sz w:val="20"/>
                <w:szCs w:val="20"/>
              </w:rPr>
            </w:pPr>
          </w:p>
        </w:tc>
        <w:tc>
          <w:tcPr>
            <w:tcW w:w="992" w:type="dxa"/>
            <w:vAlign w:val="center"/>
          </w:tcPr>
          <w:p w14:paraId="14403F16" w14:textId="77777777" w:rsidR="00E14268" w:rsidRPr="00AF59D1" w:rsidRDefault="00E14268" w:rsidP="00AF59D1">
            <w:pPr>
              <w:snapToGrid w:val="0"/>
              <w:spacing w:line="240" w:lineRule="auto"/>
              <w:ind w:right="0"/>
              <w:jc w:val="center"/>
              <w:rPr>
                <w:sz w:val="20"/>
                <w:szCs w:val="20"/>
              </w:rPr>
            </w:pPr>
          </w:p>
        </w:tc>
        <w:tc>
          <w:tcPr>
            <w:tcW w:w="721" w:type="dxa"/>
            <w:vAlign w:val="center"/>
          </w:tcPr>
          <w:p w14:paraId="7FC0EFA7" w14:textId="77777777" w:rsidR="00E14268" w:rsidRPr="00AF59D1" w:rsidRDefault="00E14268" w:rsidP="00AF59D1">
            <w:pPr>
              <w:snapToGrid w:val="0"/>
              <w:spacing w:line="240" w:lineRule="auto"/>
              <w:ind w:right="0"/>
              <w:jc w:val="center"/>
              <w:rPr>
                <w:sz w:val="20"/>
                <w:szCs w:val="20"/>
              </w:rPr>
            </w:pPr>
          </w:p>
        </w:tc>
        <w:tc>
          <w:tcPr>
            <w:tcW w:w="721" w:type="dxa"/>
            <w:vAlign w:val="center"/>
          </w:tcPr>
          <w:p w14:paraId="27B6D082" w14:textId="539546DA" w:rsidR="00E14268" w:rsidRPr="00AF59D1" w:rsidRDefault="00E14268" w:rsidP="00AF59D1">
            <w:pPr>
              <w:snapToGrid w:val="0"/>
              <w:spacing w:line="240" w:lineRule="auto"/>
              <w:ind w:right="0"/>
              <w:jc w:val="center"/>
              <w:rPr>
                <w:b/>
                <w:bCs/>
                <w:sz w:val="20"/>
                <w:szCs w:val="20"/>
              </w:rPr>
            </w:pPr>
            <w:r w:rsidRPr="00AF59D1">
              <w:rPr>
                <w:sz w:val="20"/>
                <w:szCs w:val="20"/>
              </w:rPr>
              <w:t>&lt;.001</w:t>
            </w:r>
          </w:p>
        </w:tc>
        <w:tc>
          <w:tcPr>
            <w:tcW w:w="644" w:type="dxa"/>
            <w:vAlign w:val="center"/>
          </w:tcPr>
          <w:p w14:paraId="34C2C993" w14:textId="20CBF13D" w:rsidR="00E14268" w:rsidRPr="00AF59D1" w:rsidRDefault="00E14268" w:rsidP="00AF59D1">
            <w:pPr>
              <w:snapToGrid w:val="0"/>
              <w:spacing w:line="240" w:lineRule="auto"/>
              <w:ind w:right="0"/>
              <w:jc w:val="center"/>
              <w:rPr>
                <w:sz w:val="20"/>
                <w:szCs w:val="20"/>
              </w:rPr>
            </w:pPr>
            <w:r w:rsidRPr="00AF59D1">
              <w:rPr>
                <w:sz w:val="20"/>
                <w:szCs w:val="20"/>
              </w:rPr>
              <w:t>&lt;.001</w:t>
            </w:r>
          </w:p>
        </w:tc>
      </w:tr>
      <w:tr w:rsidR="00E14268" w:rsidRPr="00AF59D1" w14:paraId="55DF386C" w14:textId="1934928F" w:rsidTr="00AF59D1">
        <w:trPr>
          <w:cantSplit/>
          <w:tblHeader/>
        </w:trPr>
        <w:tc>
          <w:tcPr>
            <w:tcW w:w="859" w:type="dxa"/>
            <w:vAlign w:val="center"/>
          </w:tcPr>
          <w:p w14:paraId="13444B60" w14:textId="1CE20376" w:rsidR="00E14268" w:rsidRPr="00AF59D1" w:rsidRDefault="00E14268" w:rsidP="00AF59D1">
            <w:pPr>
              <w:snapToGrid w:val="0"/>
              <w:spacing w:line="240" w:lineRule="auto"/>
              <w:ind w:right="0"/>
              <w:rPr>
                <w:b/>
                <w:bCs/>
                <w:sz w:val="20"/>
                <w:szCs w:val="20"/>
              </w:rPr>
            </w:pPr>
            <w:r w:rsidRPr="00AF59D1">
              <w:rPr>
                <w:sz w:val="20"/>
                <w:szCs w:val="20"/>
              </w:rPr>
              <w:t xml:space="preserve">Cash </w:t>
            </w:r>
          </w:p>
        </w:tc>
        <w:tc>
          <w:tcPr>
            <w:tcW w:w="562" w:type="dxa"/>
            <w:vAlign w:val="center"/>
          </w:tcPr>
          <w:p w14:paraId="3E0C5F64" w14:textId="77777777" w:rsidR="00E14268" w:rsidRPr="00AF59D1" w:rsidRDefault="00E14268" w:rsidP="00AF59D1">
            <w:pPr>
              <w:snapToGrid w:val="0"/>
              <w:spacing w:line="240" w:lineRule="auto"/>
              <w:ind w:right="0"/>
              <w:jc w:val="center"/>
              <w:rPr>
                <w:sz w:val="20"/>
                <w:szCs w:val="20"/>
              </w:rPr>
            </w:pPr>
          </w:p>
        </w:tc>
        <w:tc>
          <w:tcPr>
            <w:tcW w:w="744" w:type="dxa"/>
            <w:vAlign w:val="center"/>
          </w:tcPr>
          <w:p w14:paraId="7BB45E09" w14:textId="77777777" w:rsidR="00E14268" w:rsidRPr="00AF59D1" w:rsidRDefault="00E14268" w:rsidP="00AF59D1">
            <w:pPr>
              <w:snapToGrid w:val="0"/>
              <w:spacing w:line="240" w:lineRule="auto"/>
              <w:ind w:right="0"/>
              <w:jc w:val="center"/>
              <w:rPr>
                <w:sz w:val="20"/>
                <w:szCs w:val="20"/>
              </w:rPr>
            </w:pPr>
          </w:p>
        </w:tc>
        <w:tc>
          <w:tcPr>
            <w:tcW w:w="721" w:type="dxa"/>
            <w:vAlign w:val="center"/>
          </w:tcPr>
          <w:p w14:paraId="51886FE3" w14:textId="77777777" w:rsidR="00E14268" w:rsidRPr="00AF59D1" w:rsidRDefault="00E14268" w:rsidP="00AF59D1">
            <w:pPr>
              <w:snapToGrid w:val="0"/>
              <w:spacing w:line="240" w:lineRule="auto"/>
              <w:ind w:right="0"/>
              <w:jc w:val="center"/>
              <w:rPr>
                <w:sz w:val="20"/>
                <w:szCs w:val="20"/>
              </w:rPr>
            </w:pPr>
          </w:p>
        </w:tc>
        <w:tc>
          <w:tcPr>
            <w:tcW w:w="750" w:type="dxa"/>
            <w:vAlign w:val="center"/>
          </w:tcPr>
          <w:p w14:paraId="7A39319A" w14:textId="77777777" w:rsidR="00E14268" w:rsidRPr="00AF59D1" w:rsidRDefault="00E14268" w:rsidP="00AF59D1">
            <w:pPr>
              <w:snapToGrid w:val="0"/>
              <w:spacing w:line="240" w:lineRule="auto"/>
              <w:ind w:right="0"/>
              <w:jc w:val="center"/>
              <w:rPr>
                <w:sz w:val="20"/>
                <w:szCs w:val="20"/>
              </w:rPr>
            </w:pPr>
          </w:p>
        </w:tc>
        <w:tc>
          <w:tcPr>
            <w:tcW w:w="961" w:type="dxa"/>
            <w:vAlign w:val="center"/>
          </w:tcPr>
          <w:p w14:paraId="7F30CE7D" w14:textId="77777777" w:rsidR="00E14268" w:rsidRPr="00AF59D1" w:rsidRDefault="00E14268" w:rsidP="00AF59D1">
            <w:pPr>
              <w:snapToGrid w:val="0"/>
              <w:spacing w:line="240" w:lineRule="auto"/>
              <w:ind w:right="0"/>
              <w:jc w:val="center"/>
              <w:rPr>
                <w:sz w:val="20"/>
                <w:szCs w:val="20"/>
              </w:rPr>
            </w:pPr>
          </w:p>
        </w:tc>
        <w:tc>
          <w:tcPr>
            <w:tcW w:w="648" w:type="dxa"/>
            <w:vAlign w:val="center"/>
          </w:tcPr>
          <w:p w14:paraId="0E6E80D5" w14:textId="77777777" w:rsidR="00E14268" w:rsidRPr="00AF59D1" w:rsidRDefault="00E14268" w:rsidP="00AF59D1">
            <w:pPr>
              <w:snapToGrid w:val="0"/>
              <w:spacing w:line="240" w:lineRule="auto"/>
              <w:ind w:right="0"/>
              <w:jc w:val="center"/>
              <w:rPr>
                <w:sz w:val="20"/>
                <w:szCs w:val="20"/>
              </w:rPr>
            </w:pPr>
          </w:p>
        </w:tc>
        <w:tc>
          <w:tcPr>
            <w:tcW w:w="992" w:type="dxa"/>
            <w:vAlign w:val="center"/>
          </w:tcPr>
          <w:p w14:paraId="405122C0" w14:textId="77777777" w:rsidR="00E14268" w:rsidRPr="00AF59D1" w:rsidRDefault="00E14268" w:rsidP="00AF59D1">
            <w:pPr>
              <w:snapToGrid w:val="0"/>
              <w:spacing w:line="240" w:lineRule="auto"/>
              <w:ind w:right="0"/>
              <w:jc w:val="center"/>
              <w:rPr>
                <w:sz w:val="20"/>
                <w:szCs w:val="20"/>
              </w:rPr>
            </w:pPr>
          </w:p>
        </w:tc>
        <w:tc>
          <w:tcPr>
            <w:tcW w:w="721" w:type="dxa"/>
            <w:vAlign w:val="center"/>
          </w:tcPr>
          <w:p w14:paraId="03AF0282" w14:textId="77777777" w:rsidR="00E14268" w:rsidRPr="00AF59D1" w:rsidRDefault="00E14268" w:rsidP="00AF59D1">
            <w:pPr>
              <w:snapToGrid w:val="0"/>
              <w:spacing w:line="240" w:lineRule="auto"/>
              <w:ind w:right="0"/>
              <w:jc w:val="center"/>
              <w:rPr>
                <w:sz w:val="20"/>
                <w:szCs w:val="20"/>
              </w:rPr>
            </w:pPr>
          </w:p>
        </w:tc>
        <w:tc>
          <w:tcPr>
            <w:tcW w:w="721" w:type="dxa"/>
            <w:vAlign w:val="center"/>
          </w:tcPr>
          <w:p w14:paraId="6BFFF823" w14:textId="25AB7CF1" w:rsidR="00E14268" w:rsidRPr="00AF59D1" w:rsidRDefault="00E14268" w:rsidP="00AF59D1">
            <w:pPr>
              <w:snapToGrid w:val="0"/>
              <w:spacing w:line="240" w:lineRule="auto"/>
              <w:ind w:right="0"/>
              <w:jc w:val="center"/>
              <w:rPr>
                <w:sz w:val="20"/>
                <w:szCs w:val="20"/>
              </w:rPr>
            </w:pPr>
            <w:r w:rsidRPr="00AF59D1">
              <w:rPr>
                <w:sz w:val="20"/>
                <w:szCs w:val="20"/>
              </w:rPr>
              <w:t>1</w:t>
            </w:r>
          </w:p>
        </w:tc>
        <w:tc>
          <w:tcPr>
            <w:tcW w:w="644" w:type="dxa"/>
            <w:vAlign w:val="center"/>
          </w:tcPr>
          <w:p w14:paraId="10E737CB" w14:textId="32A2F745" w:rsidR="00E14268" w:rsidRPr="00AF59D1" w:rsidRDefault="00E14268" w:rsidP="00AF59D1">
            <w:pPr>
              <w:snapToGrid w:val="0"/>
              <w:spacing w:line="240" w:lineRule="auto"/>
              <w:ind w:right="0"/>
              <w:jc w:val="center"/>
              <w:rPr>
                <w:sz w:val="20"/>
                <w:szCs w:val="20"/>
              </w:rPr>
            </w:pPr>
            <w:r w:rsidRPr="00AF59D1">
              <w:rPr>
                <w:sz w:val="20"/>
                <w:szCs w:val="20"/>
              </w:rPr>
              <w:t>-0.544</w:t>
            </w:r>
          </w:p>
        </w:tc>
      </w:tr>
      <w:tr w:rsidR="00E14268" w:rsidRPr="00AF59D1" w14:paraId="24A4E7C9" w14:textId="4BA4EE2F" w:rsidTr="00AF59D1">
        <w:trPr>
          <w:cantSplit/>
          <w:tblHeader/>
        </w:trPr>
        <w:tc>
          <w:tcPr>
            <w:tcW w:w="859" w:type="dxa"/>
            <w:vAlign w:val="center"/>
          </w:tcPr>
          <w:p w14:paraId="6F845BAD" w14:textId="77777777" w:rsidR="00E14268" w:rsidRPr="00AF59D1" w:rsidRDefault="00E14268" w:rsidP="00AF59D1">
            <w:pPr>
              <w:snapToGrid w:val="0"/>
              <w:spacing w:line="240" w:lineRule="auto"/>
              <w:ind w:right="0"/>
              <w:rPr>
                <w:sz w:val="20"/>
                <w:szCs w:val="20"/>
              </w:rPr>
            </w:pPr>
          </w:p>
        </w:tc>
        <w:tc>
          <w:tcPr>
            <w:tcW w:w="562" w:type="dxa"/>
            <w:vAlign w:val="center"/>
          </w:tcPr>
          <w:p w14:paraId="43BDF0E3" w14:textId="77777777" w:rsidR="00E14268" w:rsidRPr="00AF59D1" w:rsidRDefault="00E14268" w:rsidP="00AF59D1">
            <w:pPr>
              <w:snapToGrid w:val="0"/>
              <w:spacing w:line="240" w:lineRule="auto"/>
              <w:ind w:right="0"/>
              <w:jc w:val="center"/>
              <w:rPr>
                <w:sz w:val="20"/>
                <w:szCs w:val="20"/>
              </w:rPr>
            </w:pPr>
          </w:p>
        </w:tc>
        <w:tc>
          <w:tcPr>
            <w:tcW w:w="744" w:type="dxa"/>
            <w:vAlign w:val="center"/>
          </w:tcPr>
          <w:p w14:paraId="68CF03D0" w14:textId="77777777" w:rsidR="00E14268" w:rsidRPr="00AF59D1" w:rsidRDefault="00E14268" w:rsidP="00AF59D1">
            <w:pPr>
              <w:snapToGrid w:val="0"/>
              <w:spacing w:line="240" w:lineRule="auto"/>
              <w:ind w:right="0"/>
              <w:jc w:val="center"/>
              <w:rPr>
                <w:sz w:val="20"/>
                <w:szCs w:val="20"/>
              </w:rPr>
            </w:pPr>
          </w:p>
        </w:tc>
        <w:tc>
          <w:tcPr>
            <w:tcW w:w="721" w:type="dxa"/>
            <w:vAlign w:val="center"/>
          </w:tcPr>
          <w:p w14:paraId="68D22A1C" w14:textId="77777777" w:rsidR="00E14268" w:rsidRPr="00AF59D1" w:rsidRDefault="00E14268" w:rsidP="00AF59D1">
            <w:pPr>
              <w:snapToGrid w:val="0"/>
              <w:spacing w:line="240" w:lineRule="auto"/>
              <w:ind w:right="0"/>
              <w:jc w:val="center"/>
              <w:rPr>
                <w:sz w:val="20"/>
                <w:szCs w:val="20"/>
              </w:rPr>
            </w:pPr>
          </w:p>
        </w:tc>
        <w:tc>
          <w:tcPr>
            <w:tcW w:w="750" w:type="dxa"/>
            <w:vAlign w:val="center"/>
          </w:tcPr>
          <w:p w14:paraId="61A6756C" w14:textId="77777777" w:rsidR="00E14268" w:rsidRPr="00AF59D1" w:rsidRDefault="00E14268" w:rsidP="00AF59D1">
            <w:pPr>
              <w:snapToGrid w:val="0"/>
              <w:spacing w:line="240" w:lineRule="auto"/>
              <w:ind w:right="0"/>
              <w:jc w:val="center"/>
              <w:rPr>
                <w:sz w:val="20"/>
                <w:szCs w:val="20"/>
              </w:rPr>
            </w:pPr>
          </w:p>
        </w:tc>
        <w:tc>
          <w:tcPr>
            <w:tcW w:w="961" w:type="dxa"/>
            <w:vAlign w:val="center"/>
          </w:tcPr>
          <w:p w14:paraId="49F396BC" w14:textId="77777777" w:rsidR="00E14268" w:rsidRPr="00AF59D1" w:rsidRDefault="00E14268" w:rsidP="00AF59D1">
            <w:pPr>
              <w:snapToGrid w:val="0"/>
              <w:spacing w:line="240" w:lineRule="auto"/>
              <w:ind w:right="0"/>
              <w:jc w:val="center"/>
              <w:rPr>
                <w:sz w:val="20"/>
                <w:szCs w:val="20"/>
              </w:rPr>
            </w:pPr>
          </w:p>
        </w:tc>
        <w:tc>
          <w:tcPr>
            <w:tcW w:w="648" w:type="dxa"/>
            <w:vAlign w:val="center"/>
          </w:tcPr>
          <w:p w14:paraId="20EA96B8" w14:textId="77777777" w:rsidR="00E14268" w:rsidRPr="00AF59D1" w:rsidRDefault="00E14268" w:rsidP="00AF59D1">
            <w:pPr>
              <w:snapToGrid w:val="0"/>
              <w:spacing w:line="240" w:lineRule="auto"/>
              <w:ind w:right="0"/>
              <w:jc w:val="center"/>
              <w:rPr>
                <w:sz w:val="20"/>
                <w:szCs w:val="20"/>
              </w:rPr>
            </w:pPr>
          </w:p>
        </w:tc>
        <w:tc>
          <w:tcPr>
            <w:tcW w:w="992" w:type="dxa"/>
            <w:vAlign w:val="center"/>
          </w:tcPr>
          <w:p w14:paraId="62A4E450" w14:textId="77777777" w:rsidR="00E14268" w:rsidRPr="00AF59D1" w:rsidRDefault="00E14268" w:rsidP="00AF59D1">
            <w:pPr>
              <w:snapToGrid w:val="0"/>
              <w:spacing w:line="240" w:lineRule="auto"/>
              <w:ind w:right="0"/>
              <w:jc w:val="center"/>
              <w:rPr>
                <w:sz w:val="20"/>
                <w:szCs w:val="20"/>
              </w:rPr>
            </w:pPr>
          </w:p>
        </w:tc>
        <w:tc>
          <w:tcPr>
            <w:tcW w:w="721" w:type="dxa"/>
            <w:vAlign w:val="center"/>
          </w:tcPr>
          <w:p w14:paraId="6AD7B83D" w14:textId="77777777" w:rsidR="00E14268" w:rsidRPr="00AF59D1" w:rsidRDefault="00E14268" w:rsidP="00AF59D1">
            <w:pPr>
              <w:snapToGrid w:val="0"/>
              <w:spacing w:line="240" w:lineRule="auto"/>
              <w:ind w:right="0"/>
              <w:jc w:val="center"/>
              <w:rPr>
                <w:sz w:val="20"/>
                <w:szCs w:val="20"/>
              </w:rPr>
            </w:pPr>
          </w:p>
        </w:tc>
        <w:tc>
          <w:tcPr>
            <w:tcW w:w="721" w:type="dxa"/>
            <w:vAlign w:val="center"/>
          </w:tcPr>
          <w:p w14:paraId="70C3DA91" w14:textId="77777777" w:rsidR="00E14268" w:rsidRPr="00AF59D1" w:rsidRDefault="00E14268" w:rsidP="00AF59D1">
            <w:pPr>
              <w:snapToGrid w:val="0"/>
              <w:spacing w:line="240" w:lineRule="auto"/>
              <w:ind w:right="0"/>
              <w:jc w:val="center"/>
              <w:rPr>
                <w:sz w:val="20"/>
                <w:szCs w:val="20"/>
              </w:rPr>
            </w:pPr>
          </w:p>
        </w:tc>
        <w:tc>
          <w:tcPr>
            <w:tcW w:w="644" w:type="dxa"/>
            <w:vAlign w:val="center"/>
          </w:tcPr>
          <w:p w14:paraId="11526D93" w14:textId="4AF2750B" w:rsidR="00E14268" w:rsidRPr="00AF59D1" w:rsidRDefault="00E14268" w:rsidP="00AF59D1">
            <w:pPr>
              <w:snapToGrid w:val="0"/>
              <w:spacing w:line="240" w:lineRule="auto"/>
              <w:ind w:right="0"/>
              <w:jc w:val="center"/>
              <w:rPr>
                <w:b/>
                <w:bCs/>
                <w:sz w:val="20"/>
                <w:szCs w:val="20"/>
              </w:rPr>
            </w:pPr>
            <w:r w:rsidRPr="00AF59D1">
              <w:rPr>
                <w:sz w:val="20"/>
                <w:szCs w:val="20"/>
              </w:rPr>
              <w:t>&lt;.001</w:t>
            </w:r>
          </w:p>
        </w:tc>
      </w:tr>
      <w:tr w:rsidR="00E14268" w:rsidRPr="00AF59D1" w14:paraId="10E2724E" w14:textId="1FE7D4A9" w:rsidTr="00AF59D1">
        <w:trPr>
          <w:cantSplit/>
          <w:tblHeader/>
        </w:trPr>
        <w:tc>
          <w:tcPr>
            <w:tcW w:w="859" w:type="dxa"/>
            <w:vAlign w:val="center"/>
          </w:tcPr>
          <w:p w14:paraId="655CCE47" w14:textId="3EE4F06F" w:rsidR="00E14268" w:rsidRPr="00AF59D1" w:rsidRDefault="00E14268" w:rsidP="00AF59D1">
            <w:pPr>
              <w:snapToGrid w:val="0"/>
              <w:spacing w:line="240" w:lineRule="auto"/>
              <w:ind w:right="0"/>
              <w:rPr>
                <w:b/>
                <w:bCs/>
                <w:sz w:val="20"/>
                <w:szCs w:val="20"/>
              </w:rPr>
            </w:pPr>
            <w:r w:rsidRPr="00AF59D1">
              <w:rPr>
                <w:sz w:val="20"/>
                <w:szCs w:val="20"/>
              </w:rPr>
              <w:t>Mix</w:t>
            </w:r>
          </w:p>
        </w:tc>
        <w:tc>
          <w:tcPr>
            <w:tcW w:w="562" w:type="dxa"/>
            <w:vAlign w:val="center"/>
          </w:tcPr>
          <w:p w14:paraId="346265D7" w14:textId="77777777" w:rsidR="00E14268" w:rsidRPr="00AF59D1" w:rsidRDefault="00E14268" w:rsidP="00AF59D1">
            <w:pPr>
              <w:snapToGrid w:val="0"/>
              <w:spacing w:line="240" w:lineRule="auto"/>
              <w:ind w:right="0"/>
              <w:jc w:val="center"/>
              <w:rPr>
                <w:sz w:val="20"/>
                <w:szCs w:val="20"/>
              </w:rPr>
            </w:pPr>
          </w:p>
        </w:tc>
        <w:tc>
          <w:tcPr>
            <w:tcW w:w="744" w:type="dxa"/>
            <w:vAlign w:val="center"/>
          </w:tcPr>
          <w:p w14:paraId="3DE9C019" w14:textId="77777777" w:rsidR="00E14268" w:rsidRPr="00AF59D1" w:rsidRDefault="00E14268" w:rsidP="00AF59D1">
            <w:pPr>
              <w:snapToGrid w:val="0"/>
              <w:spacing w:line="240" w:lineRule="auto"/>
              <w:ind w:right="0"/>
              <w:jc w:val="center"/>
              <w:rPr>
                <w:sz w:val="20"/>
                <w:szCs w:val="20"/>
              </w:rPr>
            </w:pPr>
          </w:p>
        </w:tc>
        <w:tc>
          <w:tcPr>
            <w:tcW w:w="721" w:type="dxa"/>
            <w:vAlign w:val="center"/>
          </w:tcPr>
          <w:p w14:paraId="4B7B5480" w14:textId="77777777" w:rsidR="00E14268" w:rsidRPr="00AF59D1" w:rsidRDefault="00E14268" w:rsidP="00AF59D1">
            <w:pPr>
              <w:snapToGrid w:val="0"/>
              <w:spacing w:line="240" w:lineRule="auto"/>
              <w:ind w:right="0"/>
              <w:jc w:val="center"/>
              <w:rPr>
                <w:sz w:val="20"/>
                <w:szCs w:val="20"/>
              </w:rPr>
            </w:pPr>
          </w:p>
        </w:tc>
        <w:tc>
          <w:tcPr>
            <w:tcW w:w="750" w:type="dxa"/>
            <w:vAlign w:val="center"/>
          </w:tcPr>
          <w:p w14:paraId="55658F09" w14:textId="77777777" w:rsidR="00E14268" w:rsidRPr="00AF59D1" w:rsidRDefault="00E14268" w:rsidP="00AF59D1">
            <w:pPr>
              <w:snapToGrid w:val="0"/>
              <w:spacing w:line="240" w:lineRule="auto"/>
              <w:ind w:right="0"/>
              <w:jc w:val="center"/>
              <w:rPr>
                <w:sz w:val="20"/>
                <w:szCs w:val="20"/>
              </w:rPr>
            </w:pPr>
          </w:p>
        </w:tc>
        <w:tc>
          <w:tcPr>
            <w:tcW w:w="961" w:type="dxa"/>
            <w:vAlign w:val="center"/>
          </w:tcPr>
          <w:p w14:paraId="342D329F" w14:textId="77777777" w:rsidR="00E14268" w:rsidRPr="00AF59D1" w:rsidRDefault="00E14268" w:rsidP="00AF59D1">
            <w:pPr>
              <w:snapToGrid w:val="0"/>
              <w:spacing w:line="240" w:lineRule="auto"/>
              <w:ind w:right="0"/>
              <w:jc w:val="center"/>
              <w:rPr>
                <w:sz w:val="20"/>
                <w:szCs w:val="20"/>
              </w:rPr>
            </w:pPr>
          </w:p>
        </w:tc>
        <w:tc>
          <w:tcPr>
            <w:tcW w:w="648" w:type="dxa"/>
            <w:vAlign w:val="center"/>
          </w:tcPr>
          <w:p w14:paraId="44FBDC3F" w14:textId="77777777" w:rsidR="00E14268" w:rsidRPr="00AF59D1" w:rsidRDefault="00E14268" w:rsidP="00AF59D1">
            <w:pPr>
              <w:snapToGrid w:val="0"/>
              <w:spacing w:line="240" w:lineRule="auto"/>
              <w:ind w:right="0"/>
              <w:jc w:val="center"/>
              <w:rPr>
                <w:sz w:val="20"/>
                <w:szCs w:val="20"/>
              </w:rPr>
            </w:pPr>
          </w:p>
        </w:tc>
        <w:tc>
          <w:tcPr>
            <w:tcW w:w="992" w:type="dxa"/>
            <w:vAlign w:val="center"/>
          </w:tcPr>
          <w:p w14:paraId="0D3D389A" w14:textId="77777777" w:rsidR="00E14268" w:rsidRPr="00AF59D1" w:rsidRDefault="00E14268" w:rsidP="00AF59D1">
            <w:pPr>
              <w:snapToGrid w:val="0"/>
              <w:spacing w:line="240" w:lineRule="auto"/>
              <w:ind w:right="0"/>
              <w:jc w:val="center"/>
              <w:rPr>
                <w:sz w:val="20"/>
                <w:szCs w:val="20"/>
              </w:rPr>
            </w:pPr>
          </w:p>
        </w:tc>
        <w:tc>
          <w:tcPr>
            <w:tcW w:w="721" w:type="dxa"/>
            <w:vAlign w:val="center"/>
          </w:tcPr>
          <w:p w14:paraId="00B12C03" w14:textId="77777777" w:rsidR="00E14268" w:rsidRPr="00AF59D1" w:rsidRDefault="00E14268" w:rsidP="00AF59D1">
            <w:pPr>
              <w:snapToGrid w:val="0"/>
              <w:spacing w:line="240" w:lineRule="auto"/>
              <w:ind w:right="0"/>
              <w:jc w:val="center"/>
              <w:rPr>
                <w:sz w:val="20"/>
                <w:szCs w:val="20"/>
              </w:rPr>
            </w:pPr>
          </w:p>
        </w:tc>
        <w:tc>
          <w:tcPr>
            <w:tcW w:w="721" w:type="dxa"/>
            <w:vAlign w:val="center"/>
          </w:tcPr>
          <w:p w14:paraId="27F22E2E" w14:textId="77777777" w:rsidR="00E14268" w:rsidRPr="00AF59D1" w:rsidRDefault="00E14268" w:rsidP="00AF59D1">
            <w:pPr>
              <w:snapToGrid w:val="0"/>
              <w:spacing w:line="240" w:lineRule="auto"/>
              <w:ind w:right="0"/>
              <w:jc w:val="center"/>
              <w:rPr>
                <w:sz w:val="20"/>
                <w:szCs w:val="20"/>
              </w:rPr>
            </w:pPr>
          </w:p>
        </w:tc>
        <w:tc>
          <w:tcPr>
            <w:tcW w:w="644" w:type="dxa"/>
            <w:vAlign w:val="center"/>
          </w:tcPr>
          <w:p w14:paraId="1BD6289F" w14:textId="3D19AB54" w:rsidR="00E14268" w:rsidRPr="00AF59D1" w:rsidRDefault="00E14268" w:rsidP="00AF59D1">
            <w:pPr>
              <w:snapToGrid w:val="0"/>
              <w:spacing w:line="240" w:lineRule="auto"/>
              <w:ind w:right="0"/>
              <w:jc w:val="center"/>
              <w:rPr>
                <w:sz w:val="20"/>
                <w:szCs w:val="20"/>
              </w:rPr>
            </w:pPr>
            <w:r w:rsidRPr="00AF59D1">
              <w:rPr>
                <w:sz w:val="20"/>
                <w:szCs w:val="20"/>
              </w:rPr>
              <w:t>1</w:t>
            </w:r>
          </w:p>
        </w:tc>
      </w:tr>
    </w:tbl>
    <w:p w14:paraId="2C4EC6B9" w14:textId="77777777" w:rsidR="00B143E2" w:rsidRDefault="00B143E2" w:rsidP="00AF59D1">
      <w:pPr>
        <w:pStyle w:val="text"/>
        <w:spacing w:beforeLines="50" w:before="180"/>
      </w:pPr>
      <w:r>
        <w:t>An examination of the correlation matrix in Table 3 reveals that only two correlation coefficients exceed the threshold of 0.5 in absolute value. These coefficients pertain to the relationships among the payment method variables, specifically between stock and cash payment, and between cash and mixed payment. This observation is consistent with the inherent nature of payment methods, which are mutually exclusive categories.</w:t>
      </w:r>
    </w:p>
    <w:p w14:paraId="259AD51A" w14:textId="77777777" w:rsidR="00B143E2" w:rsidRDefault="00B143E2" w:rsidP="00324F2F">
      <w:pPr>
        <w:pStyle w:val="text"/>
      </w:pPr>
      <w:r>
        <w:t>Given that a single transaction can only employ one payment method, the presence of negative correlations among these variables is expected. Specifically, the correlation coefficient between 100% cash and 100% stock payments is -0.648, indicating a moderately strong negative relationship. Similarly, the correlation between 100% cash and mixed payments exhibits a negative coefficient of -0.544.</w:t>
      </w:r>
    </w:p>
    <w:p w14:paraId="653F4F39" w14:textId="28DE75CB" w:rsidR="003C575D" w:rsidRPr="00353396" w:rsidRDefault="00B143E2" w:rsidP="00324F2F">
      <w:pPr>
        <w:pStyle w:val="text"/>
      </w:pPr>
      <w:r>
        <w:t xml:space="preserve">These negative correlations are logical and stem from the fact that the payment methods cannot co-occur within a single transaction. For instance, if an acquirer opts for a 100% cash payment, it precludes the use of either a 100% stock or a mixed </w:t>
      </w:r>
      <w:r>
        <w:lastRenderedPageBreak/>
        <w:t>payment method. Consequently, the payment method variables are inherently negatively correlated, reflecting their mutually exclusive nature.</w:t>
      </w:r>
      <w:r w:rsidR="000F042B" w:rsidRPr="00353396">
        <w:t xml:space="preserve"> </w:t>
      </w:r>
    </w:p>
    <w:p w14:paraId="4CDB1B1E" w14:textId="4E02D4F9" w:rsidR="003C575D" w:rsidRPr="00353396" w:rsidRDefault="000F042B" w:rsidP="00BC3E3E">
      <w:pPr>
        <w:pStyle w:val="2"/>
      </w:pPr>
      <w:r w:rsidRPr="00353396">
        <w:t xml:space="preserve">The impact of </w:t>
      </w:r>
      <w:r w:rsidR="0080476A">
        <w:t xml:space="preserve">the </w:t>
      </w:r>
      <w:r w:rsidRPr="00353396">
        <w:t>recommendation on the method of payment</w:t>
      </w:r>
    </w:p>
    <w:p w14:paraId="2E0616E6" w14:textId="1CA2BB70" w:rsidR="00B27CCB" w:rsidRDefault="00B27CCB" w:rsidP="00324F2F">
      <w:pPr>
        <w:pStyle w:val="text"/>
      </w:pPr>
      <w:bookmarkStart w:id="6" w:name="_Hlk147756940"/>
      <w:r>
        <w:t xml:space="preserve">Stock analysts possess diverse information sources, and their final recommendations can significantly influence market reactions to the stocks they cover. Empirical evidence supports the argument that analysts' recommendations can affect managerial decisions in mergers and acquisitions (M&amp;As), particularly regarding the choice of payment method. The underlying rationale is rooted in the potential overvaluation of stocks when analysts issue strong buy recommendations. In such scenarios, acquiring firms' managers may have an incentive to utilize their overvalued stocks as a form of payment for M&amp;A transactions. This agency problem arising from overvalued equity has been extensively discussed by </w:t>
      </w:r>
      <w:r w:rsidR="00B808F9">
        <w:fldChar w:fldCharType="begin"/>
      </w:r>
      <w:r w:rsidR="00687107">
        <w:instrText xml:space="preserve"> ADDIN EN.CITE &lt;EndNote&gt;&lt;Cite AuthorYear="1"&gt;&lt;Author&gt;Jensen&lt;/Author&gt;&lt;Year&gt;2005&lt;/Year&gt;&lt;RecNum&gt;1041&lt;/RecNum&gt;&lt;DisplayText&gt;Jensen [20]&lt;/DisplayText&gt;&lt;record&gt;&lt;rec-number&gt;1041&lt;/rec-number&gt;&lt;foreign-keys&gt;&lt;key app="EN" db-id="0pew05t5ffv2zxewvpbvwv20pvaweratdv5e" timestamp="1668071329" guid="3e1df6e1-b20c-489c-9532-b306a596f607"&gt;1041&lt;/key&gt;&lt;/foreign-keys&gt;&lt;ref-type name="Journal Article"&gt;17&lt;/ref-type&gt;&lt;contributors&gt;&lt;authors&gt;&lt;author&gt;Jensen, M. C.&lt;/author&gt;&lt;/authors&gt;&lt;/contributors&gt;&lt;auth-address&gt;Harvard Univ, Sch Business, Cambridge, MA 02138 USA. Org Strategy Practice, Monitor Grp, Cambridge, MA USA.&amp;#xD;Jensen, MC (reprint author), Harvard Univ, Sch Business, Cambridge, MA 02138 USA.&lt;/auth-address&gt;&lt;titles&gt;&lt;title&gt;Agency costs of overvalued equity&lt;/title&gt;&lt;secondary-title&gt;Financial Management&lt;/secondary-title&gt;&lt;alt-title&gt;Financ. Manage.&lt;/alt-title&gt;&lt;/titles&gt;&lt;periodical&gt;&lt;full-title&gt;Financial Management&lt;/full-title&gt;&lt;/periodical&gt;&lt;pages&gt;5-19&lt;/pages&gt;&lt;volume&gt;34&lt;/volume&gt;&lt;number&gt;1&lt;/number&gt;&lt;keywords&gt;&lt;keyword&gt;corporate-finance&lt;/keyword&gt;&lt;keyword&gt;stock returns&lt;/keyword&gt;&lt;keyword&gt;market&lt;/keyword&gt;&lt;keyword&gt;takeovers&lt;/keyword&gt;&lt;keyword&gt;Business &amp;amp; Economics&lt;/keyword&gt;&lt;/keywords&gt;&lt;dates&gt;&lt;year&gt;2005&lt;/year&gt;&lt;pub-dates&gt;&lt;date&gt;Spr&lt;/date&gt;&lt;/pub-dates&gt;&lt;/dates&gt;&lt;isbn&gt;0046-3892&lt;/isbn&gt;&lt;accession-num&gt;WOS:000229058400001&lt;/accession-num&gt;&lt;work-type&gt;Article; Proceedings Paper&lt;/work-type&gt;&lt;urls&gt;&lt;related-urls&gt;&lt;url&gt;&amp;lt;Go to ISI&amp;gt;://WOS:000229058400001&lt;/url&gt;&lt;/related-urls&gt;&lt;/urls&gt;&lt;electronic-resource-num&gt;10.1111/j.1755-053X.2005.tb00090.x&lt;/electronic-resource-num&gt;&lt;language&gt;English&lt;/language&gt;&lt;/record&gt;&lt;/Cite&gt;&lt;/EndNote&gt;</w:instrText>
      </w:r>
      <w:r w:rsidR="00B808F9">
        <w:fldChar w:fldCharType="separate"/>
      </w:r>
      <w:r w:rsidR="00687107">
        <w:rPr>
          <w:noProof/>
        </w:rPr>
        <w:t>Jensen [20]</w:t>
      </w:r>
      <w:r w:rsidR="00B808F9">
        <w:fldChar w:fldCharType="end"/>
      </w:r>
      <w:r>
        <w:t>.</w:t>
      </w:r>
    </w:p>
    <w:p w14:paraId="0866B4C3" w14:textId="2C89F318" w:rsidR="00B27CCB" w:rsidRDefault="00B27CCB" w:rsidP="00324F2F">
      <w:pPr>
        <w:pStyle w:val="text"/>
      </w:pPr>
      <w:r>
        <w:t>Building upon this conceptual framework, we test whether analysts' recommendations influence managerial decisions on the choice of payment method in M&amp;A transactions. To this end, we first summarize the number of analyst recommendations in the 30-day, 60-day, and 90-day periods preceding the M&amp;A announcements, categorized by the respective payment methods employed, as presented in Table 4.</w:t>
      </w:r>
    </w:p>
    <w:bookmarkEnd w:id="6"/>
    <w:p w14:paraId="3C3D1521" w14:textId="77777777" w:rsidR="00B27CCB" w:rsidRDefault="00B27CCB" w:rsidP="00324F2F">
      <w:pPr>
        <w:pStyle w:val="text"/>
      </w:pPr>
      <w:r>
        <w:t>The analysis of analyst recommendations in the run-up to M&amp;A announcements holds significant implications for understanding the potential drivers of payment method decisions. By examining the relationship between analyst recommendations and payment method choices, we aim to uncover empirical evidence supporting or refuting the hypothesis that overvalued equity, as signaled by strong buy recommendations, incentivizes managers to employ stock as a form of payment in M&amp;A transactions.</w:t>
      </w:r>
    </w:p>
    <w:p w14:paraId="2480CF96" w14:textId="77777777" w:rsidR="00B27CCB" w:rsidRDefault="00B27CCB" w:rsidP="00324F2F">
      <w:pPr>
        <w:pStyle w:val="text"/>
      </w:pPr>
      <w:r>
        <w:t>Panel A in Table 4 reveals that more than double the number of acquirers opt for 100% cash payments compared to 100% stock payments, and more than triple the number of acquirers choose cash payments over mixed payments. Notably, acquiring firms using 100% stock payments have higher average strong buy and buy recommendations than those using cash payments. Specifically, in the case of strong buy recommendations, stock-paying acquirers have an average of 1.316 such recommendations, while cash-paying acquirers have an average of 0.815. Similarly, for buy recommendations, stock-paying acquirers have an average of 1.453, compared to 1.155 for cash-paying acquirers.</w:t>
      </w:r>
    </w:p>
    <w:p w14:paraId="64F8809B" w14:textId="77777777" w:rsidR="00B27CCB" w:rsidRDefault="00B27CCB" w:rsidP="00324F2F">
      <w:pPr>
        <w:pStyle w:val="text"/>
      </w:pPr>
      <w:r>
        <w:t xml:space="preserve">Based on this evidence, we can conclude that acquiring firms with strong buy or buy recommendations are more likely to use 100% stock payments than cash payments, potentially due to the perceived overvaluation of their stocks. The findings within the </w:t>
      </w:r>
      <w:r>
        <w:lastRenderedPageBreak/>
        <w:t>60-day and 90-day windows, presented in Panels B and C, are consistent with the 30-day window, reinforcing the robustness of this observation.</w:t>
      </w:r>
    </w:p>
    <w:p w14:paraId="123AAB07" w14:textId="77777777" w:rsidR="00B27CCB" w:rsidRDefault="00B27CCB" w:rsidP="00F82681">
      <w:pPr>
        <w:pStyle w:val="text"/>
      </w:pPr>
      <w:r>
        <w:t>This finding provides supportive evidence for the first research hypothesis, which posits that analyst recommendations influence the choice of payment method in M&amp;A transactions. Conversely, the recommendations of strong sell or sell show that acquiring firms with more negative recommendations are more likely to pay 100% in cash, although the number of firms with negative recommendations is relatively small. This evidence further corroborates the argument that acquiring firms are reluctant to pay with stock when their stocks are perceived as undervalued due to negative recommendations.</w:t>
      </w:r>
    </w:p>
    <w:p w14:paraId="37B09F6B" w14:textId="6597C934" w:rsidR="00E942EC" w:rsidRPr="00353396" w:rsidRDefault="00B27CCB" w:rsidP="00324F2F">
      <w:pPr>
        <w:pStyle w:val="text"/>
      </w:pPr>
      <w:r>
        <w:t xml:space="preserve">It is noteworthy that analysts generally issue more positive recommendations than negative ones in our sample. However, both types of recommendations lend support to the first research hypothesis, suggesting that analysts' assessments of </w:t>
      </w:r>
      <w:r w:rsidR="00707136">
        <w:t>firm</w:t>
      </w:r>
      <w:r>
        <w:t xml:space="preserve"> valuation, as reflected in their recommendations, play a significant role in shaping managerial decisions regarding the payment method in M&amp;A transactions.</w:t>
      </w:r>
      <w:r w:rsidR="00E942EC" w:rsidRPr="00353396">
        <w:t xml:space="preserve"> </w:t>
      </w:r>
    </w:p>
    <w:p w14:paraId="7EB223BE" w14:textId="6C600099" w:rsidR="003C575D" w:rsidRPr="00353396" w:rsidRDefault="00E33E68" w:rsidP="00C3335D">
      <w:pPr>
        <w:pStyle w:val="3"/>
      </w:pPr>
      <w:r>
        <w:lastRenderedPageBreak/>
        <w:t xml:space="preserve">Table </w:t>
      </w:r>
      <w:r w:rsidR="00350966">
        <w:fldChar w:fldCharType="begin"/>
      </w:r>
      <w:r w:rsidR="00350966">
        <w:instrText xml:space="preserve"> SEQ Table \* ARABIC </w:instrText>
      </w:r>
      <w:r w:rsidR="00350966">
        <w:fldChar w:fldCharType="separate"/>
      </w:r>
      <w:r w:rsidR="00350966">
        <w:rPr>
          <w:noProof/>
        </w:rPr>
        <w:t>4</w:t>
      </w:r>
      <w:r w:rsidR="00350966">
        <w:rPr>
          <w:noProof/>
        </w:rPr>
        <w:fldChar w:fldCharType="end"/>
      </w:r>
      <w:r>
        <w:rPr>
          <w:rFonts w:hint="eastAsia"/>
        </w:rPr>
        <w:t>.</w:t>
      </w:r>
      <w:r w:rsidR="003C575D" w:rsidRPr="00353396">
        <w:t xml:space="preserve"> The number of </w:t>
      </w:r>
      <w:r w:rsidR="000F042B" w:rsidRPr="00353396">
        <w:t>analysts</w:t>
      </w:r>
      <w:r w:rsidR="003C575D" w:rsidRPr="00353396">
        <w:t xml:space="preserve"> with respect to the method of payment</w:t>
      </w:r>
    </w:p>
    <w:p w14:paraId="13122883" w14:textId="77777777" w:rsidR="003C575D" w:rsidRPr="00353396" w:rsidRDefault="003F7F82" w:rsidP="00F82681">
      <w:pPr>
        <w:pStyle w:val="table-note"/>
      </w:pPr>
      <w:bookmarkStart w:id="7" w:name="_Hlk147776014"/>
      <w:r w:rsidRPr="00353396">
        <w:t>The table reports the numbers of analysts</w:t>
      </w:r>
      <w:r w:rsidR="00F27D10" w:rsidRPr="00353396">
        <w:t>’</w:t>
      </w:r>
      <w:r w:rsidRPr="00353396">
        <w:t xml:space="preserve"> re</w:t>
      </w:r>
      <w:r w:rsidR="00F27D10" w:rsidRPr="00353396">
        <w:t>c</w:t>
      </w:r>
      <w:r w:rsidRPr="00353396">
        <w:t xml:space="preserve">ommendations, strong buy, buy, hold, sell, and strong sell with respect to different methods of payment. </w:t>
      </w:r>
      <w:r w:rsidR="00F27D10" w:rsidRPr="00353396">
        <w:t xml:space="preserve">The average number of recommendations is provided below the number of recommendations. Panel A, B, and C are the </w:t>
      </w:r>
      <w:proofErr w:type="gramStart"/>
      <w:r w:rsidR="00F27D10" w:rsidRPr="00353396">
        <w:t>30, 60, and 90 days</w:t>
      </w:r>
      <w:proofErr w:type="gramEnd"/>
      <w:r w:rsidR="00F27D10" w:rsidRPr="00353396">
        <w:t xml:space="preserve"> windows before the announcement of M&amp;As respectively. </w:t>
      </w:r>
    </w:p>
    <w:tbl>
      <w:tblPr>
        <w:tblW w:w="8222" w:type="dxa"/>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1195"/>
        <w:gridCol w:w="1195"/>
        <w:gridCol w:w="1196"/>
        <w:gridCol w:w="1195"/>
        <w:gridCol w:w="1196"/>
        <w:gridCol w:w="1195"/>
        <w:gridCol w:w="1050"/>
      </w:tblGrid>
      <w:tr w:rsidR="00AD3CFC" w:rsidRPr="00E14268" w14:paraId="7BA8A1AC" w14:textId="77777777" w:rsidTr="00F82681">
        <w:trPr>
          <w:cantSplit/>
          <w:trHeight w:val="340"/>
          <w:tblHeader/>
        </w:trPr>
        <w:tc>
          <w:tcPr>
            <w:tcW w:w="8222" w:type="dxa"/>
            <w:gridSpan w:val="7"/>
            <w:tcBorders>
              <w:top w:val="single" w:sz="4" w:space="0" w:color="auto"/>
              <w:bottom w:val="single" w:sz="4" w:space="0" w:color="auto"/>
            </w:tcBorders>
            <w:shd w:val="clear" w:color="auto" w:fill="auto"/>
            <w:noWrap/>
            <w:vAlign w:val="center"/>
            <w:hideMark/>
          </w:tcPr>
          <w:bookmarkEnd w:id="7"/>
          <w:p w14:paraId="3AA8E010" w14:textId="77777777" w:rsidR="00AD3CFC" w:rsidRPr="00E14268" w:rsidRDefault="00AD3CFC" w:rsidP="007768B8">
            <w:pPr>
              <w:keepLines/>
              <w:snapToGrid w:val="0"/>
              <w:spacing w:line="240" w:lineRule="exact"/>
              <w:rPr>
                <w:rFonts w:eastAsia="Times New Roman"/>
                <w:sz w:val="20"/>
                <w:szCs w:val="20"/>
              </w:rPr>
            </w:pPr>
            <w:r w:rsidRPr="00E14268">
              <w:rPr>
                <w:sz w:val="20"/>
                <w:szCs w:val="20"/>
              </w:rPr>
              <w:t>Panel A: 30 days before the announcement</w:t>
            </w:r>
          </w:p>
        </w:tc>
      </w:tr>
      <w:tr w:rsidR="00AD3CFC" w:rsidRPr="00E14268" w14:paraId="1D48E4EE" w14:textId="77777777" w:rsidTr="00F82681">
        <w:trPr>
          <w:cantSplit/>
          <w:trHeight w:val="340"/>
          <w:tblHeader/>
        </w:trPr>
        <w:tc>
          <w:tcPr>
            <w:tcW w:w="1195" w:type="dxa"/>
            <w:tcBorders>
              <w:top w:val="single" w:sz="4" w:space="0" w:color="auto"/>
              <w:bottom w:val="single" w:sz="4" w:space="0" w:color="auto"/>
            </w:tcBorders>
            <w:shd w:val="clear" w:color="auto" w:fill="auto"/>
            <w:noWrap/>
            <w:vAlign w:val="center"/>
            <w:hideMark/>
          </w:tcPr>
          <w:p w14:paraId="0F4F37DA" w14:textId="77777777" w:rsidR="003C575D" w:rsidRPr="00E14268" w:rsidRDefault="003C575D" w:rsidP="007768B8">
            <w:pPr>
              <w:keepLines/>
              <w:snapToGrid w:val="0"/>
              <w:spacing w:line="240" w:lineRule="exact"/>
              <w:rPr>
                <w:sz w:val="20"/>
                <w:szCs w:val="20"/>
              </w:rPr>
            </w:pPr>
            <w:r w:rsidRPr="00E14268">
              <w:rPr>
                <w:sz w:val="20"/>
                <w:szCs w:val="20"/>
              </w:rPr>
              <w:t>Payment</w:t>
            </w:r>
          </w:p>
        </w:tc>
        <w:tc>
          <w:tcPr>
            <w:tcW w:w="1195" w:type="dxa"/>
            <w:tcBorders>
              <w:top w:val="single" w:sz="4" w:space="0" w:color="auto"/>
              <w:bottom w:val="single" w:sz="4" w:space="0" w:color="auto"/>
            </w:tcBorders>
            <w:shd w:val="clear" w:color="auto" w:fill="auto"/>
            <w:noWrap/>
            <w:vAlign w:val="center"/>
            <w:hideMark/>
          </w:tcPr>
          <w:p w14:paraId="6D1E5D1E" w14:textId="519A02AB" w:rsidR="003C575D" w:rsidRPr="00E14268" w:rsidRDefault="003C575D" w:rsidP="007768B8">
            <w:pPr>
              <w:keepLines/>
              <w:snapToGrid w:val="0"/>
              <w:spacing w:line="240" w:lineRule="exact"/>
              <w:rPr>
                <w:sz w:val="20"/>
                <w:szCs w:val="20"/>
              </w:rPr>
            </w:pPr>
            <w:r w:rsidRPr="00E14268">
              <w:rPr>
                <w:sz w:val="20"/>
                <w:szCs w:val="20"/>
              </w:rPr>
              <w:t xml:space="preserve">No. </w:t>
            </w:r>
            <w:r w:rsidR="00707136" w:rsidRPr="00E14268">
              <w:rPr>
                <w:sz w:val="20"/>
                <w:szCs w:val="20"/>
              </w:rPr>
              <w:t>Firm</w:t>
            </w:r>
          </w:p>
        </w:tc>
        <w:tc>
          <w:tcPr>
            <w:tcW w:w="1196" w:type="dxa"/>
            <w:tcBorders>
              <w:top w:val="single" w:sz="4" w:space="0" w:color="auto"/>
              <w:bottom w:val="single" w:sz="4" w:space="0" w:color="auto"/>
            </w:tcBorders>
            <w:shd w:val="clear" w:color="auto" w:fill="auto"/>
            <w:noWrap/>
            <w:vAlign w:val="center"/>
            <w:hideMark/>
          </w:tcPr>
          <w:p w14:paraId="40E72735" w14:textId="77777777" w:rsidR="003C575D" w:rsidRPr="00E14268" w:rsidRDefault="003C575D" w:rsidP="007768B8">
            <w:pPr>
              <w:keepLines/>
              <w:snapToGrid w:val="0"/>
              <w:spacing w:line="240" w:lineRule="exact"/>
              <w:rPr>
                <w:sz w:val="20"/>
                <w:szCs w:val="20"/>
              </w:rPr>
            </w:pPr>
            <w:r w:rsidRPr="00E14268">
              <w:rPr>
                <w:sz w:val="20"/>
                <w:szCs w:val="20"/>
              </w:rPr>
              <w:t>Strong Buy</w:t>
            </w:r>
          </w:p>
        </w:tc>
        <w:tc>
          <w:tcPr>
            <w:tcW w:w="1195" w:type="dxa"/>
            <w:tcBorders>
              <w:top w:val="single" w:sz="4" w:space="0" w:color="auto"/>
              <w:bottom w:val="single" w:sz="4" w:space="0" w:color="auto"/>
            </w:tcBorders>
            <w:shd w:val="clear" w:color="auto" w:fill="auto"/>
            <w:noWrap/>
            <w:vAlign w:val="center"/>
            <w:hideMark/>
          </w:tcPr>
          <w:p w14:paraId="7ED7F7E3" w14:textId="77777777" w:rsidR="003C575D" w:rsidRPr="00E14268" w:rsidRDefault="003C575D" w:rsidP="007768B8">
            <w:pPr>
              <w:keepLines/>
              <w:snapToGrid w:val="0"/>
              <w:spacing w:line="240" w:lineRule="exact"/>
              <w:rPr>
                <w:sz w:val="20"/>
                <w:szCs w:val="20"/>
              </w:rPr>
            </w:pPr>
            <w:r w:rsidRPr="00E14268">
              <w:rPr>
                <w:sz w:val="20"/>
                <w:szCs w:val="20"/>
              </w:rPr>
              <w:t>Buy</w:t>
            </w:r>
          </w:p>
        </w:tc>
        <w:tc>
          <w:tcPr>
            <w:tcW w:w="1196" w:type="dxa"/>
            <w:tcBorders>
              <w:top w:val="single" w:sz="4" w:space="0" w:color="auto"/>
              <w:bottom w:val="single" w:sz="4" w:space="0" w:color="auto"/>
            </w:tcBorders>
            <w:shd w:val="clear" w:color="auto" w:fill="auto"/>
            <w:noWrap/>
            <w:vAlign w:val="center"/>
            <w:hideMark/>
          </w:tcPr>
          <w:p w14:paraId="3E4DC54A" w14:textId="77777777" w:rsidR="003C575D" w:rsidRPr="00E14268" w:rsidRDefault="003C575D" w:rsidP="007768B8">
            <w:pPr>
              <w:keepLines/>
              <w:snapToGrid w:val="0"/>
              <w:spacing w:line="240" w:lineRule="exact"/>
              <w:rPr>
                <w:sz w:val="20"/>
                <w:szCs w:val="20"/>
              </w:rPr>
            </w:pPr>
            <w:r w:rsidRPr="00E14268">
              <w:rPr>
                <w:sz w:val="20"/>
                <w:szCs w:val="20"/>
              </w:rPr>
              <w:t>Hold</w:t>
            </w:r>
          </w:p>
        </w:tc>
        <w:tc>
          <w:tcPr>
            <w:tcW w:w="1195" w:type="dxa"/>
            <w:tcBorders>
              <w:top w:val="single" w:sz="4" w:space="0" w:color="auto"/>
              <w:bottom w:val="single" w:sz="4" w:space="0" w:color="auto"/>
            </w:tcBorders>
            <w:shd w:val="clear" w:color="auto" w:fill="auto"/>
            <w:noWrap/>
            <w:vAlign w:val="center"/>
            <w:hideMark/>
          </w:tcPr>
          <w:p w14:paraId="48966B3E" w14:textId="77777777" w:rsidR="003C575D" w:rsidRPr="00E14268" w:rsidRDefault="003C575D" w:rsidP="007768B8">
            <w:pPr>
              <w:keepLines/>
              <w:snapToGrid w:val="0"/>
              <w:spacing w:line="240" w:lineRule="exact"/>
              <w:rPr>
                <w:sz w:val="20"/>
                <w:szCs w:val="20"/>
              </w:rPr>
            </w:pPr>
            <w:r w:rsidRPr="00E14268">
              <w:rPr>
                <w:sz w:val="20"/>
                <w:szCs w:val="20"/>
              </w:rPr>
              <w:t>Sell</w:t>
            </w:r>
          </w:p>
        </w:tc>
        <w:tc>
          <w:tcPr>
            <w:tcW w:w="1050" w:type="dxa"/>
            <w:tcBorders>
              <w:top w:val="single" w:sz="4" w:space="0" w:color="auto"/>
              <w:bottom w:val="single" w:sz="4" w:space="0" w:color="auto"/>
            </w:tcBorders>
            <w:shd w:val="clear" w:color="auto" w:fill="auto"/>
            <w:noWrap/>
            <w:vAlign w:val="center"/>
            <w:hideMark/>
          </w:tcPr>
          <w:p w14:paraId="4D9D0EAD" w14:textId="77777777" w:rsidR="003C575D" w:rsidRPr="00E14268" w:rsidRDefault="003C575D" w:rsidP="007768B8">
            <w:pPr>
              <w:keepLines/>
              <w:snapToGrid w:val="0"/>
              <w:spacing w:line="240" w:lineRule="exact"/>
              <w:rPr>
                <w:sz w:val="20"/>
                <w:szCs w:val="20"/>
              </w:rPr>
            </w:pPr>
            <w:r w:rsidRPr="00E14268">
              <w:rPr>
                <w:sz w:val="20"/>
                <w:szCs w:val="20"/>
              </w:rPr>
              <w:t>Strong Sell</w:t>
            </w:r>
          </w:p>
        </w:tc>
      </w:tr>
      <w:tr w:rsidR="003C575D" w:rsidRPr="00E14268" w14:paraId="542CCCDF" w14:textId="77777777" w:rsidTr="00F82681">
        <w:trPr>
          <w:cantSplit/>
          <w:trHeight w:val="340"/>
          <w:tblHeader/>
        </w:trPr>
        <w:tc>
          <w:tcPr>
            <w:tcW w:w="1195" w:type="dxa"/>
            <w:tcBorders>
              <w:top w:val="single" w:sz="4" w:space="0" w:color="auto"/>
            </w:tcBorders>
            <w:shd w:val="clear" w:color="auto" w:fill="auto"/>
            <w:noWrap/>
            <w:vAlign w:val="center"/>
            <w:hideMark/>
          </w:tcPr>
          <w:p w14:paraId="10834F63" w14:textId="77777777" w:rsidR="003C575D" w:rsidRPr="00E14268" w:rsidRDefault="003C575D" w:rsidP="007768B8">
            <w:pPr>
              <w:keepLines/>
              <w:snapToGrid w:val="0"/>
              <w:spacing w:line="240" w:lineRule="exact"/>
              <w:rPr>
                <w:sz w:val="20"/>
                <w:szCs w:val="20"/>
              </w:rPr>
            </w:pPr>
            <w:r w:rsidRPr="00E14268">
              <w:rPr>
                <w:sz w:val="20"/>
                <w:szCs w:val="20"/>
              </w:rPr>
              <w:t>Cash</w:t>
            </w:r>
          </w:p>
        </w:tc>
        <w:tc>
          <w:tcPr>
            <w:tcW w:w="1195" w:type="dxa"/>
            <w:tcBorders>
              <w:top w:val="single" w:sz="4" w:space="0" w:color="auto"/>
            </w:tcBorders>
            <w:shd w:val="clear" w:color="auto" w:fill="auto"/>
            <w:noWrap/>
            <w:vAlign w:val="center"/>
            <w:hideMark/>
          </w:tcPr>
          <w:p w14:paraId="18894309" w14:textId="77777777" w:rsidR="003C575D" w:rsidRPr="00E14268" w:rsidRDefault="003C575D" w:rsidP="007768B8">
            <w:pPr>
              <w:keepLines/>
              <w:snapToGrid w:val="0"/>
              <w:spacing w:line="240" w:lineRule="exact"/>
              <w:rPr>
                <w:sz w:val="20"/>
                <w:szCs w:val="20"/>
              </w:rPr>
            </w:pPr>
            <w:r w:rsidRPr="00E14268">
              <w:rPr>
                <w:sz w:val="20"/>
                <w:szCs w:val="20"/>
              </w:rPr>
              <w:t>271</w:t>
            </w:r>
          </w:p>
        </w:tc>
        <w:tc>
          <w:tcPr>
            <w:tcW w:w="1196" w:type="dxa"/>
            <w:tcBorders>
              <w:top w:val="single" w:sz="4" w:space="0" w:color="auto"/>
            </w:tcBorders>
            <w:shd w:val="clear" w:color="auto" w:fill="auto"/>
            <w:noWrap/>
            <w:vAlign w:val="center"/>
            <w:hideMark/>
          </w:tcPr>
          <w:p w14:paraId="64DD8157" w14:textId="77777777" w:rsidR="003C575D" w:rsidRPr="00E14268" w:rsidRDefault="003C575D" w:rsidP="007768B8">
            <w:pPr>
              <w:keepLines/>
              <w:snapToGrid w:val="0"/>
              <w:spacing w:line="240" w:lineRule="exact"/>
              <w:rPr>
                <w:sz w:val="20"/>
                <w:szCs w:val="20"/>
              </w:rPr>
            </w:pPr>
            <w:r w:rsidRPr="00E14268">
              <w:rPr>
                <w:sz w:val="20"/>
                <w:szCs w:val="20"/>
              </w:rPr>
              <w:t>221</w:t>
            </w:r>
          </w:p>
        </w:tc>
        <w:tc>
          <w:tcPr>
            <w:tcW w:w="1195" w:type="dxa"/>
            <w:tcBorders>
              <w:top w:val="single" w:sz="4" w:space="0" w:color="auto"/>
            </w:tcBorders>
            <w:shd w:val="clear" w:color="auto" w:fill="auto"/>
            <w:noWrap/>
            <w:vAlign w:val="center"/>
            <w:hideMark/>
          </w:tcPr>
          <w:p w14:paraId="20B7D4FA" w14:textId="77777777" w:rsidR="003C575D" w:rsidRPr="00E14268" w:rsidRDefault="003C575D" w:rsidP="007768B8">
            <w:pPr>
              <w:keepLines/>
              <w:snapToGrid w:val="0"/>
              <w:spacing w:line="240" w:lineRule="exact"/>
              <w:rPr>
                <w:sz w:val="20"/>
                <w:szCs w:val="20"/>
              </w:rPr>
            </w:pPr>
            <w:r w:rsidRPr="00E14268">
              <w:rPr>
                <w:sz w:val="20"/>
                <w:szCs w:val="20"/>
              </w:rPr>
              <w:t>313</w:t>
            </w:r>
          </w:p>
        </w:tc>
        <w:tc>
          <w:tcPr>
            <w:tcW w:w="1196" w:type="dxa"/>
            <w:tcBorders>
              <w:top w:val="single" w:sz="4" w:space="0" w:color="auto"/>
            </w:tcBorders>
            <w:shd w:val="clear" w:color="auto" w:fill="auto"/>
            <w:noWrap/>
            <w:vAlign w:val="center"/>
            <w:hideMark/>
          </w:tcPr>
          <w:p w14:paraId="477243A7" w14:textId="77777777" w:rsidR="003C575D" w:rsidRPr="00E14268" w:rsidRDefault="003C575D" w:rsidP="007768B8">
            <w:pPr>
              <w:keepLines/>
              <w:snapToGrid w:val="0"/>
              <w:spacing w:line="240" w:lineRule="exact"/>
              <w:rPr>
                <w:sz w:val="20"/>
                <w:szCs w:val="20"/>
              </w:rPr>
            </w:pPr>
            <w:r w:rsidRPr="00E14268">
              <w:rPr>
                <w:sz w:val="20"/>
                <w:szCs w:val="20"/>
              </w:rPr>
              <w:t>436</w:t>
            </w:r>
          </w:p>
        </w:tc>
        <w:tc>
          <w:tcPr>
            <w:tcW w:w="1195" w:type="dxa"/>
            <w:tcBorders>
              <w:top w:val="single" w:sz="4" w:space="0" w:color="auto"/>
            </w:tcBorders>
            <w:shd w:val="clear" w:color="auto" w:fill="auto"/>
            <w:noWrap/>
            <w:vAlign w:val="center"/>
            <w:hideMark/>
          </w:tcPr>
          <w:p w14:paraId="059A266D" w14:textId="77777777" w:rsidR="003C575D" w:rsidRPr="00E14268" w:rsidRDefault="003C575D" w:rsidP="007768B8">
            <w:pPr>
              <w:keepLines/>
              <w:snapToGrid w:val="0"/>
              <w:spacing w:line="240" w:lineRule="exact"/>
              <w:rPr>
                <w:sz w:val="20"/>
                <w:szCs w:val="20"/>
              </w:rPr>
            </w:pPr>
            <w:r w:rsidRPr="00E14268">
              <w:rPr>
                <w:sz w:val="20"/>
                <w:szCs w:val="20"/>
              </w:rPr>
              <w:t>24</w:t>
            </w:r>
          </w:p>
        </w:tc>
        <w:tc>
          <w:tcPr>
            <w:tcW w:w="1050" w:type="dxa"/>
            <w:tcBorders>
              <w:top w:val="single" w:sz="4" w:space="0" w:color="auto"/>
            </w:tcBorders>
            <w:shd w:val="clear" w:color="auto" w:fill="auto"/>
            <w:noWrap/>
            <w:vAlign w:val="center"/>
            <w:hideMark/>
          </w:tcPr>
          <w:p w14:paraId="05C0E563" w14:textId="77777777" w:rsidR="003C575D" w:rsidRPr="00E14268" w:rsidRDefault="003C575D" w:rsidP="007768B8">
            <w:pPr>
              <w:keepLines/>
              <w:snapToGrid w:val="0"/>
              <w:spacing w:line="240" w:lineRule="exact"/>
              <w:rPr>
                <w:sz w:val="20"/>
                <w:szCs w:val="20"/>
              </w:rPr>
            </w:pPr>
            <w:r w:rsidRPr="00E14268">
              <w:rPr>
                <w:sz w:val="20"/>
                <w:szCs w:val="20"/>
              </w:rPr>
              <w:t>53</w:t>
            </w:r>
          </w:p>
        </w:tc>
      </w:tr>
      <w:tr w:rsidR="003C575D" w:rsidRPr="00E14268" w14:paraId="05092FC3" w14:textId="77777777" w:rsidTr="00F82681">
        <w:trPr>
          <w:cantSplit/>
          <w:trHeight w:val="340"/>
          <w:tblHeader/>
        </w:trPr>
        <w:tc>
          <w:tcPr>
            <w:tcW w:w="1195" w:type="dxa"/>
            <w:shd w:val="clear" w:color="auto" w:fill="auto"/>
            <w:noWrap/>
            <w:vAlign w:val="center"/>
            <w:hideMark/>
          </w:tcPr>
          <w:p w14:paraId="55BC72E8" w14:textId="77777777" w:rsidR="003C575D" w:rsidRPr="00E14268" w:rsidRDefault="003C575D" w:rsidP="007768B8">
            <w:pPr>
              <w:keepLines/>
              <w:snapToGrid w:val="0"/>
              <w:spacing w:line="240" w:lineRule="exact"/>
              <w:rPr>
                <w:sz w:val="20"/>
                <w:szCs w:val="20"/>
              </w:rPr>
            </w:pPr>
          </w:p>
        </w:tc>
        <w:tc>
          <w:tcPr>
            <w:tcW w:w="1195" w:type="dxa"/>
            <w:shd w:val="clear" w:color="auto" w:fill="auto"/>
            <w:noWrap/>
            <w:vAlign w:val="center"/>
            <w:hideMark/>
          </w:tcPr>
          <w:p w14:paraId="39911DB3" w14:textId="77777777" w:rsidR="003C575D" w:rsidRPr="00E14268" w:rsidRDefault="003C575D" w:rsidP="007768B8">
            <w:pPr>
              <w:keepLines/>
              <w:snapToGrid w:val="0"/>
              <w:spacing w:line="240" w:lineRule="exact"/>
              <w:rPr>
                <w:sz w:val="20"/>
                <w:szCs w:val="20"/>
              </w:rPr>
            </w:pPr>
          </w:p>
        </w:tc>
        <w:tc>
          <w:tcPr>
            <w:tcW w:w="1196" w:type="dxa"/>
            <w:shd w:val="clear" w:color="auto" w:fill="auto"/>
            <w:noWrap/>
            <w:vAlign w:val="center"/>
            <w:hideMark/>
          </w:tcPr>
          <w:p w14:paraId="0F2D39B1" w14:textId="77777777" w:rsidR="003C575D" w:rsidRPr="00E14268" w:rsidRDefault="003C575D" w:rsidP="007768B8">
            <w:pPr>
              <w:keepLines/>
              <w:snapToGrid w:val="0"/>
              <w:spacing w:line="240" w:lineRule="exact"/>
              <w:rPr>
                <w:sz w:val="20"/>
                <w:szCs w:val="20"/>
              </w:rPr>
            </w:pPr>
            <w:r w:rsidRPr="00E14268">
              <w:rPr>
                <w:sz w:val="20"/>
                <w:szCs w:val="20"/>
              </w:rPr>
              <w:t>0.815</w:t>
            </w:r>
          </w:p>
        </w:tc>
        <w:tc>
          <w:tcPr>
            <w:tcW w:w="1195" w:type="dxa"/>
            <w:shd w:val="clear" w:color="auto" w:fill="auto"/>
            <w:noWrap/>
            <w:vAlign w:val="center"/>
            <w:hideMark/>
          </w:tcPr>
          <w:p w14:paraId="550AF0B9" w14:textId="77777777" w:rsidR="003C575D" w:rsidRPr="00E14268" w:rsidRDefault="003C575D" w:rsidP="007768B8">
            <w:pPr>
              <w:keepLines/>
              <w:snapToGrid w:val="0"/>
              <w:spacing w:line="240" w:lineRule="exact"/>
              <w:rPr>
                <w:sz w:val="20"/>
                <w:szCs w:val="20"/>
              </w:rPr>
            </w:pPr>
            <w:r w:rsidRPr="00E14268">
              <w:rPr>
                <w:sz w:val="20"/>
                <w:szCs w:val="20"/>
              </w:rPr>
              <w:t>1.155</w:t>
            </w:r>
          </w:p>
        </w:tc>
        <w:tc>
          <w:tcPr>
            <w:tcW w:w="1196" w:type="dxa"/>
            <w:shd w:val="clear" w:color="auto" w:fill="auto"/>
            <w:noWrap/>
            <w:vAlign w:val="center"/>
            <w:hideMark/>
          </w:tcPr>
          <w:p w14:paraId="1FC1D69B" w14:textId="77777777" w:rsidR="003C575D" w:rsidRPr="00E14268" w:rsidRDefault="003C575D" w:rsidP="007768B8">
            <w:pPr>
              <w:keepLines/>
              <w:snapToGrid w:val="0"/>
              <w:spacing w:line="240" w:lineRule="exact"/>
              <w:rPr>
                <w:sz w:val="20"/>
                <w:szCs w:val="20"/>
              </w:rPr>
            </w:pPr>
            <w:r w:rsidRPr="00E14268">
              <w:rPr>
                <w:sz w:val="20"/>
                <w:szCs w:val="20"/>
              </w:rPr>
              <w:t>1.609</w:t>
            </w:r>
          </w:p>
        </w:tc>
        <w:tc>
          <w:tcPr>
            <w:tcW w:w="1195" w:type="dxa"/>
            <w:shd w:val="clear" w:color="auto" w:fill="auto"/>
            <w:noWrap/>
            <w:vAlign w:val="center"/>
            <w:hideMark/>
          </w:tcPr>
          <w:p w14:paraId="6A52B346" w14:textId="77777777" w:rsidR="003C575D" w:rsidRPr="00E14268" w:rsidRDefault="003C575D" w:rsidP="007768B8">
            <w:pPr>
              <w:keepLines/>
              <w:snapToGrid w:val="0"/>
              <w:spacing w:line="240" w:lineRule="exact"/>
              <w:rPr>
                <w:sz w:val="20"/>
                <w:szCs w:val="20"/>
              </w:rPr>
            </w:pPr>
            <w:r w:rsidRPr="00E14268">
              <w:rPr>
                <w:sz w:val="20"/>
                <w:szCs w:val="20"/>
              </w:rPr>
              <w:t>0.089</w:t>
            </w:r>
          </w:p>
        </w:tc>
        <w:tc>
          <w:tcPr>
            <w:tcW w:w="1050" w:type="dxa"/>
            <w:shd w:val="clear" w:color="auto" w:fill="auto"/>
            <w:noWrap/>
            <w:vAlign w:val="center"/>
            <w:hideMark/>
          </w:tcPr>
          <w:p w14:paraId="01B482C3" w14:textId="77777777" w:rsidR="003C575D" w:rsidRPr="00E14268" w:rsidRDefault="003C575D" w:rsidP="007768B8">
            <w:pPr>
              <w:keepLines/>
              <w:snapToGrid w:val="0"/>
              <w:spacing w:line="240" w:lineRule="exact"/>
              <w:rPr>
                <w:sz w:val="20"/>
                <w:szCs w:val="20"/>
              </w:rPr>
            </w:pPr>
            <w:r w:rsidRPr="00E14268">
              <w:rPr>
                <w:sz w:val="20"/>
                <w:szCs w:val="20"/>
              </w:rPr>
              <w:t>0.196</w:t>
            </w:r>
          </w:p>
        </w:tc>
      </w:tr>
      <w:tr w:rsidR="003C575D" w:rsidRPr="00E14268" w14:paraId="45FF8571" w14:textId="77777777" w:rsidTr="00F82681">
        <w:trPr>
          <w:cantSplit/>
          <w:trHeight w:val="340"/>
          <w:tblHeader/>
        </w:trPr>
        <w:tc>
          <w:tcPr>
            <w:tcW w:w="1195" w:type="dxa"/>
            <w:shd w:val="clear" w:color="auto" w:fill="auto"/>
            <w:noWrap/>
            <w:vAlign w:val="center"/>
            <w:hideMark/>
          </w:tcPr>
          <w:p w14:paraId="4C79F2CE" w14:textId="77777777" w:rsidR="003C575D" w:rsidRPr="00E14268" w:rsidRDefault="003C575D" w:rsidP="007768B8">
            <w:pPr>
              <w:keepLines/>
              <w:snapToGrid w:val="0"/>
              <w:spacing w:line="240" w:lineRule="exact"/>
              <w:rPr>
                <w:sz w:val="20"/>
                <w:szCs w:val="20"/>
              </w:rPr>
            </w:pPr>
            <w:r w:rsidRPr="00E14268">
              <w:rPr>
                <w:sz w:val="20"/>
                <w:szCs w:val="20"/>
              </w:rPr>
              <w:t>Stock</w:t>
            </w:r>
          </w:p>
        </w:tc>
        <w:tc>
          <w:tcPr>
            <w:tcW w:w="1195" w:type="dxa"/>
            <w:shd w:val="clear" w:color="auto" w:fill="auto"/>
            <w:noWrap/>
            <w:vAlign w:val="center"/>
            <w:hideMark/>
          </w:tcPr>
          <w:p w14:paraId="7D64A4AF" w14:textId="77777777" w:rsidR="003C575D" w:rsidRPr="00E14268" w:rsidRDefault="003C575D" w:rsidP="007768B8">
            <w:pPr>
              <w:keepLines/>
              <w:snapToGrid w:val="0"/>
              <w:spacing w:line="240" w:lineRule="exact"/>
              <w:rPr>
                <w:sz w:val="20"/>
                <w:szCs w:val="20"/>
              </w:rPr>
            </w:pPr>
            <w:r w:rsidRPr="00E14268">
              <w:rPr>
                <w:sz w:val="20"/>
                <w:szCs w:val="20"/>
              </w:rPr>
              <w:t>117</w:t>
            </w:r>
          </w:p>
        </w:tc>
        <w:tc>
          <w:tcPr>
            <w:tcW w:w="1196" w:type="dxa"/>
            <w:shd w:val="clear" w:color="auto" w:fill="auto"/>
            <w:noWrap/>
            <w:vAlign w:val="center"/>
            <w:hideMark/>
          </w:tcPr>
          <w:p w14:paraId="190ED905" w14:textId="77777777" w:rsidR="003C575D" w:rsidRPr="00E14268" w:rsidRDefault="003C575D" w:rsidP="007768B8">
            <w:pPr>
              <w:keepLines/>
              <w:snapToGrid w:val="0"/>
              <w:spacing w:line="240" w:lineRule="exact"/>
              <w:rPr>
                <w:sz w:val="20"/>
                <w:szCs w:val="20"/>
              </w:rPr>
            </w:pPr>
            <w:r w:rsidRPr="00E14268">
              <w:rPr>
                <w:sz w:val="20"/>
                <w:szCs w:val="20"/>
              </w:rPr>
              <w:t>154</w:t>
            </w:r>
          </w:p>
        </w:tc>
        <w:tc>
          <w:tcPr>
            <w:tcW w:w="1195" w:type="dxa"/>
            <w:shd w:val="clear" w:color="auto" w:fill="auto"/>
            <w:noWrap/>
            <w:vAlign w:val="center"/>
            <w:hideMark/>
          </w:tcPr>
          <w:p w14:paraId="69A849A3" w14:textId="77777777" w:rsidR="003C575D" w:rsidRPr="00E14268" w:rsidRDefault="003C575D" w:rsidP="007768B8">
            <w:pPr>
              <w:keepLines/>
              <w:snapToGrid w:val="0"/>
              <w:spacing w:line="240" w:lineRule="exact"/>
              <w:rPr>
                <w:sz w:val="20"/>
                <w:szCs w:val="20"/>
              </w:rPr>
            </w:pPr>
            <w:r w:rsidRPr="00E14268">
              <w:rPr>
                <w:sz w:val="20"/>
                <w:szCs w:val="20"/>
              </w:rPr>
              <w:t>170</w:t>
            </w:r>
          </w:p>
        </w:tc>
        <w:tc>
          <w:tcPr>
            <w:tcW w:w="1196" w:type="dxa"/>
            <w:shd w:val="clear" w:color="auto" w:fill="auto"/>
            <w:noWrap/>
            <w:vAlign w:val="center"/>
            <w:hideMark/>
          </w:tcPr>
          <w:p w14:paraId="781DF496" w14:textId="77777777" w:rsidR="003C575D" w:rsidRPr="00E14268" w:rsidRDefault="003C575D" w:rsidP="007768B8">
            <w:pPr>
              <w:keepLines/>
              <w:snapToGrid w:val="0"/>
              <w:spacing w:line="240" w:lineRule="exact"/>
              <w:rPr>
                <w:sz w:val="20"/>
                <w:szCs w:val="20"/>
              </w:rPr>
            </w:pPr>
            <w:r w:rsidRPr="00E14268">
              <w:rPr>
                <w:sz w:val="20"/>
                <w:szCs w:val="20"/>
              </w:rPr>
              <w:t>155</w:t>
            </w:r>
          </w:p>
        </w:tc>
        <w:tc>
          <w:tcPr>
            <w:tcW w:w="1195" w:type="dxa"/>
            <w:shd w:val="clear" w:color="auto" w:fill="auto"/>
            <w:noWrap/>
            <w:vAlign w:val="center"/>
            <w:hideMark/>
          </w:tcPr>
          <w:p w14:paraId="303D20CB" w14:textId="77777777" w:rsidR="003C575D" w:rsidRPr="00E14268" w:rsidRDefault="003C575D" w:rsidP="007768B8">
            <w:pPr>
              <w:keepLines/>
              <w:snapToGrid w:val="0"/>
              <w:spacing w:line="240" w:lineRule="exact"/>
              <w:rPr>
                <w:sz w:val="20"/>
                <w:szCs w:val="20"/>
              </w:rPr>
            </w:pPr>
            <w:r w:rsidRPr="00E14268">
              <w:rPr>
                <w:sz w:val="20"/>
                <w:szCs w:val="20"/>
              </w:rPr>
              <w:t>7</w:t>
            </w:r>
          </w:p>
        </w:tc>
        <w:tc>
          <w:tcPr>
            <w:tcW w:w="1050" w:type="dxa"/>
            <w:shd w:val="clear" w:color="auto" w:fill="auto"/>
            <w:noWrap/>
            <w:vAlign w:val="center"/>
            <w:hideMark/>
          </w:tcPr>
          <w:p w14:paraId="341FE0CA" w14:textId="77777777" w:rsidR="003C575D" w:rsidRPr="00E14268" w:rsidRDefault="003C575D" w:rsidP="007768B8">
            <w:pPr>
              <w:keepLines/>
              <w:snapToGrid w:val="0"/>
              <w:spacing w:line="240" w:lineRule="exact"/>
              <w:rPr>
                <w:sz w:val="20"/>
                <w:szCs w:val="20"/>
              </w:rPr>
            </w:pPr>
            <w:r w:rsidRPr="00E14268">
              <w:rPr>
                <w:sz w:val="20"/>
                <w:szCs w:val="20"/>
              </w:rPr>
              <w:t>18</w:t>
            </w:r>
          </w:p>
        </w:tc>
      </w:tr>
      <w:tr w:rsidR="003C575D" w:rsidRPr="00E14268" w14:paraId="0F01607F" w14:textId="77777777" w:rsidTr="00F82681">
        <w:trPr>
          <w:cantSplit/>
          <w:trHeight w:val="340"/>
          <w:tblHeader/>
        </w:trPr>
        <w:tc>
          <w:tcPr>
            <w:tcW w:w="1195" w:type="dxa"/>
            <w:shd w:val="clear" w:color="auto" w:fill="auto"/>
            <w:noWrap/>
            <w:vAlign w:val="center"/>
            <w:hideMark/>
          </w:tcPr>
          <w:p w14:paraId="76AF14A4" w14:textId="77777777" w:rsidR="003C575D" w:rsidRPr="00E14268" w:rsidRDefault="003C575D" w:rsidP="007768B8">
            <w:pPr>
              <w:keepLines/>
              <w:snapToGrid w:val="0"/>
              <w:spacing w:line="240" w:lineRule="exact"/>
              <w:rPr>
                <w:sz w:val="20"/>
                <w:szCs w:val="20"/>
              </w:rPr>
            </w:pPr>
          </w:p>
        </w:tc>
        <w:tc>
          <w:tcPr>
            <w:tcW w:w="1195" w:type="dxa"/>
            <w:shd w:val="clear" w:color="auto" w:fill="auto"/>
            <w:noWrap/>
            <w:vAlign w:val="center"/>
            <w:hideMark/>
          </w:tcPr>
          <w:p w14:paraId="35B7DA8E" w14:textId="77777777" w:rsidR="003C575D" w:rsidRPr="00E14268" w:rsidRDefault="003C575D" w:rsidP="007768B8">
            <w:pPr>
              <w:keepLines/>
              <w:snapToGrid w:val="0"/>
              <w:spacing w:line="240" w:lineRule="exact"/>
              <w:rPr>
                <w:sz w:val="20"/>
                <w:szCs w:val="20"/>
              </w:rPr>
            </w:pPr>
          </w:p>
        </w:tc>
        <w:tc>
          <w:tcPr>
            <w:tcW w:w="1196" w:type="dxa"/>
            <w:shd w:val="clear" w:color="auto" w:fill="auto"/>
            <w:noWrap/>
            <w:vAlign w:val="center"/>
            <w:hideMark/>
          </w:tcPr>
          <w:p w14:paraId="6948408A" w14:textId="77777777" w:rsidR="003C575D" w:rsidRPr="00E14268" w:rsidRDefault="003C575D" w:rsidP="007768B8">
            <w:pPr>
              <w:keepLines/>
              <w:snapToGrid w:val="0"/>
              <w:spacing w:line="240" w:lineRule="exact"/>
              <w:rPr>
                <w:sz w:val="20"/>
                <w:szCs w:val="20"/>
              </w:rPr>
            </w:pPr>
            <w:r w:rsidRPr="00E14268">
              <w:rPr>
                <w:sz w:val="20"/>
                <w:szCs w:val="20"/>
              </w:rPr>
              <w:t>1.316</w:t>
            </w:r>
          </w:p>
        </w:tc>
        <w:tc>
          <w:tcPr>
            <w:tcW w:w="1195" w:type="dxa"/>
            <w:shd w:val="clear" w:color="auto" w:fill="auto"/>
            <w:noWrap/>
            <w:vAlign w:val="center"/>
            <w:hideMark/>
          </w:tcPr>
          <w:p w14:paraId="13E0EEDD" w14:textId="77777777" w:rsidR="003C575D" w:rsidRPr="00E14268" w:rsidRDefault="003C575D" w:rsidP="007768B8">
            <w:pPr>
              <w:keepLines/>
              <w:snapToGrid w:val="0"/>
              <w:spacing w:line="240" w:lineRule="exact"/>
              <w:rPr>
                <w:sz w:val="20"/>
                <w:szCs w:val="20"/>
              </w:rPr>
            </w:pPr>
            <w:r w:rsidRPr="00E14268">
              <w:rPr>
                <w:sz w:val="20"/>
                <w:szCs w:val="20"/>
              </w:rPr>
              <w:t>1.453</w:t>
            </w:r>
          </w:p>
        </w:tc>
        <w:tc>
          <w:tcPr>
            <w:tcW w:w="1196" w:type="dxa"/>
            <w:shd w:val="clear" w:color="auto" w:fill="auto"/>
            <w:noWrap/>
            <w:vAlign w:val="center"/>
            <w:hideMark/>
          </w:tcPr>
          <w:p w14:paraId="37384A02" w14:textId="77777777" w:rsidR="003C575D" w:rsidRPr="00E14268" w:rsidRDefault="003C575D" w:rsidP="007768B8">
            <w:pPr>
              <w:keepLines/>
              <w:snapToGrid w:val="0"/>
              <w:spacing w:line="240" w:lineRule="exact"/>
              <w:rPr>
                <w:sz w:val="20"/>
                <w:szCs w:val="20"/>
              </w:rPr>
            </w:pPr>
            <w:r w:rsidRPr="00E14268">
              <w:rPr>
                <w:sz w:val="20"/>
                <w:szCs w:val="20"/>
              </w:rPr>
              <w:t>1.325</w:t>
            </w:r>
          </w:p>
        </w:tc>
        <w:tc>
          <w:tcPr>
            <w:tcW w:w="1195" w:type="dxa"/>
            <w:shd w:val="clear" w:color="auto" w:fill="auto"/>
            <w:noWrap/>
            <w:vAlign w:val="center"/>
            <w:hideMark/>
          </w:tcPr>
          <w:p w14:paraId="057C11A3" w14:textId="77777777" w:rsidR="003C575D" w:rsidRPr="00E14268" w:rsidRDefault="003C575D" w:rsidP="007768B8">
            <w:pPr>
              <w:keepLines/>
              <w:snapToGrid w:val="0"/>
              <w:spacing w:line="240" w:lineRule="exact"/>
              <w:rPr>
                <w:sz w:val="20"/>
                <w:szCs w:val="20"/>
              </w:rPr>
            </w:pPr>
            <w:r w:rsidRPr="00E14268">
              <w:rPr>
                <w:sz w:val="20"/>
                <w:szCs w:val="20"/>
              </w:rPr>
              <w:t>0.060</w:t>
            </w:r>
          </w:p>
        </w:tc>
        <w:tc>
          <w:tcPr>
            <w:tcW w:w="1050" w:type="dxa"/>
            <w:shd w:val="clear" w:color="auto" w:fill="auto"/>
            <w:noWrap/>
            <w:vAlign w:val="center"/>
            <w:hideMark/>
          </w:tcPr>
          <w:p w14:paraId="03BD44B4" w14:textId="77777777" w:rsidR="003C575D" w:rsidRPr="00E14268" w:rsidRDefault="003C575D" w:rsidP="007768B8">
            <w:pPr>
              <w:keepLines/>
              <w:snapToGrid w:val="0"/>
              <w:spacing w:line="240" w:lineRule="exact"/>
              <w:rPr>
                <w:sz w:val="20"/>
                <w:szCs w:val="20"/>
              </w:rPr>
            </w:pPr>
            <w:r w:rsidRPr="00E14268">
              <w:rPr>
                <w:sz w:val="20"/>
                <w:szCs w:val="20"/>
              </w:rPr>
              <w:t>0.154</w:t>
            </w:r>
          </w:p>
        </w:tc>
      </w:tr>
      <w:tr w:rsidR="003C575D" w:rsidRPr="00E14268" w14:paraId="1D01830E" w14:textId="77777777" w:rsidTr="00F82681">
        <w:trPr>
          <w:cantSplit/>
          <w:trHeight w:val="340"/>
          <w:tblHeader/>
        </w:trPr>
        <w:tc>
          <w:tcPr>
            <w:tcW w:w="1195" w:type="dxa"/>
            <w:shd w:val="clear" w:color="auto" w:fill="auto"/>
            <w:noWrap/>
            <w:vAlign w:val="center"/>
            <w:hideMark/>
          </w:tcPr>
          <w:p w14:paraId="42DF96F8" w14:textId="77777777" w:rsidR="003C575D" w:rsidRPr="00E14268" w:rsidRDefault="003C575D" w:rsidP="007768B8">
            <w:pPr>
              <w:keepLines/>
              <w:snapToGrid w:val="0"/>
              <w:spacing w:line="240" w:lineRule="exact"/>
              <w:rPr>
                <w:sz w:val="20"/>
                <w:szCs w:val="20"/>
              </w:rPr>
            </w:pPr>
            <w:r w:rsidRPr="00E14268">
              <w:rPr>
                <w:sz w:val="20"/>
                <w:szCs w:val="20"/>
              </w:rPr>
              <w:t>Mix</w:t>
            </w:r>
          </w:p>
        </w:tc>
        <w:tc>
          <w:tcPr>
            <w:tcW w:w="1195" w:type="dxa"/>
            <w:shd w:val="clear" w:color="auto" w:fill="auto"/>
            <w:noWrap/>
            <w:vAlign w:val="center"/>
            <w:hideMark/>
          </w:tcPr>
          <w:p w14:paraId="16AF6FBA" w14:textId="77777777" w:rsidR="003C575D" w:rsidRPr="00E14268" w:rsidRDefault="003C575D" w:rsidP="007768B8">
            <w:pPr>
              <w:keepLines/>
              <w:snapToGrid w:val="0"/>
              <w:spacing w:line="240" w:lineRule="exact"/>
              <w:rPr>
                <w:sz w:val="20"/>
                <w:szCs w:val="20"/>
              </w:rPr>
            </w:pPr>
            <w:r w:rsidRPr="00E14268">
              <w:rPr>
                <w:sz w:val="20"/>
                <w:szCs w:val="20"/>
              </w:rPr>
              <w:t>90</w:t>
            </w:r>
          </w:p>
        </w:tc>
        <w:tc>
          <w:tcPr>
            <w:tcW w:w="1196" w:type="dxa"/>
            <w:shd w:val="clear" w:color="auto" w:fill="auto"/>
            <w:noWrap/>
            <w:vAlign w:val="center"/>
            <w:hideMark/>
          </w:tcPr>
          <w:p w14:paraId="635DFEEC" w14:textId="77777777" w:rsidR="003C575D" w:rsidRPr="00E14268" w:rsidRDefault="003C575D" w:rsidP="007768B8">
            <w:pPr>
              <w:keepLines/>
              <w:snapToGrid w:val="0"/>
              <w:spacing w:line="240" w:lineRule="exact"/>
              <w:rPr>
                <w:sz w:val="20"/>
                <w:szCs w:val="20"/>
              </w:rPr>
            </w:pPr>
            <w:r w:rsidRPr="00E14268">
              <w:rPr>
                <w:sz w:val="20"/>
                <w:szCs w:val="20"/>
              </w:rPr>
              <w:t>88</w:t>
            </w:r>
          </w:p>
        </w:tc>
        <w:tc>
          <w:tcPr>
            <w:tcW w:w="1195" w:type="dxa"/>
            <w:shd w:val="clear" w:color="auto" w:fill="auto"/>
            <w:noWrap/>
            <w:vAlign w:val="center"/>
            <w:hideMark/>
          </w:tcPr>
          <w:p w14:paraId="28098119" w14:textId="77777777" w:rsidR="003C575D" w:rsidRPr="00E14268" w:rsidRDefault="003C575D" w:rsidP="007768B8">
            <w:pPr>
              <w:keepLines/>
              <w:snapToGrid w:val="0"/>
              <w:spacing w:line="240" w:lineRule="exact"/>
              <w:rPr>
                <w:sz w:val="20"/>
                <w:szCs w:val="20"/>
              </w:rPr>
            </w:pPr>
            <w:r w:rsidRPr="00E14268">
              <w:rPr>
                <w:sz w:val="20"/>
                <w:szCs w:val="20"/>
              </w:rPr>
              <w:t>114</w:t>
            </w:r>
          </w:p>
        </w:tc>
        <w:tc>
          <w:tcPr>
            <w:tcW w:w="1196" w:type="dxa"/>
            <w:shd w:val="clear" w:color="auto" w:fill="auto"/>
            <w:noWrap/>
            <w:vAlign w:val="center"/>
            <w:hideMark/>
          </w:tcPr>
          <w:p w14:paraId="0FAA5C00" w14:textId="77777777" w:rsidR="003C575D" w:rsidRPr="00E14268" w:rsidRDefault="003C575D" w:rsidP="007768B8">
            <w:pPr>
              <w:keepLines/>
              <w:snapToGrid w:val="0"/>
              <w:spacing w:line="240" w:lineRule="exact"/>
              <w:rPr>
                <w:sz w:val="20"/>
                <w:szCs w:val="20"/>
              </w:rPr>
            </w:pPr>
            <w:r w:rsidRPr="00E14268">
              <w:rPr>
                <w:sz w:val="20"/>
                <w:szCs w:val="20"/>
              </w:rPr>
              <w:t>117</w:t>
            </w:r>
          </w:p>
        </w:tc>
        <w:tc>
          <w:tcPr>
            <w:tcW w:w="1195" w:type="dxa"/>
            <w:shd w:val="clear" w:color="auto" w:fill="auto"/>
            <w:noWrap/>
            <w:vAlign w:val="center"/>
            <w:hideMark/>
          </w:tcPr>
          <w:p w14:paraId="15981D28" w14:textId="77777777" w:rsidR="003C575D" w:rsidRPr="00E14268" w:rsidRDefault="003C575D" w:rsidP="007768B8">
            <w:pPr>
              <w:keepLines/>
              <w:snapToGrid w:val="0"/>
              <w:spacing w:line="240" w:lineRule="exact"/>
              <w:rPr>
                <w:sz w:val="20"/>
                <w:szCs w:val="20"/>
              </w:rPr>
            </w:pPr>
            <w:r w:rsidRPr="00E14268">
              <w:rPr>
                <w:sz w:val="20"/>
                <w:szCs w:val="20"/>
              </w:rPr>
              <w:t>6</w:t>
            </w:r>
          </w:p>
        </w:tc>
        <w:tc>
          <w:tcPr>
            <w:tcW w:w="1050" w:type="dxa"/>
            <w:shd w:val="clear" w:color="auto" w:fill="auto"/>
            <w:noWrap/>
            <w:vAlign w:val="center"/>
            <w:hideMark/>
          </w:tcPr>
          <w:p w14:paraId="07A34101" w14:textId="77777777" w:rsidR="003C575D" w:rsidRPr="00E14268" w:rsidRDefault="003C575D" w:rsidP="007768B8">
            <w:pPr>
              <w:keepLines/>
              <w:snapToGrid w:val="0"/>
              <w:spacing w:line="240" w:lineRule="exact"/>
              <w:rPr>
                <w:sz w:val="20"/>
                <w:szCs w:val="20"/>
              </w:rPr>
            </w:pPr>
            <w:r w:rsidRPr="00E14268">
              <w:rPr>
                <w:sz w:val="20"/>
                <w:szCs w:val="20"/>
              </w:rPr>
              <w:t>16</w:t>
            </w:r>
          </w:p>
        </w:tc>
      </w:tr>
      <w:tr w:rsidR="003C575D" w:rsidRPr="00E14268" w14:paraId="45213AAF" w14:textId="77777777" w:rsidTr="00F82681">
        <w:trPr>
          <w:cantSplit/>
          <w:trHeight w:val="340"/>
          <w:tblHeader/>
        </w:trPr>
        <w:tc>
          <w:tcPr>
            <w:tcW w:w="1195" w:type="dxa"/>
            <w:shd w:val="clear" w:color="auto" w:fill="auto"/>
            <w:noWrap/>
            <w:vAlign w:val="center"/>
            <w:hideMark/>
          </w:tcPr>
          <w:p w14:paraId="5E0D72B2" w14:textId="77777777" w:rsidR="003C575D" w:rsidRPr="00E14268" w:rsidRDefault="003C575D" w:rsidP="007768B8">
            <w:pPr>
              <w:keepLines/>
              <w:snapToGrid w:val="0"/>
              <w:spacing w:line="240" w:lineRule="exact"/>
              <w:rPr>
                <w:sz w:val="20"/>
                <w:szCs w:val="20"/>
              </w:rPr>
            </w:pPr>
          </w:p>
        </w:tc>
        <w:tc>
          <w:tcPr>
            <w:tcW w:w="1195" w:type="dxa"/>
            <w:shd w:val="clear" w:color="auto" w:fill="auto"/>
            <w:noWrap/>
            <w:vAlign w:val="center"/>
            <w:hideMark/>
          </w:tcPr>
          <w:p w14:paraId="44F602DC" w14:textId="77777777" w:rsidR="003C575D" w:rsidRPr="00E14268" w:rsidRDefault="003C575D" w:rsidP="007768B8">
            <w:pPr>
              <w:keepLines/>
              <w:snapToGrid w:val="0"/>
              <w:spacing w:line="240" w:lineRule="exact"/>
              <w:rPr>
                <w:sz w:val="20"/>
                <w:szCs w:val="20"/>
              </w:rPr>
            </w:pPr>
          </w:p>
        </w:tc>
        <w:tc>
          <w:tcPr>
            <w:tcW w:w="1196" w:type="dxa"/>
            <w:shd w:val="clear" w:color="auto" w:fill="auto"/>
            <w:noWrap/>
            <w:vAlign w:val="center"/>
            <w:hideMark/>
          </w:tcPr>
          <w:p w14:paraId="2CD896DA" w14:textId="77777777" w:rsidR="003C575D" w:rsidRPr="00E14268" w:rsidRDefault="003C575D" w:rsidP="007768B8">
            <w:pPr>
              <w:keepLines/>
              <w:snapToGrid w:val="0"/>
              <w:spacing w:line="240" w:lineRule="exact"/>
              <w:rPr>
                <w:sz w:val="20"/>
                <w:szCs w:val="20"/>
              </w:rPr>
            </w:pPr>
            <w:r w:rsidRPr="00E14268">
              <w:rPr>
                <w:sz w:val="20"/>
                <w:szCs w:val="20"/>
              </w:rPr>
              <w:t>0.978</w:t>
            </w:r>
          </w:p>
        </w:tc>
        <w:tc>
          <w:tcPr>
            <w:tcW w:w="1195" w:type="dxa"/>
            <w:shd w:val="clear" w:color="auto" w:fill="auto"/>
            <w:noWrap/>
            <w:vAlign w:val="center"/>
            <w:hideMark/>
          </w:tcPr>
          <w:p w14:paraId="0C1FF660" w14:textId="77777777" w:rsidR="003C575D" w:rsidRPr="00E14268" w:rsidRDefault="003C575D" w:rsidP="007768B8">
            <w:pPr>
              <w:keepLines/>
              <w:snapToGrid w:val="0"/>
              <w:spacing w:line="240" w:lineRule="exact"/>
              <w:rPr>
                <w:sz w:val="20"/>
                <w:szCs w:val="20"/>
              </w:rPr>
            </w:pPr>
            <w:r w:rsidRPr="00E14268">
              <w:rPr>
                <w:sz w:val="20"/>
                <w:szCs w:val="20"/>
              </w:rPr>
              <w:t>1.267</w:t>
            </w:r>
          </w:p>
        </w:tc>
        <w:tc>
          <w:tcPr>
            <w:tcW w:w="1196" w:type="dxa"/>
            <w:shd w:val="clear" w:color="auto" w:fill="auto"/>
            <w:noWrap/>
            <w:vAlign w:val="center"/>
            <w:hideMark/>
          </w:tcPr>
          <w:p w14:paraId="413B77CC" w14:textId="77777777" w:rsidR="003C575D" w:rsidRPr="00E14268" w:rsidRDefault="003C575D" w:rsidP="007768B8">
            <w:pPr>
              <w:keepLines/>
              <w:snapToGrid w:val="0"/>
              <w:spacing w:line="240" w:lineRule="exact"/>
              <w:rPr>
                <w:sz w:val="20"/>
                <w:szCs w:val="20"/>
              </w:rPr>
            </w:pPr>
            <w:r w:rsidRPr="00E14268">
              <w:rPr>
                <w:sz w:val="20"/>
                <w:szCs w:val="20"/>
              </w:rPr>
              <w:t>1.300</w:t>
            </w:r>
          </w:p>
        </w:tc>
        <w:tc>
          <w:tcPr>
            <w:tcW w:w="1195" w:type="dxa"/>
            <w:shd w:val="clear" w:color="auto" w:fill="auto"/>
            <w:noWrap/>
            <w:vAlign w:val="center"/>
            <w:hideMark/>
          </w:tcPr>
          <w:p w14:paraId="216FAC6C" w14:textId="77777777" w:rsidR="003C575D" w:rsidRPr="00E14268" w:rsidRDefault="003C575D" w:rsidP="007768B8">
            <w:pPr>
              <w:keepLines/>
              <w:snapToGrid w:val="0"/>
              <w:spacing w:line="240" w:lineRule="exact"/>
              <w:rPr>
                <w:sz w:val="20"/>
                <w:szCs w:val="20"/>
              </w:rPr>
            </w:pPr>
            <w:r w:rsidRPr="00E14268">
              <w:rPr>
                <w:sz w:val="20"/>
                <w:szCs w:val="20"/>
              </w:rPr>
              <w:t>0.067</w:t>
            </w:r>
          </w:p>
        </w:tc>
        <w:tc>
          <w:tcPr>
            <w:tcW w:w="1050" w:type="dxa"/>
            <w:shd w:val="clear" w:color="auto" w:fill="auto"/>
            <w:noWrap/>
            <w:vAlign w:val="center"/>
            <w:hideMark/>
          </w:tcPr>
          <w:p w14:paraId="54366082" w14:textId="77777777" w:rsidR="003C575D" w:rsidRPr="00E14268" w:rsidRDefault="003C575D" w:rsidP="007768B8">
            <w:pPr>
              <w:keepLines/>
              <w:snapToGrid w:val="0"/>
              <w:spacing w:line="240" w:lineRule="exact"/>
              <w:rPr>
                <w:sz w:val="20"/>
                <w:szCs w:val="20"/>
              </w:rPr>
            </w:pPr>
            <w:r w:rsidRPr="00E14268">
              <w:rPr>
                <w:sz w:val="20"/>
                <w:szCs w:val="20"/>
              </w:rPr>
              <w:t>0.178</w:t>
            </w:r>
          </w:p>
        </w:tc>
      </w:tr>
      <w:tr w:rsidR="00AD3CFC" w:rsidRPr="00E14268" w14:paraId="5C64CA05" w14:textId="77777777" w:rsidTr="00F82681">
        <w:trPr>
          <w:cantSplit/>
          <w:trHeight w:val="340"/>
          <w:tblHeader/>
        </w:trPr>
        <w:tc>
          <w:tcPr>
            <w:tcW w:w="8222" w:type="dxa"/>
            <w:gridSpan w:val="7"/>
            <w:tcBorders>
              <w:top w:val="single" w:sz="4" w:space="0" w:color="auto"/>
              <w:bottom w:val="single" w:sz="4" w:space="0" w:color="auto"/>
            </w:tcBorders>
            <w:shd w:val="clear" w:color="auto" w:fill="auto"/>
            <w:noWrap/>
            <w:vAlign w:val="center"/>
            <w:hideMark/>
          </w:tcPr>
          <w:p w14:paraId="26D53526" w14:textId="77777777" w:rsidR="00AD3CFC" w:rsidRPr="00E14268" w:rsidRDefault="00AD3CFC" w:rsidP="007768B8">
            <w:pPr>
              <w:keepLines/>
              <w:snapToGrid w:val="0"/>
              <w:spacing w:line="240" w:lineRule="exact"/>
              <w:rPr>
                <w:rFonts w:eastAsia="Times New Roman"/>
                <w:sz w:val="20"/>
                <w:szCs w:val="20"/>
              </w:rPr>
            </w:pPr>
            <w:r w:rsidRPr="00E14268">
              <w:rPr>
                <w:sz w:val="20"/>
                <w:szCs w:val="20"/>
              </w:rPr>
              <w:t>Panel B: 60 days before the announcement</w:t>
            </w:r>
          </w:p>
        </w:tc>
      </w:tr>
      <w:tr w:rsidR="00AD3CFC" w:rsidRPr="00E14268" w14:paraId="61C44545" w14:textId="77777777" w:rsidTr="00F82681">
        <w:trPr>
          <w:cantSplit/>
          <w:trHeight w:val="340"/>
          <w:tblHeader/>
        </w:trPr>
        <w:tc>
          <w:tcPr>
            <w:tcW w:w="1195" w:type="dxa"/>
            <w:tcBorders>
              <w:top w:val="single" w:sz="4" w:space="0" w:color="auto"/>
              <w:bottom w:val="single" w:sz="4" w:space="0" w:color="auto"/>
            </w:tcBorders>
            <w:shd w:val="clear" w:color="auto" w:fill="auto"/>
            <w:noWrap/>
            <w:vAlign w:val="center"/>
            <w:hideMark/>
          </w:tcPr>
          <w:p w14:paraId="21A70C24" w14:textId="77777777" w:rsidR="003C575D" w:rsidRPr="00E14268" w:rsidRDefault="003C575D" w:rsidP="007768B8">
            <w:pPr>
              <w:keepLines/>
              <w:snapToGrid w:val="0"/>
              <w:spacing w:line="240" w:lineRule="exact"/>
              <w:rPr>
                <w:sz w:val="20"/>
                <w:szCs w:val="20"/>
              </w:rPr>
            </w:pPr>
            <w:r w:rsidRPr="00E14268">
              <w:rPr>
                <w:sz w:val="20"/>
                <w:szCs w:val="20"/>
              </w:rPr>
              <w:t>Payment</w:t>
            </w:r>
          </w:p>
        </w:tc>
        <w:tc>
          <w:tcPr>
            <w:tcW w:w="1195" w:type="dxa"/>
            <w:tcBorders>
              <w:top w:val="single" w:sz="4" w:space="0" w:color="auto"/>
              <w:bottom w:val="single" w:sz="4" w:space="0" w:color="auto"/>
            </w:tcBorders>
            <w:shd w:val="clear" w:color="auto" w:fill="auto"/>
            <w:noWrap/>
            <w:vAlign w:val="center"/>
            <w:hideMark/>
          </w:tcPr>
          <w:p w14:paraId="20899141" w14:textId="70BDFF17" w:rsidR="003C575D" w:rsidRPr="00E14268" w:rsidRDefault="003C575D" w:rsidP="007768B8">
            <w:pPr>
              <w:keepLines/>
              <w:snapToGrid w:val="0"/>
              <w:spacing w:line="240" w:lineRule="exact"/>
              <w:rPr>
                <w:sz w:val="20"/>
                <w:szCs w:val="20"/>
              </w:rPr>
            </w:pPr>
            <w:r w:rsidRPr="00E14268">
              <w:rPr>
                <w:sz w:val="20"/>
                <w:szCs w:val="20"/>
              </w:rPr>
              <w:t xml:space="preserve">No. </w:t>
            </w:r>
            <w:r w:rsidR="00707136" w:rsidRPr="00E14268">
              <w:rPr>
                <w:sz w:val="20"/>
                <w:szCs w:val="20"/>
              </w:rPr>
              <w:t>Firm</w:t>
            </w:r>
          </w:p>
        </w:tc>
        <w:tc>
          <w:tcPr>
            <w:tcW w:w="1196" w:type="dxa"/>
            <w:tcBorders>
              <w:top w:val="single" w:sz="4" w:space="0" w:color="auto"/>
              <w:bottom w:val="single" w:sz="4" w:space="0" w:color="auto"/>
            </w:tcBorders>
            <w:shd w:val="clear" w:color="auto" w:fill="auto"/>
            <w:noWrap/>
            <w:vAlign w:val="center"/>
            <w:hideMark/>
          </w:tcPr>
          <w:p w14:paraId="58962BBA" w14:textId="77777777" w:rsidR="003C575D" w:rsidRPr="00E14268" w:rsidRDefault="003C575D" w:rsidP="007768B8">
            <w:pPr>
              <w:keepLines/>
              <w:snapToGrid w:val="0"/>
              <w:spacing w:line="240" w:lineRule="exact"/>
              <w:rPr>
                <w:sz w:val="20"/>
                <w:szCs w:val="20"/>
              </w:rPr>
            </w:pPr>
            <w:r w:rsidRPr="00E14268">
              <w:rPr>
                <w:sz w:val="20"/>
                <w:szCs w:val="20"/>
              </w:rPr>
              <w:t>Strong Buy</w:t>
            </w:r>
          </w:p>
        </w:tc>
        <w:tc>
          <w:tcPr>
            <w:tcW w:w="1195" w:type="dxa"/>
            <w:tcBorders>
              <w:top w:val="single" w:sz="4" w:space="0" w:color="auto"/>
              <w:bottom w:val="single" w:sz="4" w:space="0" w:color="auto"/>
            </w:tcBorders>
            <w:shd w:val="clear" w:color="auto" w:fill="auto"/>
            <w:noWrap/>
            <w:vAlign w:val="center"/>
            <w:hideMark/>
          </w:tcPr>
          <w:p w14:paraId="1418527E" w14:textId="77777777" w:rsidR="003C575D" w:rsidRPr="00E14268" w:rsidRDefault="003C575D" w:rsidP="007768B8">
            <w:pPr>
              <w:keepLines/>
              <w:snapToGrid w:val="0"/>
              <w:spacing w:line="240" w:lineRule="exact"/>
              <w:rPr>
                <w:sz w:val="20"/>
                <w:szCs w:val="20"/>
              </w:rPr>
            </w:pPr>
            <w:r w:rsidRPr="00E14268">
              <w:rPr>
                <w:sz w:val="20"/>
                <w:szCs w:val="20"/>
              </w:rPr>
              <w:t>Buy</w:t>
            </w:r>
          </w:p>
        </w:tc>
        <w:tc>
          <w:tcPr>
            <w:tcW w:w="1196" w:type="dxa"/>
            <w:tcBorders>
              <w:top w:val="single" w:sz="4" w:space="0" w:color="auto"/>
              <w:bottom w:val="single" w:sz="4" w:space="0" w:color="auto"/>
            </w:tcBorders>
            <w:shd w:val="clear" w:color="auto" w:fill="auto"/>
            <w:noWrap/>
            <w:vAlign w:val="center"/>
            <w:hideMark/>
          </w:tcPr>
          <w:p w14:paraId="04217009" w14:textId="77777777" w:rsidR="003C575D" w:rsidRPr="00E14268" w:rsidRDefault="003C575D" w:rsidP="007768B8">
            <w:pPr>
              <w:keepLines/>
              <w:snapToGrid w:val="0"/>
              <w:spacing w:line="240" w:lineRule="exact"/>
              <w:rPr>
                <w:sz w:val="20"/>
                <w:szCs w:val="20"/>
              </w:rPr>
            </w:pPr>
            <w:r w:rsidRPr="00E14268">
              <w:rPr>
                <w:sz w:val="20"/>
                <w:szCs w:val="20"/>
              </w:rPr>
              <w:t>Hold</w:t>
            </w:r>
          </w:p>
        </w:tc>
        <w:tc>
          <w:tcPr>
            <w:tcW w:w="1195" w:type="dxa"/>
            <w:tcBorders>
              <w:top w:val="single" w:sz="4" w:space="0" w:color="auto"/>
              <w:bottom w:val="single" w:sz="4" w:space="0" w:color="auto"/>
            </w:tcBorders>
            <w:shd w:val="clear" w:color="auto" w:fill="auto"/>
            <w:noWrap/>
            <w:vAlign w:val="center"/>
            <w:hideMark/>
          </w:tcPr>
          <w:p w14:paraId="11D3CEF5" w14:textId="77777777" w:rsidR="003C575D" w:rsidRPr="00E14268" w:rsidRDefault="003C575D" w:rsidP="007768B8">
            <w:pPr>
              <w:keepLines/>
              <w:snapToGrid w:val="0"/>
              <w:spacing w:line="240" w:lineRule="exact"/>
              <w:rPr>
                <w:sz w:val="20"/>
                <w:szCs w:val="20"/>
              </w:rPr>
            </w:pPr>
            <w:r w:rsidRPr="00E14268">
              <w:rPr>
                <w:sz w:val="20"/>
                <w:szCs w:val="20"/>
              </w:rPr>
              <w:t>Sell</w:t>
            </w:r>
          </w:p>
        </w:tc>
        <w:tc>
          <w:tcPr>
            <w:tcW w:w="1050" w:type="dxa"/>
            <w:tcBorders>
              <w:top w:val="single" w:sz="4" w:space="0" w:color="auto"/>
              <w:bottom w:val="single" w:sz="4" w:space="0" w:color="auto"/>
            </w:tcBorders>
            <w:shd w:val="clear" w:color="auto" w:fill="auto"/>
            <w:noWrap/>
            <w:vAlign w:val="center"/>
            <w:hideMark/>
          </w:tcPr>
          <w:p w14:paraId="05B73DA3" w14:textId="77777777" w:rsidR="003C575D" w:rsidRPr="00E14268" w:rsidRDefault="003C575D" w:rsidP="007768B8">
            <w:pPr>
              <w:keepLines/>
              <w:snapToGrid w:val="0"/>
              <w:spacing w:line="240" w:lineRule="exact"/>
              <w:rPr>
                <w:sz w:val="20"/>
                <w:szCs w:val="20"/>
              </w:rPr>
            </w:pPr>
            <w:r w:rsidRPr="00E14268">
              <w:rPr>
                <w:sz w:val="20"/>
                <w:szCs w:val="20"/>
              </w:rPr>
              <w:t>Strong Sell</w:t>
            </w:r>
          </w:p>
        </w:tc>
      </w:tr>
      <w:tr w:rsidR="003C575D" w:rsidRPr="00E14268" w14:paraId="78CA7EAA" w14:textId="77777777" w:rsidTr="00F82681">
        <w:trPr>
          <w:cantSplit/>
          <w:trHeight w:val="340"/>
          <w:tblHeader/>
        </w:trPr>
        <w:tc>
          <w:tcPr>
            <w:tcW w:w="1195" w:type="dxa"/>
            <w:tcBorders>
              <w:top w:val="single" w:sz="4" w:space="0" w:color="auto"/>
            </w:tcBorders>
            <w:shd w:val="clear" w:color="auto" w:fill="auto"/>
            <w:noWrap/>
            <w:vAlign w:val="center"/>
            <w:hideMark/>
          </w:tcPr>
          <w:p w14:paraId="41A2449A" w14:textId="77777777" w:rsidR="003C575D" w:rsidRPr="00E14268" w:rsidRDefault="003C575D" w:rsidP="007768B8">
            <w:pPr>
              <w:keepLines/>
              <w:snapToGrid w:val="0"/>
              <w:spacing w:line="240" w:lineRule="exact"/>
              <w:rPr>
                <w:sz w:val="20"/>
                <w:szCs w:val="20"/>
              </w:rPr>
            </w:pPr>
            <w:r w:rsidRPr="00E14268">
              <w:rPr>
                <w:sz w:val="20"/>
                <w:szCs w:val="20"/>
              </w:rPr>
              <w:t>Cash</w:t>
            </w:r>
          </w:p>
        </w:tc>
        <w:tc>
          <w:tcPr>
            <w:tcW w:w="1195" w:type="dxa"/>
            <w:tcBorders>
              <w:top w:val="single" w:sz="4" w:space="0" w:color="auto"/>
            </w:tcBorders>
            <w:shd w:val="clear" w:color="auto" w:fill="auto"/>
            <w:noWrap/>
            <w:vAlign w:val="center"/>
            <w:hideMark/>
          </w:tcPr>
          <w:p w14:paraId="092EAE4D" w14:textId="77777777" w:rsidR="003C575D" w:rsidRPr="00E14268" w:rsidRDefault="003C575D" w:rsidP="007768B8">
            <w:pPr>
              <w:keepLines/>
              <w:snapToGrid w:val="0"/>
              <w:spacing w:line="240" w:lineRule="exact"/>
              <w:rPr>
                <w:sz w:val="20"/>
                <w:szCs w:val="20"/>
              </w:rPr>
            </w:pPr>
            <w:r w:rsidRPr="00E14268">
              <w:rPr>
                <w:sz w:val="20"/>
                <w:szCs w:val="20"/>
              </w:rPr>
              <w:t>371</w:t>
            </w:r>
          </w:p>
        </w:tc>
        <w:tc>
          <w:tcPr>
            <w:tcW w:w="1196" w:type="dxa"/>
            <w:tcBorders>
              <w:top w:val="single" w:sz="4" w:space="0" w:color="auto"/>
            </w:tcBorders>
            <w:shd w:val="clear" w:color="auto" w:fill="auto"/>
            <w:noWrap/>
            <w:vAlign w:val="center"/>
            <w:hideMark/>
          </w:tcPr>
          <w:p w14:paraId="5EE17818" w14:textId="77777777" w:rsidR="003C575D" w:rsidRPr="00E14268" w:rsidRDefault="003C575D" w:rsidP="007768B8">
            <w:pPr>
              <w:keepLines/>
              <w:snapToGrid w:val="0"/>
              <w:spacing w:line="240" w:lineRule="exact"/>
              <w:rPr>
                <w:sz w:val="20"/>
                <w:szCs w:val="20"/>
              </w:rPr>
            </w:pPr>
            <w:r w:rsidRPr="00E14268">
              <w:rPr>
                <w:sz w:val="20"/>
                <w:szCs w:val="20"/>
              </w:rPr>
              <w:t>257</w:t>
            </w:r>
          </w:p>
        </w:tc>
        <w:tc>
          <w:tcPr>
            <w:tcW w:w="1195" w:type="dxa"/>
            <w:tcBorders>
              <w:top w:val="single" w:sz="4" w:space="0" w:color="auto"/>
            </w:tcBorders>
            <w:shd w:val="clear" w:color="auto" w:fill="auto"/>
            <w:noWrap/>
            <w:vAlign w:val="center"/>
            <w:hideMark/>
          </w:tcPr>
          <w:p w14:paraId="0AC90C6F" w14:textId="77777777" w:rsidR="003C575D" w:rsidRPr="00E14268" w:rsidRDefault="003C575D" w:rsidP="007768B8">
            <w:pPr>
              <w:keepLines/>
              <w:snapToGrid w:val="0"/>
              <w:spacing w:line="240" w:lineRule="exact"/>
              <w:rPr>
                <w:sz w:val="20"/>
                <w:szCs w:val="20"/>
              </w:rPr>
            </w:pPr>
            <w:r w:rsidRPr="00E14268">
              <w:rPr>
                <w:sz w:val="20"/>
                <w:szCs w:val="20"/>
              </w:rPr>
              <w:t>410</w:t>
            </w:r>
          </w:p>
        </w:tc>
        <w:tc>
          <w:tcPr>
            <w:tcW w:w="1196" w:type="dxa"/>
            <w:tcBorders>
              <w:top w:val="single" w:sz="4" w:space="0" w:color="auto"/>
            </w:tcBorders>
            <w:shd w:val="clear" w:color="auto" w:fill="auto"/>
            <w:noWrap/>
            <w:vAlign w:val="center"/>
            <w:hideMark/>
          </w:tcPr>
          <w:p w14:paraId="5DEEBE63" w14:textId="77777777" w:rsidR="003C575D" w:rsidRPr="00E14268" w:rsidRDefault="003C575D" w:rsidP="007768B8">
            <w:pPr>
              <w:keepLines/>
              <w:snapToGrid w:val="0"/>
              <w:spacing w:line="240" w:lineRule="exact"/>
              <w:rPr>
                <w:sz w:val="20"/>
                <w:szCs w:val="20"/>
              </w:rPr>
            </w:pPr>
            <w:r w:rsidRPr="00E14268">
              <w:rPr>
                <w:sz w:val="20"/>
                <w:szCs w:val="20"/>
              </w:rPr>
              <w:t>557</w:t>
            </w:r>
          </w:p>
        </w:tc>
        <w:tc>
          <w:tcPr>
            <w:tcW w:w="1195" w:type="dxa"/>
            <w:tcBorders>
              <w:top w:val="single" w:sz="4" w:space="0" w:color="auto"/>
            </w:tcBorders>
            <w:shd w:val="clear" w:color="auto" w:fill="auto"/>
            <w:noWrap/>
            <w:vAlign w:val="center"/>
            <w:hideMark/>
          </w:tcPr>
          <w:p w14:paraId="2B0AC16B" w14:textId="77777777" w:rsidR="003C575D" w:rsidRPr="00E14268" w:rsidRDefault="003C575D" w:rsidP="007768B8">
            <w:pPr>
              <w:keepLines/>
              <w:snapToGrid w:val="0"/>
              <w:spacing w:line="240" w:lineRule="exact"/>
              <w:rPr>
                <w:sz w:val="20"/>
                <w:szCs w:val="20"/>
              </w:rPr>
            </w:pPr>
            <w:r w:rsidRPr="00E14268">
              <w:rPr>
                <w:sz w:val="20"/>
                <w:szCs w:val="20"/>
              </w:rPr>
              <w:t>31</w:t>
            </w:r>
          </w:p>
        </w:tc>
        <w:tc>
          <w:tcPr>
            <w:tcW w:w="1050" w:type="dxa"/>
            <w:tcBorders>
              <w:top w:val="single" w:sz="4" w:space="0" w:color="auto"/>
            </w:tcBorders>
            <w:shd w:val="clear" w:color="auto" w:fill="auto"/>
            <w:noWrap/>
            <w:vAlign w:val="center"/>
            <w:hideMark/>
          </w:tcPr>
          <w:p w14:paraId="56AAFD76" w14:textId="77777777" w:rsidR="003C575D" w:rsidRPr="00E14268" w:rsidRDefault="003C575D" w:rsidP="007768B8">
            <w:pPr>
              <w:keepLines/>
              <w:snapToGrid w:val="0"/>
              <w:spacing w:line="240" w:lineRule="exact"/>
              <w:rPr>
                <w:sz w:val="20"/>
                <w:szCs w:val="20"/>
              </w:rPr>
            </w:pPr>
            <w:r w:rsidRPr="00E14268">
              <w:rPr>
                <w:sz w:val="20"/>
                <w:szCs w:val="20"/>
              </w:rPr>
              <w:t>65</w:t>
            </w:r>
          </w:p>
        </w:tc>
      </w:tr>
      <w:tr w:rsidR="003C575D" w:rsidRPr="00E14268" w14:paraId="1A160A96" w14:textId="77777777" w:rsidTr="00F82681">
        <w:trPr>
          <w:cantSplit/>
          <w:trHeight w:val="340"/>
          <w:tblHeader/>
        </w:trPr>
        <w:tc>
          <w:tcPr>
            <w:tcW w:w="1195" w:type="dxa"/>
            <w:shd w:val="clear" w:color="auto" w:fill="auto"/>
            <w:noWrap/>
            <w:vAlign w:val="center"/>
            <w:hideMark/>
          </w:tcPr>
          <w:p w14:paraId="0B6A480E" w14:textId="77777777" w:rsidR="003C575D" w:rsidRPr="00E14268" w:rsidRDefault="003C575D" w:rsidP="007768B8">
            <w:pPr>
              <w:keepLines/>
              <w:snapToGrid w:val="0"/>
              <w:spacing w:line="240" w:lineRule="exact"/>
              <w:rPr>
                <w:sz w:val="20"/>
                <w:szCs w:val="20"/>
              </w:rPr>
            </w:pPr>
          </w:p>
        </w:tc>
        <w:tc>
          <w:tcPr>
            <w:tcW w:w="1195" w:type="dxa"/>
            <w:shd w:val="clear" w:color="auto" w:fill="auto"/>
            <w:noWrap/>
            <w:vAlign w:val="center"/>
            <w:hideMark/>
          </w:tcPr>
          <w:p w14:paraId="075B0427" w14:textId="77777777" w:rsidR="003C575D" w:rsidRPr="00E14268" w:rsidRDefault="003C575D" w:rsidP="007768B8">
            <w:pPr>
              <w:keepLines/>
              <w:snapToGrid w:val="0"/>
              <w:spacing w:line="240" w:lineRule="exact"/>
              <w:rPr>
                <w:sz w:val="20"/>
                <w:szCs w:val="20"/>
              </w:rPr>
            </w:pPr>
          </w:p>
        </w:tc>
        <w:tc>
          <w:tcPr>
            <w:tcW w:w="1196" w:type="dxa"/>
            <w:shd w:val="clear" w:color="auto" w:fill="auto"/>
            <w:noWrap/>
            <w:vAlign w:val="center"/>
            <w:hideMark/>
          </w:tcPr>
          <w:p w14:paraId="49BAEF16" w14:textId="77777777" w:rsidR="003C575D" w:rsidRPr="00E14268" w:rsidRDefault="003C575D" w:rsidP="007768B8">
            <w:pPr>
              <w:keepLines/>
              <w:snapToGrid w:val="0"/>
              <w:spacing w:line="240" w:lineRule="exact"/>
              <w:rPr>
                <w:sz w:val="20"/>
                <w:szCs w:val="20"/>
              </w:rPr>
            </w:pPr>
            <w:r w:rsidRPr="00E14268">
              <w:rPr>
                <w:sz w:val="20"/>
                <w:szCs w:val="20"/>
              </w:rPr>
              <w:t>0.693</w:t>
            </w:r>
          </w:p>
        </w:tc>
        <w:tc>
          <w:tcPr>
            <w:tcW w:w="1195" w:type="dxa"/>
            <w:shd w:val="clear" w:color="auto" w:fill="auto"/>
            <w:noWrap/>
            <w:vAlign w:val="center"/>
            <w:hideMark/>
          </w:tcPr>
          <w:p w14:paraId="2372EB32" w14:textId="77777777" w:rsidR="003C575D" w:rsidRPr="00E14268" w:rsidRDefault="003C575D" w:rsidP="007768B8">
            <w:pPr>
              <w:keepLines/>
              <w:snapToGrid w:val="0"/>
              <w:spacing w:line="240" w:lineRule="exact"/>
              <w:rPr>
                <w:sz w:val="20"/>
                <w:szCs w:val="20"/>
              </w:rPr>
            </w:pPr>
            <w:r w:rsidRPr="00E14268">
              <w:rPr>
                <w:sz w:val="20"/>
                <w:szCs w:val="20"/>
              </w:rPr>
              <w:t>1.105</w:t>
            </w:r>
          </w:p>
        </w:tc>
        <w:tc>
          <w:tcPr>
            <w:tcW w:w="1196" w:type="dxa"/>
            <w:shd w:val="clear" w:color="auto" w:fill="auto"/>
            <w:noWrap/>
            <w:vAlign w:val="center"/>
            <w:hideMark/>
          </w:tcPr>
          <w:p w14:paraId="0AB5AC97" w14:textId="77777777" w:rsidR="003C575D" w:rsidRPr="00E14268" w:rsidRDefault="003C575D" w:rsidP="007768B8">
            <w:pPr>
              <w:keepLines/>
              <w:snapToGrid w:val="0"/>
              <w:spacing w:line="240" w:lineRule="exact"/>
              <w:rPr>
                <w:sz w:val="20"/>
                <w:szCs w:val="20"/>
              </w:rPr>
            </w:pPr>
            <w:r w:rsidRPr="00E14268">
              <w:rPr>
                <w:sz w:val="20"/>
                <w:szCs w:val="20"/>
              </w:rPr>
              <w:t>1.501</w:t>
            </w:r>
          </w:p>
        </w:tc>
        <w:tc>
          <w:tcPr>
            <w:tcW w:w="1195" w:type="dxa"/>
            <w:shd w:val="clear" w:color="auto" w:fill="auto"/>
            <w:noWrap/>
            <w:vAlign w:val="center"/>
            <w:hideMark/>
          </w:tcPr>
          <w:p w14:paraId="76AAE502" w14:textId="77777777" w:rsidR="003C575D" w:rsidRPr="00E14268" w:rsidRDefault="003C575D" w:rsidP="007768B8">
            <w:pPr>
              <w:keepLines/>
              <w:snapToGrid w:val="0"/>
              <w:spacing w:line="240" w:lineRule="exact"/>
              <w:rPr>
                <w:sz w:val="20"/>
                <w:szCs w:val="20"/>
              </w:rPr>
            </w:pPr>
            <w:r w:rsidRPr="00E14268">
              <w:rPr>
                <w:sz w:val="20"/>
                <w:szCs w:val="20"/>
              </w:rPr>
              <w:t>0.084</w:t>
            </w:r>
          </w:p>
        </w:tc>
        <w:tc>
          <w:tcPr>
            <w:tcW w:w="1050" w:type="dxa"/>
            <w:shd w:val="clear" w:color="auto" w:fill="auto"/>
            <w:noWrap/>
            <w:vAlign w:val="center"/>
            <w:hideMark/>
          </w:tcPr>
          <w:p w14:paraId="15207ADC" w14:textId="77777777" w:rsidR="003C575D" w:rsidRPr="00E14268" w:rsidRDefault="003C575D" w:rsidP="007768B8">
            <w:pPr>
              <w:keepLines/>
              <w:snapToGrid w:val="0"/>
              <w:spacing w:line="240" w:lineRule="exact"/>
              <w:rPr>
                <w:sz w:val="20"/>
                <w:szCs w:val="20"/>
              </w:rPr>
            </w:pPr>
            <w:r w:rsidRPr="00E14268">
              <w:rPr>
                <w:sz w:val="20"/>
                <w:szCs w:val="20"/>
              </w:rPr>
              <w:t>0.175</w:t>
            </w:r>
          </w:p>
        </w:tc>
      </w:tr>
      <w:tr w:rsidR="003C575D" w:rsidRPr="00E14268" w14:paraId="194D7E32" w14:textId="77777777" w:rsidTr="00F82681">
        <w:trPr>
          <w:cantSplit/>
          <w:trHeight w:val="340"/>
          <w:tblHeader/>
        </w:trPr>
        <w:tc>
          <w:tcPr>
            <w:tcW w:w="1195" w:type="dxa"/>
            <w:shd w:val="clear" w:color="auto" w:fill="auto"/>
            <w:noWrap/>
            <w:vAlign w:val="center"/>
            <w:hideMark/>
          </w:tcPr>
          <w:p w14:paraId="5AA0ECF7" w14:textId="77777777" w:rsidR="003C575D" w:rsidRPr="00E14268" w:rsidRDefault="003C575D" w:rsidP="007768B8">
            <w:pPr>
              <w:keepLines/>
              <w:snapToGrid w:val="0"/>
              <w:spacing w:line="240" w:lineRule="exact"/>
              <w:rPr>
                <w:sz w:val="20"/>
                <w:szCs w:val="20"/>
              </w:rPr>
            </w:pPr>
            <w:r w:rsidRPr="00E14268">
              <w:rPr>
                <w:sz w:val="20"/>
                <w:szCs w:val="20"/>
              </w:rPr>
              <w:t>Stock</w:t>
            </w:r>
          </w:p>
        </w:tc>
        <w:tc>
          <w:tcPr>
            <w:tcW w:w="1195" w:type="dxa"/>
            <w:shd w:val="clear" w:color="auto" w:fill="auto"/>
            <w:noWrap/>
            <w:vAlign w:val="center"/>
            <w:hideMark/>
          </w:tcPr>
          <w:p w14:paraId="6AAF9CB7" w14:textId="77777777" w:rsidR="003C575D" w:rsidRPr="00E14268" w:rsidRDefault="003C575D" w:rsidP="007768B8">
            <w:pPr>
              <w:keepLines/>
              <w:snapToGrid w:val="0"/>
              <w:spacing w:line="240" w:lineRule="exact"/>
              <w:rPr>
                <w:sz w:val="20"/>
                <w:szCs w:val="20"/>
              </w:rPr>
            </w:pPr>
            <w:r w:rsidRPr="00E14268">
              <w:rPr>
                <w:sz w:val="20"/>
                <w:szCs w:val="20"/>
              </w:rPr>
              <w:t>162</w:t>
            </w:r>
          </w:p>
        </w:tc>
        <w:tc>
          <w:tcPr>
            <w:tcW w:w="1196" w:type="dxa"/>
            <w:shd w:val="clear" w:color="auto" w:fill="auto"/>
            <w:noWrap/>
            <w:vAlign w:val="center"/>
            <w:hideMark/>
          </w:tcPr>
          <w:p w14:paraId="6E1C0247" w14:textId="77777777" w:rsidR="003C575D" w:rsidRPr="00E14268" w:rsidRDefault="003C575D" w:rsidP="007768B8">
            <w:pPr>
              <w:keepLines/>
              <w:snapToGrid w:val="0"/>
              <w:spacing w:line="240" w:lineRule="exact"/>
              <w:rPr>
                <w:sz w:val="20"/>
                <w:szCs w:val="20"/>
              </w:rPr>
            </w:pPr>
            <w:r w:rsidRPr="00E14268">
              <w:rPr>
                <w:sz w:val="20"/>
                <w:szCs w:val="20"/>
              </w:rPr>
              <w:t>191</w:t>
            </w:r>
          </w:p>
        </w:tc>
        <w:tc>
          <w:tcPr>
            <w:tcW w:w="1195" w:type="dxa"/>
            <w:shd w:val="clear" w:color="auto" w:fill="auto"/>
            <w:noWrap/>
            <w:vAlign w:val="center"/>
            <w:hideMark/>
          </w:tcPr>
          <w:p w14:paraId="439049EA" w14:textId="77777777" w:rsidR="003C575D" w:rsidRPr="00E14268" w:rsidRDefault="003C575D" w:rsidP="007768B8">
            <w:pPr>
              <w:keepLines/>
              <w:snapToGrid w:val="0"/>
              <w:spacing w:line="240" w:lineRule="exact"/>
              <w:rPr>
                <w:sz w:val="20"/>
                <w:szCs w:val="20"/>
              </w:rPr>
            </w:pPr>
            <w:r w:rsidRPr="00E14268">
              <w:rPr>
                <w:sz w:val="20"/>
                <w:szCs w:val="20"/>
              </w:rPr>
              <w:t>220</w:t>
            </w:r>
          </w:p>
        </w:tc>
        <w:tc>
          <w:tcPr>
            <w:tcW w:w="1196" w:type="dxa"/>
            <w:shd w:val="clear" w:color="auto" w:fill="auto"/>
            <w:noWrap/>
            <w:vAlign w:val="center"/>
            <w:hideMark/>
          </w:tcPr>
          <w:p w14:paraId="1170740C" w14:textId="77777777" w:rsidR="003C575D" w:rsidRPr="00E14268" w:rsidRDefault="003C575D" w:rsidP="007768B8">
            <w:pPr>
              <w:keepLines/>
              <w:snapToGrid w:val="0"/>
              <w:spacing w:line="240" w:lineRule="exact"/>
              <w:rPr>
                <w:sz w:val="20"/>
                <w:szCs w:val="20"/>
              </w:rPr>
            </w:pPr>
            <w:r w:rsidRPr="00E14268">
              <w:rPr>
                <w:sz w:val="20"/>
                <w:szCs w:val="20"/>
              </w:rPr>
              <w:t>181</w:t>
            </w:r>
          </w:p>
        </w:tc>
        <w:tc>
          <w:tcPr>
            <w:tcW w:w="1195" w:type="dxa"/>
            <w:shd w:val="clear" w:color="auto" w:fill="auto"/>
            <w:noWrap/>
            <w:vAlign w:val="center"/>
            <w:hideMark/>
          </w:tcPr>
          <w:p w14:paraId="2220A244" w14:textId="77777777" w:rsidR="003C575D" w:rsidRPr="00E14268" w:rsidRDefault="003C575D" w:rsidP="007768B8">
            <w:pPr>
              <w:keepLines/>
              <w:snapToGrid w:val="0"/>
              <w:spacing w:line="240" w:lineRule="exact"/>
              <w:rPr>
                <w:sz w:val="20"/>
                <w:szCs w:val="20"/>
              </w:rPr>
            </w:pPr>
            <w:r w:rsidRPr="00E14268">
              <w:rPr>
                <w:sz w:val="20"/>
                <w:szCs w:val="20"/>
              </w:rPr>
              <w:t>9</w:t>
            </w:r>
          </w:p>
        </w:tc>
        <w:tc>
          <w:tcPr>
            <w:tcW w:w="1050" w:type="dxa"/>
            <w:shd w:val="clear" w:color="auto" w:fill="auto"/>
            <w:noWrap/>
            <w:vAlign w:val="center"/>
            <w:hideMark/>
          </w:tcPr>
          <w:p w14:paraId="58FDBD21" w14:textId="77777777" w:rsidR="003C575D" w:rsidRPr="00E14268" w:rsidRDefault="003C575D" w:rsidP="007768B8">
            <w:pPr>
              <w:keepLines/>
              <w:snapToGrid w:val="0"/>
              <w:spacing w:line="240" w:lineRule="exact"/>
              <w:rPr>
                <w:sz w:val="20"/>
                <w:szCs w:val="20"/>
              </w:rPr>
            </w:pPr>
            <w:r w:rsidRPr="00E14268">
              <w:rPr>
                <w:sz w:val="20"/>
                <w:szCs w:val="20"/>
              </w:rPr>
              <w:t>21</w:t>
            </w:r>
          </w:p>
        </w:tc>
      </w:tr>
      <w:tr w:rsidR="003C575D" w:rsidRPr="00E14268" w14:paraId="6164527B" w14:textId="77777777" w:rsidTr="00F82681">
        <w:trPr>
          <w:cantSplit/>
          <w:trHeight w:val="340"/>
          <w:tblHeader/>
        </w:trPr>
        <w:tc>
          <w:tcPr>
            <w:tcW w:w="1195" w:type="dxa"/>
            <w:shd w:val="clear" w:color="auto" w:fill="auto"/>
            <w:noWrap/>
            <w:vAlign w:val="center"/>
            <w:hideMark/>
          </w:tcPr>
          <w:p w14:paraId="4CEF0A85" w14:textId="77777777" w:rsidR="003C575D" w:rsidRPr="00E14268" w:rsidRDefault="003C575D" w:rsidP="007768B8">
            <w:pPr>
              <w:keepLines/>
              <w:snapToGrid w:val="0"/>
              <w:spacing w:line="240" w:lineRule="exact"/>
              <w:rPr>
                <w:sz w:val="20"/>
                <w:szCs w:val="20"/>
              </w:rPr>
            </w:pPr>
          </w:p>
        </w:tc>
        <w:tc>
          <w:tcPr>
            <w:tcW w:w="1195" w:type="dxa"/>
            <w:shd w:val="clear" w:color="auto" w:fill="auto"/>
            <w:noWrap/>
            <w:vAlign w:val="center"/>
            <w:hideMark/>
          </w:tcPr>
          <w:p w14:paraId="09737FAA" w14:textId="77777777" w:rsidR="003C575D" w:rsidRPr="00E14268" w:rsidRDefault="003C575D" w:rsidP="007768B8">
            <w:pPr>
              <w:keepLines/>
              <w:snapToGrid w:val="0"/>
              <w:spacing w:line="240" w:lineRule="exact"/>
              <w:rPr>
                <w:sz w:val="20"/>
                <w:szCs w:val="20"/>
              </w:rPr>
            </w:pPr>
          </w:p>
        </w:tc>
        <w:tc>
          <w:tcPr>
            <w:tcW w:w="1196" w:type="dxa"/>
            <w:shd w:val="clear" w:color="auto" w:fill="auto"/>
            <w:noWrap/>
            <w:vAlign w:val="center"/>
            <w:hideMark/>
          </w:tcPr>
          <w:p w14:paraId="2EF54D17" w14:textId="77777777" w:rsidR="003C575D" w:rsidRPr="00E14268" w:rsidRDefault="003C575D" w:rsidP="007768B8">
            <w:pPr>
              <w:keepLines/>
              <w:snapToGrid w:val="0"/>
              <w:spacing w:line="240" w:lineRule="exact"/>
              <w:rPr>
                <w:sz w:val="20"/>
                <w:szCs w:val="20"/>
              </w:rPr>
            </w:pPr>
            <w:r w:rsidRPr="00E14268">
              <w:rPr>
                <w:sz w:val="20"/>
                <w:szCs w:val="20"/>
              </w:rPr>
              <w:t>1.179</w:t>
            </w:r>
          </w:p>
        </w:tc>
        <w:tc>
          <w:tcPr>
            <w:tcW w:w="1195" w:type="dxa"/>
            <w:shd w:val="clear" w:color="auto" w:fill="auto"/>
            <w:noWrap/>
            <w:vAlign w:val="center"/>
            <w:hideMark/>
          </w:tcPr>
          <w:p w14:paraId="139B24E7" w14:textId="77777777" w:rsidR="003C575D" w:rsidRPr="00E14268" w:rsidRDefault="003C575D" w:rsidP="007768B8">
            <w:pPr>
              <w:keepLines/>
              <w:snapToGrid w:val="0"/>
              <w:spacing w:line="240" w:lineRule="exact"/>
              <w:rPr>
                <w:sz w:val="20"/>
                <w:szCs w:val="20"/>
              </w:rPr>
            </w:pPr>
            <w:r w:rsidRPr="00E14268">
              <w:rPr>
                <w:sz w:val="20"/>
                <w:szCs w:val="20"/>
              </w:rPr>
              <w:t>1.358</w:t>
            </w:r>
          </w:p>
        </w:tc>
        <w:tc>
          <w:tcPr>
            <w:tcW w:w="1196" w:type="dxa"/>
            <w:shd w:val="clear" w:color="auto" w:fill="auto"/>
            <w:noWrap/>
            <w:vAlign w:val="center"/>
            <w:hideMark/>
          </w:tcPr>
          <w:p w14:paraId="41E37893" w14:textId="77777777" w:rsidR="003C575D" w:rsidRPr="00E14268" w:rsidRDefault="003C575D" w:rsidP="007768B8">
            <w:pPr>
              <w:keepLines/>
              <w:snapToGrid w:val="0"/>
              <w:spacing w:line="240" w:lineRule="exact"/>
              <w:rPr>
                <w:sz w:val="20"/>
                <w:szCs w:val="20"/>
              </w:rPr>
            </w:pPr>
            <w:r w:rsidRPr="00E14268">
              <w:rPr>
                <w:sz w:val="20"/>
                <w:szCs w:val="20"/>
              </w:rPr>
              <w:t>1.117</w:t>
            </w:r>
          </w:p>
        </w:tc>
        <w:tc>
          <w:tcPr>
            <w:tcW w:w="1195" w:type="dxa"/>
            <w:shd w:val="clear" w:color="auto" w:fill="auto"/>
            <w:noWrap/>
            <w:vAlign w:val="center"/>
            <w:hideMark/>
          </w:tcPr>
          <w:p w14:paraId="4E958441" w14:textId="77777777" w:rsidR="003C575D" w:rsidRPr="00E14268" w:rsidRDefault="003C575D" w:rsidP="007768B8">
            <w:pPr>
              <w:keepLines/>
              <w:snapToGrid w:val="0"/>
              <w:spacing w:line="240" w:lineRule="exact"/>
              <w:rPr>
                <w:sz w:val="20"/>
                <w:szCs w:val="20"/>
              </w:rPr>
            </w:pPr>
            <w:r w:rsidRPr="00E14268">
              <w:rPr>
                <w:sz w:val="20"/>
                <w:szCs w:val="20"/>
              </w:rPr>
              <w:t>0.056</w:t>
            </w:r>
          </w:p>
        </w:tc>
        <w:tc>
          <w:tcPr>
            <w:tcW w:w="1050" w:type="dxa"/>
            <w:shd w:val="clear" w:color="auto" w:fill="auto"/>
            <w:noWrap/>
            <w:vAlign w:val="center"/>
            <w:hideMark/>
          </w:tcPr>
          <w:p w14:paraId="58FF9E2F" w14:textId="77777777" w:rsidR="003C575D" w:rsidRPr="00E14268" w:rsidRDefault="003C575D" w:rsidP="007768B8">
            <w:pPr>
              <w:keepLines/>
              <w:snapToGrid w:val="0"/>
              <w:spacing w:line="240" w:lineRule="exact"/>
              <w:rPr>
                <w:sz w:val="20"/>
                <w:szCs w:val="20"/>
              </w:rPr>
            </w:pPr>
            <w:r w:rsidRPr="00E14268">
              <w:rPr>
                <w:sz w:val="20"/>
                <w:szCs w:val="20"/>
              </w:rPr>
              <w:t>0.130</w:t>
            </w:r>
          </w:p>
        </w:tc>
      </w:tr>
      <w:tr w:rsidR="003C575D" w:rsidRPr="00E14268" w14:paraId="4B53FB2B" w14:textId="77777777" w:rsidTr="00F82681">
        <w:trPr>
          <w:cantSplit/>
          <w:trHeight w:val="340"/>
          <w:tblHeader/>
        </w:trPr>
        <w:tc>
          <w:tcPr>
            <w:tcW w:w="1195" w:type="dxa"/>
            <w:shd w:val="clear" w:color="auto" w:fill="auto"/>
            <w:noWrap/>
            <w:vAlign w:val="center"/>
            <w:hideMark/>
          </w:tcPr>
          <w:p w14:paraId="60BD179E" w14:textId="77777777" w:rsidR="003C575D" w:rsidRPr="00E14268" w:rsidRDefault="003C575D" w:rsidP="007768B8">
            <w:pPr>
              <w:keepLines/>
              <w:snapToGrid w:val="0"/>
              <w:spacing w:line="240" w:lineRule="exact"/>
              <w:rPr>
                <w:sz w:val="20"/>
                <w:szCs w:val="20"/>
              </w:rPr>
            </w:pPr>
            <w:r w:rsidRPr="00E14268">
              <w:rPr>
                <w:sz w:val="20"/>
                <w:szCs w:val="20"/>
              </w:rPr>
              <w:t>Mix</w:t>
            </w:r>
          </w:p>
        </w:tc>
        <w:tc>
          <w:tcPr>
            <w:tcW w:w="1195" w:type="dxa"/>
            <w:shd w:val="clear" w:color="auto" w:fill="auto"/>
            <w:noWrap/>
            <w:vAlign w:val="center"/>
            <w:hideMark/>
          </w:tcPr>
          <w:p w14:paraId="513FE78F" w14:textId="77777777" w:rsidR="003C575D" w:rsidRPr="00E14268" w:rsidRDefault="003C575D" w:rsidP="007768B8">
            <w:pPr>
              <w:keepLines/>
              <w:snapToGrid w:val="0"/>
              <w:spacing w:line="240" w:lineRule="exact"/>
              <w:rPr>
                <w:sz w:val="20"/>
                <w:szCs w:val="20"/>
              </w:rPr>
            </w:pPr>
            <w:r w:rsidRPr="00E14268">
              <w:rPr>
                <w:sz w:val="20"/>
                <w:szCs w:val="20"/>
              </w:rPr>
              <w:t>130</w:t>
            </w:r>
          </w:p>
        </w:tc>
        <w:tc>
          <w:tcPr>
            <w:tcW w:w="1196" w:type="dxa"/>
            <w:shd w:val="clear" w:color="auto" w:fill="auto"/>
            <w:noWrap/>
            <w:vAlign w:val="center"/>
            <w:hideMark/>
          </w:tcPr>
          <w:p w14:paraId="1BA326A7" w14:textId="77777777" w:rsidR="003C575D" w:rsidRPr="00E14268" w:rsidRDefault="003C575D" w:rsidP="007768B8">
            <w:pPr>
              <w:keepLines/>
              <w:snapToGrid w:val="0"/>
              <w:spacing w:line="240" w:lineRule="exact"/>
              <w:rPr>
                <w:sz w:val="20"/>
                <w:szCs w:val="20"/>
              </w:rPr>
            </w:pPr>
            <w:r w:rsidRPr="00E14268">
              <w:rPr>
                <w:sz w:val="20"/>
                <w:szCs w:val="20"/>
              </w:rPr>
              <w:t>104</w:t>
            </w:r>
          </w:p>
        </w:tc>
        <w:tc>
          <w:tcPr>
            <w:tcW w:w="1195" w:type="dxa"/>
            <w:shd w:val="clear" w:color="auto" w:fill="auto"/>
            <w:noWrap/>
            <w:vAlign w:val="center"/>
            <w:hideMark/>
          </w:tcPr>
          <w:p w14:paraId="5D0E9601" w14:textId="77777777" w:rsidR="003C575D" w:rsidRPr="00E14268" w:rsidRDefault="003C575D" w:rsidP="007768B8">
            <w:pPr>
              <w:keepLines/>
              <w:snapToGrid w:val="0"/>
              <w:spacing w:line="240" w:lineRule="exact"/>
              <w:rPr>
                <w:sz w:val="20"/>
                <w:szCs w:val="20"/>
              </w:rPr>
            </w:pPr>
            <w:r w:rsidRPr="00E14268">
              <w:rPr>
                <w:sz w:val="20"/>
                <w:szCs w:val="20"/>
              </w:rPr>
              <w:t>148</w:t>
            </w:r>
          </w:p>
        </w:tc>
        <w:tc>
          <w:tcPr>
            <w:tcW w:w="1196" w:type="dxa"/>
            <w:shd w:val="clear" w:color="auto" w:fill="auto"/>
            <w:noWrap/>
            <w:vAlign w:val="center"/>
            <w:hideMark/>
          </w:tcPr>
          <w:p w14:paraId="139D8D31" w14:textId="77777777" w:rsidR="003C575D" w:rsidRPr="00E14268" w:rsidRDefault="003C575D" w:rsidP="007768B8">
            <w:pPr>
              <w:keepLines/>
              <w:snapToGrid w:val="0"/>
              <w:spacing w:line="240" w:lineRule="exact"/>
              <w:rPr>
                <w:sz w:val="20"/>
                <w:szCs w:val="20"/>
              </w:rPr>
            </w:pPr>
            <w:r w:rsidRPr="00E14268">
              <w:rPr>
                <w:sz w:val="20"/>
                <w:szCs w:val="20"/>
              </w:rPr>
              <w:t>160</w:t>
            </w:r>
          </w:p>
        </w:tc>
        <w:tc>
          <w:tcPr>
            <w:tcW w:w="1195" w:type="dxa"/>
            <w:shd w:val="clear" w:color="auto" w:fill="auto"/>
            <w:noWrap/>
            <w:vAlign w:val="center"/>
            <w:hideMark/>
          </w:tcPr>
          <w:p w14:paraId="1E3E48B3" w14:textId="77777777" w:rsidR="003C575D" w:rsidRPr="00E14268" w:rsidRDefault="003C575D" w:rsidP="007768B8">
            <w:pPr>
              <w:keepLines/>
              <w:snapToGrid w:val="0"/>
              <w:spacing w:line="240" w:lineRule="exact"/>
              <w:rPr>
                <w:sz w:val="20"/>
                <w:szCs w:val="20"/>
              </w:rPr>
            </w:pPr>
            <w:r w:rsidRPr="00E14268">
              <w:rPr>
                <w:sz w:val="20"/>
                <w:szCs w:val="20"/>
              </w:rPr>
              <w:t>7</w:t>
            </w:r>
          </w:p>
        </w:tc>
        <w:tc>
          <w:tcPr>
            <w:tcW w:w="1050" w:type="dxa"/>
            <w:shd w:val="clear" w:color="auto" w:fill="auto"/>
            <w:noWrap/>
            <w:vAlign w:val="center"/>
            <w:hideMark/>
          </w:tcPr>
          <w:p w14:paraId="5677C1D5" w14:textId="77777777" w:rsidR="003C575D" w:rsidRPr="00E14268" w:rsidRDefault="003C575D" w:rsidP="007768B8">
            <w:pPr>
              <w:keepLines/>
              <w:snapToGrid w:val="0"/>
              <w:spacing w:line="240" w:lineRule="exact"/>
              <w:rPr>
                <w:sz w:val="20"/>
                <w:szCs w:val="20"/>
              </w:rPr>
            </w:pPr>
            <w:r w:rsidRPr="00E14268">
              <w:rPr>
                <w:sz w:val="20"/>
                <w:szCs w:val="20"/>
              </w:rPr>
              <w:t>16</w:t>
            </w:r>
          </w:p>
        </w:tc>
      </w:tr>
      <w:tr w:rsidR="00AD3CFC" w:rsidRPr="00E14268" w14:paraId="43C6BA35" w14:textId="77777777" w:rsidTr="00F82681">
        <w:trPr>
          <w:cantSplit/>
          <w:trHeight w:val="340"/>
          <w:tblHeader/>
        </w:trPr>
        <w:tc>
          <w:tcPr>
            <w:tcW w:w="1195" w:type="dxa"/>
            <w:tcBorders>
              <w:bottom w:val="single" w:sz="4" w:space="0" w:color="auto"/>
            </w:tcBorders>
            <w:shd w:val="clear" w:color="auto" w:fill="auto"/>
            <w:noWrap/>
            <w:vAlign w:val="center"/>
            <w:hideMark/>
          </w:tcPr>
          <w:p w14:paraId="6FD784F3" w14:textId="77777777" w:rsidR="003C575D" w:rsidRPr="00E14268" w:rsidRDefault="003C575D" w:rsidP="007768B8">
            <w:pPr>
              <w:keepLines/>
              <w:snapToGrid w:val="0"/>
              <w:spacing w:line="240" w:lineRule="exact"/>
              <w:rPr>
                <w:sz w:val="20"/>
                <w:szCs w:val="20"/>
              </w:rPr>
            </w:pPr>
          </w:p>
        </w:tc>
        <w:tc>
          <w:tcPr>
            <w:tcW w:w="1195" w:type="dxa"/>
            <w:tcBorders>
              <w:bottom w:val="single" w:sz="4" w:space="0" w:color="auto"/>
            </w:tcBorders>
            <w:shd w:val="clear" w:color="auto" w:fill="auto"/>
            <w:noWrap/>
            <w:vAlign w:val="center"/>
            <w:hideMark/>
          </w:tcPr>
          <w:p w14:paraId="3A14406F" w14:textId="77777777" w:rsidR="003C575D" w:rsidRPr="00E14268" w:rsidRDefault="003C575D" w:rsidP="007768B8">
            <w:pPr>
              <w:keepLines/>
              <w:snapToGrid w:val="0"/>
              <w:spacing w:line="240" w:lineRule="exact"/>
              <w:rPr>
                <w:sz w:val="20"/>
                <w:szCs w:val="20"/>
              </w:rPr>
            </w:pPr>
          </w:p>
        </w:tc>
        <w:tc>
          <w:tcPr>
            <w:tcW w:w="1196" w:type="dxa"/>
            <w:tcBorders>
              <w:bottom w:val="single" w:sz="4" w:space="0" w:color="auto"/>
            </w:tcBorders>
            <w:shd w:val="clear" w:color="auto" w:fill="auto"/>
            <w:noWrap/>
            <w:vAlign w:val="center"/>
            <w:hideMark/>
          </w:tcPr>
          <w:p w14:paraId="35F8BA5E" w14:textId="77777777" w:rsidR="003C575D" w:rsidRPr="00E14268" w:rsidRDefault="003C575D" w:rsidP="007768B8">
            <w:pPr>
              <w:keepLines/>
              <w:snapToGrid w:val="0"/>
              <w:spacing w:line="240" w:lineRule="exact"/>
              <w:rPr>
                <w:sz w:val="20"/>
                <w:szCs w:val="20"/>
              </w:rPr>
            </w:pPr>
            <w:r w:rsidRPr="00E14268">
              <w:rPr>
                <w:sz w:val="20"/>
                <w:szCs w:val="20"/>
              </w:rPr>
              <w:t>0.800</w:t>
            </w:r>
          </w:p>
        </w:tc>
        <w:tc>
          <w:tcPr>
            <w:tcW w:w="1195" w:type="dxa"/>
            <w:tcBorders>
              <w:bottom w:val="single" w:sz="4" w:space="0" w:color="auto"/>
            </w:tcBorders>
            <w:shd w:val="clear" w:color="auto" w:fill="auto"/>
            <w:noWrap/>
            <w:vAlign w:val="center"/>
            <w:hideMark/>
          </w:tcPr>
          <w:p w14:paraId="22126C09" w14:textId="77777777" w:rsidR="003C575D" w:rsidRPr="00E14268" w:rsidRDefault="003C575D" w:rsidP="007768B8">
            <w:pPr>
              <w:keepLines/>
              <w:snapToGrid w:val="0"/>
              <w:spacing w:line="240" w:lineRule="exact"/>
              <w:rPr>
                <w:sz w:val="20"/>
                <w:szCs w:val="20"/>
              </w:rPr>
            </w:pPr>
            <w:r w:rsidRPr="00E14268">
              <w:rPr>
                <w:sz w:val="20"/>
                <w:szCs w:val="20"/>
              </w:rPr>
              <w:t>1.138</w:t>
            </w:r>
          </w:p>
        </w:tc>
        <w:tc>
          <w:tcPr>
            <w:tcW w:w="1196" w:type="dxa"/>
            <w:tcBorders>
              <w:bottom w:val="single" w:sz="4" w:space="0" w:color="auto"/>
            </w:tcBorders>
            <w:shd w:val="clear" w:color="auto" w:fill="auto"/>
            <w:noWrap/>
            <w:vAlign w:val="center"/>
            <w:hideMark/>
          </w:tcPr>
          <w:p w14:paraId="37C75E7A" w14:textId="77777777" w:rsidR="003C575D" w:rsidRPr="00E14268" w:rsidRDefault="003C575D" w:rsidP="007768B8">
            <w:pPr>
              <w:keepLines/>
              <w:snapToGrid w:val="0"/>
              <w:spacing w:line="240" w:lineRule="exact"/>
              <w:rPr>
                <w:sz w:val="20"/>
                <w:szCs w:val="20"/>
              </w:rPr>
            </w:pPr>
            <w:r w:rsidRPr="00E14268">
              <w:rPr>
                <w:sz w:val="20"/>
                <w:szCs w:val="20"/>
              </w:rPr>
              <w:t>1.231</w:t>
            </w:r>
          </w:p>
        </w:tc>
        <w:tc>
          <w:tcPr>
            <w:tcW w:w="1195" w:type="dxa"/>
            <w:tcBorders>
              <w:bottom w:val="single" w:sz="4" w:space="0" w:color="auto"/>
            </w:tcBorders>
            <w:shd w:val="clear" w:color="auto" w:fill="auto"/>
            <w:noWrap/>
            <w:vAlign w:val="center"/>
            <w:hideMark/>
          </w:tcPr>
          <w:p w14:paraId="7680338D" w14:textId="77777777" w:rsidR="003C575D" w:rsidRPr="00E14268" w:rsidRDefault="003C575D" w:rsidP="007768B8">
            <w:pPr>
              <w:keepLines/>
              <w:snapToGrid w:val="0"/>
              <w:spacing w:line="240" w:lineRule="exact"/>
              <w:rPr>
                <w:sz w:val="20"/>
                <w:szCs w:val="20"/>
              </w:rPr>
            </w:pPr>
            <w:r w:rsidRPr="00E14268">
              <w:rPr>
                <w:sz w:val="20"/>
                <w:szCs w:val="20"/>
              </w:rPr>
              <w:t>0.054</w:t>
            </w:r>
          </w:p>
        </w:tc>
        <w:tc>
          <w:tcPr>
            <w:tcW w:w="1050" w:type="dxa"/>
            <w:tcBorders>
              <w:bottom w:val="single" w:sz="4" w:space="0" w:color="auto"/>
            </w:tcBorders>
            <w:shd w:val="clear" w:color="auto" w:fill="auto"/>
            <w:noWrap/>
            <w:vAlign w:val="center"/>
            <w:hideMark/>
          </w:tcPr>
          <w:p w14:paraId="2F46A222" w14:textId="77777777" w:rsidR="003C575D" w:rsidRPr="00E14268" w:rsidRDefault="003C575D" w:rsidP="007768B8">
            <w:pPr>
              <w:keepLines/>
              <w:snapToGrid w:val="0"/>
              <w:spacing w:line="240" w:lineRule="exact"/>
              <w:rPr>
                <w:sz w:val="20"/>
                <w:szCs w:val="20"/>
              </w:rPr>
            </w:pPr>
            <w:r w:rsidRPr="00E14268">
              <w:rPr>
                <w:sz w:val="20"/>
                <w:szCs w:val="20"/>
              </w:rPr>
              <w:t>0.123</w:t>
            </w:r>
          </w:p>
        </w:tc>
      </w:tr>
      <w:tr w:rsidR="00AD3CFC" w:rsidRPr="00E14268" w14:paraId="3D36C696" w14:textId="77777777" w:rsidTr="00F82681">
        <w:trPr>
          <w:cantSplit/>
          <w:trHeight w:val="340"/>
          <w:tblHeader/>
        </w:trPr>
        <w:tc>
          <w:tcPr>
            <w:tcW w:w="8222" w:type="dxa"/>
            <w:gridSpan w:val="7"/>
            <w:tcBorders>
              <w:top w:val="single" w:sz="4" w:space="0" w:color="auto"/>
              <w:bottom w:val="single" w:sz="4" w:space="0" w:color="auto"/>
            </w:tcBorders>
            <w:shd w:val="clear" w:color="auto" w:fill="auto"/>
            <w:noWrap/>
            <w:vAlign w:val="center"/>
            <w:hideMark/>
          </w:tcPr>
          <w:p w14:paraId="39E26483" w14:textId="77777777" w:rsidR="00AD3CFC" w:rsidRPr="00E14268" w:rsidRDefault="00AD3CFC" w:rsidP="007768B8">
            <w:pPr>
              <w:keepLines/>
              <w:snapToGrid w:val="0"/>
              <w:spacing w:line="240" w:lineRule="exact"/>
              <w:rPr>
                <w:rFonts w:eastAsia="Times New Roman"/>
                <w:sz w:val="20"/>
                <w:szCs w:val="20"/>
              </w:rPr>
            </w:pPr>
            <w:r w:rsidRPr="00E14268">
              <w:rPr>
                <w:sz w:val="20"/>
                <w:szCs w:val="20"/>
              </w:rPr>
              <w:t>Panel C: 90 days before the announcement</w:t>
            </w:r>
          </w:p>
        </w:tc>
      </w:tr>
      <w:tr w:rsidR="00AD3CFC" w:rsidRPr="00E14268" w14:paraId="334786F1" w14:textId="77777777" w:rsidTr="00F82681">
        <w:trPr>
          <w:cantSplit/>
          <w:trHeight w:val="340"/>
          <w:tblHeader/>
        </w:trPr>
        <w:tc>
          <w:tcPr>
            <w:tcW w:w="1195" w:type="dxa"/>
            <w:tcBorders>
              <w:top w:val="single" w:sz="4" w:space="0" w:color="auto"/>
              <w:bottom w:val="single" w:sz="4" w:space="0" w:color="auto"/>
            </w:tcBorders>
            <w:shd w:val="clear" w:color="auto" w:fill="auto"/>
            <w:noWrap/>
            <w:vAlign w:val="center"/>
            <w:hideMark/>
          </w:tcPr>
          <w:p w14:paraId="796D4FE4" w14:textId="77777777" w:rsidR="003C575D" w:rsidRPr="00E14268" w:rsidRDefault="003C575D" w:rsidP="007768B8">
            <w:pPr>
              <w:keepLines/>
              <w:snapToGrid w:val="0"/>
              <w:spacing w:line="240" w:lineRule="exact"/>
              <w:rPr>
                <w:sz w:val="20"/>
                <w:szCs w:val="20"/>
              </w:rPr>
            </w:pPr>
            <w:r w:rsidRPr="00E14268">
              <w:rPr>
                <w:sz w:val="20"/>
                <w:szCs w:val="20"/>
              </w:rPr>
              <w:t>Payment</w:t>
            </w:r>
          </w:p>
        </w:tc>
        <w:tc>
          <w:tcPr>
            <w:tcW w:w="1195" w:type="dxa"/>
            <w:tcBorders>
              <w:top w:val="single" w:sz="4" w:space="0" w:color="auto"/>
              <w:bottom w:val="single" w:sz="4" w:space="0" w:color="auto"/>
            </w:tcBorders>
            <w:shd w:val="clear" w:color="auto" w:fill="auto"/>
            <w:noWrap/>
            <w:vAlign w:val="center"/>
            <w:hideMark/>
          </w:tcPr>
          <w:p w14:paraId="719ED124" w14:textId="69A38149" w:rsidR="003C575D" w:rsidRPr="00E14268" w:rsidRDefault="003C575D" w:rsidP="007768B8">
            <w:pPr>
              <w:keepLines/>
              <w:snapToGrid w:val="0"/>
              <w:spacing w:line="240" w:lineRule="exact"/>
              <w:rPr>
                <w:sz w:val="20"/>
                <w:szCs w:val="20"/>
              </w:rPr>
            </w:pPr>
            <w:r w:rsidRPr="00E14268">
              <w:rPr>
                <w:sz w:val="20"/>
                <w:szCs w:val="20"/>
              </w:rPr>
              <w:t xml:space="preserve">No. </w:t>
            </w:r>
            <w:r w:rsidR="00707136" w:rsidRPr="00E14268">
              <w:rPr>
                <w:sz w:val="20"/>
                <w:szCs w:val="20"/>
              </w:rPr>
              <w:t>Firm</w:t>
            </w:r>
          </w:p>
        </w:tc>
        <w:tc>
          <w:tcPr>
            <w:tcW w:w="1196" w:type="dxa"/>
            <w:tcBorders>
              <w:top w:val="single" w:sz="4" w:space="0" w:color="auto"/>
              <w:bottom w:val="single" w:sz="4" w:space="0" w:color="auto"/>
            </w:tcBorders>
            <w:shd w:val="clear" w:color="auto" w:fill="auto"/>
            <w:noWrap/>
            <w:vAlign w:val="center"/>
            <w:hideMark/>
          </w:tcPr>
          <w:p w14:paraId="74CA40E5" w14:textId="77777777" w:rsidR="003C575D" w:rsidRPr="00E14268" w:rsidRDefault="003C575D" w:rsidP="007768B8">
            <w:pPr>
              <w:keepLines/>
              <w:snapToGrid w:val="0"/>
              <w:spacing w:line="240" w:lineRule="exact"/>
              <w:rPr>
                <w:sz w:val="20"/>
                <w:szCs w:val="20"/>
              </w:rPr>
            </w:pPr>
            <w:r w:rsidRPr="00E14268">
              <w:rPr>
                <w:sz w:val="20"/>
                <w:szCs w:val="20"/>
              </w:rPr>
              <w:t>Strong Buy</w:t>
            </w:r>
          </w:p>
        </w:tc>
        <w:tc>
          <w:tcPr>
            <w:tcW w:w="1195" w:type="dxa"/>
            <w:tcBorders>
              <w:top w:val="single" w:sz="4" w:space="0" w:color="auto"/>
              <w:bottom w:val="single" w:sz="4" w:space="0" w:color="auto"/>
            </w:tcBorders>
            <w:shd w:val="clear" w:color="auto" w:fill="auto"/>
            <w:noWrap/>
            <w:vAlign w:val="center"/>
            <w:hideMark/>
          </w:tcPr>
          <w:p w14:paraId="0E2883E9" w14:textId="77777777" w:rsidR="003C575D" w:rsidRPr="00E14268" w:rsidRDefault="003C575D" w:rsidP="007768B8">
            <w:pPr>
              <w:keepLines/>
              <w:snapToGrid w:val="0"/>
              <w:spacing w:line="240" w:lineRule="exact"/>
              <w:rPr>
                <w:sz w:val="20"/>
                <w:szCs w:val="20"/>
              </w:rPr>
            </w:pPr>
            <w:r w:rsidRPr="00E14268">
              <w:rPr>
                <w:sz w:val="20"/>
                <w:szCs w:val="20"/>
              </w:rPr>
              <w:t>Buy</w:t>
            </w:r>
          </w:p>
        </w:tc>
        <w:tc>
          <w:tcPr>
            <w:tcW w:w="1196" w:type="dxa"/>
            <w:tcBorders>
              <w:top w:val="single" w:sz="4" w:space="0" w:color="auto"/>
              <w:bottom w:val="single" w:sz="4" w:space="0" w:color="auto"/>
            </w:tcBorders>
            <w:shd w:val="clear" w:color="auto" w:fill="auto"/>
            <w:noWrap/>
            <w:vAlign w:val="center"/>
            <w:hideMark/>
          </w:tcPr>
          <w:p w14:paraId="435938B8" w14:textId="77777777" w:rsidR="003C575D" w:rsidRPr="00E14268" w:rsidRDefault="003C575D" w:rsidP="007768B8">
            <w:pPr>
              <w:keepLines/>
              <w:snapToGrid w:val="0"/>
              <w:spacing w:line="240" w:lineRule="exact"/>
              <w:rPr>
                <w:sz w:val="20"/>
                <w:szCs w:val="20"/>
              </w:rPr>
            </w:pPr>
            <w:r w:rsidRPr="00E14268">
              <w:rPr>
                <w:sz w:val="20"/>
                <w:szCs w:val="20"/>
              </w:rPr>
              <w:t>Hold</w:t>
            </w:r>
          </w:p>
        </w:tc>
        <w:tc>
          <w:tcPr>
            <w:tcW w:w="1195" w:type="dxa"/>
            <w:tcBorders>
              <w:top w:val="single" w:sz="4" w:space="0" w:color="auto"/>
              <w:bottom w:val="single" w:sz="4" w:space="0" w:color="auto"/>
            </w:tcBorders>
            <w:shd w:val="clear" w:color="auto" w:fill="auto"/>
            <w:noWrap/>
            <w:vAlign w:val="center"/>
            <w:hideMark/>
          </w:tcPr>
          <w:p w14:paraId="50E1B1BA" w14:textId="77777777" w:rsidR="003C575D" w:rsidRPr="00E14268" w:rsidRDefault="003C575D" w:rsidP="007768B8">
            <w:pPr>
              <w:keepLines/>
              <w:snapToGrid w:val="0"/>
              <w:spacing w:line="240" w:lineRule="exact"/>
              <w:rPr>
                <w:sz w:val="20"/>
                <w:szCs w:val="20"/>
              </w:rPr>
            </w:pPr>
            <w:r w:rsidRPr="00E14268">
              <w:rPr>
                <w:sz w:val="20"/>
                <w:szCs w:val="20"/>
              </w:rPr>
              <w:t>Sell</w:t>
            </w:r>
          </w:p>
        </w:tc>
        <w:tc>
          <w:tcPr>
            <w:tcW w:w="1050" w:type="dxa"/>
            <w:tcBorders>
              <w:top w:val="single" w:sz="4" w:space="0" w:color="auto"/>
              <w:bottom w:val="single" w:sz="4" w:space="0" w:color="auto"/>
            </w:tcBorders>
            <w:shd w:val="clear" w:color="auto" w:fill="auto"/>
            <w:noWrap/>
            <w:vAlign w:val="center"/>
            <w:hideMark/>
          </w:tcPr>
          <w:p w14:paraId="7D6BFFF6" w14:textId="77777777" w:rsidR="003C575D" w:rsidRPr="00E14268" w:rsidRDefault="003C575D" w:rsidP="007768B8">
            <w:pPr>
              <w:keepLines/>
              <w:snapToGrid w:val="0"/>
              <w:spacing w:line="240" w:lineRule="exact"/>
              <w:rPr>
                <w:sz w:val="20"/>
                <w:szCs w:val="20"/>
              </w:rPr>
            </w:pPr>
            <w:r w:rsidRPr="00E14268">
              <w:rPr>
                <w:sz w:val="20"/>
                <w:szCs w:val="20"/>
              </w:rPr>
              <w:t>Strong Sell</w:t>
            </w:r>
          </w:p>
        </w:tc>
      </w:tr>
      <w:tr w:rsidR="003C575D" w:rsidRPr="00E14268" w14:paraId="7BCFE945" w14:textId="77777777" w:rsidTr="00F82681">
        <w:trPr>
          <w:cantSplit/>
          <w:trHeight w:val="340"/>
          <w:tblHeader/>
        </w:trPr>
        <w:tc>
          <w:tcPr>
            <w:tcW w:w="1195" w:type="dxa"/>
            <w:tcBorders>
              <w:top w:val="single" w:sz="4" w:space="0" w:color="auto"/>
            </w:tcBorders>
            <w:shd w:val="clear" w:color="auto" w:fill="auto"/>
            <w:noWrap/>
            <w:vAlign w:val="center"/>
            <w:hideMark/>
          </w:tcPr>
          <w:p w14:paraId="5A1087B8" w14:textId="77777777" w:rsidR="003C575D" w:rsidRPr="00E14268" w:rsidRDefault="003C575D" w:rsidP="007768B8">
            <w:pPr>
              <w:keepLines/>
              <w:snapToGrid w:val="0"/>
              <w:spacing w:line="240" w:lineRule="exact"/>
              <w:rPr>
                <w:sz w:val="20"/>
                <w:szCs w:val="20"/>
              </w:rPr>
            </w:pPr>
            <w:r w:rsidRPr="00E14268">
              <w:rPr>
                <w:sz w:val="20"/>
                <w:szCs w:val="20"/>
              </w:rPr>
              <w:t>Cash</w:t>
            </w:r>
          </w:p>
        </w:tc>
        <w:tc>
          <w:tcPr>
            <w:tcW w:w="1195" w:type="dxa"/>
            <w:tcBorders>
              <w:top w:val="single" w:sz="4" w:space="0" w:color="auto"/>
            </w:tcBorders>
            <w:shd w:val="clear" w:color="auto" w:fill="auto"/>
            <w:noWrap/>
            <w:vAlign w:val="center"/>
            <w:hideMark/>
          </w:tcPr>
          <w:p w14:paraId="47337237" w14:textId="77777777" w:rsidR="003C575D" w:rsidRPr="00E14268" w:rsidRDefault="003C575D" w:rsidP="007768B8">
            <w:pPr>
              <w:keepLines/>
              <w:snapToGrid w:val="0"/>
              <w:spacing w:line="240" w:lineRule="exact"/>
              <w:rPr>
                <w:sz w:val="20"/>
                <w:szCs w:val="20"/>
              </w:rPr>
            </w:pPr>
            <w:r w:rsidRPr="00E14268">
              <w:rPr>
                <w:sz w:val="20"/>
                <w:szCs w:val="20"/>
              </w:rPr>
              <w:t>413</w:t>
            </w:r>
          </w:p>
        </w:tc>
        <w:tc>
          <w:tcPr>
            <w:tcW w:w="1196" w:type="dxa"/>
            <w:tcBorders>
              <w:top w:val="single" w:sz="4" w:space="0" w:color="auto"/>
            </w:tcBorders>
            <w:shd w:val="clear" w:color="auto" w:fill="auto"/>
            <w:noWrap/>
            <w:vAlign w:val="center"/>
            <w:hideMark/>
          </w:tcPr>
          <w:p w14:paraId="1BB16FB0" w14:textId="77777777" w:rsidR="003C575D" w:rsidRPr="00E14268" w:rsidRDefault="003C575D" w:rsidP="007768B8">
            <w:pPr>
              <w:keepLines/>
              <w:snapToGrid w:val="0"/>
              <w:spacing w:line="240" w:lineRule="exact"/>
              <w:rPr>
                <w:sz w:val="20"/>
                <w:szCs w:val="20"/>
              </w:rPr>
            </w:pPr>
            <w:r w:rsidRPr="00E14268">
              <w:rPr>
                <w:sz w:val="20"/>
                <w:szCs w:val="20"/>
              </w:rPr>
              <w:t>272</w:t>
            </w:r>
          </w:p>
        </w:tc>
        <w:tc>
          <w:tcPr>
            <w:tcW w:w="1195" w:type="dxa"/>
            <w:tcBorders>
              <w:top w:val="single" w:sz="4" w:space="0" w:color="auto"/>
            </w:tcBorders>
            <w:shd w:val="clear" w:color="auto" w:fill="auto"/>
            <w:noWrap/>
            <w:vAlign w:val="center"/>
            <w:hideMark/>
          </w:tcPr>
          <w:p w14:paraId="01168643" w14:textId="77777777" w:rsidR="003C575D" w:rsidRPr="00E14268" w:rsidRDefault="003C575D" w:rsidP="007768B8">
            <w:pPr>
              <w:keepLines/>
              <w:snapToGrid w:val="0"/>
              <w:spacing w:line="240" w:lineRule="exact"/>
              <w:rPr>
                <w:sz w:val="20"/>
                <w:szCs w:val="20"/>
              </w:rPr>
            </w:pPr>
            <w:r w:rsidRPr="00E14268">
              <w:rPr>
                <w:sz w:val="20"/>
                <w:szCs w:val="20"/>
              </w:rPr>
              <w:t>430</w:t>
            </w:r>
          </w:p>
        </w:tc>
        <w:tc>
          <w:tcPr>
            <w:tcW w:w="1196" w:type="dxa"/>
            <w:tcBorders>
              <w:top w:val="single" w:sz="4" w:space="0" w:color="auto"/>
            </w:tcBorders>
            <w:shd w:val="clear" w:color="auto" w:fill="auto"/>
            <w:noWrap/>
            <w:vAlign w:val="center"/>
            <w:hideMark/>
          </w:tcPr>
          <w:p w14:paraId="58296B37" w14:textId="77777777" w:rsidR="003C575D" w:rsidRPr="00E14268" w:rsidRDefault="003C575D" w:rsidP="007768B8">
            <w:pPr>
              <w:keepLines/>
              <w:snapToGrid w:val="0"/>
              <w:spacing w:line="240" w:lineRule="exact"/>
              <w:rPr>
                <w:sz w:val="20"/>
                <w:szCs w:val="20"/>
              </w:rPr>
            </w:pPr>
            <w:r w:rsidRPr="00E14268">
              <w:rPr>
                <w:sz w:val="20"/>
                <w:szCs w:val="20"/>
              </w:rPr>
              <w:t>586</w:t>
            </w:r>
          </w:p>
        </w:tc>
        <w:tc>
          <w:tcPr>
            <w:tcW w:w="1195" w:type="dxa"/>
            <w:tcBorders>
              <w:top w:val="single" w:sz="4" w:space="0" w:color="auto"/>
            </w:tcBorders>
            <w:shd w:val="clear" w:color="auto" w:fill="auto"/>
            <w:noWrap/>
            <w:vAlign w:val="center"/>
            <w:hideMark/>
          </w:tcPr>
          <w:p w14:paraId="480303A2" w14:textId="77777777" w:rsidR="003C575D" w:rsidRPr="00E14268" w:rsidRDefault="003C575D" w:rsidP="007768B8">
            <w:pPr>
              <w:keepLines/>
              <w:snapToGrid w:val="0"/>
              <w:spacing w:line="240" w:lineRule="exact"/>
              <w:rPr>
                <w:sz w:val="20"/>
                <w:szCs w:val="20"/>
              </w:rPr>
            </w:pPr>
            <w:r w:rsidRPr="00E14268">
              <w:rPr>
                <w:sz w:val="20"/>
                <w:szCs w:val="20"/>
              </w:rPr>
              <w:t>31</w:t>
            </w:r>
          </w:p>
        </w:tc>
        <w:tc>
          <w:tcPr>
            <w:tcW w:w="1050" w:type="dxa"/>
            <w:tcBorders>
              <w:top w:val="single" w:sz="4" w:space="0" w:color="auto"/>
            </w:tcBorders>
            <w:shd w:val="clear" w:color="auto" w:fill="auto"/>
            <w:noWrap/>
            <w:vAlign w:val="center"/>
            <w:hideMark/>
          </w:tcPr>
          <w:p w14:paraId="36AF3D50" w14:textId="77777777" w:rsidR="003C575D" w:rsidRPr="00E14268" w:rsidRDefault="003C575D" w:rsidP="007768B8">
            <w:pPr>
              <w:keepLines/>
              <w:snapToGrid w:val="0"/>
              <w:spacing w:line="240" w:lineRule="exact"/>
              <w:rPr>
                <w:sz w:val="20"/>
                <w:szCs w:val="20"/>
              </w:rPr>
            </w:pPr>
            <w:r w:rsidRPr="00E14268">
              <w:rPr>
                <w:sz w:val="20"/>
                <w:szCs w:val="20"/>
              </w:rPr>
              <w:t>70</w:t>
            </w:r>
          </w:p>
        </w:tc>
      </w:tr>
      <w:tr w:rsidR="003C575D" w:rsidRPr="00E14268" w14:paraId="4D84A008" w14:textId="77777777" w:rsidTr="00F82681">
        <w:trPr>
          <w:cantSplit/>
          <w:trHeight w:val="340"/>
          <w:tblHeader/>
        </w:trPr>
        <w:tc>
          <w:tcPr>
            <w:tcW w:w="1195" w:type="dxa"/>
            <w:shd w:val="clear" w:color="auto" w:fill="auto"/>
            <w:noWrap/>
            <w:vAlign w:val="center"/>
            <w:hideMark/>
          </w:tcPr>
          <w:p w14:paraId="7234F9A5" w14:textId="77777777" w:rsidR="003C575D" w:rsidRPr="00E14268" w:rsidRDefault="003C575D" w:rsidP="007768B8">
            <w:pPr>
              <w:keepLines/>
              <w:snapToGrid w:val="0"/>
              <w:spacing w:line="240" w:lineRule="exact"/>
              <w:rPr>
                <w:sz w:val="20"/>
                <w:szCs w:val="20"/>
              </w:rPr>
            </w:pPr>
          </w:p>
        </w:tc>
        <w:tc>
          <w:tcPr>
            <w:tcW w:w="1195" w:type="dxa"/>
            <w:shd w:val="clear" w:color="auto" w:fill="auto"/>
            <w:noWrap/>
            <w:vAlign w:val="center"/>
            <w:hideMark/>
          </w:tcPr>
          <w:p w14:paraId="755A1943" w14:textId="77777777" w:rsidR="003C575D" w:rsidRPr="00E14268" w:rsidRDefault="003C575D" w:rsidP="007768B8">
            <w:pPr>
              <w:keepLines/>
              <w:snapToGrid w:val="0"/>
              <w:spacing w:line="240" w:lineRule="exact"/>
              <w:rPr>
                <w:sz w:val="20"/>
                <w:szCs w:val="20"/>
              </w:rPr>
            </w:pPr>
          </w:p>
        </w:tc>
        <w:tc>
          <w:tcPr>
            <w:tcW w:w="1196" w:type="dxa"/>
            <w:shd w:val="clear" w:color="auto" w:fill="auto"/>
            <w:noWrap/>
            <w:vAlign w:val="center"/>
            <w:hideMark/>
          </w:tcPr>
          <w:p w14:paraId="1C8815F4" w14:textId="77777777" w:rsidR="003C575D" w:rsidRPr="00E14268" w:rsidRDefault="003C575D" w:rsidP="007768B8">
            <w:pPr>
              <w:keepLines/>
              <w:snapToGrid w:val="0"/>
              <w:spacing w:line="240" w:lineRule="exact"/>
              <w:rPr>
                <w:sz w:val="20"/>
                <w:szCs w:val="20"/>
              </w:rPr>
            </w:pPr>
            <w:r w:rsidRPr="00E14268">
              <w:rPr>
                <w:sz w:val="20"/>
                <w:szCs w:val="20"/>
              </w:rPr>
              <w:t>0.659</w:t>
            </w:r>
          </w:p>
        </w:tc>
        <w:tc>
          <w:tcPr>
            <w:tcW w:w="1195" w:type="dxa"/>
            <w:shd w:val="clear" w:color="auto" w:fill="auto"/>
            <w:noWrap/>
            <w:vAlign w:val="center"/>
            <w:hideMark/>
          </w:tcPr>
          <w:p w14:paraId="2BBEF9CC" w14:textId="77777777" w:rsidR="003C575D" w:rsidRPr="00E14268" w:rsidRDefault="003C575D" w:rsidP="007768B8">
            <w:pPr>
              <w:keepLines/>
              <w:snapToGrid w:val="0"/>
              <w:spacing w:line="240" w:lineRule="exact"/>
              <w:rPr>
                <w:sz w:val="20"/>
                <w:szCs w:val="20"/>
              </w:rPr>
            </w:pPr>
            <w:r w:rsidRPr="00E14268">
              <w:rPr>
                <w:sz w:val="20"/>
                <w:szCs w:val="20"/>
              </w:rPr>
              <w:t>1.041</w:t>
            </w:r>
          </w:p>
        </w:tc>
        <w:tc>
          <w:tcPr>
            <w:tcW w:w="1196" w:type="dxa"/>
            <w:shd w:val="clear" w:color="auto" w:fill="auto"/>
            <w:noWrap/>
            <w:vAlign w:val="center"/>
            <w:hideMark/>
          </w:tcPr>
          <w:p w14:paraId="5881DDE0" w14:textId="77777777" w:rsidR="003C575D" w:rsidRPr="00E14268" w:rsidRDefault="003C575D" w:rsidP="007768B8">
            <w:pPr>
              <w:keepLines/>
              <w:snapToGrid w:val="0"/>
              <w:spacing w:line="240" w:lineRule="exact"/>
              <w:rPr>
                <w:sz w:val="20"/>
                <w:szCs w:val="20"/>
              </w:rPr>
            </w:pPr>
            <w:r w:rsidRPr="00E14268">
              <w:rPr>
                <w:sz w:val="20"/>
                <w:szCs w:val="20"/>
              </w:rPr>
              <w:t>1.419</w:t>
            </w:r>
          </w:p>
        </w:tc>
        <w:tc>
          <w:tcPr>
            <w:tcW w:w="1195" w:type="dxa"/>
            <w:shd w:val="clear" w:color="auto" w:fill="auto"/>
            <w:noWrap/>
            <w:vAlign w:val="center"/>
            <w:hideMark/>
          </w:tcPr>
          <w:p w14:paraId="0929C141" w14:textId="77777777" w:rsidR="003C575D" w:rsidRPr="00E14268" w:rsidRDefault="003C575D" w:rsidP="007768B8">
            <w:pPr>
              <w:keepLines/>
              <w:snapToGrid w:val="0"/>
              <w:spacing w:line="240" w:lineRule="exact"/>
              <w:rPr>
                <w:sz w:val="20"/>
                <w:szCs w:val="20"/>
              </w:rPr>
            </w:pPr>
            <w:r w:rsidRPr="00E14268">
              <w:rPr>
                <w:sz w:val="20"/>
                <w:szCs w:val="20"/>
              </w:rPr>
              <w:t>0.075</w:t>
            </w:r>
          </w:p>
        </w:tc>
        <w:tc>
          <w:tcPr>
            <w:tcW w:w="1050" w:type="dxa"/>
            <w:shd w:val="clear" w:color="auto" w:fill="auto"/>
            <w:noWrap/>
            <w:vAlign w:val="center"/>
            <w:hideMark/>
          </w:tcPr>
          <w:p w14:paraId="21E79D27" w14:textId="77777777" w:rsidR="003C575D" w:rsidRPr="00E14268" w:rsidRDefault="003C575D" w:rsidP="007768B8">
            <w:pPr>
              <w:keepLines/>
              <w:snapToGrid w:val="0"/>
              <w:spacing w:line="240" w:lineRule="exact"/>
              <w:rPr>
                <w:sz w:val="20"/>
                <w:szCs w:val="20"/>
              </w:rPr>
            </w:pPr>
            <w:r w:rsidRPr="00E14268">
              <w:rPr>
                <w:sz w:val="20"/>
                <w:szCs w:val="20"/>
              </w:rPr>
              <w:t>0.169</w:t>
            </w:r>
          </w:p>
        </w:tc>
      </w:tr>
      <w:tr w:rsidR="003C575D" w:rsidRPr="00E14268" w14:paraId="73C32C5E" w14:textId="77777777" w:rsidTr="00F82681">
        <w:trPr>
          <w:cantSplit/>
          <w:trHeight w:val="340"/>
          <w:tblHeader/>
        </w:trPr>
        <w:tc>
          <w:tcPr>
            <w:tcW w:w="1195" w:type="dxa"/>
            <w:shd w:val="clear" w:color="auto" w:fill="auto"/>
            <w:noWrap/>
            <w:vAlign w:val="center"/>
            <w:hideMark/>
          </w:tcPr>
          <w:p w14:paraId="73FC3BF4" w14:textId="77777777" w:rsidR="003C575D" w:rsidRPr="00E14268" w:rsidRDefault="003C575D" w:rsidP="007768B8">
            <w:pPr>
              <w:keepLines/>
              <w:snapToGrid w:val="0"/>
              <w:spacing w:line="240" w:lineRule="exact"/>
              <w:rPr>
                <w:sz w:val="20"/>
                <w:szCs w:val="20"/>
              </w:rPr>
            </w:pPr>
            <w:r w:rsidRPr="00E14268">
              <w:rPr>
                <w:sz w:val="20"/>
                <w:szCs w:val="20"/>
              </w:rPr>
              <w:t>Stock</w:t>
            </w:r>
          </w:p>
        </w:tc>
        <w:tc>
          <w:tcPr>
            <w:tcW w:w="1195" w:type="dxa"/>
            <w:shd w:val="clear" w:color="auto" w:fill="auto"/>
            <w:noWrap/>
            <w:vAlign w:val="center"/>
            <w:hideMark/>
          </w:tcPr>
          <w:p w14:paraId="2E94F2CF" w14:textId="77777777" w:rsidR="003C575D" w:rsidRPr="00E14268" w:rsidRDefault="003C575D" w:rsidP="007768B8">
            <w:pPr>
              <w:keepLines/>
              <w:snapToGrid w:val="0"/>
              <w:spacing w:line="240" w:lineRule="exact"/>
              <w:rPr>
                <w:sz w:val="20"/>
                <w:szCs w:val="20"/>
              </w:rPr>
            </w:pPr>
            <w:r w:rsidRPr="00E14268">
              <w:rPr>
                <w:sz w:val="20"/>
                <w:szCs w:val="20"/>
              </w:rPr>
              <w:t>183</w:t>
            </w:r>
          </w:p>
        </w:tc>
        <w:tc>
          <w:tcPr>
            <w:tcW w:w="1196" w:type="dxa"/>
            <w:shd w:val="clear" w:color="auto" w:fill="auto"/>
            <w:noWrap/>
            <w:vAlign w:val="center"/>
            <w:hideMark/>
          </w:tcPr>
          <w:p w14:paraId="2333A9B8" w14:textId="77777777" w:rsidR="003C575D" w:rsidRPr="00E14268" w:rsidRDefault="003C575D" w:rsidP="007768B8">
            <w:pPr>
              <w:keepLines/>
              <w:snapToGrid w:val="0"/>
              <w:spacing w:line="240" w:lineRule="exact"/>
              <w:rPr>
                <w:sz w:val="20"/>
                <w:szCs w:val="20"/>
              </w:rPr>
            </w:pPr>
            <w:r w:rsidRPr="00E14268">
              <w:rPr>
                <w:sz w:val="20"/>
                <w:szCs w:val="20"/>
              </w:rPr>
              <w:t>198</w:t>
            </w:r>
          </w:p>
        </w:tc>
        <w:tc>
          <w:tcPr>
            <w:tcW w:w="1195" w:type="dxa"/>
            <w:shd w:val="clear" w:color="auto" w:fill="auto"/>
            <w:noWrap/>
            <w:vAlign w:val="center"/>
            <w:hideMark/>
          </w:tcPr>
          <w:p w14:paraId="1002CC5E" w14:textId="77777777" w:rsidR="003C575D" w:rsidRPr="00E14268" w:rsidRDefault="003C575D" w:rsidP="007768B8">
            <w:pPr>
              <w:keepLines/>
              <w:snapToGrid w:val="0"/>
              <w:spacing w:line="240" w:lineRule="exact"/>
              <w:rPr>
                <w:sz w:val="20"/>
                <w:szCs w:val="20"/>
              </w:rPr>
            </w:pPr>
            <w:r w:rsidRPr="00E14268">
              <w:rPr>
                <w:sz w:val="20"/>
                <w:szCs w:val="20"/>
              </w:rPr>
              <w:t>229</w:t>
            </w:r>
          </w:p>
        </w:tc>
        <w:tc>
          <w:tcPr>
            <w:tcW w:w="1196" w:type="dxa"/>
            <w:shd w:val="clear" w:color="auto" w:fill="auto"/>
            <w:noWrap/>
            <w:vAlign w:val="center"/>
            <w:hideMark/>
          </w:tcPr>
          <w:p w14:paraId="5666E16D" w14:textId="77777777" w:rsidR="003C575D" w:rsidRPr="00E14268" w:rsidRDefault="003C575D" w:rsidP="007768B8">
            <w:pPr>
              <w:keepLines/>
              <w:snapToGrid w:val="0"/>
              <w:spacing w:line="240" w:lineRule="exact"/>
              <w:rPr>
                <w:sz w:val="20"/>
                <w:szCs w:val="20"/>
              </w:rPr>
            </w:pPr>
            <w:r w:rsidRPr="00E14268">
              <w:rPr>
                <w:sz w:val="20"/>
                <w:szCs w:val="20"/>
              </w:rPr>
              <w:t>193</w:t>
            </w:r>
          </w:p>
        </w:tc>
        <w:tc>
          <w:tcPr>
            <w:tcW w:w="1195" w:type="dxa"/>
            <w:shd w:val="clear" w:color="auto" w:fill="auto"/>
            <w:noWrap/>
            <w:vAlign w:val="center"/>
            <w:hideMark/>
          </w:tcPr>
          <w:p w14:paraId="43E3040A" w14:textId="77777777" w:rsidR="003C575D" w:rsidRPr="00E14268" w:rsidRDefault="003C575D" w:rsidP="007768B8">
            <w:pPr>
              <w:keepLines/>
              <w:snapToGrid w:val="0"/>
              <w:spacing w:line="240" w:lineRule="exact"/>
              <w:rPr>
                <w:sz w:val="20"/>
                <w:szCs w:val="20"/>
              </w:rPr>
            </w:pPr>
            <w:r w:rsidRPr="00E14268">
              <w:rPr>
                <w:sz w:val="20"/>
                <w:szCs w:val="20"/>
              </w:rPr>
              <w:t>10</w:t>
            </w:r>
          </w:p>
        </w:tc>
        <w:tc>
          <w:tcPr>
            <w:tcW w:w="1050" w:type="dxa"/>
            <w:shd w:val="clear" w:color="auto" w:fill="auto"/>
            <w:noWrap/>
            <w:vAlign w:val="center"/>
            <w:hideMark/>
          </w:tcPr>
          <w:p w14:paraId="771ECD9E" w14:textId="77777777" w:rsidR="003C575D" w:rsidRPr="00E14268" w:rsidRDefault="003C575D" w:rsidP="007768B8">
            <w:pPr>
              <w:keepLines/>
              <w:snapToGrid w:val="0"/>
              <w:spacing w:line="240" w:lineRule="exact"/>
              <w:rPr>
                <w:sz w:val="20"/>
                <w:szCs w:val="20"/>
              </w:rPr>
            </w:pPr>
            <w:r w:rsidRPr="00E14268">
              <w:rPr>
                <w:sz w:val="20"/>
                <w:szCs w:val="20"/>
              </w:rPr>
              <w:t>23</w:t>
            </w:r>
          </w:p>
        </w:tc>
      </w:tr>
      <w:tr w:rsidR="003C575D" w:rsidRPr="00E14268" w14:paraId="44EAB9BC" w14:textId="77777777" w:rsidTr="00F82681">
        <w:trPr>
          <w:cantSplit/>
          <w:trHeight w:val="340"/>
          <w:tblHeader/>
        </w:trPr>
        <w:tc>
          <w:tcPr>
            <w:tcW w:w="1195" w:type="dxa"/>
            <w:shd w:val="clear" w:color="auto" w:fill="auto"/>
            <w:noWrap/>
            <w:vAlign w:val="center"/>
            <w:hideMark/>
          </w:tcPr>
          <w:p w14:paraId="218A09A9" w14:textId="77777777" w:rsidR="003C575D" w:rsidRPr="00E14268" w:rsidRDefault="003C575D" w:rsidP="007768B8">
            <w:pPr>
              <w:keepLines/>
              <w:snapToGrid w:val="0"/>
              <w:spacing w:line="240" w:lineRule="exact"/>
              <w:rPr>
                <w:sz w:val="20"/>
                <w:szCs w:val="20"/>
              </w:rPr>
            </w:pPr>
          </w:p>
        </w:tc>
        <w:tc>
          <w:tcPr>
            <w:tcW w:w="1195" w:type="dxa"/>
            <w:shd w:val="clear" w:color="auto" w:fill="auto"/>
            <w:noWrap/>
            <w:vAlign w:val="center"/>
            <w:hideMark/>
          </w:tcPr>
          <w:p w14:paraId="47A16772" w14:textId="77777777" w:rsidR="003C575D" w:rsidRPr="00E14268" w:rsidRDefault="003C575D" w:rsidP="007768B8">
            <w:pPr>
              <w:keepLines/>
              <w:snapToGrid w:val="0"/>
              <w:spacing w:line="240" w:lineRule="exact"/>
              <w:rPr>
                <w:sz w:val="20"/>
                <w:szCs w:val="20"/>
              </w:rPr>
            </w:pPr>
          </w:p>
        </w:tc>
        <w:tc>
          <w:tcPr>
            <w:tcW w:w="1196" w:type="dxa"/>
            <w:shd w:val="clear" w:color="auto" w:fill="auto"/>
            <w:noWrap/>
            <w:vAlign w:val="center"/>
            <w:hideMark/>
          </w:tcPr>
          <w:p w14:paraId="160A4C18" w14:textId="77777777" w:rsidR="003C575D" w:rsidRPr="00E14268" w:rsidRDefault="003C575D" w:rsidP="007768B8">
            <w:pPr>
              <w:keepLines/>
              <w:snapToGrid w:val="0"/>
              <w:spacing w:line="240" w:lineRule="exact"/>
              <w:rPr>
                <w:sz w:val="20"/>
                <w:szCs w:val="20"/>
              </w:rPr>
            </w:pPr>
            <w:r w:rsidRPr="00E14268">
              <w:rPr>
                <w:sz w:val="20"/>
                <w:szCs w:val="20"/>
              </w:rPr>
              <w:t>1.082</w:t>
            </w:r>
          </w:p>
        </w:tc>
        <w:tc>
          <w:tcPr>
            <w:tcW w:w="1195" w:type="dxa"/>
            <w:shd w:val="clear" w:color="auto" w:fill="auto"/>
            <w:noWrap/>
            <w:vAlign w:val="center"/>
            <w:hideMark/>
          </w:tcPr>
          <w:p w14:paraId="2415F9BB" w14:textId="77777777" w:rsidR="003C575D" w:rsidRPr="00E14268" w:rsidRDefault="003C575D" w:rsidP="007768B8">
            <w:pPr>
              <w:keepLines/>
              <w:snapToGrid w:val="0"/>
              <w:spacing w:line="240" w:lineRule="exact"/>
              <w:rPr>
                <w:sz w:val="20"/>
                <w:szCs w:val="20"/>
              </w:rPr>
            </w:pPr>
            <w:r w:rsidRPr="00E14268">
              <w:rPr>
                <w:sz w:val="20"/>
                <w:szCs w:val="20"/>
              </w:rPr>
              <w:t>1.251</w:t>
            </w:r>
          </w:p>
        </w:tc>
        <w:tc>
          <w:tcPr>
            <w:tcW w:w="1196" w:type="dxa"/>
            <w:shd w:val="clear" w:color="auto" w:fill="auto"/>
            <w:noWrap/>
            <w:vAlign w:val="center"/>
            <w:hideMark/>
          </w:tcPr>
          <w:p w14:paraId="7A1A3992" w14:textId="77777777" w:rsidR="003C575D" w:rsidRPr="00E14268" w:rsidRDefault="003C575D" w:rsidP="007768B8">
            <w:pPr>
              <w:keepLines/>
              <w:snapToGrid w:val="0"/>
              <w:spacing w:line="240" w:lineRule="exact"/>
              <w:rPr>
                <w:sz w:val="20"/>
                <w:szCs w:val="20"/>
              </w:rPr>
            </w:pPr>
            <w:r w:rsidRPr="00E14268">
              <w:rPr>
                <w:sz w:val="20"/>
                <w:szCs w:val="20"/>
              </w:rPr>
              <w:t>1.055</w:t>
            </w:r>
          </w:p>
        </w:tc>
        <w:tc>
          <w:tcPr>
            <w:tcW w:w="1195" w:type="dxa"/>
            <w:shd w:val="clear" w:color="auto" w:fill="auto"/>
            <w:noWrap/>
            <w:vAlign w:val="center"/>
            <w:hideMark/>
          </w:tcPr>
          <w:p w14:paraId="5B1F908C" w14:textId="77777777" w:rsidR="003C575D" w:rsidRPr="00E14268" w:rsidRDefault="003C575D" w:rsidP="007768B8">
            <w:pPr>
              <w:keepLines/>
              <w:snapToGrid w:val="0"/>
              <w:spacing w:line="240" w:lineRule="exact"/>
              <w:rPr>
                <w:sz w:val="20"/>
                <w:szCs w:val="20"/>
              </w:rPr>
            </w:pPr>
            <w:r w:rsidRPr="00E14268">
              <w:rPr>
                <w:sz w:val="20"/>
                <w:szCs w:val="20"/>
              </w:rPr>
              <w:t>0.055</w:t>
            </w:r>
          </w:p>
        </w:tc>
        <w:tc>
          <w:tcPr>
            <w:tcW w:w="1050" w:type="dxa"/>
            <w:shd w:val="clear" w:color="auto" w:fill="auto"/>
            <w:noWrap/>
            <w:vAlign w:val="center"/>
            <w:hideMark/>
          </w:tcPr>
          <w:p w14:paraId="64F92419" w14:textId="77777777" w:rsidR="003C575D" w:rsidRPr="00E14268" w:rsidRDefault="003C575D" w:rsidP="007768B8">
            <w:pPr>
              <w:keepLines/>
              <w:snapToGrid w:val="0"/>
              <w:spacing w:line="240" w:lineRule="exact"/>
              <w:rPr>
                <w:sz w:val="20"/>
                <w:szCs w:val="20"/>
              </w:rPr>
            </w:pPr>
            <w:r w:rsidRPr="00E14268">
              <w:rPr>
                <w:sz w:val="20"/>
                <w:szCs w:val="20"/>
              </w:rPr>
              <w:t>0.126</w:t>
            </w:r>
          </w:p>
        </w:tc>
      </w:tr>
      <w:tr w:rsidR="003C575D" w:rsidRPr="00E14268" w14:paraId="22CFCF6D" w14:textId="77777777" w:rsidTr="00F82681">
        <w:trPr>
          <w:cantSplit/>
          <w:trHeight w:val="340"/>
          <w:tblHeader/>
        </w:trPr>
        <w:tc>
          <w:tcPr>
            <w:tcW w:w="1195" w:type="dxa"/>
            <w:shd w:val="clear" w:color="auto" w:fill="auto"/>
            <w:noWrap/>
            <w:vAlign w:val="center"/>
            <w:hideMark/>
          </w:tcPr>
          <w:p w14:paraId="7BE4354A" w14:textId="77777777" w:rsidR="003C575D" w:rsidRPr="00E14268" w:rsidRDefault="003C575D" w:rsidP="007768B8">
            <w:pPr>
              <w:keepLines/>
              <w:snapToGrid w:val="0"/>
              <w:spacing w:line="240" w:lineRule="exact"/>
              <w:rPr>
                <w:sz w:val="20"/>
                <w:szCs w:val="20"/>
              </w:rPr>
            </w:pPr>
            <w:r w:rsidRPr="00E14268">
              <w:rPr>
                <w:sz w:val="20"/>
                <w:szCs w:val="20"/>
              </w:rPr>
              <w:t>Mix</w:t>
            </w:r>
          </w:p>
        </w:tc>
        <w:tc>
          <w:tcPr>
            <w:tcW w:w="1195" w:type="dxa"/>
            <w:shd w:val="clear" w:color="auto" w:fill="auto"/>
            <w:noWrap/>
            <w:vAlign w:val="center"/>
            <w:hideMark/>
          </w:tcPr>
          <w:p w14:paraId="7CDD4979" w14:textId="77777777" w:rsidR="003C575D" w:rsidRPr="00E14268" w:rsidRDefault="003C575D" w:rsidP="007768B8">
            <w:pPr>
              <w:keepLines/>
              <w:snapToGrid w:val="0"/>
              <w:spacing w:line="240" w:lineRule="exact"/>
              <w:rPr>
                <w:sz w:val="20"/>
                <w:szCs w:val="20"/>
              </w:rPr>
            </w:pPr>
            <w:r w:rsidRPr="00E14268">
              <w:rPr>
                <w:sz w:val="20"/>
                <w:szCs w:val="20"/>
              </w:rPr>
              <w:t>148</w:t>
            </w:r>
          </w:p>
        </w:tc>
        <w:tc>
          <w:tcPr>
            <w:tcW w:w="1196" w:type="dxa"/>
            <w:shd w:val="clear" w:color="auto" w:fill="auto"/>
            <w:noWrap/>
            <w:vAlign w:val="center"/>
            <w:hideMark/>
          </w:tcPr>
          <w:p w14:paraId="50588EE2" w14:textId="77777777" w:rsidR="003C575D" w:rsidRPr="00E14268" w:rsidRDefault="003C575D" w:rsidP="007768B8">
            <w:pPr>
              <w:keepLines/>
              <w:snapToGrid w:val="0"/>
              <w:spacing w:line="240" w:lineRule="exact"/>
              <w:rPr>
                <w:sz w:val="20"/>
                <w:szCs w:val="20"/>
              </w:rPr>
            </w:pPr>
            <w:r w:rsidRPr="00E14268">
              <w:rPr>
                <w:sz w:val="20"/>
                <w:szCs w:val="20"/>
              </w:rPr>
              <w:t>107</w:t>
            </w:r>
          </w:p>
        </w:tc>
        <w:tc>
          <w:tcPr>
            <w:tcW w:w="1195" w:type="dxa"/>
            <w:shd w:val="clear" w:color="auto" w:fill="auto"/>
            <w:noWrap/>
            <w:vAlign w:val="center"/>
            <w:hideMark/>
          </w:tcPr>
          <w:p w14:paraId="706E4B8A" w14:textId="77777777" w:rsidR="003C575D" w:rsidRPr="00E14268" w:rsidRDefault="003C575D" w:rsidP="007768B8">
            <w:pPr>
              <w:keepLines/>
              <w:snapToGrid w:val="0"/>
              <w:spacing w:line="240" w:lineRule="exact"/>
              <w:rPr>
                <w:sz w:val="20"/>
                <w:szCs w:val="20"/>
              </w:rPr>
            </w:pPr>
            <w:r w:rsidRPr="00E14268">
              <w:rPr>
                <w:sz w:val="20"/>
                <w:szCs w:val="20"/>
              </w:rPr>
              <w:t>155</w:t>
            </w:r>
          </w:p>
        </w:tc>
        <w:tc>
          <w:tcPr>
            <w:tcW w:w="1196" w:type="dxa"/>
            <w:shd w:val="clear" w:color="auto" w:fill="auto"/>
            <w:noWrap/>
            <w:vAlign w:val="center"/>
            <w:hideMark/>
          </w:tcPr>
          <w:p w14:paraId="5254EC5C" w14:textId="77777777" w:rsidR="003C575D" w:rsidRPr="00E14268" w:rsidRDefault="003C575D" w:rsidP="007768B8">
            <w:pPr>
              <w:keepLines/>
              <w:snapToGrid w:val="0"/>
              <w:spacing w:line="240" w:lineRule="exact"/>
              <w:rPr>
                <w:sz w:val="20"/>
                <w:szCs w:val="20"/>
              </w:rPr>
            </w:pPr>
            <w:r w:rsidRPr="00E14268">
              <w:rPr>
                <w:sz w:val="20"/>
                <w:szCs w:val="20"/>
              </w:rPr>
              <w:t>174</w:t>
            </w:r>
          </w:p>
        </w:tc>
        <w:tc>
          <w:tcPr>
            <w:tcW w:w="1195" w:type="dxa"/>
            <w:shd w:val="clear" w:color="auto" w:fill="auto"/>
            <w:noWrap/>
            <w:vAlign w:val="center"/>
            <w:hideMark/>
          </w:tcPr>
          <w:p w14:paraId="1EFC6FBF" w14:textId="77777777" w:rsidR="003C575D" w:rsidRPr="00E14268" w:rsidRDefault="003C575D" w:rsidP="007768B8">
            <w:pPr>
              <w:keepLines/>
              <w:snapToGrid w:val="0"/>
              <w:spacing w:line="240" w:lineRule="exact"/>
              <w:rPr>
                <w:sz w:val="20"/>
                <w:szCs w:val="20"/>
              </w:rPr>
            </w:pPr>
            <w:r w:rsidRPr="00E14268">
              <w:rPr>
                <w:sz w:val="20"/>
                <w:szCs w:val="20"/>
              </w:rPr>
              <w:t>8</w:t>
            </w:r>
          </w:p>
        </w:tc>
        <w:tc>
          <w:tcPr>
            <w:tcW w:w="1050" w:type="dxa"/>
            <w:shd w:val="clear" w:color="auto" w:fill="auto"/>
            <w:noWrap/>
            <w:vAlign w:val="center"/>
            <w:hideMark/>
          </w:tcPr>
          <w:p w14:paraId="5557C28F" w14:textId="77777777" w:rsidR="003C575D" w:rsidRPr="00E14268" w:rsidRDefault="003C575D" w:rsidP="007768B8">
            <w:pPr>
              <w:keepLines/>
              <w:snapToGrid w:val="0"/>
              <w:spacing w:line="240" w:lineRule="exact"/>
              <w:rPr>
                <w:sz w:val="20"/>
                <w:szCs w:val="20"/>
              </w:rPr>
            </w:pPr>
            <w:r w:rsidRPr="00E14268">
              <w:rPr>
                <w:sz w:val="20"/>
                <w:szCs w:val="20"/>
              </w:rPr>
              <w:t>17</w:t>
            </w:r>
          </w:p>
        </w:tc>
      </w:tr>
      <w:tr w:rsidR="003C575D" w:rsidRPr="00E14268" w14:paraId="52BD2268" w14:textId="77777777" w:rsidTr="00F82681">
        <w:trPr>
          <w:cantSplit/>
          <w:trHeight w:val="340"/>
          <w:tblHeader/>
        </w:trPr>
        <w:tc>
          <w:tcPr>
            <w:tcW w:w="1195" w:type="dxa"/>
            <w:shd w:val="clear" w:color="auto" w:fill="auto"/>
            <w:noWrap/>
            <w:vAlign w:val="center"/>
            <w:hideMark/>
          </w:tcPr>
          <w:p w14:paraId="19555C85" w14:textId="77777777" w:rsidR="003C575D" w:rsidRPr="00E14268" w:rsidRDefault="003C575D" w:rsidP="007768B8">
            <w:pPr>
              <w:keepLines/>
              <w:snapToGrid w:val="0"/>
              <w:spacing w:line="240" w:lineRule="exact"/>
              <w:rPr>
                <w:sz w:val="20"/>
                <w:szCs w:val="20"/>
              </w:rPr>
            </w:pPr>
          </w:p>
        </w:tc>
        <w:tc>
          <w:tcPr>
            <w:tcW w:w="1195" w:type="dxa"/>
            <w:shd w:val="clear" w:color="auto" w:fill="auto"/>
            <w:noWrap/>
            <w:vAlign w:val="center"/>
            <w:hideMark/>
          </w:tcPr>
          <w:p w14:paraId="7ACB1E93" w14:textId="77777777" w:rsidR="003C575D" w:rsidRPr="00E14268" w:rsidRDefault="003C575D" w:rsidP="007768B8">
            <w:pPr>
              <w:keepLines/>
              <w:snapToGrid w:val="0"/>
              <w:spacing w:line="240" w:lineRule="exact"/>
              <w:rPr>
                <w:sz w:val="20"/>
                <w:szCs w:val="20"/>
              </w:rPr>
            </w:pPr>
          </w:p>
        </w:tc>
        <w:tc>
          <w:tcPr>
            <w:tcW w:w="1196" w:type="dxa"/>
            <w:shd w:val="clear" w:color="auto" w:fill="auto"/>
            <w:noWrap/>
            <w:vAlign w:val="center"/>
            <w:hideMark/>
          </w:tcPr>
          <w:p w14:paraId="5D60D973" w14:textId="77777777" w:rsidR="003C575D" w:rsidRPr="00E14268" w:rsidRDefault="003C575D" w:rsidP="007768B8">
            <w:pPr>
              <w:keepLines/>
              <w:snapToGrid w:val="0"/>
              <w:spacing w:line="240" w:lineRule="exact"/>
              <w:rPr>
                <w:sz w:val="20"/>
                <w:szCs w:val="20"/>
              </w:rPr>
            </w:pPr>
            <w:r w:rsidRPr="00E14268">
              <w:rPr>
                <w:sz w:val="20"/>
                <w:szCs w:val="20"/>
              </w:rPr>
              <w:t>0.723</w:t>
            </w:r>
          </w:p>
        </w:tc>
        <w:tc>
          <w:tcPr>
            <w:tcW w:w="1195" w:type="dxa"/>
            <w:shd w:val="clear" w:color="auto" w:fill="auto"/>
            <w:noWrap/>
            <w:vAlign w:val="center"/>
            <w:hideMark/>
          </w:tcPr>
          <w:p w14:paraId="6782E7EB" w14:textId="77777777" w:rsidR="003C575D" w:rsidRPr="00E14268" w:rsidRDefault="003C575D" w:rsidP="007768B8">
            <w:pPr>
              <w:keepLines/>
              <w:snapToGrid w:val="0"/>
              <w:spacing w:line="240" w:lineRule="exact"/>
              <w:rPr>
                <w:sz w:val="20"/>
                <w:szCs w:val="20"/>
              </w:rPr>
            </w:pPr>
            <w:r w:rsidRPr="00E14268">
              <w:rPr>
                <w:sz w:val="20"/>
                <w:szCs w:val="20"/>
              </w:rPr>
              <w:t>1.047</w:t>
            </w:r>
          </w:p>
        </w:tc>
        <w:tc>
          <w:tcPr>
            <w:tcW w:w="1196" w:type="dxa"/>
            <w:shd w:val="clear" w:color="auto" w:fill="auto"/>
            <w:noWrap/>
            <w:vAlign w:val="center"/>
            <w:hideMark/>
          </w:tcPr>
          <w:p w14:paraId="240805BA" w14:textId="77777777" w:rsidR="003C575D" w:rsidRPr="00E14268" w:rsidRDefault="003C575D" w:rsidP="007768B8">
            <w:pPr>
              <w:keepLines/>
              <w:snapToGrid w:val="0"/>
              <w:spacing w:line="240" w:lineRule="exact"/>
              <w:rPr>
                <w:sz w:val="20"/>
                <w:szCs w:val="20"/>
              </w:rPr>
            </w:pPr>
            <w:r w:rsidRPr="00E14268">
              <w:rPr>
                <w:sz w:val="20"/>
                <w:szCs w:val="20"/>
              </w:rPr>
              <w:t>1.176</w:t>
            </w:r>
          </w:p>
        </w:tc>
        <w:tc>
          <w:tcPr>
            <w:tcW w:w="1195" w:type="dxa"/>
            <w:shd w:val="clear" w:color="auto" w:fill="auto"/>
            <w:noWrap/>
            <w:vAlign w:val="center"/>
            <w:hideMark/>
          </w:tcPr>
          <w:p w14:paraId="62D084DD" w14:textId="77777777" w:rsidR="003C575D" w:rsidRPr="00E14268" w:rsidRDefault="003C575D" w:rsidP="007768B8">
            <w:pPr>
              <w:keepLines/>
              <w:snapToGrid w:val="0"/>
              <w:spacing w:line="240" w:lineRule="exact"/>
              <w:rPr>
                <w:sz w:val="20"/>
                <w:szCs w:val="20"/>
              </w:rPr>
            </w:pPr>
            <w:r w:rsidRPr="00E14268">
              <w:rPr>
                <w:sz w:val="20"/>
                <w:szCs w:val="20"/>
              </w:rPr>
              <w:t>0.054</w:t>
            </w:r>
          </w:p>
        </w:tc>
        <w:tc>
          <w:tcPr>
            <w:tcW w:w="1050" w:type="dxa"/>
            <w:shd w:val="clear" w:color="auto" w:fill="auto"/>
            <w:noWrap/>
            <w:vAlign w:val="center"/>
            <w:hideMark/>
          </w:tcPr>
          <w:p w14:paraId="7485F962" w14:textId="77777777" w:rsidR="003C575D" w:rsidRPr="00E14268" w:rsidRDefault="003C575D" w:rsidP="007768B8">
            <w:pPr>
              <w:keepLines/>
              <w:snapToGrid w:val="0"/>
              <w:spacing w:line="240" w:lineRule="exact"/>
              <w:rPr>
                <w:sz w:val="20"/>
                <w:szCs w:val="20"/>
              </w:rPr>
            </w:pPr>
            <w:r w:rsidRPr="00E14268">
              <w:rPr>
                <w:sz w:val="20"/>
                <w:szCs w:val="20"/>
              </w:rPr>
              <w:t>0.115</w:t>
            </w:r>
          </w:p>
        </w:tc>
      </w:tr>
    </w:tbl>
    <w:p w14:paraId="3B264707" w14:textId="625D46C3" w:rsidR="003C575D" w:rsidRDefault="00CA24F1" w:rsidP="00F82681">
      <w:pPr>
        <w:pStyle w:val="text"/>
        <w:spacing w:beforeLines="50" w:before="180"/>
      </w:pPr>
      <w:r w:rsidRPr="00CA24F1">
        <w:t>Next, we examine the relationship between analyst recommendations and the types of M&amp;A transactions. Due to data availability constraints, we classify the acquiring firms into two categories: horizontal M&amp;As and diversified M&amp;As. Horizontal M&amp;As are defined as transactions where the acquirer and target firms share the same four-digit Standard Industrial Classification (SIC) code, indicating that they operate within the same industry. Conversely, diversified M&amp;As involve acquirer and target firms with different four-digit SIC codes, implying that they operate in distinct industries. Based on this classification, we summarize the analyst recommendations for each type of M&amp;A in Table 5.</w:t>
      </w:r>
    </w:p>
    <w:p w14:paraId="2F709C07" w14:textId="0CD1032A" w:rsidR="00CA24F1" w:rsidRPr="00353396" w:rsidRDefault="00CA24F1" w:rsidP="00324F2F">
      <w:pPr>
        <w:pStyle w:val="text"/>
      </w:pPr>
      <w:r w:rsidRPr="00CA24F1">
        <w:t xml:space="preserve">This analysis aims to explore whether analyst recommendations exhibit any discernible patterns or variations across horizontal and diversified M&amp;A transactions. </w:t>
      </w:r>
      <w:r w:rsidRPr="00CA24F1">
        <w:lastRenderedPageBreak/>
        <w:t>By disaggregating the recommendations based on the degree of industry relatedness between the acquirer and target firms, we can gain valuable insights into the potential influence of industry factors on analyst assessments and recommendations.</w:t>
      </w:r>
    </w:p>
    <w:p w14:paraId="467FA146" w14:textId="5A8E5565" w:rsidR="000C3DD7" w:rsidRPr="00353396" w:rsidRDefault="00B94FB5" w:rsidP="00C3335D">
      <w:pPr>
        <w:pStyle w:val="3"/>
      </w:pPr>
      <w:r>
        <w:t xml:space="preserve">Table </w:t>
      </w:r>
      <w:r w:rsidR="00350966">
        <w:fldChar w:fldCharType="begin"/>
      </w:r>
      <w:r w:rsidR="00350966">
        <w:instrText xml:space="preserve"> SEQ Table \* ARABIC </w:instrText>
      </w:r>
      <w:r w:rsidR="00350966">
        <w:fldChar w:fldCharType="separate"/>
      </w:r>
      <w:r w:rsidR="00350966">
        <w:rPr>
          <w:noProof/>
        </w:rPr>
        <w:t>5</w:t>
      </w:r>
      <w:r w:rsidR="00350966">
        <w:rPr>
          <w:noProof/>
        </w:rPr>
        <w:fldChar w:fldCharType="end"/>
      </w:r>
      <w:r w:rsidR="000C3DD7" w:rsidRPr="00353396">
        <w:t>. The recommendation with respect to the type of M&amp;A</w:t>
      </w:r>
    </w:p>
    <w:p w14:paraId="295ACA15" w14:textId="77777777" w:rsidR="000C3DD7" w:rsidRPr="00353396" w:rsidRDefault="00F27D10" w:rsidP="00C3335D">
      <w:pPr>
        <w:pStyle w:val="table-note"/>
        <w:rPr>
          <w:szCs w:val="24"/>
        </w:rPr>
      </w:pPr>
      <w:r w:rsidRPr="00353396">
        <w:t xml:space="preserve">The table reports the numbers of analysts’ recommendations, strong buy, buy, hold, sell, and strong sell with respect to different type of M&amp;As. The average number of recommendations is provided below the number of recommendations. Panel A, B, and C are the </w:t>
      </w:r>
      <w:proofErr w:type="gramStart"/>
      <w:r w:rsidRPr="00353396">
        <w:t>30, 60, and 90 days</w:t>
      </w:r>
      <w:proofErr w:type="gramEnd"/>
      <w:r w:rsidRPr="00353396">
        <w:t xml:space="preserve"> windows before the announcement of M&amp;As respectively. </w:t>
      </w:r>
    </w:p>
    <w:tbl>
      <w:tblPr>
        <w:tblW w:w="8222" w:type="dxa"/>
        <w:tblBorders>
          <w:top w:val="single" w:sz="4" w:space="0" w:color="auto"/>
          <w:bottom w:val="single" w:sz="4" w:space="0" w:color="auto"/>
        </w:tblBorders>
        <w:tblCellMar>
          <w:left w:w="28" w:type="dxa"/>
          <w:right w:w="28" w:type="dxa"/>
        </w:tblCellMar>
        <w:tblLook w:val="04A0" w:firstRow="1" w:lastRow="0" w:firstColumn="1" w:lastColumn="0" w:noHBand="0" w:noVBand="1"/>
      </w:tblPr>
      <w:tblGrid>
        <w:gridCol w:w="1843"/>
        <w:gridCol w:w="1075"/>
        <w:gridCol w:w="1300"/>
        <w:gridCol w:w="1100"/>
        <w:gridCol w:w="1100"/>
        <w:gridCol w:w="812"/>
        <w:gridCol w:w="992"/>
      </w:tblGrid>
      <w:tr w:rsidR="000C3DD7" w:rsidRPr="00E14268" w14:paraId="7FEEE6EA" w14:textId="77777777" w:rsidTr="00F82681">
        <w:trPr>
          <w:cantSplit/>
          <w:trHeight w:val="340"/>
          <w:tblHeader/>
        </w:trPr>
        <w:tc>
          <w:tcPr>
            <w:tcW w:w="8222" w:type="dxa"/>
            <w:gridSpan w:val="7"/>
            <w:tcBorders>
              <w:top w:val="single" w:sz="4" w:space="0" w:color="auto"/>
              <w:bottom w:val="single" w:sz="4" w:space="0" w:color="auto"/>
            </w:tcBorders>
            <w:shd w:val="clear" w:color="auto" w:fill="auto"/>
            <w:noWrap/>
            <w:vAlign w:val="center"/>
            <w:hideMark/>
          </w:tcPr>
          <w:p w14:paraId="1B073E54" w14:textId="77777777" w:rsidR="000C3DD7" w:rsidRPr="00E14268" w:rsidRDefault="000C3DD7" w:rsidP="00F73AB2">
            <w:pPr>
              <w:keepLines/>
              <w:snapToGrid w:val="0"/>
              <w:spacing w:line="240" w:lineRule="exact"/>
              <w:rPr>
                <w:rFonts w:eastAsia="Times New Roman"/>
                <w:sz w:val="20"/>
                <w:szCs w:val="20"/>
              </w:rPr>
            </w:pPr>
            <w:r w:rsidRPr="00E14268">
              <w:rPr>
                <w:sz w:val="20"/>
                <w:szCs w:val="20"/>
              </w:rPr>
              <w:t>Panel A. 30 days</w:t>
            </w:r>
            <w:r w:rsidR="003F3EB3" w:rsidRPr="00E14268">
              <w:rPr>
                <w:sz w:val="20"/>
                <w:szCs w:val="20"/>
              </w:rPr>
              <w:t xml:space="preserve"> before the announcement of M&amp;As</w:t>
            </w:r>
          </w:p>
        </w:tc>
      </w:tr>
      <w:tr w:rsidR="000C3DD7" w:rsidRPr="00E14268" w14:paraId="1312914E" w14:textId="77777777" w:rsidTr="00F82681">
        <w:trPr>
          <w:cantSplit/>
          <w:trHeight w:val="340"/>
          <w:tblHeader/>
        </w:trPr>
        <w:tc>
          <w:tcPr>
            <w:tcW w:w="1843" w:type="dxa"/>
            <w:tcBorders>
              <w:top w:val="single" w:sz="4" w:space="0" w:color="auto"/>
              <w:bottom w:val="single" w:sz="4" w:space="0" w:color="auto"/>
            </w:tcBorders>
            <w:shd w:val="clear" w:color="auto" w:fill="auto"/>
            <w:noWrap/>
            <w:vAlign w:val="center"/>
            <w:hideMark/>
          </w:tcPr>
          <w:p w14:paraId="0B1DAD60" w14:textId="77777777" w:rsidR="000C3DD7" w:rsidRPr="00E14268" w:rsidRDefault="000C3DD7" w:rsidP="00F73AB2">
            <w:pPr>
              <w:keepLines/>
              <w:snapToGrid w:val="0"/>
              <w:spacing w:line="240" w:lineRule="exact"/>
              <w:rPr>
                <w:sz w:val="20"/>
                <w:szCs w:val="20"/>
              </w:rPr>
            </w:pPr>
          </w:p>
        </w:tc>
        <w:tc>
          <w:tcPr>
            <w:tcW w:w="1075" w:type="dxa"/>
            <w:tcBorders>
              <w:top w:val="single" w:sz="4" w:space="0" w:color="auto"/>
              <w:bottom w:val="single" w:sz="4" w:space="0" w:color="auto"/>
            </w:tcBorders>
            <w:shd w:val="clear" w:color="auto" w:fill="auto"/>
            <w:noWrap/>
            <w:vAlign w:val="center"/>
            <w:hideMark/>
          </w:tcPr>
          <w:p w14:paraId="0C90F3DA" w14:textId="62B9D62F" w:rsidR="000C3DD7" w:rsidRPr="00E14268" w:rsidRDefault="000C3DD7" w:rsidP="00F73AB2">
            <w:pPr>
              <w:keepLines/>
              <w:snapToGrid w:val="0"/>
              <w:spacing w:line="240" w:lineRule="exact"/>
              <w:rPr>
                <w:sz w:val="20"/>
                <w:szCs w:val="20"/>
              </w:rPr>
            </w:pPr>
            <w:r w:rsidRPr="00E14268">
              <w:rPr>
                <w:sz w:val="20"/>
                <w:szCs w:val="20"/>
              </w:rPr>
              <w:t xml:space="preserve">No. </w:t>
            </w:r>
            <w:r w:rsidR="00707136" w:rsidRPr="00E14268">
              <w:rPr>
                <w:sz w:val="20"/>
                <w:szCs w:val="20"/>
              </w:rPr>
              <w:t>Firm</w:t>
            </w:r>
          </w:p>
        </w:tc>
        <w:tc>
          <w:tcPr>
            <w:tcW w:w="1300" w:type="dxa"/>
            <w:tcBorders>
              <w:top w:val="single" w:sz="4" w:space="0" w:color="auto"/>
              <w:bottom w:val="single" w:sz="4" w:space="0" w:color="auto"/>
            </w:tcBorders>
            <w:shd w:val="clear" w:color="auto" w:fill="auto"/>
            <w:noWrap/>
            <w:vAlign w:val="center"/>
            <w:hideMark/>
          </w:tcPr>
          <w:p w14:paraId="2FE7999C" w14:textId="7FA5EA3D" w:rsidR="000C3DD7" w:rsidRPr="00E14268" w:rsidRDefault="000C3DD7" w:rsidP="00F73AB2">
            <w:pPr>
              <w:keepLines/>
              <w:snapToGrid w:val="0"/>
              <w:spacing w:line="240" w:lineRule="exact"/>
              <w:rPr>
                <w:sz w:val="20"/>
                <w:szCs w:val="20"/>
              </w:rPr>
            </w:pPr>
            <w:r w:rsidRPr="00E14268">
              <w:rPr>
                <w:sz w:val="20"/>
                <w:szCs w:val="20"/>
              </w:rPr>
              <w:t xml:space="preserve">Strong </w:t>
            </w:r>
            <w:r w:rsidR="00F82681">
              <w:rPr>
                <w:sz w:val="20"/>
                <w:szCs w:val="20"/>
              </w:rPr>
              <w:t>b</w:t>
            </w:r>
            <w:r w:rsidRPr="00E14268">
              <w:rPr>
                <w:sz w:val="20"/>
                <w:szCs w:val="20"/>
              </w:rPr>
              <w:t>uy</w:t>
            </w:r>
          </w:p>
        </w:tc>
        <w:tc>
          <w:tcPr>
            <w:tcW w:w="1100" w:type="dxa"/>
            <w:tcBorders>
              <w:top w:val="single" w:sz="4" w:space="0" w:color="auto"/>
              <w:bottom w:val="single" w:sz="4" w:space="0" w:color="auto"/>
            </w:tcBorders>
            <w:shd w:val="clear" w:color="auto" w:fill="auto"/>
            <w:noWrap/>
            <w:vAlign w:val="center"/>
            <w:hideMark/>
          </w:tcPr>
          <w:p w14:paraId="62FCBDFA" w14:textId="77777777" w:rsidR="000C3DD7" w:rsidRPr="00E14268" w:rsidRDefault="000C3DD7" w:rsidP="00F73AB2">
            <w:pPr>
              <w:keepLines/>
              <w:snapToGrid w:val="0"/>
              <w:spacing w:line="240" w:lineRule="exact"/>
              <w:rPr>
                <w:sz w:val="20"/>
                <w:szCs w:val="20"/>
              </w:rPr>
            </w:pPr>
            <w:r w:rsidRPr="00E14268">
              <w:rPr>
                <w:sz w:val="20"/>
                <w:szCs w:val="20"/>
              </w:rPr>
              <w:t>Buy</w:t>
            </w:r>
          </w:p>
        </w:tc>
        <w:tc>
          <w:tcPr>
            <w:tcW w:w="1100" w:type="dxa"/>
            <w:tcBorders>
              <w:top w:val="single" w:sz="4" w:space="0" w:color="auto"/>
              <w:bottom w:val="single" w:sz="4" w:space="0" w:color="auto"/>
            </w:tcBorders>
            <w:shd w:val="clear" w:color="auto" w:fill="auto"/>
            <w:noWrap/>
            <w:vAlign w:val="center"/>
            <w:hideMark/>
          </w:tcPr>
          <w:p w14:paraId="15110487" w14:textId="77777777" w:rsidR="000C3DD7" w:rsidRPr="00E14268" w:rsidRDefault="000C3DD7" w:rsidP="00F73AB2">
            <w:pPr>
              <w:keepLines/>
              <w:snapToGrid w:val="0"/>
              <w:spacing w:line="240" w:lineRule="exact"/>
              <w:rPr>
                <w:sz w:val="20"/>
                <w:szCs w:val="20"/>
              </w:rPr>
            </w:pPr>
            <w:r w:rsidRPr="00E14268">
              <w:rPr>
                <w:sz w:val="20"/>
                <w:szCs w:val="20"/>
              </w:rPr>
              <w:t>Hold</w:t>
            </w:r>
          </w:p>
        </w:tc>
        <w:tc>
          <w:tcPr>
            <w:tcW w:w="812" w:type="dxa"/>
            <w:tcBorders>
              <w:top w:val="single" w:sz="4" w:space="0" w:color="auto"/>
              <w:bottom w:val="single" w:sz="4" w:space="0" w:color="auto"/>
            </w:tcBorders>
            <w:shd w:val="clear" w:color="auto" w:fill="auto"/>
            <w:noWrap/>
            <w:vAlign w:val="center"/>
            <w:hideMark/>
          </w:tcPr>
          <w:p w14:paraId="48E76750" w14:textId="77777777" w:rsidR="000C3DD7" w:rsidRPr="00E14268" w:rsidRDefault="000C3DD7" w:rsidP="00F73AB2">
            <w:pPr>
              <w:keepLines/>
              <w:snapToGrid w:val="0"/>
              <w:spacing w:line="240" w:lineRule="exact"/>
              <w:rPr>
                <w:sz w:val="20"/>
                <w:szCs w:val="20"/>
              </w:rPr>
            </w:pPr>
            <w:r w:rsidRPr="00E14268">
              <w:rPr>
                <w:sz w:val="20"/>
                <w:szCs w:val="20"/>
              </w:rPr>
              <w:t>Sell</w:t>
            </w:r>
          </w:p>
        </w:tc>
        <w:tc>
          <w:tcPr>
            <w:tcW w:w="992" w:type="dxa"/>
            <w:tcBorders>
              <w:top w:val="single" w:sz="4" w:space="0" w:color="auto"/>
              <w:bottom w:val="single" w:sz="4" w:space="0" w:color="auto"/>
            </w:tcBorders>
            <w:shd w:val="clear" w:color="auto" w:fill="auto"/>
            <w:noWrap/>
            <w:vAlign w:val="center"/>
            <w:hideMark/>
          </w:tcPr>
          <w:p w14:paraId="707351B5" w14:textId="082E536A" w:rsidR="000C3DD7" w:rsidRPr="00E14268" w:rsidRDefault="000C3DD7" w:rsidP="00F73AB2">
            <w:pPr>
              <w:keepLines/>
              <w:snapToGrid w:val="0"/>
              <w:spacing w:line="240" w:lineRule="exact"/>
              <w:rPr>
                <w:sz w:val="20"/>
                <w:szCs w:val="20"/>
              </w:rPr>
            </w:pPr>
            <w:r w:rsidRPr="00E14268">
              <w:rPr>
                <w:sz w:val="20"/>
                <w:szCs w:val="20"/>
              </w:rPr>
              <w:t xml:space="preserve">Strong </w:t>
            </w:r>
            <w:r w:rsidR="00F82681">
              <w:rPr>
                <w:sz w:val="20"/>
                <w:szCs w:val="20"/>
              </w:rPr>
              <w:t>s</w:t>
            </w:r>
            <w:r w:rsidRPr="00E14268">
              <w:rPr>
                <w:sz w:val="20"/>
                <w:szCs w:val="20"/>
              </w:rPr>
              <w:t>ell</w:t>
            </w:r>
          </w:p>
        </w:tc>
      </w:tr>
      <w:tr w:rsidR="000C3DD7" w:rsidRPr="00E14268" w14:paraId="168DB713" w14:textId="77777777" w:rsidTr="00F82681">
        <w:trPr>
          <w:cantSplit/>
          <w:trHeight w:val="340"/>
          <w:tblHeader/>
        </w:trPr>
        <w:tc>
          <w:tcPr>
            <w:tcW w:w="1843" w:type="dxa"/>
            <w:tcBorders>
              <w:top w:val="single" w:sz="4" w:space="0" w:color="auto"/>
            </w:tcBorders>
            <w:shd w:val="clear" w:color="auto" w:fill="auto"/>
            <w:noWrap/>
            <w:vAlign w:val="center"/>
            <w:hideMark/>
          </w:tcPr>
          <w:p w14:paraId="4A5D1D40" w14:textId="77777777" w:rsidR="000C3DD7" w:rsidRPr="00E14268" w:rsidRDefault="000C3DD7" w:rsidP="00F73AB2">
            <w:pPr>
              <w:keepLines/>
              <w:snapToGrid w:val="0"/>
              <w:spacing w:line="240" w:lineRule="exact"/>
              <w:rPr>
                <w:sz w:val="20"/>
                <w:szCs w:val="20"/>
              </w:rPr>
            </w:pPr>
            <w:r w:rsidRPr="00E14268">
              <w:rPr>
                <w:sz w:val="20"/>
                <w:szCs w:val="20"/>
              </w:rPr>
              <w:t>Diversified M&amp;A</w:t>
            </w:r>
          </w:p>
        </w:tc>
        <w:tc>
          <w:tcPr>
            <w:tcW w:w="1075" w:type="dxa"/>
            <w:tcBorders>
              <w:top w:val="single" w:sz="4" w:space="0" w:color="auto"/>
            </w:tcBorders>
            <w:shd w:val="clear" w:color="auto" w:fill="auto"/>
            <w:noWrap/>
            <w:vAlign w:val="center"/>
            <w:hideMark/>
          </w:tcPr>
          <w:p w14:paraId="7137F7C3" w14:textId="77777777" w:rsidR="000C3DD7" w:rsidRPr="00E14268" w:rsidRDefault="000C3DD7" w:rsidP="00F73AB2">
            <w:pPr>
              <w:keepLines/>
              <w:snapToGrid w:val="0"/>
              <w:spacing w:line="240" w:lineRule="exact"/>
              <w:rPr>
                <w:sz w:val="20"/>
                <w:szCs w:val="20"/>
              </w:rPr>
            </w:pPr>
            <w:r w:rsidRPr="00E14268">
              <w:rPr>
                <w:sz w:val="20"/>
                <w:szCs w:val="20"/>
              </w:rPr>
              <w:t>256</w:t>
            </w:r>
          </w:p>
        </w:tc>
        <w:tc>
          <w:tcPr>
            <w:tcW w:w="1300" w:type="dxa"/>
            <w:tcBorders>
              <w:top w:val="single" w:sz="4" w:space="0" w:color="auto"/>
            </w:tcBorders>
            <w:shd w:val="clear" w:color="auto" w:fill="auto"/>
            <w:noWrap/>
            <w:vAlign w:val="center"/>
            <w:hideMark/>
          </w:tcPr>
          <w:p w14:paraId="0B28FA0A" w14:textId="77777777" w:rsidR="000C3DD7" w:rsidRPr="00E14268" w:rsidRDefault="000C3DD7" w:rsidP="00F73AB2">
            <w:pPr>
              <w:keepLines/>
              <w:snapToGrid w:val="0"/>
              <w:spacing w:line="240" w:lineRule="exact"/>
              <w:rPr>
                <w:sz w:val="20"/>
                <w:szCs w:val="20"/>
              </w:rPr>
            </w:pPr>
            <w:r w:rsidRPr="00E14268">
              <w:rPr>
                <w:sz w:val="20"/>
                <w:szCs w:val="20"/>
              </w:rPr>
              <w:t>250</w:t>
            </w:r>
          </w:p>
        </w:tc>
        <w:tc>
          <w:tcPr>
            <w:tcW w:w="1100" w:type="dxa"/>
            <w:tcBorders>
              <w:top w:val="single" w:sz="4" w:space="0" w:color="auto"/>
            </w:tcBorders>
            <w:shd w:val="clear" w:color="auto" w:fill="auto"/>
            <w:noWrap/>
            <w:vAlign w:val="center"/>
            <w:hideMark/>
          </w:tcPr>
          <w:p w14:paraId="3E0D1166" w14:textId="77777777" w:rsidR="000C3DD7" w:rsidRPr="00E14268" w:rsidRDefault="000C3DD7" w:rsidP="00F73AB2">
            <w:pPr>
              <w:keepLines/>
              <w:snapToGrid w:val="0"/>
              <w:spacing w:line="240" w:lineRule="exact"/>
              <w:rPr>
                <w:sz w:val="20"/>
                <w:szCs w:val="20"/>
              </w:rPr>
            </w:pPr>
            <w:r w:rsidRPr="00E14268">
              <w:rPr>
                <w:sz w:val="20"/>
                <w:szCs w:val="20"/>
              </w:rPr>
              <w:t>339</w:t>
            </w:r>
          </w:p>
        </w:tc>
        <w:tc>
          <w:tcPr>
            <w:tcW w:w="1100" w:type="dxa"/>
            <w:tcBorders>
              <w:top w:val="single" w:sz="4" w:space="0" w:color="auto"/>
            </w:tcBorders>
            <w:shd w:val="clear" w:color="auto" w:fill="auto"/>
            <w:noWrap/>
            <w:vAlign w:val="center"/>
            <w:hideMark/>
          </w:tcPr>
          <w:p w14:paraId="16613FA3" w14:textId="77777777" w:rsidR="000C3DD7" w:rsidRPr="00E14268" w:rsidRDefault="000C3DD7" w:rsidP="00F73AB2">
            <w:pPr>
              <w:keepLines/>
              <w:snapToGrid w:val="0"/>
              <w:spacing w:line="240" w:lineRule="exact"/>
              <w:rPr>
                <w:sz w:val="20"/>
                <w:szCs w:val="20"/>
              </w:rPr>
            </w:pPr>
            <w:r w:rsidRPr="00E14268">
              <w:rPr>
                <w:sz w:val="20"/>
                <w:szCs w:val="20"/>
              </w:rPr>
              <w:t>363</w:t>
            </w:r>
          </w:p>
        </w:tc>
        <w:tc>
          <w:tcPr>
            <w:tcW w:w="812" w:type="dxa"/>
            <w:tcBorders>
              <w:top w:val="single" w:sz="4" w:space="0" w:color="auto"/>
            </w:tcBorders>
            <w:shd w:val="clear" w:color="auto" w:fill="auto"/>
            <w:noWrap/>
            <w:vAlign w:val="center"/>
            <w:hideMark/>
          </w:tcPr>
          <w:p w14:paraId="2BD311EE" w14:textId="77777777" w:rsidR="000C3DD7" w:rsidRPr="00E14268" w:rsidRDefault="000C3DD7" w:rsidP="00F73AB2">
            <w:pPr>
              <w:keepLines/>
              <w:snapToGrid w:val="0"/>
              <w:spacing w:line="240" w:lineRule="exact"/>
              <w:rPr>
                <w:sz w:val="20"/>
                <w:szCs w:val="20"/>
              </w:rPr>
            </w:pPr>
            <w:r w:rsidRPr="00E14268">
              <w:rPr>
                <w:sz w:val="20"/>
                <w:szCs w:val="20"/>
              </w:rPr>
              <w:t>20</w:t>
            </w:r>
          </w:p>
        </w:tc>
        <w:tc>
          <w:tcPr>
            <w:tcW w:w="992" w:type="dxa"/>
            <w:tcBorders>
              <w:top w:val="single" w:sz="4" w:space="0" w:color="auto"/>
            </w:tcBorders>
            <w:shd w:val="clear" w:color="auto" w:fill="auto"/>
            <w:noWrap/>
            <w:vAlign w:val="center"/>
            <w:hideMark/>
          </w:tcPr>
          <w:p w14:paraId="5B639666" w14:textId="77777777" w:rsidR="000C3DD7" w:rsidRPr="00E14268" w:rsidRDefault="000C3DD7" w:rsidP="00F73AB2">
            <w:pPr>
              <w:keepLines/>
              <w:snapToGrid w:val="0"/>
              <w:spacing w:line="240" w:lineRule="exact"/>
              <w:rPr>
                <w:sz w:val="20"/>
                <w:szCs w:val="20"/>
              </w:rPr>
            </w:pPr>
            <w:r w:rsidRPr="00E14268">
              <w:rPr>
                <w:sz w:val="20"/>
                <w:szCs w:val="20"/>
              </w:rPr>
              <w:t>40</w:t>
            </w:r>
          </w:p>
        </w:tc>
      </w:tr>
      <w:tr w:rsidR="000C3DD7" w:rsidRPr="00E14268" w14:paraId="72E7C078" w14:textId="77777777" w:rsidTr="00F82681">
        <w:trPr>
          <w:cantSplit/>
          <w:trHeight w:val="340"/>
          <w:tblHeader/>
        </w:trPr>
        <w:tc>
          <w:tcPr>
            <w:tcW w:w="1843" w:type="dxa"/>
            <w:shd w:val="clear" w:color="auto" w:fill="auto"/>
            <w:noWrap/>
            <w:vAlign w:val="center"/>
            <w:hideMark/>
          </w:tcPr>
          <w:p w14:paraId="55B51C95" w14:textId="77777777" w:rsidR="000C3DD7" w:rsidRPr="00E14268" w:rsidRDefault="000C3DD7" w:rsidP="00F73AB2">
            <w:pPr>
              <w:keepLines/>
              <w:snapToGrid w:val="0"/>
              <w:spacing w:line="240" w:lineRule="exact"/>
              <w:rPr>
                <w:sz w:val="20"/>
                <w:szCs w:val="20"/>
              </w:rPr>
            </w:pPr>
          </w:p>
        </w:tc>
        <w:tc>
          <w:tcPr>
            <w:tcW w:w="1075" w:type="dxa"/>
            <w:shd w:val="clear" w:color="auto" w:fill="auto"/>
            <w:noWrap/>
            <w:vAlign w:val="center"/>
            <w:hideMark/>
          </w:tcPr>
          <w:p w14:paraId="20166150" w14:textId="77777777" w:rsidR="000C3DD7" w:rsidRPr="00E14268" w:rsidRDefault="000C3DD7" w:rsidP="00F73AB2">
            <w:pPr>
              <w:keepLines/>
              <w:snapToGrid w:val="0"/>
              <w:spacing w:line="240" w:lineRule="exact"/>
              <w:rPr>
                <w:sz w:val="20"/>
                <w:szCs w:val="20"/>
              </w:rPr>
            </w:pPr>
          </w:p>
        </w:tc>
        <w:tc>
          <w:tcPr>
            <w:tcW w:w="1300" w:type="dxa"/>
            <w:shd w:val="clear" w:color="auto" w:fill="auto"/>
            <w:noWrap/>
            <w:vAlign w:val="center"/>
            <w:hideMark/>
          </w:tcPr>
          <w:p w14:paraId="15A00418" w14:textId="77777777" w:rsidR="000C3DD7" w:rsidRPr="00E14268" w:rsidRDefault="000C3DD7" w:rsidP="00F73AB2">
            <w:pPr>
              <w:keepLines/>
              <w:snapToGrid w:val="0"/>
              <w:spacing w:line="240" w:lineRule="exact"/>
              <w:rPr>
                <w:sz w:val="20"/>
                <w:szCs w:val="20"/>
              </w:rPr>
            </w:pPr>
            <w:r w:rsidRPr="00E14268">
              <w:rPr>
                <w:sz w:val="20"/>
                <w:szCs w:val="20"/>
              </w:rPr>
              <w:t>0.98</w:t>
            </w:r>
          </w:p>
        </w:tc>
        <w:tc>
          <w:tcPr>
            <w:tcW w:w="1100" w:type="dxa"/>
            <w:shd w:val="clear" w:color="auto" w:fill="auto"/>
            <w:noWrap/>
            <w:vAlign w:val="center"/>
            <w:hideMark/>
          </w:tcPr>
          <w:p w14:paraId="36C9D1E1" w14:textId="77777777" w:rsidR="000C3DD7" w:rsidRPr="00E14268" w:rsidRDefault="000C3DD7" w:rsidP="00F73AB2">
            <w:pPr>
              <w:keepLines/>
              <w:snapToGrid w:val="0"/>
              <w:spacing w:line="240" w:lineRule="exact"/>
              <w:rPr>
                <w:sz w:val="20"/>
                <w:szCs w:val="20"/>
              </w:rPr>
            </w:pPr>
            <w:r w:rsidRPr="00E14268">
              <w:rPr>
                <w:sz w:val="20"/>
                <w:szCs w:val="20"/>
              </w:rPr>
              <w:t>1.32</w:t>
            </w:r>
          </w:p>
        </w:tc>
        <w:tc>
          <w:tcPr>
            <w:tcW w:w="1100" w:type="dxa"/>
            <w:shd w:val="clear" w:color="auto" w:fill="auto"/>
            <w:noWrap/>
            <w:vAlign w:val="center"/>
            <w:hideMark/>
          </w:tcPr>
          <w:p w14:paraId="77857150" w14:textId="77777777" w:rsidR="000C3DD7" w:rsidRPr="00E14268" w:rsidRDefault="000C3DD7" w:rsidP="00F73AB2">
            <w:pPr>
              <w:keepLines/>
              <w:snapToGrid w:val="0"/>
              <w:spacing w:line="240" w:lineRule="exact"/>
              <w:rPr>
                <w:sz w:val="20"/>
                <w:szCs w:val="20"/>
              </w:rPr>
            </w:pPr>
            <w:r w:rsidRPr="00E14268">
              <w:rPr>
                <w:sz w:val="20"/>
                <w:szCs w:val="20"/>
              </w:rPr>
              <w:t>1.42</w:t>
            </w:r>
          </w:p>
        </w:tc>
        <w:tc>
          <w:tcPr>
            <w:tcW w:w="812" w:type="dxa"/>
            <w:shd w:val="clear" w:color="auto" w:fill="auto"/>
            <w:noWrap/>
            <w:vAlign w:val="center"/>
            <w:hideMark/>
          </w:tcPr>
          <w:p w14:paraId="5558FC54" w14:textId="77777777" w:rsidR="000C3DD7" w:rsidRPr="00E14268" w:rsidRDefault="000C3DD7" w:rsidP="00F73AB2">
            <w:pPr>
              <w:keepLines/>
              <w:snapToGrid w:val="0"/>
              <w:spacing w:line="240" w:lineRule="exact"/>
              <w:rPr>
                <w:sz w:val="20"/>
                <w:szCs w:val="20"/>
              </w:rPr>
            </w:pPr>
            <w:r w:rsidRPr="00E14268">
              <w:rPr>
                <w:sz w:val="20"/>
                <w:szCs w:val="20"/>
              </w:rPr>
              <w:t>0.08</w:t>
            </w:r>
          </w:p>
        </w:tc>
        <w:tc>
          <w:tcPr>
            <w:tcW w:w="992" w:type="dxa"/>
            <w:shd w:val="clear" w:color="auto" w:fill="auto"/>
            <w:noWrap/>
            <w:vAlign w:val="center"/>
            <w:hideMark/>
          </w:tcPr>
          <w:p w14:paraId="51D4FC81" w14:textId="77777777" w:rsidR="000C3DD7" w:rsidRPr="00E14268" w:rsidRDefault="000C3DD7" w:rsidP="00F73AB2">
            <w:pPr>
              <w:keepLines/>
              <w:snapToGrid w:val="0"/>
              <w:spacing w:line="240" w:lineRule="exact"/>
              <w:rPr>
                <w:sz w:val="20"/>
                <w:szCs w:val="20"/>
              </w:rPr>
            </w:pPr>
            <w:r w:rsidRPr="00E14268">
              <w:rPr>
                <w:sz w:val="20"/>
                <w:szCs w:val="20"/>
              </w:rPr>
              <w:t>0.16</w:t>
            </w:r>
          </w:p>
        </w:tc>
      </w:tr>
      <w:tr w:rsidR="000C3DD7" w:rsidRPr="00E14268" w14:paraId="3E353E6B" w14:textId="77777777" w:rsidTr="00F82681">
        <w:trPr>
          <w:cantSplit/>
          <w:trHeight w:val="340"/>
          <w:tblHeader/>
        </w:trPr>
        <w:tc>
          <w:tcPr>
            <w:tcW w:w="1843" w:type="dxa"/>
            <w:shd w:val="clear" w:color="auto" w:fill="auto"/>
            <w:noWrap/>
            <w:vAlign w:val="center"/>
            <w:hideMark/>
          </w:tcPr>
          <w:p w14:paraId="3FCFB31B" w14:textId="77777777" w:rsidR="000C3DD7" w:rsidRPr="00E14268" w:rsidRDefault="000C3DD7" w:rsidP="00F73AB2">
            <w:pPr>
              <w:keepLines/>
              <w:snapToGrid w:val="0"/>
              <w:spacing w:line="240" w:lineRule="exact"/>
              <w:rPr>
                <w:sz w:val="20"/>
                <w:szCs w:val="20"/>
              </w:rPr>
            </w:pPr>
            <w:r w:rsidRPr="00E14268">
              <w:rPr>
                <w:sz w:val="20"/>
                <w:szCs w:val="20"/>
              </w:rPr>
              <w:t>Horizontal M&amp;A</w:t>
            </w:r>
          </w:p>
        </w:tc>
        <w:tc>
          <w:tcPr>
            <w:tcW w:w="1075" w:type="dxa"/>
            <w:shd w:val="clear" w:color="auto" w:fill="auto"/>
            <w:noWrap/>
            <w:vAlign w:val="center"/>
            <w:hideMark/>
          </w:tcPr>
          <w:p w14:paraId="1E16E1DC" w14:textId="77777777" w:rsidR="000C3DD7" w:rsidRPr="00E14268" w:rsidRDefault="000C3DD7" w:rsidP="00F73AB2">
            <w:pPr>
              <w:keepLines/>
              <w:snapToGrid w:val="0"/>
              <w:spacing w:line="240" w:lineRule="exact"/>
              <w:rPr>
                <w:sz w:val="20"/>
                <w:szCs w:val="20"/>
              </w:rPr>
            </w:pPr>
            <w:r w:rsidRPr="00E14268">
              <w:rPr>
                <w:sz w:val="20"/>
                <w:szCs w:val="20"/>
              </w:rPr>
              <w:t>187</w:t>
            </w:r>
          </w:p>
        </w:tc>
        <w:tc>
          <w:tcPr>
            <w:tcW w:w="1300" w:type="dxa"/>
            <w:shd w:val="clear" w:color="auto" w:fill="auto"/>
            <w:noWrap/>
            <w:vAlign w:val="center"/>
            <w:hideMark/>
          </w:tcPr>
          <w:p w14:paraId="6EE38099" w14:textId="77777777" w:rsidR="000C3DD7" w:rsidRPr="00E14268" w:rsidRDefault="000C3DD7" w:rsidP="00F73AB2">
            <w:pPr>
              <w:keepLines/>
              <w:snapToGrid w:val="0"/>
              <w:spacing w:line="240" w:lineRule="exact"/>
              <w:rPr>
                <w:sz w:val="20"/>
                <w:szCs w:val="20"/>
              </w:rPr>
            </w:pPr>
            <w:r w:rsidRPr="00E14268">
              <w:rPr>
                <w:sz w:val="20"/>
                <w:szCs w:val="20"/>
              </w:rPr>
              <w:t>182</w:t>
            </w:r>
          </w:p>
        </w:tc>
        <w:tc>
          <w:tcPr>
            <w:tcW w:w="1100" w:type="dxa"/>
            <w:shd w:val="clear" w:color="auto" w:fill="auto"/>
            <w:noWrap/>
            <w:vAlign w:val="center"/>
            <w:hideMark/>
          </w:tcPr>
          <w:p w14:paraId="28C958F5" w14:textId="77777777" w:rsidR="000C3DD7" w:rsidRPr="00E14268" w:rsidRDefault="000C3DD7" w:rsidP="00F73AB2">
            <w:pPr>
              <w:keepLines/>
              <w:snapToGrid w:val="0"/>
              <w:spacing w:line="240" w:lineRule="exact"/>
              <w:rPr>
                <w:sz w:val="20"/>
                <w:szCs w:val="20"/>
              </w:rPr>
            </w:pPr>
            <w:r w:rsidRPr="00E14268">
              <w:rPr>
                <w:sz w:val="20"/>
                <w:szCs w:val="20"/>
              </w:rPr>
              <w:t>226</w:t>
            </w:r>
          </w:p>
        </w:tc>
        <w:tc>
          <w:tcPr>
            <w:tcW w:w="1100" w:type="dxa"/>
            <w:shd w:val="clear" w:color="auto" w:fill="auto"/>
            <w:noWrap/>
            <w:vAlign w:val="center"/>
            <w:hideMark/>
          </w:tcPr>
          <w:p w14:paraId="4F666DB8" w14:textId="77777777" w:rsidR="000C3DD7" w:rsidRPr="00E14268" w:rsidRDefault="000C3DD7" w:rsidP="00F73AB2">
            <w:pPr>
              <w:keepLines/>
              <w:snapToGrid w:val="0"/>
              <w:spacing w:line="240" w:lineRule="exact"/>
              <w:rPr>
                <w:sz w:val="20"/>
                <w:szCs w:val="20"/>
              </w:rPr>
            </w:pPr>
            <w:r w:rsidRPr="00E14268">
              <w:rPr>
                <w:sz w:val="20"/>
                <w:szCs w:val="20"/>
              </w:rPr>
              <w:t>295</w:t>
            </w:r>
          </w:p>
        </w:tc>
        <w:tc>
          <w:tcPr>
            <w:tcW w:w="812" w:type="dxa"/>
            <w:shd w:val="clear" w:color="auto" w:fill="auto"/>
            <w:noWrap/>
            <w:vAlign w:val="center"/>
            <w:hideMark/>
          </w:tcPr>
          <w:p w14:paraId="278C06F5" w14:textId="77777777" w:rsidR="000C3DD7" w:rsidRPr="00E14268" w:rsidRDefault="000C3DD7" w:rsidP="00F73AB2">
            <w:pPr>
              <w:keepLines/>
              <w:snapToGrid w:val="0"/>
              <w:spacing w:line="240" w:lineRule="exact"/>
              <w:rPr>
                <w:sz w:val="20"/>
                <w:szCs w:val="20"/>
              </w:rPr>
            </w:pPr>
            <w:r w:rsidRPr="00E14268">
              <w:rPr>
                <w:sz w:val="20"/>
                <w:szCs w:val="20"/>
              </w:rPr>
              <w:t>15</w:t>
            </w:r>
          </w:p>
        </w:tc>
        <w:tc>
          <w:tcPr>
            <w:tcW w:w="992" w:type="dxa"/>
            <w:shd w:val="clear" w:color="auto" w:fill="auto"/>
            <w:noWrap/>
            <w:vAlign w:val="center"/>
            <w:hideMark/>
          </w:tcPr>
          <w:p w14:paraId="41F3BA0C" w14:textId="77777777" w:rsidR="000C3DD7" w:rsidRPr="00E14268" w:rsidRDefault="000C3DD7" w:rsidP="00F73AB2">
            <w:pPr>
              <w:keepLines/>
              <w:snapToGrid w:val="0"/>
              <w:spacing w:line="240" w:lineRule="exact"/>
              <w:rPr>
                <w:sz w:val="20"/>
                <w:szCs w:val="20"/>
              </w:rPr>
            </w:pPr>
            <w:r w:rsidRPr="00E14268">
              <w:rPr>
                <w:sz w:val="20"/>
                <w:szCs w:val="20"/>
              </w:rPr>
              <w:t>43</w:t>
            </w:r>
          </w:p>
        </w:tc>
      </w:tr>
      <w:tr w:rsidR="000C3DD7" w:rsidRPr="00E14268" w14:paraId="11C7A5B9" w14:textId="77777777" w:rsidTr="00F82681">
        <w:trPr>
          <w:cantSplit/>
          <w:trHeight w:val="340"/>
          <w:tblHeader/>
        </w:trPr>
        <w:tc>
          <w:tcPr>
            <w:tcW w:w="1843" w:type="dxa"/>
            <w:tcBorders>
              <w:bottom w:val="single" w:sz="4" w:space="0" w:color="auto"/>
            </w:tcBorders>
            <w:shd w:val="clear" w:color="auto" w:fill="auto"/>
            <w:noWrap/>
            <w:vAlign w:val="center"/>
            <w:hideMark/>
          </w:tcPr>
          <w:p w14:paraId="1BA86378" w14:textId="77777777" w:rsidR="000C3DD7" w:rsidRPr="00E14268" w:rsidRDefault="000C3DD7" w:rsidP="00F73AB2">
            <w:pPr>
              <w:keepLines/>
              <w:snapToGrid w:val="0"/>
              <w:spacing w:line="240" w:lineRule="exact"/>
              <w:rPr>
                <w:sz w:val="20"/>
                <w:szCs w:val="20"/>
              </w:rPr>
            </w:pPr>
          </w:p>
        </w:tc>
        <w:tc>
          <w:tcPr>
            <w:tcW w:w="1075" w:type="dxa"/>
            <w:tcBorders>
              <w:bottom w:val="single" w:sz="4" w:space="0" w:color="auto"/>
            </w:tcBorders>
            <w:shd w:val="clear" w:color="auto" w:fill="auto"/>
            <w:noWrap/>
            <w:vAlign w:val="center"/>
            <w:hideMark/>
          </w:tcPr>
          <w:p w14:paraId="25FCA8D8" w14:textId="77777777" w:rsidR="000C3DD7" w:rsidRPr="00E14268" w:rsidRDefault="000C3DD7" w:rsidP="00F73AB2">
            <w:pPr>
              <w:keepLines/>
              <w:snapToGrid w:val="0"/>
              <w:spacing w:line="240" w:lineRule="exact"/>
              <w:rPr>
                <w:sz w:val="20"/>
                <w:szCs w:val="20"/>
              </w:rPr>
            </w:pPr>
          </w:p>
        </w:tc>
        <w:tc>
          <w:tcPr>
            <w:tcW w:w="1300" w:type="dxa"/>
            <w:tcBorders>
              <w:bottom w:val="single" w:sz="4" w:space="0" w:color="auto"/>
            </w:tcBorders>
            <w:shd w:val="clear" w:color="auto" w:fill="auto"/>
            <w:noWrap/>
            <w:vAlign w:val="center"/>
            <w:hideMark/>
          </w:tcPr>
          <w:p w14:paraId="68E62D6C" w14:textId="77777777" w:rsidR="000C3DD7" w:rsidRPr="00E14268" w:rsidRDefault="000C3DD7" w:rsidP="00F73AB2">
            <w:pPr>
              <w:keepLines/>
              <w:snapToGrid w:val="0"/>
              <w:spacing w:line="240" w:lineRule="exact"/>
              <w:rPr>
                <w:sz w:val="20"/>
                <w:szCs w:val="20"/>
              </w:rPr>
            </w:pPr>
            <w:r w:rsidRPr="00E14268">
              <w:rPr>
                <w:sz w:val="20"/>
                <w:szCs w:val="20"/>
              </w:rPr>
              <w:t>0.97</w:t>
            </w:r>
          </w:p>
        </w:tc>
        <w:tc>
          <w:tcPr>
            <w:tcW w:w="1100" w:type="dxa"/>
            <w:tcBorders>
              <w:bottom w:val="single" w:sz="4" w:space="0" w:color="auto"/>
            </w:tcBorders>
            <w:shd w:val="clear" w:color="auto" w:fill="auto"/>
            <w:noWrap/>
            <w:vAlign w:val="center"/>
            <w:hideMark/>
          </w:tcPr>
          <w:p w14:paraId="616988F6" w14:textId="77777777" w:rsidR="000C3DD7" w:rsidRPr="00E14268" w:rsidRDefault="000C3DD7" w:rsidP="00F73AB2">
            <w:pPr>
              <w:keepLines/>
              <w:snapToGrid w:val="0"/>
              <w:spacing w:line="240" w:lineRule="exact"/>
              <w:rPr>
                <w:sz w:val="20"/>
                <w:szCs w:val="20"/>
              </w:rPr>
            </w:pPr>
            <w:r w:rsidRPr="00E14268">
              <w:rPr>
                <w:sz w:val="20"/>
                <w:szCs w:val="20"/>
              </w:rPr>
              <w:t>1.21</w:t>
            </w:r>
          </w:p>
        </w:tc>
        <w:tc>
          <w:tcPr>
            <w:tcW w:w="1100" w:type="dxa"/>
            <w:tcBorders>
              <w:bottom w:val="single" w:sz="4" w:space="0" w:color="auto"/>
            </w:tcBorders>
            <w:shd w:val="clear" w:color="auto" w:fill="auto"/>
            <w:noWrap/>
            <w:vAlign w:val="center"/>
            <w:hideMark/>
          </w:tcPr>
          <w:p w14:paraId="28B82175" w14:textId="77777777" w:rsidR="000C3DD7" w:rsidRPr="00E14268" w:rsidRDefault="000C3DD7" w:rsidP="00F73AB2">
            <w:pPr>
              <w:keepLines/>
              <w:snapToGrid w:val="0"/>
              <w:spacing w:line="240" w:lineRule="exact"/>
              <w:rPr>
                <w:sz w:val="20"/>
                <w:szCs w:val="20"/>
              </w:rPr>
            </w:pPr>
            <w:r w:rsidRPr="00E14268">
              <w:rPr>
                <w:sz w:val="20"/>
                <w:szCs w:val="20"/>
              </w:rPr>
              <w:t>1.58</w:t>
            </w:r>
          </w:p>
        </w:tc>
        <w:tc>
          <w:tcPr>
            <w:tcW w:w="812" w:type="dxa"/>
            <w:tcBorders>
              <w:bottom w:val="single" w:sz="4" w:space="0" w:color="auto"/>
            </w:tcBorders>
            <w:shd w:val="clear" w:color="auto" w:fill="auto"/>
            <w:noWrap/>
            <w:vAlign w:val="center"/>
            <w:hideMark/>
          </w:tcPr>
          <w:p w14:paraId="3AE8420C" w14:textId="77777777" w:rsidR="000C3DD7" w:rsidRPr="00E14268" w:rsidRDefault="000C3DD7" w:rsidP="00F73AB2">
            <w:pPr>
              <w:keepLines/>
              <w:snapToGrid w:val="0"/>
              <w:spacing w:line="240" w:lineRule="exact"/>
              <w:rPr>
                <w:sz w:val="20"/>
                <w:szCs w:val="20"/>
              </w:rPr>
            </w:pPr>
            <w:r w:rsidRPr="00E14268">
              <w:rPr>
                <w:sz w:val="20"/>
                <w:szCs w:val="20"/>
              </w:rPr>
              <w:t>0.08</w:t>
            </w:r>
          </w:p>
        </w:tc>
        <w:tc>
          <w:tcPr>
            <w:tcW w:w="992" w:type="dxa"/>
            <w:tcBorders>
              <w:bottom w:val="single" w:sz="4" w:space="0" w:color="auto"/>
            </w:tcBorders>
            <w:shd w:val="clear" w:color="auto" w:fill="auto"/>
            <w:noWrap/>
            <w:vAlign w:val="center"/>
            <w:hideMark/>
          </w:tcPr>
          <w:p w14:paraId="7B3A9734" w14:textId="77777777" w:rsidR="000C3DD7" w:rsidRPr="00E14268" w:rsidRDefault="000C3DD7" w:rsidP="00F73AB2">
            <w:pPr>
              <w:keepLines/>
              <w:snapToGrid w:val="0"/>
              <w:spacing w:line="240" w:lineRule="exact"/>
              <w:rPr>
                <w:sz w:val="20"/>
                <w:szCs w:val="20"/>
              </w:rPr>
            </w:pPr>
            <w:r w:rsidRPr="00E14268">
              <w:rPr>
                <w:sz w:val="20"/>
                <w:szCs w:val="20"/>
              </w:rPr>
              <w:t>0.23</w:t>
            </w:r>
          </w:p>
        </w:tc>
      </w:tr>
      <w:tr w:rsidR="000C3DD7" w:rsidRPr="00E14268" w14:paraId="6DC35C01" w14:textId="77777777" w:rsidTr="00F82681">
        <w:trPr>
          <w:cantSplit/>
          <w:trHeight w:val="340"/>
          <w:tblHeader/>
        </w:trPr>
        <w:tc>
          <w:tcPr>
            <w:tcW w:w="8222" w:type="dxa"/>
            <w:gridSpan w:val="7"/>
            <w:tcBorders>
              <w:top w:val="single" w:sz="4" w:space="0" w:color="auto"/>
              <w:bottom w:val="single" w:sz="4" w:space="0" w:color="auto"/>
            </w:tcBorders>
            <w:shd w:val="clear" w:color="auto" w:fill="auto"/>
            <w:noWrap/>
            <w:vAlign w:val="center"/>
            <w:hideMark/>
          </w:tcPr>
          <w:p w14:paraId="332D5930" w14:textId="77777777" w:rsidR="000C3DD7" w:rsidRPr="00E14268" w:rsidRDefault="000C3DD7" w:rsidP="00F73AB2">
            <w:pPr>
              <w:keepLines/>
              <w:snapToGrid w:val="0"/>
              <w:spacing w:line="240" w:lineRule="exact"/>
              <w:rPr>
                <w:sz w:val="20"/>
                <w:szCs w:val="20"/>
              </w:rPr>
            </w:pPr>
            <w:r w:rsidRPr="00E14268">
              <w:rPr>
                <w:sz w:val="20"/>
                <w:szCs w:val="20"/>
              </w:rPr>
              <w:t>Panel A. 60 days</w:t>
            </w:r>
            <w:r w:rsidR="003F3EB3" w:rsidRPr="00E14268">
              <w:rPr>
                <w:sz w:val="20"/>
                <w:szCs w:val="20"/>
              </w:rPr>
              <w:t xml:space="preserve"> before the announcement of M&amp;As</w:t>
            </w:r>
          </w:p>
        </w:tc>
      </w:tr>
      <w:tr w:rsidR="000C3DD7" w:rsidRPr="00E14268" w14:paraId="3E41E908" w14:textId="77777777" w:rsidTr="00F82681">
        <w:trPr>
          <w:cantSplit/>
          <w:trHeight w:val="340"/>
          <w:tblHeader/>
        </w:trPr>
        <w:tc>
          <w:tcPr>
            <w:tcW w:w="1843" w:type="dxa"/>
            <w:tcBorders>
              <w:top w:val="single" w:sz="4" w:space="0" w:color="auto"/>
              <w:bottom w:val="single" w:sz="4" w:space="0" w:color="auto"/>
            </w:tcBorders>
            <w:shd w:val="clear" w:color="auto" w:fill="auto"/>
            <w:noWrap/>
            <w:vAlign w:val="center"/>
            <w:hideMark/>
          </w:tcPr>
          <w:p w14:paraId="7AAD7CD5" w14:textId="77777777" w:rsidR="000C3DD7" w:rsidRPr="00E14268" w:rsidRDefault="000C3DD7" w:rsidP="00F73AB2">
            <w:pPr>
              <w:keepLines/>
              <w:snapToGrid w:val="0"/>
              <w:spacing w:line="240" w:lineRule="exact"/>
              <w:rPr>
                <w:sz w:val="20"/>
                <w:szCs w:val="20"/>
              </w:rPr>
            </w:pPr>
          </w:p>
        </w:tc>
        <w:tc>
          <w:tcPr>
            <w:tcW w:w="1075" w:type="dxa"/>
            <w:tcBorders>
              <w:top w:val="single" w:sz="4" w:space="0" w:color="auto"/>
              <w:bottom w:val="single" w:sz="4" w:space="0" w:color="auto"/>
            </w:tcBorders>
            <w:shd w:val="clear" w:color="auto" w:fill="auto"/>
            <w:noWrap/>
            <w:vAlign w:val="center"/>
            <w:hideMark/>
          </w:tcPr>
          <w:p w14:paraId="6C9AFBED" w14:textId="4A9DE956" w:rsidR="000C3DD7" w:rsidRPr="00E14268" w:rsidRDefault="000C3DD7" w:rsidP="00F73AB2">
            <w:pPr>
              <w:keepLines/>
              <w:snapToGrid w:val="0"/>
              <w:spacing w:line="240" w:lineRule="exact"/>
              <w:rPr>
                <w:sz w:val="20"/>
                <w:szCs w:val="20"/>
              </w:rPr>
            </w:pPr>
            <w:r w:rsidRPr="00E14268">
              <w:rPr>
                <w:sz w:val="20"/>
                <w:szCs w:val="20"/>
              </w:rPr>
              <w:t xml:space="preserve">No. </w:t>
            </w:r>
            <w:r w:rsidR="00707136" w:rsidRPr="00E14268">
              <w:rPr>
                <w:sz w:val="20"/>
                <w:szCs w:val="20"/>
              </w:rPr>
              <w:t>Firm</w:t>
            </w:r>
          </w:p>
        </w:tc>
        <w:tc>
          <w:tcPr>
            <w:tcW w:w="1300" w:type="dxa"/>
            <w:tcBorders>
              <w:top w:val="single" w:sz="4" w:space="0" w:color="auto"/>
              <w:bottom w:val="single" w:sz="4" w:space="0" w:color="auto"/>
            </w:tcBorders>
            <w:shd w:val="clear" w:color="auto" w:fill="auto"/>
            <w:noWrap/>
            <w:vAlign w:val="center"/>
            <w:hideMark/>
          </w:tcPr>
          <w:p w14:paraId="10BF9961" w14:textId="419AA739" w:rsidR="000C3DD7" w:rsidRPr="00E14268" w:rsidRDefault="000C3DD7" w:rsidP="00F73AB2">
            <w:pPr>
              <w:keepLines/>
              <w:snapToGrid w:val="0"/>
              <w:spacing w:line="240" w:lineRule="exact"/>
              <w:rPr>
                <w:sz w:val="20"/>
                <w:szCs w:val="20"/>
              </w:rPr>
            </w:pPr>
            <w:r w:rsidRPr="00E14268">
              <w:rPr>
                <w:sz w:val="20"/>
                <w:szCs w:val="20"/>
              </w:rPr>
              <w:t xml:space="preserve">Strong </w:t>
            </w:r>
            <w:r w:rsidR="00F82681">
              <w:rPr>
                <w:sz w:val="20"/>
                <w:szCs w:val="20"/>
              </w:rPr>
              <w:t>b</w:t>
            </w:r>
            <w:r w:rsidRPr="00E14268">
              <w:rPr>
                <w:sz w:val="20"/>
                <w:szCs w:val="20"/>
              </w:rPr>
              <w:t>uy</w:t>
            </w:r>
          </w:p>
        </w:tc>
        <w:tc>
          <w:tcPr>
            <w:tcW w:w="1100" w:type="dxa"/>
            <w:tcBorders>
              <w:top w:val="single" w:sz="4" w:space="0" w:color="auto"/>
              <w:bottom w:val="single" w:sz="4" w:space="0" w:color="auto"/>
            </w:tcBorders>
            <w:shd w:val="clear" w:color="auto" w:fill="auto"/>
            <w:noWrap/>
            <w:vAlign w:val="center"/>
            <w:hideMark/>
          </w:tcPr>
          <w:p w14:paraId="216BCF78" w14:textId="77777777" w:rsidR="000C3DD7" w:rsidRPr="00E14268" w:rsidRDefault="000C3DD7" w:rsidP="00F73AB2">
            <w:pPr>
              <w:keepLines/>
              <w:snapToGrid w:val="0"/>
              <w:spacing w:line="240" w:lineRule="exact"/>
              <w:rPr>
                <w:sz w:val="20"/>
                <w:szCs w:val="20"/>
              </w:rPr>
            </w:pPr>
            <w:r w:rsidRPr="00E14268">
              <w:rPr>
                <w:sz w:val="20"/>
                <w:szCs w:val="20"/>
              </w:rPr>
              <w:t>Buy</w:t>
            </w:r>
          </w:p>
        </w:tc>
        <w:tc>
          <w:tcPr>
            <w:tcW w:w="1100" w:type="dxa"/>
            <w:tcBorders>
              <w:top w:val="single" w:sz="4" w:space="0" w:color="auto"/>
              <w:bottom w:val="single" w:sz="4" w:space="0" w:color="auto"/>
            </w:tcBorders>
            <w:shd w:val="clear" w:color="auto" w:fill="auto"/>
            <w:noWrap/>
            <w:vAlign w:val="center"/>
            <w:hideMark/>
          </w:tcPr>
          <w:p w14:paraId="4002EF08" w14:textId="77777777" w:rsidR="000C3DD7" w:rsidRPr="00E14268" w:rsidRDefault="000C3DD7" w:rsidP="00F73AB2">
            <w:pPr>
              <w:keepLines/>
              <w:snapToGrid w:val="0"/>
              <w:spacing w:line="240" w:lineRule="exact"/>
              <w:rPr>
                <w:sz w:val="20"/>
                <w:szCs w:val="20"/>
              </w:rPr>
            </w:pPr>
            <w:r w:rsidRPr="00E14268">
              <w:rPr>
                <w:sz w:val="20"/>
                <w:szCs w:val="20"/>
              </w:rPr>
              <w:t>Hold</w:t>
            </w:r>
          </w:p>
        </w:tc>
        <w:tc>
          <w:tcPr>
            <w:tcW w:w="812" w:type="dxa"/>
            <w:tcBorders>
              <w:top w:val="single" w:sz="4" w:space="0" w:color="auto"/>
              <w:bottom w:val="single" w:sz="4" w:space="0" w:color="auto"/>
            </w:tcBorders>
            <w:shd w:val="clear" w:color="auto" w:fill="auto"/>
            <w:noWrap/>
            <w:vAlign w:val="center"/>
            <w:hideMark/>
          </w:tcPr>
          <w:p w14:paraId="4B98E7D6" w14:textId="77777777" w:rsidR="000C3DD7" w:rsidRPr="00E14268" w:rsidRDefault="000C3DD7" w:rsidP="00F73AB2">
            <w:pPr>
              <w:keepLines/>
              <w:snapToGrid w:val="0"/>
              <w:spacing w:line="240" w:lineRule="exact"/>
              <w:rPr>
                <w:sz w:val="20"/>
                <w:szCs w:val="20"/>
              </w:rPr>
            </w:pPr>
            <w:r w:rsidRPr="00E14268">
              <w:rPr>
                <w:sz w:val="20"/>
                <w:szCs w:val="20"/>
              </w:rPr>
              <w:t>Sell</w:t>
            </w:r>
          </w:p>
        </w:tc>
        <w:tc>
          <w:tcPr>
            <w:tcW w:w="992" w:type="dxa"/>
            <w:tcBorders>
              <w:top w:val="single" w:sz="4" w:space="0" w:color="auto"/>
              <w:bottom w:val="single" w:sz="4" w:space="0" w:color="auto"/>
            </w:tcBorders>
            <w:shd w:val="clear" w:color="auto" w:fill="auto"/>
            <w:noWrap/>
            <w:vAlign w:val="center"/>
            <w:hideMark/>
          </w:tcPr>
          <w:p w14:paraId="4402E617" w14:textId="69C1A526" w:rsidR="000C3DD7" w:rsidRPr="00E14268" w:rsidRDefault="000C3DD7" w:rsidP="00F73AB2">
            <w:pPr>
              <w:keepLines/>
              <w:snapToGrid w:val="0"/>
              <w:spacing w:line="240" w:lineRule="exact"/>
              <w:rPr>
                <w:sz w:val="20"/>
                <w:szCs w:val="20"/>
              </w:rPr>
            </w:pPr>
            <w:r w:rsidRPr="00E14268">
              <w:rPr>
                <w:sz w:val="20"/>
                <w:szCs w:val="20"/>
              </w:rPr>
              <w:t xml:space="preserve">Strong </w:t>
            </w:r>
            <w:r w:rsidR="00F82681">
              <w:rPr>
                <w:sz w:val="20"/>
                <w:szCs w:val="20"/>
              </w:rPr>
              <w:t>s</w:t>
            </w:r>
            <w:r w:rsidRPr="00E14268">
              <w:rPr>
                <w:sz w:val="20"/>
                <w:szCs w:val="20"/>
              </w:rPr>
              <w:t>ell</w:t>
            </w:r>
          </w:p>
        </w:tc>
      </w:tr>
      <w:tr w:rsidR="000C3DD7" w:rsidRPr="00E14268" w14:paraId="5CEBA14B" w14:textId="77777777" w:rsidTr="00F82681">
        <w:trPr>
          <w:cantSplit/>
          <w:trHeight w:val="340"/>
          <w:tblHeader/>
        </w:trPr>
        <w:tc>
          <w:tcPr>
            <w:tcW w:w="1843" w:type="dxa"/>
            <w:tcBorders>
              <w:top w:val="single" w:sz="4" w:space="0" w:color="auto"/>
            </w:tcBorders>
            <w:shd w:val="clear" w:color="auto" w:fill="auto"/>
            <w:noWrap/>
            <w:vAlign w:val="center"/>
            <w:hideMark/>
          </w:tcPr>
          <w:p w14:paraId="0195A83C" w14:textId="77777777" w:rsidR="000C3DD7" w:rsidRPr="00E14268" w:rsidRDefault="000C3DD7" w:rsidP="00F73AB2">
            <w:pPr>
              <w:keepLines/>
              <w:snapToGrid w:val="0"/>
              <w:spacing w:line="240" w:lineRule="exact"/>
              <w:rPr>
                <w:sz w:val="20"/>
                <w:szCs w:val="20"/>
              </w:rPr>
            </w:pPr>
            <w:r w:rsidRPr="00E14268">
              <w:rPr>
                <w:sz w:val="20"/>
                <w:szCs w:val="20"/>
              </w:rPr>
              <w:t>Diversified M&amp;A</w:t>
            </w:r>
          </w:p>
        </w:tc>
        <w:tc>
          <w:tcPr>
            <w:tcW w:w="1075" w:type="dxa"/>
            <w:tcBorders>
              <w:top w:val="single" w:sz="4" w:space="0" w:color="auto"/>
            </w:tcBorders>
            <w:shd w:val="clear" w:color="auto" w:fill="auto"/>
            <w:noWrap/>
            <w:vAlign w:val="center"/>
            <w:hideMark/>
          </w:tcPr>
          <w:p w14:paraId="6563AE7B" w14:textId="77777777" w:rsidR="000C3DD7" w:rsidRPr="00E14268" w:rsidRDefault="000C3DD7" w:rsidP="00F73AB2">
            <w:pPr>
              <w:keepLines/>
              <w:snapToGrid w:val="0"/>
              <w:spacing w:line="240" w:lineRule="exact"/>
              <w:rPr>
                <w:sz w:val="20"/>
                <w:szCs w:val="20"/>
              </w:rPr>
            </w:pPr>
            <w:r w:rsidRPr="00E14268">
              <w:rPr>
                <w:sz w:val="20"/>
                <w:szCs w:val="20"/>
              </w:rPr>
              <w:t>349</w:t>
            </w:r>
          </w:p>
        </w:tc>
        <w:tc>
          <w:tcPr>
            <w:tcW w:w="1300" w:type="dxa"/>
            <w:tcBorders>
              <w:top w:val="single" w:sz="4" w:space="0" w:color="auto"/>
            </w:tcBorders>
            <w:shd w:val="clear" w:color="auto" w:fill="auto"/>
            <w:noWrap/>
            <w:vAlign w:val="center"/>
            <w:hideMark/>
          </w:tcPr>
          <w:p w14:paraId="3C2996BA" w14:textId="77777777" w:rsidR="000C3DD7" w:rsidRPr="00E14268" w:rsidRDefault="000C3DD7" w:rsidP="00F73AB2">
            <w:pPr>
              <w:keepLines/>
              <w:snapToGrid w:val="0"/>
              <w:spacing w:line="240" w:lineRule="exact"/>
              <w:rPr>
                <w:sz w:val="20"/>
                <w:szCs w:val="20"/>
              </w:rPr>
            </w:pPr>
            <w:r w:rsidRPr="00E14268">
              <w:rPr>
                <w:sz w:val="20"/>
                <w:szCs w:val="20"/>
              </w:rPr>
              <w:t>293</w:t>
            </w:r>
          </w:p>
        </w:tc>
        <w:tc>
          <w:tcPr>
            <w:tcW w:w="1100" w:type="dxa"/>
            <w:tcBorders>
              <w:top w:val="single" w:sz="4" w:space="0" w:color="auto"/>
            </w:tcBorders>
            <w:shd w:val="clear" w:color="auto" w:fill="auto"/>
            <w:noWrap/>
            <w:vAlign w:val="center"/>
            <w:hideMark/>
          </w:tcPr>
          <w:p w14:paraId="22882E0C" w14:textId="77777777" w:rsidR="000C3DD7" w:rsidRPr="00E14268" w:rsidRDefault="000C3DD7" w:rsidP="00F73AB2">
            <w:pPr>
              <w:keepLines/>
              <w:snapToGrid w:val="0"/>
              <w:spacing w:line="240" w:lineRule="exact"/>
              <w:rPr>
                <w:sz w:val="20"/>
                <w:szCs w:val="20"/>
              </w:rPr>
            </w:pPr>
            <w:r w:rsidRPr="00E14268">
              <w:rPr>
                <w:sz w:val="20"/>
                <w:szCs w:val="20"/>
              </w:rPr>
              <w:t>444</w:t>
            </w:r>
          </w:p>
        </w:tc>
        <w:tc>
          <w:tcPr>
            <w:tcW w:w="1100" w:type="dxa"/>
            <w:tcBorders>
              <w:top w:val="single" w:sz="4" w:space="0" w:color="auto"/>
            </w:tcBorders>
            <w:shd w:val="clear" w:color="auto" w:fill="auto"/>
            <w:noWrap/>
            <w:vAlign w:val="center"/>
            <w:hideMark/>
          </w:tcPr>
          <w:p w14:paraId="5D5B38FB" w14:textId="77777777" w:rsidR="000C3DD7" w:rsidRPr="00E14268" w:rsidRDefault="000C3DD7" w:rsidP="00F73AB2">
            <w:pPr>
              <w:keepLines/>
              <w:snapToGrid w:val="0"/>
              <w:spacing w:line="240" w:lineRule="exact"/>
              <w:rPr>
                <w:sz w:val="20"/>
                <w:szCs w:val="20"/>
              </w:rPr>
            </w:pPr>
            <w:r w:rsidRPr="00E14268">
              <w:rPr>
                <w:sz w:val="20"/>
                <w:szCs w:val="20"/>
              </w:rPr>
              <w:t>464</w:t>
            </w:r>
          </w:p>
        </w:tc>
        <w:tc>
          <w:tcPr>
            <w:tcW w:w="812" w:type="dxa"/>
            <w:tcBorders>
              <w:top w:val="single" w:sz="4" w:space="0" w:color="auto"/>
            </w:tcBorders>
            <w:shd w:val="clear" w:color="auto" w:fill="auto"/>
            <w:noWrap/>
            <w:vAlign w:val="center"/>
            <w:hideMark/>
          </w:tcPr>
          <w:p w14:paraId="0FA5DEFC" w14:textId="77777777" w:rsidR="000C3DD7" w:rsidRPr="00E14268" w:rsidRDefault="000C3DD7" w:rsidP="00F73AB2">
            <w:pPr>
              <w:keepLines/>
              <w:snapToGrid w:val="0"/>
              <w:spacing w:line="240" w:lineRule="exact"/>
              <w:rPr>
                <w:sz w:val="20"/>
                <w:szCs w:val="20"/>
              </w:rPr>
            </w:pPr>
            <w:r w:rsidRPr="00E14268">
              <w:rPr>
                <w:sz w:val="20"/>
                <w:szCs w:val="20"/>
              </w:rPr>
              <w:t>27</w:t>
            </w:r>
          </w:p>
        </w:tc>
        <w:tc>
          <w:tcPr>
            <w:tcW w:w="992" w:type="dxa"/>
            <w:tcBorders>
              <w:top w:val="single" w:sz="4" w:space="0" w:color="auto"/>
            </w:tcBorders>
            <w:shd w:val="clear" w:color="auto" w:fill="auto"/>
            <w:noWrap/>
            <w:vAlign w:val="center"/>
            <w:hideMark/>
          </w:tcPr>
          <w:p w14:paraId="69682F4E" w14:textId="77777777" w:rsidR="000C3DD7" w:rsidRPr="00E14268" w:rsidRDefault="000C3DD7" w:rsidP="00F73AB2">
            <w:pPr>
              <w:keepLines/>
              <w:snapToGrid w:val="0"/>
              <w:spacing w:line="240" w:lineRule="exact"/>
              <w:rPr>
                <w:sz w:val="20"/>
                <w:szCs w:val="20"/>
              </w:rPr>
            </w:pPr>
            <w:r w:rsidRPr="00E14268">
              <w:rPr>
                <w:sz w:val="20"/>
                <w:szCs w:val="20"/>
              </w:rPr>
              <w:t>47</w:t>
            </w:r>
          </w:p>
        </w:tc>
      </w:tr>
      <w:tr w:rsidR="000C3DD7" w:rsidRPr="00E14268" w14:paraId="7E70F49A" w14:textId="77777777" w:rsidTr="00F82681">
        <w:trPr>
          <w:cantSplit/>
          <w:trHeight w:val="340"/>
          <w:tblHeader/>
        </w:trPr>
        <w:tc>
          <w:tcPr>
            <w:tcW w:w="1843" w:type="dxa"/>
            <w:shd w:val="clear" w:color="auto" w:fill="auto"/>
            <w:noWrap/>
            <w:vAlign w:val="center"/>
            <w:hideMark/>
          </w:tcPr>
          <w:p w14:paraId="5697B1E8" w14:textId="77777777" w:rsidR="000C3DD7" w:rsidRPr="00E14268" w:rsidRDefault="000C3DD7" w:rsidP="00F73AB2">
            <w:pPr>
              <w:keepLines/>
              <w:snapToGrid w:val="0"/>
              <w:spacing w:line="240" w:lineRule="exact"/>
              <w:rPr>
                <w:sz w:val="20"/>
                <w:szCs w:val="20"/>
              </w:rPr>
            </w:pPr>
          </w:p>
        </w:tc>
        <w:tc>
          <w:tcPr>
            <w:tcW w:w="1075" w:type="dxa"/>
            <w:shd w:val="clear" w:color="auto" w:fill="auto"/>
            <w:noWrap/>
            <w:vAlign w:val="center"/>
            <w:hideMark/>
          </w:tcPr>
          <w:p w14:paraId="1490EE32" w14:textId="77777777" w:rsidR="000C3DD7" w:rsidRPr="00E14268" w:rsidRDefault="000C3DD7" w:rsidP="00F73AB2">
            <w:pPr>
              <w:keepLines/>
              <w:snapToGrid w:val="0"/>
              <w:spacing w:line="240" w:lineRule="exact"/>
              <w:rPr>
                <w:sz w:val="20"/>
                <w:szCs w:val="20"/>
              </w:rPr>
            </w:pPr>
          </w:p>
        </w:tc>
        <w:tc>
          <w:tcPr>
            <w:tcW w:w="1300" w:type="dxa"/>
            <w:shd w:val="clear" w:color="auto" w:fill="auto"/>
            <w:noWrap/>
            <w:vAlign w:val="center"/>
            <w:hideMark/>
          </w:tcPr>
          <w:p w14:paraId="170EB0A2" w14:textId="77777777" w:rsidR="000C3DD7" w:rsidRPr="00E14268" w:rsidRDefault="000C3DD7" w:rsidP="00F73AB2">
            <w:pPr>
              <w:keepLines/>
              <w:snapToGrid w:val="0"/>
              <w:spacing w:line="240" w:lineRule="exact"/>
              <w:rPr>
                <w:sz w:val="20"/>
                <w:szCs w:val="20"/>
              </w:rPr>
            </w:pPr>
            <w:r w:rsidRPr="00E14268">
              <w:rPr>
                <w:sz w:val="20"/>
                <w:szCs w:val="20"/>
              </w:rPr>
              <w:t>0.84</w:t>
            </w:r>
          </w:p>
        </w:tc>
        <w:tc>
          <w:tcPr>
            <w:tcW w:w="1100" w:type="dxa"/>
            <w:shd w:val="clear" w:color="auto" w:fill="auto"/>
            <w:noWrap/>
            <w:vAlign w:val="center"/>
            <w:hideMark/>
          </w:tcPr>
          <w:p w14:paraId="299B00BC" w14:textId="77777777" w:rsidR="000C3DD7" w:rsidRPr="00E14268" w:rsidRDefault="000C3DD7" w:rsidP="00F73AB2">
            <w:pPr>
              <w:keepLines/>
              <w:snapToGrid w:val="0"/>
              <w:spacing w:line="240" w:lineRule="exact"/>
              <w:rPr>
                <w:sz w:val="20"/>
                <w:szCs w:val="20"/>
              </w:rPr>
            </w:pPr>
            <w:r w:rsidRPr="00E14268">
              <w:rPr>
                <w:sz w:val="20"/>
                <w:szCs w:val="20"/>
              </w:rPr>
              <w:t>1.27</w:t>
            </w:r>
          </w:p>
        </w:tc>
        <w:tc>
          <w:tcPr>
            <w:tcW w:w="1100" w:type="dxa"/>
            <w:shd w:val="clear" w:color="auto" w:fill="auto"/>
            <w:noWrap/>
            <w:vAlign w:val="center"/>
            <w:hideMark/>
          </w:tcPr>
          <w:p w14:paraId="3A77E385" w14:textId="77777777" w:rsidR="000C3DD7" w:rsidRPr="00E14268" w:rsidRDefault="000C3DD7" w:rsidP="00F73AB2">
            <w:pPr>
              <w:keepLines/>
              <w:snapToGrid w:val="0"/>
              <w:spacing w:line="240" w:lineRule="exact"/>
              <w:rPr>
                <w:sz w:val="20"/>
                <w:szCs w:val="20"/>
              </w:rPr>
            </w:pPr>
            <w:r w:rsidRPr="00E14268">
              <w:rPr>
                <w:sz w:val="20"/>
                <w:szCs w:val="20"/>
              </w:rPr>
              <w:t>1.33</w:t>
            </w:r>
          </w:p>
        </w:tc>
        <w:tc>
          <w:tcPr>
            <w:tcW w:w="812" w:type="dxa"/>
            <w:shd w:val="clear" w:color="auto" w:fill="auto"/>
            <w:noWrap/>
            <w:vAlign w:val="center"/>
            <w:hideMark/>
          </w:tcPr>
          <w:p w14:paraId="24603A23" w14:textId="77777777" w:rsidR="000C3DD7" w:rsidRPr="00E14268" w:rsidRDefault="000C3DD7" w:rsidP="00F73AB2">
            <w:pPr>
              <w:keepLines/>
              <w:snapToGrid w:val="0"/>
              <w:spacing w:line="240" w:lineRule="exact"/>
              <w:rPr>
                <w:sz w:val="20"/>
                <w:szCs w:val="20"/>
              </w:rPr>
            </w:pPr>
            <w:r w:rsidRPr="00E14268">
              <w:rPr>
                <w:sz w:val="20"/>
                <w:szCs w:val="20"/>
              </w:rPr>
              <w:t>0.08</w:t>
            </w:r>
          </w:p>
        </w:tc>
        <w:tc>
          <w:tcPr>
            <w:tcW w:w="992" w:type="dxa"/>
            <w:shd w:val="clear" w:color="auto" w:fill="auto"/>
            <w:noWrap/>
            <w:vAlign w:val="center"/>
            <w:hideMark/>
          </w:tcPr>
          <w:p w14:paraId="1AA31BDF" w14:textId="77777777" w:rsidR="000C3DD7" w:rsidRPr="00E14268" w:rsidRDefault="000C3DD7" w:rsidP="00F73AB2">
            <w:pPr>
              <w:keepLines/>
              <w:snapToGrid w:val="0"/>
              <w:spacing w:line="240" w:lineRule="exact"/>
              <w:rPr>
                <w:sz w:val="20"/>
                <w:szCs w:val="20"/>
              </w:rPr>
            </w:pPr>
            <w:r w:rsidRPr="00E14268">
              <w:rPr>
                <w:sz w:val="20"/>
                <w:szCs w:val="20"/>
              </w:rPr>
              <w:t>0.13</w:t>
            </w:r>
          </w:p>
        </w:tc>
      </w:tr>
      <w:tr w:rsidR="000C3DD7" w:rsidRPr="00E14268" w14:paraId="74749EFC" w14:textId="77777777" w:rsidTr="00F82681">
        <w:trPr>
          <w:cantSplit/>
          <w:trHeight w:val="340"/>
          <w:tblHeader/>
        </w:trPr>
        <w:tc>
          <w:tcPr>
            <w:tcW w:w="1843" w:type="dxa"/>
            <w:shd w:val="clear" w:color="auto" w:fill="auto"/>
            <w:noWrap/>
            <w:vAlign w:val="center"/>
            <w:hideMark/>
          </w:tcPr>
          <w:p w14:paraId="4E64B9CC" w14:textId="77777777" w:rsidR="000C3DD7" w:rsidRPr="00E14268" w:rsidRDefault="000C3DD7" w:rsidP="00F73AB2">
            <w:pPr>
              <w:keepLines/>
              <w:snapToGrid w:val="0"/>
              <w:spacing w:line="240" w:lineRule="exact"/>
              <w:rPr>
                <w:sz w:val="20"/>
                <w:szCs w:val="20"/>
              </w:rPr>
            </w:pPr>
            <w:r w:rsidRPr="00E14268">
              <w:rPr>
                <w:sz w:val="20"/>
                <w:szCs w:val="20"/>
              </w:rPr>
              <w:t>Horizontal M&amp;A</w:t>
            </w:r>
          </w:p>
        </w:tc>
        <w:tc>
          <w:tcPr>
            <w:tcW w:w="1075" w:type="dxa"/>
            <w:shd w:val="clear" w:color="auto" w:fill="auto"/>
            <w:noWrap/>
            <w:vAlign w:val="center"/>
            <w:hideMark/>
          </w:tcPr>
          <w:p w14:paraId="093898B6" w14:textId="77777777" w:rsidR="000C3DD7" w:rsidRPr="00E14268" w:rsidRDefault="000C3DD7" w:rsidP="00F73AB2">
            <w:pPr>
              <w:keepLines/>
              <w:snapToGrid w:val="0"/>
              <w:spacing w:line="240" w:lineRule="exact"/>
              <w:rPr>
                <w:sz w:val="20"/>
                <w:szCs w:val="20"/>
              </w:rPr>
            </w:pPr>
            <w:r w:rsidRPr="00E14268">
              <w:rPr>
                <w:sz w:val="20"/>
                <w:szCs w:val="20"/>
              </w:rPr>
              <w:t>260</w:t>
            </w:r>
          </w:p>
        </w:tc>
        <w:tc>
          <w:tcPr>
            <w:tcW w:w="1300" w:type="dxa"/>
            <w:shd w:val="clear" w:color="auto" w:fill="auto"/>
            <w:noWrap/>
            <w:vAlign w:val="center"/>
            <w:hideMark/>
          </w:tcPr>
          <w:p w14:paraId="5B472A2C" w14:textId="77777777" w:rsidR="000C3DD7" w:rsidRPr="00E14268" w:rsidRDefault="000C3DD7" w:rsidP="00F73AB2">
            <w:pPr>
              <w:keepLines/>
              <w:snapToGrid w:val="0"/>
              <w:spacing w:line="240" w:lineRule="exact"/>
              <w:rPr>
                <w:sz w:val="20"/>
                <w:szCs w:val="20"/>
              </w:rPr>
            </w:pPr>
            <w:r w:rsidRPr="00E14268">
              <w:rPr>
                <w:sz w:val="20"/>
                <w:szCs w:val="20"/>
              </w:rPr>
              <w:t>219</w:t>
            </w:r>
          </w:p>
        </w:tc>
        <w:tc>
          <w:tcPr>
            <w:tcW w:w="1100" w:type="dxa"/>
            <w:shd w:val="clear" w:color="auto" w:fill="auto"/>
            <w:noWrap/>
            <w:vAlign w:val="center"/>
            <w:hideMark/>
          </w:tcPr>
          <w:p w14:paraId="5429D2B1" w14:textId="77777777" w:rsidR="000C3DD7" w:rsidRPr="00E14268" w:rsidRDefault="000C3DD7" w:rsidP="00F73AB2">
            <w:pPr>
              <w:keepLines/>
              <w:snapToGrid w:val="0"/>
              <w:spacing w:line="240" w:lineRule="exact"/>
              <w:rPr>
                <w:sz w:val="20"/>
                <w:szCs w:val="20"/>
              </w:rPr>
            </w:pPr>
            <w:r w:rsidRPr="00E14268">
              <w:rPr>
                <w:sz w:val="20"/>
                <w:szCs w:val="20"/>
              </w:rPr>
              <w:t>285</w:t>
            </w:r>
          </w:p>
        </w:tc>
        <w:tc>
          <w:tcPr>
            <w:tcW w:w="1100" w:type="dxa"/>
            <w:shd w:val="clear" w:color="auto" w:fill="auto"/>
            <w:noWrap/>
            <w:vAlign w:val="center"/>
            <w:hideMark/>
          </w:tcPr>
          <w:p w14:paraId="6384C20A" w14:textId="77777777" w:rsidR="000C3DD7" w:rsidRPr="00E14268" w:rsidRDefault="000C3DD7" w:rsidP="00F73AB2">
            <w:pPr>
              <w:keepLines/>
              <w:snapToGrid w:val="0"/>
              <w:spacing w:line="240" w:lineRule="exact"/>
              <w:rPr>
                <w:sz w:val="20"/>
                <w:szCs w:val="20"/>
              </w:rPr>
            </w:pPr>
            <w:r w:rsidRPr="00E14268">
              <w:rPr>
                <w:sz w:val="20"/>
                <w:szCs w:val="20"/>
              </w:rPr>
              <w:t>359</w:t>
            </w:r>
          </w:p>
        </w:tc>
        <w:tc>
          <w:tcPr>
            <w:tcW w:w="812" w:type="dxa"/>
            <w:shd w:val="clear" w:color="auto" w:fill="auto"/>
            <w:noWrap/>
            <w:vAlign w:val="center"/>
            <w:hideMark/>
          </w:tcPr>
          <w:p w14:paraId="7714EF7E" w14:textId="77777777" w:rsidR="000C3DD7" w:rsidRPr="00E14268" w:rsidRDefault="000C3DD7" w:rsidP="00F73AB2">
            <w:pPr>
              <w:keepLines/>
              <w:snapToGrid w:val="0"/>
              <w:spacing w:line="240" w:lineRule="exact"/>
              <w:rPr>
                <w:sz w:val="20"/>
                <w:szCs w:val="20"/>
              </w:rPr>
            </w:pPr>
            <w:r w:rsidRPr="00E14268">
              <w:rPr>
                <w:sz w:val="20"/>
                <w:szCs w:val="20"/>
              </w:rPr>
              <w:t>17</w:t>
            </w:r>
          </w:p>
        </w:tc>
        <w:tc>
          <w:tcPr>
            <w:tcW w:w="992" w:type="dxa"/>
            <w:shd w:val="clear" w:color="auto" w:fill="auto"/>
            <w:noWrap/>
            <w:vAlign w:val="center"/>
            <w:hideMark/>
          </w:tcPr>
          <w:p w14:paraId="7934AA42" w14:textId="77777777" w:rsidR="000C3DD7" w:rsidRPr="00E14268" w:rsidRDefault="000C3DD7" w:rsidP="00F73AB2">
            <w:pPr>
              <w:keepLines/>
              <w:snapToGrid w:val="0"/>
              <w:spacing w:line="240" w:lineRule="exact"/>
              <w:rPr>
                <w:sz w:val="20"/>
                <w:szCs w:val="20"/>
              </w:rPr>
            </w:pPr>
            <w:r w:rsidRPr="00E14268">
              <w:rPr>
                <w:sz w:val="20"/>
                <w:szCs w:val="20"/>
              </w:rPr>
              <w:t>49</w:t>
            </w:r>
          </w:p>
        </w:tc>
      </w:tr>
      <w:tr w:rsidR="000C3DD7" w:rsidRPr="00E14268" w14:paraId="202C0695" w14:textId="77777777" w:rsidTr="00F82681">
        <w:trPr>
          <w:cantSplit/>
          <w:trHeight w:val="340"/>
          <w:tblHeader/>
        </w:trPr>
        <w:tc>
          <w:tcPr>
            <w:tcW w:w="1843" w:type="dxa"/>
            <w:tcBorders>
              <w:bottom w:val="single" w:sz="4" w:space="0" w:color="auto"/>
            </w:tcBorders>
            <w:shd w:val="clear" w:color="auto" w:fill="auto"/>
            <w:noWrap/>
            <w:vAlign w:val="center"/>
            <w:hideMark/>
          </w:tcPr>
          <w:p w14:paraId="390410E0" w14:textId="77777777" w:rsidR="000C3DD7" w:rsidRPr="00E14268" w:rsidRDefault="000C3DD7" w:rsidP="00F73AB2">
            <w:pPr>
              <w:keepLines/>
              <w:snapToGrid w:val="0"/>
              <w:spacing w:line="240" w:lineRule="exact"/>
              <w:rPr>
                <w:sz w:val="20"/>
                <w:szCs w:val="20"/>
              </w:rPr>
            </w:pPr>
          </w:p>
        </w:tc>
        <w:tc>
          <w:tcPr>
            <w:tcW w:w="1075" w:type="dxa"/>
            <w:tcBorders>
              <w:bottom w:val="single" w:sz="4" w:space="0" w:color="auto"/>
            </w:tcBorders>
            <w:shd w:val="clear" w:color="auto" w:fill="auto"/>
            <w:noWrap/>
            <w:vAlign w:val="center"/>
            <w:hideMark/>
          </w:tcPr>
          <w:p w14:paraId="6C08276E" w14:textId="77777777" w:rsidR="000C3DD7" w:rsidRPr="00E14268" w:rsidRDefault="000C3DD7" w:rsidP="00F73AB2">
            <w:pPr>
              <w:keepLines/>
              <w:snapToGrid w:val="0"/>
              <w:spacing w:line="240" w:lineRule="exact"/>
              <w:rPr>
                <w:sz w:val="20"/>
                <w:szCs w:val="20"/>
              </w:rPr>
            </w:pPr>
          </w:p>
        </w:tc>
        <w:tc>
          <w:tcPr>
            <w:tcW w:w="1300" w:type="dxa"/>
            <w:tcBorders>
              <w:bottom w:val="single" w:sz="4" w:space="0" w:color="auto"/>
            </w:tcBorders>
            <w:shd w:val="clear" w:color="auto" w:fill="auto"/>
            <w:noWrap/>
            <w:vAlign w:val="center"/>
            <w:hideMark/>
          </w:tcPr>
          <w:p w14:paraId="0FDDA0CC" w14:textId="77777777" w:rsidR="000C3DD7" w:rsidRPr="00E14268" w:rsidRDefault="000C3DD7" w:rsidP="00F73AB2">
            <w:pPr>
              <w:keepLines/>
              <w:snapToGrid w:val="0"/>
              <w:spacing w:line="240" w:lineRule="exact"/>
              <w:rPr>
                <w:sz w:val="20"/>
                <w:szCs w:val="20"/>
              </w:rPr>
            </w:pPr>
            <w:r w:rsidRPr="00E14268">
              <w:rPr>
                <w:sz w:val="20"/>
                <w:szCs w:val="20"/>
              </w:rPr>
              <w:t>0.84</w:t>
            </w:r>
          </w:p>
        </w:tc>
        <w:tc>
          <w:tcPr>
            <w:tcW w:w="1100" w:type="dxa"/>
            <w:tcBorders>
              <w:bottom w:val="single" w:sz="4" w:space="0" w:color="auto"/>
            </w:tcBorders>
            <w:shd w:val="clear" w:color="auto" w:fill="auto"/>
            <w:noWrap/>
            <w:vAlign w:val="center"/>
            <w:hideMark/>
          </w:tcPr>
          <w:p w14:paraId="446E7312" w14:textId="77777777" w:rsidR="000C3DD7" w:rsidRPr="00E14268" w:rsidRDefault="000C3DD7" w:rsidP="00F73AB2">
            <w:pPr>
              <w:keepLines/>
              <w:snapToGrid w:val="0"/>
              <w:spacing w:line="240" w:lineRule="exact"/>
              <w:rPr>
                <w:sz w:val="20"/>
                <w:szCs w:val="20"/>
              </w:rPr>
            </w:pPr>
            <w:r w:rsidRPr="00E14268">
              <w:rPr>
                <w:sz w:val="20"/>
                <w:szCs w:val="20"/>
              </w:rPr>
              <w:t>1.10</w:t>
            </w:r>
          </w:p>
        </w:tc>
        <w:tc>
          <w:tcPr>
            <w:tcW w:w="1100" w:type="dxa"/>
            <w:tcBorders>
              <w:bottom w:val="single" w:sz="4" w:space="0" w:color="auto"/>
            </w:tcBorders>
            <w:shd w:val="clear" w:color="auto" w:fill="auto"/>
            <w:noWrap/>
            <w:vAlign w:val="center"/>
            <w:hideMark/>
          </w:tcPr>
          <w:p w14:paraId="5C4165E2" w14:textId="77777777" w:rsidR="000C3DD7" w:rsidRPr="00E14268" w:rsidRDefault="000C3DD7" w:rsidP="00F73AB2">
            <w:pPr>
              <w:keepLines/>
              <w:snapToGrid w:val="0"/>
              <w:spacing w:line="240" w:lineRule="exact"/>
              <w:rPr>
                <w:sz w:val="20"/>
                <w:szCs w:val="20"/>
              </w:rPr>
            </w:pPr>
            <w:r w:rsidRPr="00E14268">
              <w:rPr>
                <w:sz w:val="20"/>
                <w:szCs w:val="20"/>
              </w:rPr>
              <w:t>1.38</w:t>
            </w:r>
          </w:p>
        </w:tc>
        <w:tc>
          <w:tcPr>
            <w:tcW w:w="812" w:type="dxa"/>
            <w:tcBorders>
              <w:bottom w:val="single" w:sz="4" w:space="0" w:color="auto"/>
            </w:tcBorders>
            <w:shd w:val="clear" w:color="auto" w:fill="auto"/>
            <w:noWrap/>
            <w:vAlign w:val="center"/>
            <w:hideMark/>
          </w:tcPr>
          <w:p w14:paraId="53EE81F7" w14:textId="77777777" w:rsidR="000C3DD7" w:rsidRPr="00E14268" w:rsidRDefault="000C3DD7" w:rsidP="00F73AB2">
            <w:pPr>
              <w:keepLines/>
              <w:snapToGrid w:val="0"/>
              <w:spacing w:line="240" w:lineRule="exact"/>
              <w:rPr>
                <w:sz w:val="20"/>
                <w:szCs w:val="20"/>
              </w:rPr>
            </w:pPr>
            <w:r w:rsidRPr="00E14268">
              <w:rPr>
                <w:sz w:val="20"/>
                <w:szCs w:val="20"/>
              </w:rPr>
              <w:t>0.07</w:t>
            </w:r>
          </w:p>
        </w:tc>
        <w:tc>
          <w:tcPr>
            <w:tcW w:w="992" w:type="dxa"/>
            <w:tcBorders>
              <w:bottom w:val="single" w:sz="4" w:space="0" w:color="auto"/>
            </w:tcBorders>
            <w:shd w:val="clear" w:color="auto" w:fill="auto"/>
            <w:noWrap/>
            <w:vAlign w:val="center"/>
            <w:hideMark/>
          </w:tcPr>
          <w:p w14:paraId="7FFCCC06" w14:textId="77777777" w:rsidR="000C3DD7" w:rsidRPr="00E14268" w:rsidRDefault="000C3DD7" w:rsidP="00F73AB2">
            <w:pPr>
              <w:keepLines/>
              <w:snapToGrid w:val="0"/>
              <w:spacing w:line="240" w:lineRule="exact"/>
              <w:rPr>
                <w:sz w:val="20"/>
                <w:szCs w:val="20"/>
              </w:rPr>
            </w:pPr>
            <w:r w:rsidRPr="00E14268">
              <w:rPr>
                <w:sz w:val="20"/>
                <w:szCs w:val="20"/>
              </w:rPr>
              <w:t>0.19</w:t>
            </w:r>
          </w:p>
        </w:tc>
      </w:tr>
      <w:tr w:rsidR="000C3DD7" w:rsidRPr="00E14268" w14:paraId="66ACCF91" w14:textId="77777777" w:rsidTr="00F82681">
        <w:trPr>
          <w:cantSplit/>
          <w:trHeight w:val="340"/>
          <w:tblHeader/>
        </w:trPr>
        <w:tc>
          <w:tcPr>
            <w:tcW w:w="8222" w:type="dxa"/>
            <w:gridSpan w:val="7"/>
            <w:tcBorders>
              <w:top w:val="single" w:sz="4" w:space="0" w:color="auto"/>
              <w:bottom w:val="single" w:sz="4" w:space="0" w:color="auto"/>
            </w:tcBorders>
            <w:shd w:val="clear" w:color="auto" w:fill="auto"/>
            <w:noWrap/>
            <w:vAlign w:val="center"/>
            <w:hideMark/>
          </w:tcPr>
          <w:p w14:paraId="5405341B" w14:textId="77777777" w:rsidR="000C3DD7" w:rsidRPr="00E14268" w:rsidRDefault="000C3DD7" w:rsidP="00F73AB2">
            <w:pPr>
              <w:keepLines/>
              <w:snapToGrid w:val="0"/>
              <w:spacing w:line="240" w:lineRule="exact"/>
              <w:rPr>
                <w:sz w:val="20"/>
                <w:szCs w:val="20"/>
              </w:rPr>
            </w:pPr>
            <w:r w:rsidRPr="00E14268">
              <w:rPr>
                <w:sz w:val="20"/>
                <w:szCs w:val="20"/>
              </w:rPr>
              <w:t>Panel A. 90 days</w:t>
            </w:r>
            <w:r w:rsidR="003F3EB3" w:rsidRPr="00E14268">
              <w:rPr>
                <w:sz w:val="20"/>
                <w:szCs w:val="20"/>
              </w:rPr>
              <w:t xml:space="preserve"> before the announcement of M&amp;As</w:t>
            </w:r>
          </w:p>
        </w:tc>
      </w:tr>
      <w:tr w:rsidR="000C3DD7" w:rsidRPr="00E14268" w14:paraId="043A8FDB" w14:textId="77777777" w:rsidTr="00F82681">
        <w:trPr>
          <w:cantSplit/>
          <w:trHeight w:val="340"/>
          <w:tblHeader/>
        </w:trPr>
        <w:tc>
          <w:tcPr>
            <w:tcW w:w="1843" w:type="dxa"/>
            <w:tcBorders>
              <w:top w:val="single" w:sz="4" w:space="0" w:color="auto"/>
              <w:bottom w:val="single" w:sz="4" w:space="0" w:color="auto"/>
            </w:tcBorders>
            <w:shd w:val="clear" w:color="auto" w:fill="auto"/>
            <w:noWrap/>
            <w:vAlign w:val="center"/>
            <w:hideMark/>
          </w:tcPr>
          <w:p w14:paraId="0EA3CCC3" w14:textId="77777777" w:rsidR="000C3DD7" w:rsidRPr="00E14268" w:rsidRDefault="000C3DD7" w:rsidP="00F73AB2">
            <w:pPr>
              <w:keepLines/>
              <w:snapToGrid w:val="0"/>
              <w:spacing w:line="240" w:lineRule="exact"/>
              <w:rPr>
                <w:sz w:val="20"/>
                <w:szCs w:val="20"/>
              </w:rPr>
            </w:pPr>
          </w:p>
        </w:tc>
        <w:tc>
          <w:tcPr>
            <w:tcW w:w="1075" w:type="dxa"/>
            <w:tcBorders>
              <w:top w:val="single" w:sz="4" w:space="0" w:color="auto"/>
              <w:bottom w:val="single" w:sz="4" w:space="0" w:color="auto"/>
            </w:tcBorders>
            <w:shd w:val="clear" w:color="auto" w:fill="auto"/>
            <w:noWrap/>
            <w:vAlign w:val="center"/>
            <w:hideMark/>
          </w:tcPr>
          <w:p w14:paraId="3CF31B93" w14:textId="496F9AAB" w:rsidR="000C3DD7" w:rsidRPr="00E14268" w:rsidRDefault="000C3DD7" w:rsidP="00F73AB2">
            <w:pPr>
              <w:keepLines/>
              <w:snapToGrid w:val="0"/>
              <w:spacing w:line="240" w:lineRule="exact"/>
              <w:rPr>
                <w:sz w:val="20"/>
                <w:szCs w:val="20"/>
              </w:rPr>
            </w:pPr>
            <w:r w:rsidRPr="00E14268">
              <w:rPr>
                <w:sz w:val="20"/>
                <w:szCs w:val="20"/>
              </w:rPr>
              <w:t xml:space="preserve">No. </w:t>
            </w:r>
            <w:r w:rsidR="00707136" w:rsidRPr="00E14268">
              <w:rPr>
                <w:sz w:val="20"/>
                <w:szCs w:val="20"/>
              </w:rPr>
              <w:t>Firm</w:t>
            </w:r>
          </w:p>
        </w:tc>
        <w:tc>
          <w:tcPr>
            <w:tcW w:w="1300" w:type="dxa"/>
            <w:tcBorders>
              <w:top w:val="single" w:sz="4" w:space="0" w:color="auto"/>
              <w:bottom w:val="single" w:sz="4" w:space="0" w:color="auto"/>
            </w:tcBorders>
            <w:shd w:val="clear" w:color="auto" w:fill="auto"/>
            <w:noWrap/>
            <w:vAlign w:val="center"/>
            <w:hideMark/>
          </w:tcPr>
          <w:p w14:paraId="55759BDC" w14:textId="4CCCD2B3" w:rsidR="000C3DD7" w:rsidRPr="00E14268" w:rsidRDefault="000C3DD7" w:rsidP="00F73AB2">
            <w:pPr>
              <w:keepLines/>
              <w:snapToGrid w:val="0"/>
              <w:spacing w:line="240" w:lineRule="exact"/>
              <w:rPr>
                <w:sz w:val="20"/>
                <w:szCs w:val="20"/>
              </w:rPr>
            </w:pPr>
            <w:r w:rsidRPr="00E14268">
              <w:rPr>
                <w:sz w:val="20"/>
                <w:szCs w:val="20"/>
              </w:rPr>
              <w:t xml:space="preserve">Strong </w:t>
            </w:r>
            <w:r w:rsidR="00F82681">
              <w:rPr>
                <w:sz w:val="20"/>
                <w:szCs w:val="20"/>
              </w:rPr>
              <w:t>b</w:t>
            </w:r>
            <w:r w:rsidRPr="00E14268">
              <w:rPr>
                <w:sz w:val="20"/>
                <w:szCs w:val="20"/>
              </w:rPr>
              <w:t>uy</w:t>
            </w:r>
          </w:p>
        </w:tc>
        <w:tc>
          <w:tcPr>
            <w:tcW w:w="1100" w:type="dxa"/>
            <w:tcBorders>
              <w:top w:val="single" w:sz="4" w:space="0" w:color="auto"/>
              <w:bottom w:val="single" w:sz="4" w:space="0" w:color="auto"/>
            </w:tcBorders>
            <w:shd w:val="clear" w:color="auto" w:fill="auto"/>
            <w:noWrap/>
            <w:vAlign w:val="center"/>
            <w:hideMark/>
          </w:tcPr>
          <w:p w14:paraId="1BE92F60" w14:textId="77777777" w:rsidR="000C3DD7" w:rsidRPr="00E14268" w:rsidRDefault="000C3DD7" w:rsidP="00F73AB2">
            <w:pPr>
              <w:keepLines/>
              <w:snapToGrid w:val="0"/>
              <w:spacing w:line="240" w:lineRule="exact"/>
              <w:rPr>
                <w:sz w:val="20"/>
                <w:szCs w:val="20"/>
              </w:rPr>
            </w:pPr>
            <w:r w:rsidRPr="00E14268">
              <w:rPr>
                <w:sz w:val="20"/>
                <w:szCs w:val="20"/>
              </w:rPr>
              <w:t>Buy</w:t>
            </w:r>
          </w:p>
        </w:tc>
        <w:tc>
          <w:tcPr>
            <w:tcW w:w="1100" w:type="dxa"/>
            <w:tcBorders>
              <w:top w:val="single" w:sz="4" w:space="0" w:color="auto"/>
              <w:bottom w:val="single" w:sz="4" w:space="0" w:color="auto"/>
            </w:tcBorders>
            <w:shd w:val="clear" w:color="auto" w:fill="auto"/>
            <w:noWrap/>
            <w:vAlign w:val="center"/>
            <w:hideMark/>
          </w:tcPr>
          <w:p w14:paraId="5BCB314B" w14:textId="77777777" w:rsidR="000C3DD7" w:rsidRPr="00E14268" w:rsidRDefault="000C3DD7" w:rsidP="00F73AB2">
            <w:pPr>
              <w:keepLines/>
              <w:snapToGrid w:val="0"/>
              <w:spacing w:line="240" w:lineRule="exact"/>
              <w:rPr>
                <w:sz w:val="20"/>
                <w:szCs w:val="20"/>
              </w:rPr>
            </w:pPr>
            <w:r w:rsidRPr="00E14268">
              <w:rPr>
                <w:sz w:val="20"/>
                <w:szCs w:val="20"/>
              </w:rPr>
              <w:t>Hold</w:t>
            </w:r>
          </w:p>
        </w:tc>
        <w:tc>
          <w:tcPr>
            <w:tcW w:w="812" w:type="dxa"/>
            <w:tcBorders>
              <w:top w:val="single" w:sz="4" w:space="0" w:color="auto"/>
              <w:bottom w:val="single" w:sz="4" w:space="0" w:color="auto"/>
            </w:tcBorders>
            <w:shd w:val="clear" w:color="auto" w:fill="auto"/>
            <w:noWrap/>
            <w:vAlign w:val="center"/>
            <w:hideMark/>
          </w:tcPr>
          <w:p w14:paraId="1D2EE5A9" w14:textId="77777777" w:rsidR="000C3DD7" w:rsidRPr="00E14268" w:rsidRDefault="000C3DD7" w:rsidP="00F73AB2">
            <w:pPr>
              <w:keepLines/>
              <w:snapToGrid w:val="0"/>
              <w:spacing w:line="240" w:lineRule="exact"/>
              <w:rPr>
                <w:sz w:val="20"/>
                <w:szCs w:val="20"/>
              </w:rPr>
            </w:pPr>
            <w:r w:rsidRPr="00E14268">
              <w:rPr>
                <w:sz w:val="20"/>
                <w:szCs w:val="20"/>
              </w:rPr>
              <w:t>Sell</w:t>
            </w:r>
          </w:p>
        </w:tc>
        <w:tc>
          <w:tcPr>
            <w:tcW w:w="992" w:type="dxa"/>
            <w:tcBorders>
              <w:top w:val="single" w:sz="4" w:space="0" w:color="auto"/>
              <w:bottom w:val="single" w:sz="4" w:space="0" w:color="auto"/>
            </w:tcBorders>
            <w:shd w:val="clear" w:color="auto" w:fill="auto"/>
            <w:noWrap/>
            <w:vAlign w:val="center"/>
            <w:hideMark/>
          </w:tcPr>
          <w:p w14:paraId="2B2D4EF3" w14:textId="0D707A88" w:rsidR="000C3DD7" w:rsidRPr="00E14268" w:rsidRDefault="000C3DD7" w:rsidP="00F73AB2">
            <w:pPr>
              <w:keepLines/>
              <w:snapToGrid w:val="0"/>
              <w:spacing w:line="240" w:lineRule="exact"/>
              <w:rPr>
                <w:sz w:val="20"/>
                <w:szCs w:val="20"/>
              </w:rPr>
            </w:pPr>
            <w:r w:rsidRPr="00E14268">
              <w:rPr>
                <w:sz w:val="20"/>
                <w:szCs w:val="20"/>
              </w:rPr>
              <w:t xml:space="preserve">Strong </w:t>
            </w:r>
            <w:r w:rsidR="00F82681">
              <w:rPr>
                <w:sz w:val="20"/>
                <w:szCs w:val="20"/>
              </w:rPr>
              <w:t>s</w:t>
            </w:r>
            <w:r w:rsidRPr="00E14268">
              <w:rPr>
                <w:sz w:val="20"/>
                <w:szCs w:val="20"/>
              </w:rPr>
              <w:t>ell</w:t>
            </w:r>
          </w:p>
        </w:tc>
      </w:tr>
      <w:tr w:rsidR="000C3DD7" w:rsidRPr="00E14268" w14:paraId="3C49BE3B" w14:textId="77777777" w:rsidTr="00F82681">
        <w:trPr>
          <w:cantSplit/>
          <w:trHeight w:val="340"/>
          <w:tblHeader/>
        </w:trPr>
        <w:tc>
          <w:tcPr>
            <w:tcW w:w="1843" w:type="dxa"/>
            <w:tcBorders>
              <w:top w:val="single" w:sz="4" w:space="0" w:color="auto"/>
            </w:tcBorders>
            <w:shd w:val="clear" w:color="auto" w:fill="auto"/>
            <w:noWrap/>
            <w:vAlign w:val="center"/>
            <w:hideMark/>
          </w:tcPr>
          <w:p w14:paraId="55AD7449" w14:textId="77777777" w:rsidR="000C3DD7" w:rsidRPr="00E14268" w:rsidRDefault="000C3DD7" w:rsidP="00F73AB2">
            <w:pPr>
              <w:keepLines/>
              <w:snapToGrid w:val="0"/>
              <w:spacing w:line="240" w:lineRule="exact"/>
              <w:rPr>
                <w:sz w:val="20"/>
                <w:szCs w:val="20"/>
              </w:rPr>
            </w:pPr>
            <w:r w:rsidRPr="00E14268">
              <w:rPr>
                <w:sz w:val="20"/>
                <w:szCs w:val="20"/>
              </w:rPr>
              <w:t>Diversified M&amp;A</w:t>
            </w:r>
          </w:p>
        </w:tc>
        <w:tc>
          <w:tcPr>
            <w:tcW w:w="1075" w:type="dxa"/>
            <w:tcBorders>
              <w:top w:val="single" w:sz="4" w:space="0" w:color="auto"/>
            </w:tcBorders>
            <w:shd w:val="clear" w:color="auto" w:fill="auto"/>
            <w:noWrap/>
            <w:vAlign w:val="center"/>
            <w:hideMark/>
          </w:tcPr>
          <w:p w14:paraId="7A530968" w14:textId="77777777" w:rsidR="000C3DD7" w:rsidRPr="00E14268" w:rsidRDefault="000C3DD7" w:rsidP="00F73AB2">
            <w:pPr>
              <w:keepLines/>
              <w:snapToGrid w:val="0"/>
              <w:spacing w:line="240" w:lineRule="exact"/>
              <w:rPr>
                <w:sz w:val="20"/>
                <w:szCs w:val="20"/>
              </w:rPr>
            </w:pPr>
            <w:r w:rsidRPr="00E14268">
              <w:rPr>
                <w:sz w:val="20"/>
                <w:szCs w:val="20"/>
              </w:rPr>
              <w:t>392</w:t>
            </w:r>
          </w:p>
        </w:tc>
        <w:tc>
          <w:tcPr>
            <w:tcW w:w="1300" w:type="dxa"/>
            <w:tcBorders>
              <w:top w:val="single" w:sz="4" w:space="0" w:color="auto"/>
            </w:tcBorders>
            <w:shd w:val="clear" w:color="auto" w:fill="auto"/>
            <w:noWrap/>
            <w:vAlign w:val="center"/>
            <w:hideMark/>
          </w:tcPr>
          <w:p w14:paraId="5E9CC268" w14:textId="77777777" w:rsidR="000C3DD7" w:rsidRPr="00E14268" w:rsidRDefault="000C3DD7" w:rsidP="00F73AB2">
            <w:pPr>
              <w:keepLines/>
              <w:snapToGrid w:val="0"/>
              <w:spacing w:line="240" w:lineRule="exact"/>
              <w:rPr>
                <w:sz w:val="20"/>
                <w:szCs w:val="20"/>
              </w:rPr>
            </w:pPr>
            <w:r w:rsidRPr="00E14268">
              <w:rPr>
                <w:sz w:val="20"/>
                <w:szCs w:val="20"/>
              </w:rPr>
              <w:t>307</w:t>
            </w:r>
          </w:p>
        </w:tc>
        <w:tc>
          <w:tcPr>
            <w:tcW w:w="1100" w:type="dxa"/>
            <w:tcBorders>
              <w:top w:val="single" w:sz="4" w:space="0" w:color="auto"/>
            </w:tcBorders>
            <w:shd w:val="clear" w:color="auto" w:fill="auto"/>
            <w:noWrap/>
            <w:vAlign w:val="center"/>
            <w:hideMark/>
          </w:tcPr>
          <w:p w14:paraId="3EDAF1B7" w14:textId="77777777" w:rsidR="000C3DD7" w:rsidRPr="00E14268" w:rsidRDefault="000C3DD7" w:rsidP="00F73AB2">
            <w:pPr>
              <w:keepLines/>
              <w:snapToGrid w:val="0"/>
              <w:spacing w:line="240" w:lineRule="exact"/>
              <w:rPr>
                <w:sz w:val="20"/>
                <w:szCs w:val="20"/>
              </w:rPr>
            </w:pPr>
            <w:r w:rsidRPr="00E14268">
              <w:rPr>
                <w:sz w:val="20"/>
                <w:szCs w:val="20"/>
              </w:rPr>
              <w:t>464</w:t>
            </w:r>
          </w:p>
        </w:tc>
        <w:tc>
          <w:tcPr>
            <w:tcW w:w="1100" w:type="dxa"/>
            <w:tcBorders>
              <w:top w:val="single" w:sz="4" w:space="0" w:color="auto"/>
            </w:tcBorders>
            <w:shd w:val="clear" w:color="auto" w:fill="auto"/>
            <w:noWrap/>
            <w:vAlign w:val="center"/>
            <w:hideMark/>
          </w:tcPr>
          <w:p w14:paraId="7077BC77" w14:textId="77777777" w:rsidR="000C3DD7" w:rsidRPr="00E14268" w:rsidRDefault="000C3DD7" w:rsidP="00F73AB2">
            <w:pPr>
              <w:keepLines/>
              <w:snapToGrid w:val="0"/>
              <w:spacing w:line="240" w:lineRule="exact"/>
              <w:rPr>
                <w:sz w:val="20"/>
                <w:szCs w:val="20"/>
              </w:rPr>
            </w:pPr>
            <w:r w:rsidRPr="00E14268">
              <w:rPr>
                <w:sz w:val="20"/>
                <w:szCs w:val="20"/>
              </w:rPr>
              <w:t>489</w:t>
            </w:r>
          </w:p>
        </w:tc>
        <w:tc>
          <w:tcPr>
            <w:tcW w:w="812" w:type="dxa"/>
            <w:tcBorders>
              <w:top w:val="single" w:sz="4" w:space="0" w:color="auto"/>
            </w:tcBorders>
            <w:shd w:val="clear" w:color="auto" w:fill="auto"/>
            <w:noWrap/>
            <w:vAlign w:val="center"/>
            <w:hideMark/>
          </w:tcPr>
          <w:p w14:paraId="3C8609E8" w14:textId="77777777" w:rsidR="000C3DD7" w:rsidRPr="00E14268" w:rsidRDefault="000C3DD7" w:rsidP="00F73AB2">
            <w:pPr>
              <w:keepLines/>
              <w:snapToGrid w:val="0"/>
              <w:spacing w:line="240" w:lineRule="exact"/>
              <w:rPr>
                <w:sz w:val="20"/>
                <w:szCs w:val="20"/>
              </w:rPr>
            </w:pPr>
            <w:r w:rsidRPr="00E14268">
              <w:rPr>
                <w:sz w:val="20"/>
                <w:szCs w:val="20"/>
              </w:rPr>
              <w:t>28</w:t>
            </w:r>
          </w:p>
        </w:tc>
        <w:tc>
          <w:tcPr>
            <w:tcW w:w="992" w:type="dxa"/>
            <w:tcBorders>
              <w:top w:val="single" w:sz="4" w:space="0" w:color="auto"/>
            </w:tcBorders>
            <w:shd w:val="clear" w:color="auto" w:fill="auto"/>
            <w:noWrap/>
            <w:vAlign w:val="center"/>
            <w:hideMark/>
          </w:tcPr>
          <w:p w14:paraId="7D36D9AD" w14:textId="77777777" w:rsidR="000C3DD7" w:rsidRPr="00E14268" w:rsidRDefault="000C3DD7" w:rsidP="00F73AB2">
            <w:pPr>
              <w:keepLines/>
              <w:snapToGrid w:val="0"/>
              <w:spacing w:line="240" w:lineRule="exact"/>
              <w:rPr>
                <w:sz w:val="20"/>
                <w:szCs w:val="20"/>
              </w:rPr>
            </w:pPr>
            <w:r w:rsidRPr="00E14268">
              <w:rPr>
                <w:sz w:val="20"/>
                <w:szCs w:val="20"/>
              </w:rPr>
              <w:t>49</w:t>
            </w:r>
          </w:p>
        </w:tc>
      </w:tr>
      <w:tr w:rsidR="000C3DD7" w:rsidRPr="00E14268" w14:paraId="53F884B9" w14:textId="77777777" w:rsidTr="00F82681">
        <w:trPr>
          <w:cantSplit/>
          <w:trHeight w:val="340"/>
          <w:tblHeader/>
        </w:trPr>
        <w:tc>
          <w:tcPr>
            <w:tcW w:w="1843" w:type="dxa"/>
            <w:shd w:val="clear" w:color="auto" w:fill="auto"/>
            <w:noWrap/>
            <w:vAlign w:val="center"/>
            <w:hideMark/>
          </w:tcPr>
          <w:p w14:paraId="7413A4FD" w14:textId="77777777" w:rsidR="000C3DD7" w:rsidRPr="00E14268" w:rsidRDefault="000C3DD7" w:rsidP="00F73AB2">
            <w:pPr>
              <w:keepLines/>
              <w:snapToGrid w:val="0"/>
              <w:spacing w:line="240" w:lineRule="exact"/>
              <w:rPr>
                <w:sz w:val="20"/>
                <w:szCs w:val="20"/>
              </w:rPr>
            </w:pPr>
          </w:p>
        </w:tc>
        <w:tc>
          <w:tcPr>
            <w:tcW w:w="1075" w:type="dxa"/>
            <w:shd w:val="clear" w:color="auto" w:fill="auto"/>
            <w:noWrap/>
            <w:vAlign w:val="center"/>
            <w:hideMark/>
          </w:tcPr>
          <w:p w14:paraId="30AD69A9" w14:textId="77777777" w:rsidR="000C3DD7" w:rsidRPr="00E14268" w:rsidRDefault="000C3DD7" w:rsidP="00F73AB2">
            <w:pPr>
              <w:keepLines/>
              <w:snapToGrid w:val="0"/>
              <w:spacing w:line="240" w:lineRule="exact"/>
              <w:rPr>
                <w:sz w:val="20"/>
                <w:szCs w:val="20"/>
              </w:rPr>
            </w:pPr>
          </w:p>
        </w:tc>
        <w:tc>
          <w:tcPr>
            <w:tcW w:w="1300" w:type="dxa"/>
            <w:shd w:val="clear" w:color="auto" w:fill="auto"/>
            <w:noWrap/>
            <w:vAlign w:val="center"/>
            <w:hideMark/>
          </w:tcPr>
          <w:p w14:paraId="07BB33AB" w14:textId="77777777" w:rsidR="000C3DD7" w:rsidRPr="00E14268" w:rsidRDefault="000C3DD7" w:rsidP="00F73AB2">
            <w:pPr>
              <w:keepLines/>
              <w:snapToGrid w:val="0"/>
              <w:spacing w:line="240" w:lineRule="exact"/>
              <w:rPr>
                <w:sz w:val="20"/>
                <w:szCs w:val="20"/>
              </w:rPr>
            </w:pPr>
            <w:r w:rsidRPr="00E14268">
              <w:rPr>
                <w:sz w:val="20"/>
                <w:szCs w:val="20"/>
              </w:rPr>
              <w:t>0.78</w:t>
            </w:r>
          </w:p>
        </w:tc>
        <w:tc>
          <w:tcPr>
            <w:tcW w:w="1100" w:type="dxa"/>
            <w:shd w:val="clear" w:color="auto" w:fill="auto"/>
            <w:noWrap/>
            <w:vAlign w:val="center"/>
            <w:hideMark/>
          </w:tcPr>
          <w:p w14:paraId="33B9CE3C" w14:textId="77777777" w:rsidR="000C3DD7" w:rsidRPr="00E14268" w:rsidRDefault="000C3DD7" w:rsidP="00F73AB2">
            <w:pPr>
              <w:keepLines/>
              <w:snapToGrid w:val="0"/>
              <w:spacing w:line="240" w:lineRule="exact"/>
              <w:rPr>
                <w:sz w:val="20"/>
                <w:szCs w:val="20"/>
              </w:rPr>
            </w:pPr>
            <w:r w:rsidRPr="00E14268">
              <w:rPr>
                <w:sz w:val="20"/>
                <w:szCs w:val="20"/>
              </w:rPr>
              <w:t>1.18</w:t>
            </w:r>
          </w:p>
        </w:tc>
        <w:tc>
          <w:tcPr>
            <w:tcW w:w="1100" w:type="dxa"/>
            <w:shd w:val="clear" w:color="auto" w:fill="auto"/>
            <w:noWrap/>
            <w:vAlign w:val="center"/>
            <w:hideMark/>
          </w:tcPr>
          <w:p w14:paraId="7A29A697" w14:textId="77777777" w:rsidR="000C3DD7" w:rsidRPr="00E14268" w:rsidRDefault="000C3DD7" w:rsidP="00F73AB2">
            <w:pPr>
              <w:keepLines/>
              <w:snapToGrid w:val="0"/>
              <w:spacing w:line="240" w:lineRule="exact"/>
              <w:rPr>
                <w:sz w:val="20"/>
                <w:szCs w:val="20"/>
              </w:rPr>
            </w:pPr>
            <w:r w:rsidRPr="00E14268">
              <w:rPr>
                <w:sz w:val="20"/>
                <w:szCs w:val="20"/>
              </w:rPr>
              <w:t>1.25</w:t>
            </w:r>
          </w:p>
        </w:tc>
        <w:tc>
          <w:tcPr>
            <w:tcW w:w="812" w:type="dxa"/>
            <w:shd w:val="clear" w:color="auto" w:fill="auto"/>
            <w:noWrap/>
            <w:vAlign w:val="center"/>
            <w:hideMark/>
          </w:tcPr>
          <w:p w14:paraId="2AE8E40C" w14:textId="77777777" w:rsidR="000C3DD7" w:rsidRPr="00E14268" w:rsidRDefault="000C3DD7" w:rsidP="00F73AB2">
            <w:pPr>
              <w:keepLines/>
              <w:snapToGrid w:val="0"/>
              <w:spacing w:line="240" w:lineRule="exact"/>
              <w:rPr>
                <w:sz w:val="20"/>
                <w:szCs w:val="20"/>
              </w:rPr>
            </w:pPr>
            <w:r w:rsidRPr="00E14268">
              <w:rPr>
                <w:sz w:val="20"/>
                <w:szCs w:val="20"/>
              </w:rPr>
              <w:t>0.07</w:t>
            </w:r>
          </w:p>
        </w:tc>
        <w:tc>
          <w:tcPr>
            <w:tcW w:w="992" w:type="dxa"/>
            <w:shd w:val="clear" w:color="auto" w:fill="auto"/>
            <w:noWrap/>
            <w:vAlign w:val="center"/>
            <w:hideMark/>
          </w:tcPr>
          <w:p w14:paraId="43815722" w14:textId="77777777" w:rsidR="000C3DD7" w:rsidRPr="00E14268" w:rsidRDefault="000C3DD7" w:rsidP="00F73AB2">
            <w:pPr>
              <w:keepLines/>
              <w:snapToGrid w:val="0"/>
              <w:spacing w:line="240" w:lineRule="exact"/>
              <w:rPr>
                <w:sz w:val="20"/>
                <w:szCs w:val="20"/>
              </w:rPr>
            </w:pPr>
            <w:r w:rsidRPr="00E14268">
              <w:rPr>
                <w:sz w:val="20"/>
                <w:szCs w:val="20"/>
              </w:rPr>
              <w:t>0.13</w:t>
            </w:r>
          </w:p>
        </w:tc>
      </w:tr>
      <w:tr w:rsidR="000C3DD7" w:rsidRPr="00E14268" w14:paraId="6EDD963E" w14:textId="77777777" w:rsidTr="00F82681">
        <w:trPr>
          <w:cantSplit/>
          <w:trHeight w:val="340"/>
          <w:tblHeader/>
        </w:trPr>
        <w:tc>
          <w:tcPr>
            <w:tcW w:w="1843" w:type="dxa"/>
            <w:shd w:val="clear" w:color="auto" w:fill="auto"/>
            <w:noWrap/>
            <w:vAlign w:val="center"/>
            <w:hideMark/>
          </w:tcPr>
          <w:p w14:paraId="00089117" w14:textId="77777777" w:rsidR="000C3DD7" w:rsidRPr="00E14268" w:rsidRDefault="000C3DD7" w:rsidP="00F73AB2">
            <w:pPr>
              <w:keepLines/>
              <w:snapToGrid w:val="0"/>
              <w:spacing w:line="240" w:lineRule="exact"/>
              <w:rPr>
                <w:sz w:val="20"/>
                <w:szCs w:val="20"/>
              </w:rPr>
            </w:pPr>
            <w:r w:rsidRPr="00E14268">
              <w:rPr>
                <w:sz w:val="20"/>
                <w:szCs w:val="20"/>
              </w:rPr>
              <w:t>Horizontal M&amp;A</w:t>
            </w:r>
          </w:p>
        </w:tc>
        <w:tc>
          <w:tcPr>
            <w:tcW w:w="1075" w:type="dxa"/>
            <w:shd w:val="clear" w:color="auto" w:fill="auto"/>
            <w:noWrap/>
            <w:vAlign w:val="center"/>
            <w:hideMark/>
          </w:tcPr>
          <w:p w14:paraId="63B2D7B3" w14:textId="77777777" w:rsidR="000C3DD7" w:rsidRPr="00E14268" w:rsidRDefault="000C3DD7" w:rsidP="00F73AB2">
            <w:pPr>
              <w:keepLines/>
              <w:snapToGrid w:val="0"/>
              <w:spacing w:line="240" w:lineRule="exact"/>
              <w:rPr>
                <w:sz w:val="20"/>
                <w:szCs w:val="20"/>
              </w:rPr>
            </w:pPr>
            <w:r w:rsidRPr="00E14268">
              <w:rPr>
                <w:sz w:val="20"/>
                <w:szCs w:val="20"/>
              </w:rPr>
              <w:t>291</w:t>
            </w:r>
          </w:p>
        </w:tc>
        <w:tc>
          <w:tcPr>
            <w:tcW w:w="1300" w:type="dxa"/>
            <w:shd w:val="clear" w:color="auto" w:fill="auto"/>
            <w:noWrap/>
            <w:vAlign w:val="center"/>
            <w:hideMark/>
          </w:tcPr>
          <w:p w14:paraId="5F09DEA5" w14:textId="77777777" w:rsidR="000C3DD7" w:rsidRPr="00E14268" w:rsidRDefault="000C3DD7" w:rsidP="00F73AB2">
            <w:pPr>
              <w:keepLines/>
              <w:snapToGrid w:val="0"/>
              <w:spacing w:line="240" w:lineRule="exact"/>
              <w:rPr>
                <w:sz w:val="20"/>
                <w:szCs w:val="20"/>
              </w:rPr>
            </w:pPr>
            <w:r w:rsidRPr="00E14268">
              <w:rPr>
                <w:sz w:val="20"/>
                <w:szCs w:val="20"/>
              </w:rPr>
              <w:t>229</w:t>
            </w:r>
          </w:p>
        </w:tc>
        <w:tc>
          <w:tcPr>
            <w:tcW w:w="1100" w:type="dxa"/>
            <w:shd w:val="clear" w:color="auto" w:fill="auto"/>
            <w:noWrap/>
            <w:vAlign w:val="center"/>
            <w:hideMark/>
          </w:tcPr>
          <w:p w14:paraId="18AF47A5" w14:textId="77777777" w:rsidR="000C3DD7" w:rsidRPr="00E14268" w:rsidRDefault="000C3DD7" w:rsidP="00F73AB2">
            <w:pPr>
              <w:keepLines/>
              <w:snapToGrid w:val="0"/>
              <w:spacing w:line="240" w:lineRule="exact"/>
              <w:rPr>
                <w:sz w:val="20"/>
                <w:szCs w:val="20"/>
              </w:rPr>
            </w:pPr>
            <w:r w:rsidRPr="00E14268">
              <w:rPr>
                <w:sz w:val="20"/>
                <w:szCs w:val="20"/>
              </w:rPr>
              <w:t>300</w:t>
            </w:r>
          </w:p>
        </w:tc>
        <w:tc>
          <w:tcPr>
            <w:tcW w:w="1100" w:type="dxa"/>
            <w:shd w:val="clear" w:color="auto" w:fill="auto"/>
            <w:noWrap/>
            <w:vAlign w:val="center"/>
            <w:hideMark/>
          </w:tcPr>
          <w:p w14:paraId="175C4768" w14:textId="77777777" w:rsidR="000C3DD7" w:rsidRPr="00E14268" w:rsidRDefault="000C3DD7" w:rsidP="00F73AB2">
            <w:pPr>
              <w:keepLines/>
              <w:snapToGrid w:val="0"/>
              <w:spacing w:line="240" w:lineRule="exact"/>
              <w:rPr>
                <w:sz w:val="20"/>
                <w:szCs w:val="20"/>
              </w:rPr>
            </w:pPr>
            <w:r w:rsidRPr="00E14268">
              <w:rPr>
                <w:sz w:val="20"/>
                <w:szCs w:val="20"/>
              </w:rPr>
              <w:t>383</w:t>
            </w:r>
          </w:p>
        </w:tc>
        <w:tc>
          <w:tcPr>
            <w:tcW w:w="812" w:type="dxa"/>
            <w:shd w:val="clear" w:color="auto" w:fill="auto"/>
            <w:noWrap/>
            <w:vAlign w:val="center"/>
            <w:hideMark/>
          </w:tcPr>
          <w:p w14:paraId="4A2C18AD" w14:textId="77777777" w:rsidR="000C3DD7" w:rsidRPr="00E14268" w:rsidRDefault="000C3DD7" w:rsidP="00F73AB2">
            <w:pPr>
              <w:keepLines/>
              <w:snapToGrid w:val="0"/>
              <w:spacing w:line="240" w:lineRule="exact"/>
              <w:rPr>
                <w:sz w:val="20"/>
                <w:szCs w:val="20"/>
              </w:rPr>
            </w:pPr>
            <w:r w:rsidRPr="00E14268">
              <w:rPr>
                <w:sz w:val="20"/>
                <w:szCs w:val="20"/>
              </w:rPr>
              <w:t>17</w:t>
            </w:r>
          </w:p>
        </w:tc>
        <w:tc>
          <w:tcPr>
            <w:tcW w:w="992" w:type="dxa"/>
            <w:shd w:val="clear" w:color="auto" w:fill="auto"/>
            <w:noWrap/>
            <w:vAlign w:val="center"/>
            <w:hideMark/>
          </w:tcPr>
          <w:p w14:paraId="18BB9205" w14:textId="77777777" w:rsidR="000C3DD7" w:rsidRPr="00E14268" w:rsidRDefault="000C3DD7" w:rsidP="00F73AB2">
            <w:pPr>
              <w:keepLines/>
              <w:snapToGrid w:val="0"/>
              <w:spacing w:line="240" w:lineRule="exact"/>
              <w:rPr>
                <w:sz w:val="20"/>
                <w:szCs w:val="20"/>
              </w:rPr>
            </w:pPr>
            <w:r w:rsidRPr="00E14268">
              <w:rPr>
                <w:sz w:val="20"/>
                <w:szCs w:val="20"/>
              </w:rPr>
              <w:t>55</w:t>
            </w:r>
          </w:p>
        </w:tc>
      </w:tr>
      <w:tr w:rsidR="000C3DD7" w:rsidRPr="00E14268" w14:paraId="590C8393" w14:textId="77777777" w:rsidTr="00F82681">
        <w:trPr>
          <w:cantSplit/>
          <w:trHeight w:val="340"/>
          <w:tblHeader/>
        </w:trPr>
        <w:tc>
          <w:tcPr>
            <w:tcW w:w="1843" w:type="dxa"/>
            <w:shd w:val="clear" w:color="auto" w:fill="auto"/>
            <w:noWrap/>
            <w:vAlign w:val="center"/>
            <w:hideMark/>
          </w:tcPr>
          <w:p w14:paraId="45D9ACDA" w14:textId="77777777" w:rsidR="000C3DD7" w:rsidRPr="00E14268" w:rsidRDefault="000C3DD7" w:rsidP="00F73AB2">
            <w:pPr>
              <w:keepLines/>
              <w:snapToGrid w:val="0"/>
              <w:spacing w:line="240" w:lineRule="exact"/>
              <w:rPr>
                <w:sz w:val="20"/>
                <w:szCs w:val="20"/>
              </w:rPr>
            </w:pPr>
          </w:p>
        </w:tc>
        <w:tc>
          <w:tcPr>
            <w:tcW w:w="1075" w:type="dxa"/>
            <w:shd w:val="clear" w:color="auto" w:fill="auto"/>
            <w:noWrap/>
            <w:vAlign w:val="center"/>
            <w:hideMark/>
          </w:tcPr>
          <w:p w14:paraId="4AC9096D" w14:textId="77777777" w:rsidR="000C3DD7" w:rsidRPr="00E14268" w:rsidRDefault="000C3DD7" w:rsidP="00F73AB2">
            <w:pPr>
              <w:keepLines/>
              <w:snapToGrid w:val="0"/>
              <w:spacing w:line="240" w:lineRule="exact"/>
              <w:rPr>
                <w:sz w:val="20"/>
                <w:szCs w:val="20"/>
              </w:rPr>
            </w:pPr>
          </w:p>
        </w:tc>
        <w:tc>
          <w:tcPr>
            <w:tcW w:w="1300" w:type="dxa"/>
            <w:shd w:val="clear" w:color="auto" w:fill="auto"/>
            <w:noWrap/>
            <w:vAlign w:val="center"/>
            <w:hideMark/>
          </w:tcPr>
          <w:p w14:paraId="1D7B7976" w14:textId="77777777" w:rsidR="000C3DD7" w:rsidRPr="00E14268" w:rsidRDefault="000C3DD7" w:rsidP="00F73AB2">
            <w:pPr>
              <w:keepLines/>
              <w:snapToGrid w:val="0"/>
              <w:spacing w:line="240" w:lineRule="exact"/>
              <w:rPr>
                <w:sz w:val="20"/>
                <w:szCs w:val="20"/>
              </w:rPr>
            </w:pPr>
            <w:r w:rsidRPr="00E14268">
              <w:rPr>
                <w:sz w:val="20"/>
                <w:szCs w:val="20"/>
              </w:rPr>
              <w:t>0.79</w:t>
            </w:r>
          </w:p>
        </w:tc>
        <w:tc>
          <w:tcPr>
            <w:tcW w:w="1100" w:type="dxa"/>
            <w:shd w:val="clear" w:color="auto" w:fill="auto"/>
            <w:noWrap/>
            <w:vAlign w:val="center"/>
            <w:hideMark/>
          </w:tcPr>
          <w:p w14:paraId="24EF55B2" w14:textId="77777777" w:rsidR="000C3DD7" w:rsidRPr="00E14268" w:rsidRDefault="000C3DD7" w:rsidP="00F73AB2">
            <w:pPr>
              <w:keepLines/>
              <w:snapToGrid w:val="0"/>
              <w:spacing w:line="240" w:lineRule="exact"/>
              <w:rPr>
                <w:sz w:val="20"/>
                <w:szCs w:val="20"/>
              </w:rPr>
            </w:pPr>
            <w:r w:rsidRPr="00E14268">
              <w:rPr>
                <w:sz w:val="20"/>
                <w:szCs w:val="20"/>
              </w:rPr>
              <w:t>1.03</w:t>
            </w:r>
          </w:p>
        </w:tc>
        <w:tc>
          <w:tcPr>
            <w:tcW w:w="1100" w:type="dxa"/>
            <w:shd w:val="clear" w:color="auto" w:fill="auto"/>
            <w:noWrap/>
            <w:vAlign w:val="center"/>
            <w:hideMark/>
          </w:tcPr>
          <w:p w14:paraId="0CB75F7D" w14:textId="77777777" w:rsidR="000C3DD7" w:rsidRPr="00E14268" w:rsidRDefault="000C3DD7" w:rsidP="00F73AB2">
            <w:pPr>
              <w:keepLines/>
              <w:snapToGrid w:val="0"/>
              <w:spacing w:line="240" w:lineRule="exact"/>
              <w:rPr>
                <w:sz w:val="20"/>
                <w:szCs w:val="20"/>
              </w:rPr>
            </w:pPr>
            <w:r w:rsidRPr="00E14268">
              <w:rPr>
                <w:sz w:val="20"/>
                <w:szCs w:val="20"/>
              </w:rPr>
              <w:t>1.32</w:t>
            </w:r>
          </w:p>
        </w:tc>
        <w:tc>
          <w:tcPr>
            <w:tcW w:w="812" w:type="dxa"/>
            <w:shd w:val="clear" w:color="auto" w:fill="auto"/>
            <w:noWrap/>
            <w:vAlign w:val="center"/>
            <w:hideMark/>
          </w:tcPr>
          <w:p w14:paraId="71D6FF5F" w14:textId="77777777" w:rsidR="000C3DD7" w:rsidRPr="00E14268" w:rsidRDefault="000C3DD7" w:rsidP="00F73AB2">
            <w:pPr>
              <w:keepLines/>
              <w:snapToGrid w:val="0"/>
              <w:spacing w:line="240" w:lineRule="exact"/>
              <w:rPr>
                <w:sz w:val="20"/>
                <w:szCs w:val="20"/>
              </w:rPr>
            </w:pPr>
            <w:r w:rsidRPr="00E14268">
              <w:rPr>
                <w:sz w:val="20"/>
                <w:szCs w:val="20"/>
              </w:rPr>
              <w:t>0.06</w:t>
            </w:r>
          </w:p>
        </w:tc>
        <w:tc>
          <w:tcPr>
            <w:tcW w:w="992" w:type="dxa"/>
            <w:shd w:val="clear" w:color="auto" w:fill="auto"/>
            <w:noWrap/>
            <w:vAlign w:val="center"/>
            <w:hideMark/>
          </w:tcPr>
          <w:p w14:paraId="600FCBDB" w14:textId="77777777" w:rsidR="000C3DD7" w:rsidRPr="00E14268" w:rsidRDefault="000C3DD7" w:rsidP="00F73AB2">
            <w:pPr>
              <w:keepLines/>
              <w:snapToGrid w:val="0"/>
              <w:spacing w:line="240" w:lineRule="exact"/>
              <w:rPr>
                <w:sz w:val="20"/>
                <w:szCs w:val="20"/>
              </w:rPr>
            </w:pPr>
            <w:r w:rsidRPr="00E14268">
              <w:rPr>
                <w:sz w:val="20"/>
                <w:szCs w:val="20"/>
              </w:rPr>
              <w:t>0.19</w:t>
            </w:r>
          </w:p>
        </w:tc>
      </w:tr>
    </w:tbl>
    <w:p w14:paraId="457A6A9B" w14:textId="77777777" w:rsidR="0039064A" w:rsidRDefault="0039064A" w:rsidP="00F82681">
      <w:pPr>
        <w:pStyle w:val="text"/>
        <w:spacing w:beforeLines="50" w:before="180"/>
      </w:pPr>
      <w:bookmarkStart w:id="8" w:name="_Hlk147756999"/>
      <w:r>
        <w:t>An examination of all panels in Table 5 reveals that the number of horizontal M&amp;As is lower than that of diversified M&amp;As in our sample. By comparing the average numbers across all types of recommendations, we find no significant differences between horizontal and diversified M&amp;As. However, it is noteworthy that diversified M&amp;As tend to receive more buy recommendations on average than horizontal M&amp;As, as evident in Panels A, B, and C. Nonetheless, these differences are not statistically significant enough to draw systematic conclusions about the relationship between analyst recommendations and the types of M&amp;A transactions.</w:t>
      </w:r>
    </w:p>
    <w:p w14:paraId="5320BD06" w14:textId="77777777" w:rsidR="0039064A" w:rsidRDefault="0039064A" w:rsidP="00324F2F">
      <w:pPr>
        <w:pStyle w:val="text"/>
      </w:pPr>
      <w:r>
        <w:t>Furthermore, our analysis shows that horizontal M&amp;As receive more strong sell recommendations on average compared to diversified M&amp;As. However, based on the cumulative results presented in Table 5, we cannot find compelling evidence to support the second research hypothesis, which posits a relationship between analyst recommendations and the types of M&amp;A transactions (horizontal versus diversified).</w:t>
      </w:r>
    </w:p>
    <w:p w14:paraId="6C091F27" w14:textId="77777777" w:rsidR="0039064A" w:rsidRDefault="0039064A" w:rsidP="00324F2F">
      <w:pPr>
        <w:pStyle w:val="text"/>
      </w:pPr>
      <w:r>
        <w:lastRenderedPageBreak/>
        <w:t>The absence of significant differences in analyst recommendations between horizontal and diversified M&amp;As suggests that analysts may not perceive a substantial distinction in terms of the potential value creation or risk profiles associated with these two types of transactions. Alternatively, it is possible that analysts' industry expertise and familiarity with the acquirer's core business do not significantly influence their recommendations in the context of M&amp;A transactions.</w:t>
      </w:r>
    </w:p>
    <w:p w14:paraId="68613343" w14:textId="77777777" w:rsidR="0039064A" w:rsidRDefault="0039064A" w:rsidP="00324F2F">
      <w:pPr>
        <w:pStyle w:val="text"/>
      </w:pPr>
      <w:r>
        <w:t>It is important to acknowledge that our findings do not preclude the existence of other factors or considerations that may shape analyst recommendations for M&amp;A transactions. Additionally, the lack of supportive evidence for the second research hypothesis does not diminish the relevance of investigating the relationship between analyst recommendations and M&amp;A types. Further research and analysis may be warranted to explore this relationship in greater depth, potentially incorporating additional variables or employing alternative methodological approaches.</w:t>
      </w:r>
    </w:p>
    <w:p w14:paraId="07A6603A" w14:textId="1D0C2BB0" w:rsidR="000C3DD7" w:rsidRPr="00353396" w:rsidRDefault="0039064A" w:rsidP="00324F2F">
      <w:pPr>
        <w:pStyle w:val="text"/>
      </w:pPr>
      <w:r>
        <w:t>Ultimately, while our current analysis does not yield conclusive evidence regarding the influence of M&amp;A types on analyst recommendations, it provides valuable insights and lays the foundation for future research endeavors in this area.</w:t>
      </w:r>
    </w:p>
    <w:bookmarkEnd w:id="8"/>
    <w:p w14:paraId="1520E1F5" w14:textId="2A08F432" w:rsidR="000C3DD7" w:rsidRPr="00353396" w:rsidRDefault="000F042B" w:rsidP="00BC3E3E">
      <w:pPr>
        <w:pStyle w:val="2"/>
      </w:pPr>
      <w:r w:rsidRPr="00353396">
        <w:t xml:space="preserve">The information content of analysts’ </w:t>
      </w:r>
      <w:r w:rsidR="009477CB" w:rsidRPr="00353396">
        <w:t>recommendations</w:t>
      </w:r>
      <w:r w:rsidRPr="00353396">
        <w:t xml:space="preserve"> </w:t>
      </w:r>
    </w:p>
    <w:p w14:paraId="436345BE" w14:textId="228A617F" w:rsidR="00FF7F30" w:rsidRDefault="00FF7F30" w:rsidP="00324F2F">
      <w:pPr>
        <w:pStyle w:val="text"/>
      </w:pPr>
      <w:bookmarkStart w:id="9" w:name="_Hlk147757018"/>
      <w:r>
        <w:t xml:space="preserve">Analysts' recommendations are intended to encapsulate various information sources, and many investors rely on these recommendations to guide their investment decisions. This section aims to test the information content of analysts' recommendations concerning the long-term market performance of acquiring firms. We employ the two-year and three-year buy-and-hold abnormal returns (BHARs) as measures of long-term market performance. Additionally, we compute a recommendation score to classify the different types of recommendations. The recommendation score is a weighted average of all recommendations for a </w:t>
      </w:r>
      <w:r w:rsidR="00707136">
        <w:t>firm</w:t>
      </w:r>
      <w:r>
        <w:t>, with weights assigned as follows: 1 for strong buy, 2 for buy, 3 for hold, 4 for sell, and 5 for strong sell recommendations. Consequently, a higher recommendation score indicates a more negative overall recommendation. Based on these scores, we classify all acquirers into three groups: low, medium, and high scores, and summarize the two-year and three-year BHARs for each group in Table 6.</w:t>
      </w:r>
    </w:p>
    <w:p w14:paraId="2EBB668D" w14:textId="6668096D" w:rsidR="00FF7F30" w:rsidRDefault="00FF7F30" w:rsidP="00324F2F">
      <w:pPr>
        <w:pStyle w:val="text"/>
      </w:pPr>
      <w:r>
        <w:t xml:space="preserve">From Panel A in Table 6, we observe that acquiring firms with higher recommendation scores exhibit better BHARs than those with lower scores, both in the two-year and three-year periods. This pattern is consistent across the mean and median values of BHARs for different recommendation score groups. This finding implies that acquirers have better long-term market performance when they receive negative recommendations before announcing M&amp;A transactions. The result suggests that the information content of analysts' recommendations prior to M&amp;A announcements does </w:t>
      </w:r>
      <w:r>
        <w:lastRenderedPageBreak/>
        <w:t>not fully incorporate the potential implications of the transactions themselves. Instead, analysts' recommendations might be based on short-term information or news rather than long-term perspectives.</w:t>
      </w:r>
      <w:r>
        <w:rPr>
          <w:rFonts w:hint="eastAsia"/>
        </w:rPr>
        <w:t xml:space="preserve"> </w:t>
      </w:r>
      <w:r>
        <w:t>The results in Panels B and C corroborate the evidence presented in Panel A, further reinforcing the observed relationship between higher (more negative) recommendation scores and better long-term market performance for acquiring firms.</w:t>
      </w:r>
    </w:p>
    <w:p w14:paraId="3E9E02B1" w14:textId="2B28EFA6" w:rsidR="00FF7F30" w:rsidRDefault="00FF7F30" w:rsidP="00324F2F">
      <w:pPr>
        <w:pStyle w:val="text"/>
      </w:pPr>
      <w:r>
        <w:t xml:space="preserve">These findings raise important questions about the ability of analysts' recommendations </w:t>
      </w:r>
      <w:r w:rsidR="002139C6">
        <w:t>to reflect the long-term implications of M&amp;A transactions accurately</w:t>
      </w:r>
      <w:r>
        <w:t xml:space="preserve">. While analysts' recommendations may incorporate short-term information and market sentiment, they appear to overlook or underestimate the potential long-term effects of M&amp;A activities on acquirer performance. This </w:t>
      </w:r>
      <w:proofErr w:type="gramStart"/>
      <w:r>
        <w:t>disconnect</w:t>
      </w:r>
      <w:proofErr w:type="gramEnd"/>
      <w:r>
        <w:t xml:space="preserve"> between analysts' recommendations and long-term market performance underscores the need for a more comprehensive and forward-looking approach </w:t>
      </w:r>
      <w:r w:rsidR="002139C6">
        <w:t>to</w:t>
      </w:r>
      <w:r>
        <w:t xml:space="preserve"> evaluating the consequences of M&amp;A transactions.</w:t>
      </w:r>
      <w:bookmarkEnd w:id="9"/>
    </w:p>
    <w:p w14:paraId="3A035AA5" w14:textId="3FAE3218" w:rsidR="000C3DD7" w:rsidRPr="00353396" w:rsidRDefault="00A21ABF" w:rsidP="00C3335D">
      <w:pPr>
        <w:pStyle w:val="3"/>
      </w:pPr>
      <w:r>
        <w:t xml:space="preserve">Table </w:t>
      </w:r>
      <w:r w:rsidR="00350966">
        <w:fldChar w:fldCharType="begin"/>
      </w:r>
      <w:r w:rsidR="00350966">
        <w:instrText xml:space="preserve"> SEQ Table \* ARABIC </w:instrText>
      </w:r>
      <w:r w:rsidR="00350966">
        <w:fldChar w:fldCharType="separate"/>
      </w:r>
      <w:r w:rsidR="00350966">
        <w:rPr>
          <w:noProof/>
        </w:rPr>
        <w:t>6</w:t>
      </w:r>
      <w:r w:rsidR="00350966">
        <w:rPr>
          <w:noProof/>
        </w:rPr>
        <w:fldChar w:fldCharType="end"/>
      </w:r>
      <w:r>
        <w:rPr>
          <w:rFonts w:hint="eastAsia"/>
        </w:rPr>
        <w:t>.</w:t>
      </w:r>
      <w:r w:rsidR="00F73AB2">
        <w:t xml:space="preserve"> </w:t>
      </w:r>
      <w:r w:rsidR="000C3DD7" w:rsidRPr="00353396">
        <w:t>BHAR after M&amp;A</w:t>
      </w:r>
    </w:p>
    <w:p w14:paraId="2DB93838" w14:textId="55F4EB12" w:rsidR="000C3DD7" w:rsidRPr="00353396" w:rsidRDefault="00F27D10" w:rsidP="00C3335D">
      <w:pPr>
        <w:pStyle w:val="table-note"/>
        <w:rPr>
          <w:szCs w:val="24"/>
        </w:rPr>
      </w:pPr>
      <w:r w:rsidRPr="00353396">
        <w:t xml:space="preserve">The table reports the mean and median of two-year and three-year buy-and-hold abnormal returns (BHARs) with respect to different recommendation scores. The recommendation score is the weighted average of all recommendations of a </w:t>
      </w:r>
      <w:r w:rsidR="00707136">
        <w:t>firm</w:t>
      </w:r>
      <w:r w:rsidRPr="00353396">
        <w:t xml:space="preserve"> and the weight is 1 for strong buy, 2 for buy, 3 for hold, 4 for sell, and 5 for strong sell recommendations. </w:t>
      </w:r>
      <w:r w:rsidR="003607FD">
        <w:t>We</w:t>
      </w:r>
      <w:r w:rsidRPr="00353396">
        <w:t xml:space="preserve"> classify the recommendation scores into three groups: low, medium, and high. Panel A, B, and C are the </w:t>
      </w:r>
      <w:proofErr w:type="gramStart"/>
      <w:r w:rsidRPr="00353396">
        <w:t>30, 60, and 90 days</w:t>
      </w:r>
      <w:proofErr w:type="gramEnd"/>
      <w:r w:rsidRPr="00353396">
        <w:t xml:space="preserve"> windows before the announcement of M&amp;As respectively. </w:t>
      </w:r>
    </w:p>
    <w:tbl>
      <w:tblPr>
        <w:tblW w:w="8269" w:type="dxa"/>
        <w:tblBorders>
          <w:top w:val="single" w:sz="4" w:space="0" w:color="auto"/>
          <w:bottom w:val="single" w:sz="4" w:space="0" w:color="auto"/>
        </w:tblBorders>
        <w:tblCellMar>
          <w:left w:w="28" w:type="dxa"/>
          <w:right w:w="28" w:type="dxa"/>
        </w:tblCellMar>
        <w:tblLook w:val="04A0" w:firstRow="1" w:lastRow="0" w:firstColumn="1" w:lastColumn="0" w:noHBand="0" w:noVBand="1"/>
      </w:tblPr>
      <w:tblGrid>
        <w:gridCol w:w="2570"/>
        <w:gridCol w:w="832"/>
        <w:gridCol w:w="946"/>
        <w:gridCol w:w="897"/>
        <w:gridCol w:w="284"/>
        <w:gridCol w:w="800"/>
        <w:gridCol w:w="960"/>
        <w:gridCol w:w="960"/>
        <w:gridCol w:w="20"/>
      </w:tblGrid>
      <w:tr w:rsidR="000C3DD7" w:rsidRPr="002139C6" w14:paraId="054020B3" w14:textId="77777777" w:rsidTr="00F73AB2">
        <w:trPr>
          <w:gridAfter w:val="1"/>
          <w:wAfter w:w="20" w:type="dxa"/>
          <w:cantSplit/>
          <w:trHeight w:val="340"/>
          <w:tblHeader/>
        </w:trPr>
        <w:tc>
          <w:tcPr>
            <w:tcW w:w="8249" w:type="dxa"/>
            <w:gridSpan w:val="8"/>
            <w:tcBorders>
              <w:top w:val="single" w:sz="4" w:space="0" w:color="auto"/>
              <w:bottom w:val="single" w:sz="4" w:space="0" w:color="auto"/>
            </w:tcBorders>
            <w:shd w:val="clear" w:color="auto" w:fill="auto"/>
            <w:noWrap/>
            <w:vAlign w:val="center"/>
            <w:hideMark/>
          </w:tcPr>
          <w:p w14:paraId="35AE92BD" w14:textId="77777777" w:rsidR="000C3DD7" w:rsidRPr="002139C6" w:rsidRDefault="000C3DD7" w:rsidP="00F73AB2">
            <w:pPr>
              <w:keepLines/>
              <w:snapToGrid w:val="0"/>
              <w:spacing w:line="240" w:lineRule="exact"/>
              <w:rPr>
                <w:rFonts w:eastAsia="Times New Roman"/>
                <w:sz w:val="20"/>
                <w:szCs w:val="20"/>
              </w:rPr>
            </w:pPr>
            <w:r w:rsidRPr="002139C6">
              <w:rPr>
                <w:sz w:val="20"/>
                <w:szCs w:val="20"/>
              </w:rPr>
              <w:t>Panel A. Recommendation 30 days before M&amp;As</w:t>
            </w:r>
          </w:p>
        </w:tc>
      </w:tr>
      <w:tr w:rsidR="000C3DD7" w:rsidRPr="002139C6" w14:paraId="20965BBC" w14:textId="77777777" w:rsidTr="00F73AB2">
        <w:trPr>
          <w:cantSplit/>
          <w:trHeight w:val="340"/>
          <w:tblHeader/>
        </w:trPr>
        <w:tc>
          <w:tcPr>
            <w:tcW w:w="2570" w:type="dxa"/>
            <w:shd w:val="clear" w:color="auto" w:fill="auto"/>
            <w:noWrap/>
            <w:vAlign w:val="center"/>
            <w:hideMark/>
          </w:tcPr>
          <w:p w14:paraId="083323CF" w14:textId="77777777" w:rsidR="000C3DD7" w:rsidRPr="002139C6" w:rsidRDefault="000C3DD7" w:rsidP="00F73AB2">
            <w:pPr>
              <w:keepLines/>
              <w:snapToGrid w:val="0"/>
              <w:spacing w:line="240" w:lineRule="exact"/>
              <w:rPr>
                <w:sz w:val="20"/>
                <w:szCs w:val="20"/>
              </w:rPr>
            </w:pPr>
          </w:p>
        </w:tc>
        <w:tc>
          <w:tcPr>
            <w:tcW w:w="2675" w:type="dxa"/>
            <w:gridSpan w:val="3"/>
            <w:shd w:val="clear" w:color="auto" w:fill="auto"/>
            <w:noWrap/>
            <w:vAlign w:val="center"/>
            <w:hideMark/>
          </w:tcPr>
          <w:p w14:paraId="2CF17931" w14:textId="16149F79" w:rsidR="000C3DD7" w:rsidRPr="002139C6" w:rsidRDefault="000C3DD7" w:rsidP="00F73AB2">
            <w:pPr>
              <w:keepLines/>
              <w:snapToGrid w:val="0"/>
              <w:spacing w:line="240" w:lineRule="exact"/>
              <w:rPr>
                <w:rFonts w:eastAsia="Times New Roman"/>
                <w:sz w:val="20"/>
                <w:szCs w:val="20"/>
              </w:rPr>
            </w:pPr>
            <w:r w:rsidRPr="002139C6">
              <w:rPr>
                <w:sz w:val="20"/>
                <w:szCs w:val="20"/>
              </w:rPr>
              <w:t>Two year</w:t>
            </w:r>
            <w:r w:rsidR="00F82681">
              <w:rPr>
                <w:sz w:val="20"/>
                <w:szCs w:val="20"/>
              </w:rPr>
              <w:t>s</w:t>
            </w:r>
          </w:p>
        </w:tc>
        <w:tc>
          <w:tcPr>
            <w:tcW w:w="284" w:type="dxa"/>
            <w:shd w:val="clear" w:color="auto" w:fill="auto"/>
            <w:noWrap/>
            <w:vAlign w:val="center"/>
            <w:hideMark/>
          </w:tcPr>
          <w:p w14:paraId="46C32118" w14:textId="77777777" w:rsidR="000C3DD7" w:rsidRPr="002139C6" w:rsidRDefault="000C3DD7" w:rsidP="00F73AB2">
            <w:pPr>
              <w:keepLines/>
              <w:snapToGrid w:val="0"/>
              <w:spacing w:line="240" w:lineRule="exact"/>
              <w:rPr>
                <w:sz w:val="20"/>
                <w:szCs w:val="20"/>
              </w:rPr>
            </w:pPr>
          </w:p>
        </w:tc>
        <w:tc>
          <w:tcPr>
            <w:tcW w:w="2740" w:type="dxa"/>
            <w:gridSpan w:val="4"/>
            <w:shd w:val="clear" w:color="auto" w:fill="auto"/>
            <w:noWrap/>
            <w:vAlign w:val="center"/>
            <w:hideMark/>
          </w:tcPr>
          <w:p w14:paraId="46D97CD2" w14:textId="1F9AF0CD" w:rsidR="000C3DD7" w:rsidRPr="002139C6" w:rsidRDefault="000C3DD7" w:rsidP="00F73AB2">
            <w:pPr>
              <w:keepLines/>
              <w:snapToGrid w:val="0"/>
              <w:spacing w:line="240" w:lineRule="exact"/>
              <w:rPr>
                <w:sz w:val="20"/>
                <w:szCs w:val="20"/>
              </w:rPr>
            </w:pPr>
            <w:r w:rsidRPr="002139C6">
              <w:rPr>
                <w:sz w:val="20"/>
                <w:szCs w:val="20"/>
              </w:rPr>
              <w:t>Three year</w:t>
            </w:r>
            <w:r w:rsidR="00F82681">
              <w:rPr>
                <w:sz w:val="20"/>
                <w:szCs w:val="20"/>
              </w:rPr>
              <w:t>s</w:t>
            </w:r>
          </w:p>
        </w:tc>
      </w:tr>
      <w:tr w:rsidR="000C3DD7" w:rsidRPr="002139C6" w14:paraId="611F5393" w14:textId="77777777" w:rsidTr="00F73AB2">
        <w:trPr>
          <w:gridAfter w:val="1"/>
          <w:wAfter w:w="20" w:type="dxa"/>
          <w:cantSplit/>
          <w:trHeight w:val="340"/>
          <w:tblHeader/>
        </w:trPr>
        <w:tc>
          <w:tcPr>
            <w:tcW w:w="2570" w:type="dxa"/>
            <w:shd w:val="clear" w:color="auto" w:fill="auto"/>
            <w:noWrap/>
            <w:vAlign w:val="center"/>
            <w:hideMark/>
          </w:tcPr>
          <w:p w14:paraId="4349EDCC" w14:textId="77777777" w:rsidR="000C3DD7" w:rsidRPr="002139C6" w:rsidRDefault="000C3DD7" w:rsidP="00F73AB2">
            <w:pPr>
              <w:keepLines/>
              <w:snapToGrid w:val="0"/>
              <w:spacing w:line="240" w:lineRule="exact"/>
              <w:rPr>
                <w:sz w:val="20"/>
                <w:szCs w:val="20"/>
              </w:rPr>
            </w:pPr>
            <w:r w:rsidRPr="002139C6">
              <w:rPr>
                <w:sz w:val="20"/>
                <w:szCs w:val="20"/>
              </w:rPr>
              <w:t>Recommendation score</w:t>
            </w:r>
          </w:p>
        </w:tc>
        <w:tc>
          <w:tcPr>
            <w:tcW w:w="832" w:type="dxa"/>
            <w:shd w:val="clear" w:color="auto" w:fill="auto"/>
            <w:noWrap/>
            <w:vAlign w:val="center"/>
            <w:hideMark/>
          </w:tcPr>
          <w:p w14:paraId="06349549" w14:textId="77777777" w:rsidR="000C3DD7" w:rsidRPr="002139C6" w:rsidRDefault="000C3DD7" w:rsidP="00F73AB2">
            <w:pPr>
              <w:keepLines/>
              <w:snapToGrid w:val="0"/>
              <w:spacing w:line="240" w:lineRule="exact"/>
              <w:rPr>
                <w:sz w:val="20"/>
                <w:szCs w:val="20"/>
              </w:rPr>
            </w:pPr>
            <w:r w:rsidRPr="002139C6">
              <w:rPr>
                <w:sz w:val="20"/>
                <w:szCs w:val="20"/>
              </w:rPr>
              <w:t>Low</w:t>
            </w:r>
          </w:p>
        </w:tc>
        <w:tc>
          <w:tcPr>
            <w:tcW w:w="946" w:type="dxa"/>
            <w:shd w:val="clear" w:color="auto" w:fill="auto"/>
            <w:noWrap/>
            <w:vAlign w:val="center"/>
            <w:hideMark/>
          </w:tcPr>
          <w:p w14:paraId="2A4FD3C2" w14:textId="77777777" w:rsidR="000C3DD7" w:rsidRPr="002139C6" w:rsidRDefault="000C3DD7" w:rsidP="00F73AB2">
            <w:pPr>
              <w:keepLines/>
              <w:snapToGrid w:val="0"/>
              <w:spacing w:line="240" w:lineRule="exact"/>
              <w:rPr>
                <w:sz w:val="20"/>
                <w:szCs w:val="20"/>
              </w:rPr>
            </w:pPr>
            <w:r w:rsidRPr="002139C6">
              <w:rPr>
                <w:sz w:val="20"/>
                <w:szCs w:val="20"/>
              </w:rPr>
              <w:t>Medium</w:t>
            </w:r>
          </w:p>
        </w:tc>
        <w:tc>
          <w:tcPr>
            <w:tcW w:w="897" w:type="dxa"/>
            <w:shd w:val="clear" w:color="auto" w:fill="auto"/>
            <w:noWrap/>
            <w:vAlign w:val="center"/>
            <w:hideMark/>
          </w:tcPr>
          <w:p w14:paraId="537B82D5" w14:textId="77777777" w:rsidR="000C3DD7" w:rsidRPr="002139C6" w:rsidRDefault="000C3DD7" w:rsidP="00F73AB2">
            <w:pPr>
              <w:keepLines/>
              <w:snapToGrid w:val="0"/>
              <w:spacing w:line="240" w:lineRule="exact"/>
              <w:rPr>
                <w:sz w:val="20"/>
                <w:szCs w:val="20"/>
              </w:rPr>
            </w:pPr>
            <w:r w:rsidRPr="002139C6">
              <w:rPr>
                <w:sz w:val="20"/>
                <w:szCs w:val="20"/>
              </w:rPr>
              <w:t>High</w:t>
            </w:r>
          </w:p>
        </w:tc>
        <w:tc>
          <w:tcPr>
            <w:tcW w:w="284" w:type="dxa"/>
            <w:shd w:val="clear" w:color="auto" w:fill="auto"/>
            <w:noWrap/>
            <w:vAlign w:val="center"/>
            <w:hideMark/>
          </w:tcPr>
          <w:p w14:paraId="4456F88D" w14:textId="77777777" w:rsidR="000C3DD7" w:rsidRPr="002139C6" w:rsidRDefault="000C3DD7" w:rsidP="00F73AB2">
            <w:pPr>
              <w:keepLines/>
              <w:snapToGrid w:val="0"/>
              <w:spacing w:line="240" w:lineRule="exact"/>
              <w:rPr>
                <w:sz w:val="20"/>
                <w:szCs w:val="20"/>
              </w:rPr>
            </w:pPr>
          </w:p>
        </w:tc>
        <w:tc>
          <w:tcPr>
            <w:tcW w:w="800" w:type="dxa"/>
            <w:shd w:val="clear" w:color="auto" w:fill="auto"/>
            <w:noWrap/>
            <w:vAlign w:val="center"/>
            <w:hideMark/>
          </w:tcPr>
          <w:p w14:paraId="578A0486" w14:textId="77777777" w:rsidR="000C3DD7" w:rsidRPr="002139C6" w:rsidRDefault="000C3DD7" w:rsidP="00F73AB2">
            <w:pPr>
              <w:keepLines/>
              <w:snapToGrid w:val="0"/>
              <w:spacing w:line="240" w:lineRule="exact"/>
              <w:rPr>
                <w:sz w:val="20"/>
                <w:szCs w:val="20"/>
              </w:rPr>
            </w:pPr>
            <w:r w:rsidRPr="002139C6">
              <w:rPr>
                <w:sz w:val="20"/>
                <w:szCs w:val="20"/>
              </w:rPr>
              <w:t>Low</w:t>
            </w:r>
          </w:p>
        </w:tc>
        <w:tc>
          <w:tcPr>
            <w:tcW w:w="960" w:type="dxa"/>
            <w:shd w:val="clear" w:color="auto" w:fill="auto"/>
            <w:noWrap/>
            <w:vAlign w:val="center"/>
            <w:hideMark/>
          </w:tcPr>
          <w:p w14:paraId="64DC7792" w14:textId="77777777" w:rsidR="000C3DD7" w:rsidRPr="002139C6" w:rsidRDefault="000C3DD7" w:rsidP="00F73AB2">
            <w:pPr>
              <w:keepLines/>
              <w:snapToGrid w:val="0"/>
              <w:spacing w:line="240" w:lineRule="exact"/>
              <w:rPr>
                <w:sz w:val="20"/>
                <w:szCs w:val="20"/>
              </w:rPr>
            </w:pPr>
            <w:r w:rsidRPr="002139C6">
              <w:rPr>
                <w:sz w:val="20"/>
                <w:szCs w:val="20"/>
              </w:rPr>
              <w:t>Medium</w:t>
            </w:r>
          </w:p>
        </w:tc>
        <w:tc>
          <w:tcPr>
            <w:tcW w:w="960" w:type="dxa"/>
            <w:shd w:val="clear" w:color="auto" w:fill="auto"/>
            <w:noWrap/>
            <w:vAlign w:val="center"/>
            <w:hideMark/>
          </w:tcPr>
          <w:p w14:paraId="78E415A5" w14:textId="77777777" w:rsidR="000C3DD7" w:rsidRPr="002139C6" w:rsidRDefault="000C3DD7" w:rsidP="00F73AB2">
            <w:pPr>
              <w:keepLines/>
              <w:snapToGrid w:val="0"/>
              <w:spacing w:line="240" w:lineRule="exact"/>
              <w:rPr>
                <w:sz w:val="20"/>
                <w:szCs w:val="20"/>
              </w:rPr>
            </w:pPr>
            <w:r w:rsidRPr="002139C6">
              <w:rPr>
                <w:sz w:val="20"/>
                <w:szCs w:val="20"/>
              </w:rPr>
              <w:t>High</w:t>
            </w:r>
          </w:p>
        </w:tc>
      </w:tr>
      <w:tr w:rsidR="000C3DD7" w:rsidRPr="002139C6" w14:paraId="0F4B303B" w14:textId="77777777" w:rsidTr="00F73AB2">
        <w:trPr>
          <w:gridAfter w:val="1"/>
          <w:wAfter w:w="20" w:type="dxa"/>
          <w:cantSplit/>
          <w:trHeight w:val="340"/>
          <w:tblHeader/>
        </w:trPr>
        <w:tc>
          <w:tcPr>
            <w:tcW w:w="2570" w:type="dxa"/>
            <w:shd w:val="clear" w:color="auto" w:fill="auto"/>
            <w:noWrap/>
            <w:vAlign w:val="center"/>
            <w:hideMark/>
          </w:tcPr>
          <w:p w14:paraId="09D61954" w14:textId="77777777" w:rsidR="000C3DD7" w:rsidRPr="002139C6" w:rsidRDefault="000C3DD7" w:rsidP="00F73AB2">
            <w:pPr>
              <w:keepLines/>
              <w:snapToGrid w:val="0"/>
              <w:spacing w:line="240" w:lineRule="exact"/>
              <w:rPr>
                <w:sz w:val="20"/>
                <w:szCs w:val="20"/>
              </w:rPr>
            </w:pPr>
            <w:r w:rsidRPr="002139C6">
              <w:rPr>
                <w:sz w:val="20"/>
                <w:szCs w:val="20"/>
              </w:rPr>
              <w:t>Mean</w:t>
            </w:r>
          </w:p>
        </w:tc>
        <w:tc>
          <w:tcPr>
            <w:tcW w:w="832" w:type="dxa"/>
            <w:shd w:val="clear" w:color="auto" w:fill="auto"/>
            <w:noWrap/>
            <w:vAlign w:val="center"/>
            <w:hideMark/>
          </w:tcPr>
          <w:p w14:paraId="759666B5" w14:textId="77777777" w:rsidR="000C3DD7" w:rsidRPr="002139C6" w:rsidRDefault="000C3DD7" w:rsidP="00F73AB2">
            <w:pPr>
              <w:keepLines/>
              <w:snapToGrid w:val="0"/>
              <w:spacing w:line="240" w:lineRule="exact"/>
              <w:rPr>
                <w:sz w:val="20"/>
                <w:szCs w:val="20"/>
              </w:rPr>
            </w:pPr>
            <w:r w:rsidRPr="002139C6">
              <w:rPr>
                <w:sz w:val="20"/>
                <w:szCs w:val="20"/>
              </w:rPr>
              <w:t>-0.386</w:t>
            </w:r>
          </w:p>
        </w:tc>
        <w:tc>
          <w:tcPr>
            <w:tcW w:w="946" w:type="dxa"/>
            <w:shd w:val="clear" w:color="auto" w:fill="auto"/>
            <w:noWrap/>
            <w:vAlign w:val="center"/>
            <w:hideMark/>
          </w:tcPr>
          <w:p w14:paraId="25EF1AA0" w14:textId="77777777" w:rsidR="000C3DD7" w:rsidRPr="002139C6" w:rsidRDefault="000C3DD7" w:rsidP="00F73AB2">
            <w:pPr>
              <w:keepLines/>
              <w:snapToGrid w:val="0"/>
              <w:spacing w:line="240" w:lineRule="exact"/>
              <w:rPr>
                <w:sz w:val="20"/>
                <w:szCs w:val="20"/>
              </w:rPr>
            </w:pPr>
            <w:r w:rsidRPr="002139C6">
              <w:rPr>
                <w:sz w:val="20"/>
                <w:szCs w:val="20"/>
              </w:rPr>
              <w:t>-0.141</w:t>
            </w:r>
          </w:p>
        </w:tc>
        <w:tc>
          <w:tcPr>
            <w:tcW w:w="897" w:type="dxa"/>
            <w:shd w:val="clear" w:color="auto" w:fill="auto"/>
            <w:noWrap/>
            <w:vAlign w:val="center"/>
            <w:hideMark/>
          </w:tcPr>
          <w:p w14:paraId="60DD431D" w14:textId="77777777" w:rsidR="000C3DD7" w:rsidRPr="002139C6" w:rsidRDefault="000C3DD7" w:rsidP="00F73AB2">
            <w:pPr>
              <w:keepLines/>
              <w:snapToGrid w:val="0"/>
              <w:spacing w:line="240" w:lineRule="exact"/>
              <w:rPr>
                <w:sz w:val="20"/>
                <w:szCs w:val="20"/>
              </w:rPr>
            </w:pPr>
            <w:r w:rsidRPr="002139C6">
              <w:rPr>
                <w:sz w:val="20"/>
                <w:szCs w:val="20"/>
              </w:rPr>
              <w:t>-0.114</w:t>
            </w:r>
          </w:p>
        </w:tc>
        <w:tc>
          <w:tcPr>
            <w:tcW w:w="284" w:type="dxa"/>
            <w:shd w:val="clear" w:color="auto" w:fill="auto"/>
            <w:noWrap/>
            <w:vAlign w:val="center"/>
            <w:hideMark/>
          </w:tcPr>
          <w:p w14:paraId="2364AB52" w14:textId="34375C62" w:rsidR="000C3DD7" w:rsidRPr="002139C6" w:rsidRDefault="000C3DD7" w:rsidP="00F73AB2">
            <w:pPr>
              <w:keepLines/>
              <w:snapToGrid w:val="0"/>
              <w:spacing w:line="240" w:lineRule="exact"/>
              <w:rPr>
                <w:sz w:val="20"/>
                <w:szCs w:val="20"/>
              </w:rPr>
            </w:pPr>
          </w:p>
        </w:tc>
        <w:tc>
          <w:tcPr>
            <w:tcW w:w="800" w:type="dxa"/>
            <w:shd w:val="clear" w:color="auto" w:fill="auto"/>
            <w:noWrap/>
            <w:vAlign w:val="center"/>
            <w:hideMark/>
          </w:tcPr>
          <w:p w14:paraId="680D1EF6" w14:textId="77777777" w:rsidR="000C3DD7" w:rsidRPr="002139C6" w:rsidRDefault="000C3DD7" w:rsidP="00F73AB2">
            <w:pPr>
              <w:keepLines/>
              <w:snapToGrid w:val="0"/>
              <w:spacing w:line="240" w:lineRule="exact"/>
              <w:rPr>
                <w:sz w:val="20"/>
                <w:szCs w:val="20"/>
              </w:rPr>
            </w:pPr>
            <w:r w:rsidRPr="002139C6">
              <w:rPr>
                <w:sz w:val="20"/>
                <w:szCs w:val="20"/>
              </w:rPr>
              <w:t>-0.576</w:t>
            </w:r>
          </w:p>
        </w:tc>
        <w:tc>
          <w:tcPr>
            <w:tcW w:w="960" w:type="dxa"/>
            <w:shd w:val="clear" w:color="auto" w:fill="auto"/>
            <w:noWrap/>
            <w:vAlign w:val="center"/>
            <w:hideMark/>
          </w:tcPr>
          <w:p w14:paraId="5A69A9B8" w14:textId="77777777" w:rsidR="000C3DD7" w:rsidRPr="002139C6" w:rsidRDefault="000C3DD7" w:rsidP="00F73AB2">
            <w:pPr>
              <w:keepLines/>
              <w:snapToGrid w:val="0"/>
              <w:spacing w:line="240" w:lineRule="exact"/>
              <w:rPr>
                <w:sz w:val="20"/>
                <w:szCs w:val="20"/>
              </w:rPr>
            </w:pPr>
            <w:r w:rsidRPr="002139C6">
              <w:rPr>
                <w:sz w:val="20"/>
                <w:szCs w:val="20"/>
              </w:rPr>
              <w:t>-0.237</w:t>
            </w:r>
          </w:p>
        </w:tc>
        <w:tc>
          <w:tcPr>
            <w:tcW w:w="960" w:type="dxa"/>
            <w:shd w:val="clear" w:color="auto" w:fill="auto"/>
            <w:noWrap/>
            <w:vAlign w:val="center"/>
            <w:hideMark/>
          </w:tcPr>
          <w:p w14:paraId="22A0D655" w14:textId="77777777" w:rsidR="000C3DD7" w:rsidRPr="002139C6" w:rsidRDefault="000C3DD7" w:rsidP="00F73AB2">
            <w:pPr>
              <w:keepLines/>
              <w:snapToGrid w:val="0"/>
              <w:spacing w:line="240" w:lineRule="exact"/>
              <w:rPr>
                <w:sz w:val="20"/>
                <w:szCs w:val="20"/>
              </w:rPr>
            </w:pPr>
            <w:r w:rsidRPr="002139C6">
              <w:rPr>
                <w:sz w:val="20"/>
                <w:szCs w:val="20"/>
              </w:rPr>
              <w:t>-0.153</w:t>
            </w:r>
          </w:p>
        </w:tc>
      </w:tr>
      <w:tr w:rsidR="000C3DD7" w:rsidRPr="002139C6" w14:paraId="55D13655" w14:textId="77777777" w:rsidTr="00F73AB2">
        <w:trPr>
          <w:gridAfter w:val="1"/>
          <w:wAfter w:w="20" w:type="dxa"/>
          <w:cantSplit/>
          <w:trHeight w:val="340"/>
          <w:tblHeader/>
        </w:trPr>
        <w:tc>
          <w:tcPr>
            <w:tcW w:w="2570" w:type="dxa"/>
            <w:tcBorders>
              <w:bottom w:val="single" w:sz="4" w:space="0" w:color="auto"/>
            </w:tcBorders>
            <w:shd w:val="clear" w:color="auto" w:fill="auto"/>
            <w:noWrap/>
            <w:vAlign w:val="center"/>
            <w:hideMark/>
          </w:tcPr>
          <w:p w14:paraId="5286077F" w14:textId="77777777" w:rsidR="000C3DD7" w:rsidRPr="002139C6" w:rsidRDefault="000C3DD7" w:rsidP="00F73AB2">
            <w:pPr>
              <w:keepLines/>
              <w:snapToGrid w:val="0"/>
              <w:spacing w:line="240" w:lineRule="exact"/>
              <w:rPr>
                <w:sz w:val="20"/>
                <w:szCs w:val="20"/>
              </w:rPr>
            </w:pPr>
            <w:r w:rsidRPr="002139C6">
              <w:rPr>
                <w:sz w:val="20"/>
                <w:szCs w:val="20"/>
              </w:rPr>
              <w:t>Median</w:t>
            </w:r>
          </w:p>
        </w:tc>
        <w:tc>
          <w:tcPr>
            <w:tcW w:w="832" w:type="dxa"/>
            <w:tcBorders>
              <w:bottom w:val="single" w:sz="4" w:space="0" w:color="auto"/>
            </w:tcBorders>
            <w:shd w:val="clear" w:color="auto" w:fill="auto"/>
            <w:noWrap/>
            <w:vAlign w:val="center"/>
            <w:hideMark/>
          </w:tcPr>
          <w:p w14:paraId="7ADA7896" w14:textId="77777777" w:rsidR="000C3DD7" w:rsidRPr="002139C6" w:rsidRDefault="000C3DD7" w:rsidP="00F73AB2">
            <w:pPr>
              <w:keepLines/>
              <w:snapToGrid w:val="0"/>
              <w:spacing w:line="240" w:lineRule="exact"/>
              <w:rPr>
                <w:sz w:val="20"/>
                <w:szCs w:val="20"/>
              </w:rPr>
            </w:pPr>
            <w:r w:rsidRPr="002139C6">
              <w:rPr>
                <w:sz w:val="20"/>
                <w:szCs w:val="20"/>
              </w:rPr>
              <w:t>-0.429</w:t>
            </w:r>
          </w:p>
        </w:tc>
        <w:tc>
          <w:tcPr>
            <w:tcW w:w="946" w:type="dxa"/>
            <w:tcBorders>
              <w:bottom w:val="single" w:sz="4" w:space="0" w:color="auto"/>
            </w:tcBorders>
            <w:shd w:val="clear" w:color="auto" w:fill="auto"/>
            <w:noWrap/>
            <w:vAlign w:val="center"/>
            <w:hideMark/>
          </w:tcPr>
          <w:p w14:paraId="2A511073" w14:textId="77777777" w:rsidR="000C3DD7" w:rsidRPr="002139C6" w:rsidRDefault="000C3DD7" w:rsidP="00F73AB2">
            <w:pPr>
              <w:keepLines/>
              <w:snapToGrid w:val="0"/>
              <w:spacing w:line="240" w:lineRule="exact"/>
              <w:rPr>
                <w:sz w:val="20"/>
                <w:szCs w:val="20"/>
              </w:rPr>
            </w:pPr>
            <w:r w:rsidRPr="002139C6">
              <w:rPr>
                <w:sz w:val="20"/>
                <w:szCs w:val="20"/>
              </w:rPr>
              <w:t>-0.148</w:t>
            </w:r>
          </w:p>
        </w:tc>
        <w:tc>
          <w:tcPr>
            <w:tcW w:w="897" w:type="dxa"/>
            <w:tcBorders>
              <w:bottom w:val="single" w:sz="4" w:space="0" w:color="auto"/>
            </w:tcBorders>
            <w:shd w:val="clear" w:color="auto" w:fill="auto"/>
            <w:noWrap/>
            <w:vAlign w:val="center"/>
            <w:hideMark/>
          </w:tcPr>
          <w:p w14:paraId="02F0CC4B" w14:textId="77777777" w:rsidR="000C3DD7" w:rsidRPr="002139C6" w:rsidRDefault="000C3DD7" w:rsidP="00F73AB2">
            <w:pPr>
              <w:keepLines/>
              <w:snapToGrid w:val="0"/>
              <w:spacing w:line="240" w:lineRule="exact"/>
              <w:rPr>
                <w:sz w:val="20"/>
                <w:szCs w:val="20"/>
              </w:rPr>
            </w:pPr>
            <w:r w:rsidRPr="002139C6">
              <w:rPr>
                <w:sz w:val="20"/>
                <w:szCs w:val="20"/>
              </w:rPr>
              <w:t>-0.129</w:t>
            </w:r>
          </w:p>
        </w:tc>
        <w:tc>
          <w:tcPr>
            <w:tcW w:w="284" w:type="dxa"/>
            <w:tcBorders>
              <w:bottom w:val="single" w:sz="4" w:space="0" w:color="auto"/>
            </w:tcBorders>
            <w:shd w:val="clear" w:color="auto" w:fill="auto"/>
            <w:noWrap/>
            <w:vAlign w:val="center"/>
            <w:hideMark/>
          </w:tcPr>
          <w:p w14:paraId="6ADA1BC8" w14:textId="4ADFED59" w:rsidR="000C3DD7" w:rsidRPr="002139C6" w:rsidRDefault="000C3DD7" w:rsidP="00F73AB2">
            <w:pPr>
              <w:keepLines/>
              <w:snapToGrid w:val="0"/>
              <w:spacing w:line="240" w:lineRule="exact"/>
              <w:rPr>
                <w:sz w:val="20"/>
                <w:szCs w:val="20"/>
              </w:rPr>
            </w:pPr>
          </w:p>
        </w:tc>
        <w:tc>
          <w:tcPr>
            <w:tcW w:w="800" w:type="dxa"/>
            <w:tcBorders>
              <w:bottom w:val="single" w:sz="4" w:space="0" w:color="auto"/>
            </w:tcBorders>
            <w:shd w:val="clear" w:color="auto" w:fill="auto"/>
            <w:noWrap/>
            <w:vAlign w:val="center"/>
            <w:hideMark/>
          </w:tcPr>
          <w:p w14:paraId="4C68ACE3" w14:textId="77777777" w:rsidR="000C3DD7" w:rsidRPr="002139C6" w:rsidRDefault="000C3DD7" w:rsidP="00F73AB2">
            <w:pPr>
              <w:keepLines/>
              <w:snapToGrid w:val="0"/>
              <w:spacing w:line="240" w:lineRule="exact"/>
              <w:rPr>
                <w:sz w:val="20"/>
                <w:szCs w:val="20"/>
              </w:rPr>
            </w:pPr>
            <w:r w:rsidRPr="002139C6">
              <w:rPr>
                <w:sz w:val="20"/>
                <w:szCs w:val="20"/>
              </w:rPr>
              <w:t>-0.686</w:t>
            </w:r>
          </w:p>
        </w:tc>
        <w:tc>
          <w:tcPr>
            <w:tcW w:w="960" w:type="dxa"/>
            <w:tcBorders>
              <w:bottom w:val="single" w:sz="4" w:space="0" w:color="auto"/>
            </w:tcBorders>
            <w:shd w:val="clear" w:color="auto" w:fill="auto"/>
            <w:noWrap/>
            <w:vAlign w:val="center"/>
            <w:hideMark/>
          </w:tcPr>
          <w:p w14:paraId="66BD5A27" w14:textId="77777777" w:rsidR="000C3DD7" w:rsidRPr="002139C6" w:rsidRDefault="000C3DD7" w:rsidP="00F73AB2">
            <w:pPr>
              <w:keepLines/>
              <w:snapToGrid w:val="0"/>
              <w:spacing w:line="240" w:lineRule="exact"/>
              <w:rPr>
                <w:sz w:val="20"/>
                <w:szCs w:val="20"/>
              </w:rPr>
            </w:pPr>
            <w:r w:rsidRPr="002139C6">
              <w:rPr>
                <w:sz w:val="20"/>
                <w:szCs w:val="20"/>
              </w:rPr>
              <w:t>-0.201</w:t>
            </w:r>
          </w:p>
        </w:tc>
        <w:tc>
          <w:tcPr>
            <w:tcW w:w="960" w:type="dxa"/>
            <w:tcBorders>
              <w:bottom w:val="single" w:sz="4" w:space="0" w:color="auto"/>
            </w:tcBorders>
            <w:shd w:val="clear" w:color="auto" w:fill="auto"/>
            <w:noWrap/>
            <w:vAlign w:val="center"/>
            <w:hideMark/>
          </w:tcPr>
          <w:p w14:paraId="09387445" w14:textId="77777777" w:rsidR="000C3DD7" w:rsidRPr="002139C6" w:rsidRDefault="000C3DD7" w:rsidP="00F73AB2">
            <w:pPr>
              <w:keepLines/>
              <w:snapToGrid w:val="0"/>
              <w:spacing w:line="240" w:lineRule="exact"/>
              <w:rPr>
                <w:sz w:val="20"/>
                <w:szCs w:val="20"/>
              </w:rPr>
            </w:pPr>
            <w:r w:rsidRPr="002139C6">
              <w:rPr>
                <w:sz w:val="20"/>
                <w:szCs w:val="20"/>
              </w:rPr>
              <w:t>-0.182</w:t>
            </w:r>
          </w:p>
        </w:tc>
      </w:tr>
      <w:tr w:rsidR="000C3DD7" w:rsidRPr="002139C6" w14:paraId="63BEBBA3" w14:textId="77777777" w:rsidTr="00F73AB2">
        <w:trPr>
          <w:gridAfter w:val="1"/>
          <w:wAfter w:w="20" w:type="dxa"/>
          <w:cantSplit/>
          <w:trHeight w:val="340"/>
          <w:tblHeader/>
        </w:trPr>
        <w:tc>
          <w:tcPr>
            <w:tcW w:w="8249" w:type="dxa"/>
            <w:gridSpan w:val="8"/>
            <w:tcBorders>
              <w:top w:val="single" w:sz="4" w:space="0" w:color="auto"/>
              <w:bottom w:val="single" w:sz="4" w:space="0" w:color="auto"/>
            </w:tcBorders>
            <w:shd w:val="clear" w:color="auto" w:fill="auto"/>
            <w:noWrap/>
            <w:vAlign w:val="center"/>
            <w:hideMark/>
          </w:tcPr>
          <w:p w14:paraId="561E4EB8" w14:textId="77777777" w:rsidR="000C3DD7" w:rsidRPr="002139C6" w:rsidRDefault="000C3DD7" w:rsidP="00F73AB2">
            <w:pPr>
              <w:keepLines/>
              <w:snapToGrid w:val="0"/>
              <w:spacing w:line="240" w:lineRule="exact"/>
              <w:rPr>
                <w:rFonts w:eastAsia="Times New Roman"/>
                <w:sz w:val="20"/>
                <w:szCs w:val="20"/>
              </w:rPr>
            </w:pPr>
            <w:r w:rsidRPr="002139C6">
              <w:rPr>
                <w:sz w:val="20"/>
                <w:szCs w:val="20"/>
              </w:rPr>
              <w:t>Panel B. Recommendation 60 days before M&amp;As</w:t>
            </w:r>
          </w:p>
        </w:tc>
      </w:tr>
      <w:tr w:rsidR="000C3DD7" w:rsidRPr="002139C6" w14:paraId="4131A154" w14:textId="77777777" w:rsidTr="00F73AB2">
        <w:trPr>
          <w:gridAfter w:val="1"/>
          <w:wAfter w:w="20" w:type="dxa"/>
          <w:cantSplit/>
          <w:trHeight w:val="340"/>
          <w:tblHeader/>
        </w:trPr>
        <w:tc>
          <w:tcPr>
            <w:tcW w:w="2570" w:type="dxa"/>
            <w:tcBorders>
              <w:top w:val="single" w:sz="4" w:space="0" w:color="auto"/>
            </w:tcBorders>
            <w:shd w:val="clear" w:color="auto" w:fill="auto"/>
            <w:noWrap/>
            <w:vAlign w:val="center"/>
            <w:hideMark/>
          </w:tcPr>
          <w:p w14:paraId="27315168" w14:textId="77777777" w:rsidR="000C3DD7" w:rsidRPr="002139C6" w:rsidRDefault="000C3DD7" w:rsidP="00F73AB2">
            <w:pPr>
              <w:keepLines/>
              <w:snapToGrid w:val="0"/>
              <w:spacing w:line="240" w:lineRule="exact"/>
              <w:rPr>
                <w:sz w:val="20"/>
                <w:szCs w:val="20"/>
              </w:rPr>
            </w:pPr>
            <w:r w:rsidRPr="002139C6">
              <w:rPr>
                <w:sz w:val="20"/>
                <w:szCs w:val="20"/>
              </w:rPr>
              <w:t>Recommendation score</w:t>
            </w:r>
          </w:p>
        </w:tc>
        <w:tc>
          <w:tcPr>
            <w:tcW w:w="832" w:type="dxa"/>
            <w:tcBorders>
              <w:top w:val="single" w:sz="4" w:space="0" w:color="auto"/>
            </w:tcBorders>
            <w:shd w:val="clear" w:color="auto" w:fill="auto"/>
            <w:noWrap/>
            <w:vAlign w:val="center"/>
            <w:hideMark/>
          </w:tcPr>
          <w:p w14:paraId="2A0CB98E" w14:textId="77777777" w:rsidR="000C3DD7" w:rsidRPr="002139C6" w:rsidRDefault="000C3DD7" w:rsidP="00F73AB2">
            <w:pPr>
              <w:keepLines/>
              <w:snapToGrid w:val="0"/>
              <w:spacing w:line="240" w:lineRule="exact"/>
              <w:rPr>
                <w:sz w:val="20"/>
                <w:szCs w:val="20"/>
              </w:rPr>
            </w:pPr>
            <w:r w:rsidRPr="002139C6">
              <w:rPr>
                <w:sz w:val="20"/>
                <w:szCs w:val="20"/>
              </w:rPr>
              <w:t>Low</w:t>
            </w:r>
          </w:p>
        </w:tc>
        <w:tc>
          <w:tcPr>
            <w:tcW w:w="946" w:type="dxa"/>
            <w:tcBorders>
              <w:top w:val="single" w:sz="4" w:space="0" w:color="auto"/>
            </w:tcBorders>
            <w:shd w:val="clear" w:color="auto" w:fill="auto"/>
            <w:noWrap/>
            <w:vAlign w:val="center"/>
            <w:hideMark/>
          </w:tcPr>
          <w:p w14:paraId="45374DF5" w14:textId="77777777" w:rsidR="000C3DD7" w:rsidRPr="002139C6" w:rsidRDefault="000C3DD7" w:rsidP="00F73AB2">
            <w:pPr>
              <w:keepLines/>
              <w:snapToGrid w:val="0"/>
              <w:spacing w:line="240" w:lineRule="exact"/>
              <w:rPr>
                <w:sz w:val="20"/>
                <w:szCs w:val="20"/>
              </w:rPr>
            </w:pPr>
            <w:r w:rsidRPr="002139C6">
              <w:rPr>
                <w:sz w:val="20"/>
                <w:szCs w:val="20"/>
              </w:rPr>
              <w:t>Medium</w:t>
            </w:r>
          </w:p>
        </w:tc>
        <w:tc>
          <w:tcPr>
            <w:tcW w:w="897" w:type="dxa"/>
            <w:tcBorders>
              <w:top w:val="single" w:sz="4" w:space="0" w:color="auto"/>
            </w:tcBorders>
            <w:shd w:val="clear" w:color="auto" w:fill="auto"/>
            <w:noWrap/>
            <w:vAlign w:val="center"/>
            <w:hideMark/>
          </w:tcPr>
          <w:p w14:paraId="75B693E1" w14:textId="77777777" w:rsidR="000C3DD7" w:rsidRPr="002139C6" w:rsidRDefault="000C3DD7" w:rsidP="00F73AB2">
            <w:pPr>
              <w:keepLines/>
              <w:snapToGrid w:val="0"/>
              <w:spacing w:line="240" w:lineRule="exact"/>
              <w:rPr>
                <w:sz w:val="20"/>
                <w:szCs w:val="20"/>
              </w:rPr>
            </w:pPr>
            <w:r w:rsidRPr="002139C6">
              <w:rPr>
                <w:sz w:val="20"/>
                <w:szCs w:val="20"/>
              </w:rPr>
              <w:t>High</w:t>
            </w:r>
          </w:p>
        </w:tc>
        <w:tc>
          <w:tcPr>
            <w:tcW w:w="284" w:type="dxa"/>
            <w:tcBorders>
              <w:top w:val="single" w:sz="4" w:space="0" w:color="auto"/>
            </w:tcBorders>
            <w:shd w:val="clear" w:color="auto" w:fill="auto"/>
            <w:noWrap/>
            <w:vAlign w:val="center"/>
            <w:hideMark/>
          </w:tcPr>
          <w:p w14:paraId="785423CF" w14:textId="77777777" w:rsidR="000C3DD7" w:rsidRPr="002139C6" w:rsidRDefault="000C3DD7" w:rsidP="00F73AB2">
            <w:pPr>
              <w:keepLines/>
              <w:snapToGrid w:val="0"/>
              <w:spacing w:line="240" w:lineRule="exact"/>
              <w:rPr>
                <w:sz w:val="20"/>
                <w:szCs w:val="20"/>
              </w:rPr>
            </w:pPr>
          </w:p>
        </w:tc>
        <w:tc>
          <w:tcPr>
            <w:tcW w:w="800" w:type="dxa"/>
            <w:tcBorders>
              <w:top w:val="single" w:sz="4" w:space="0" w:color="auto"/>
            </w:tcBorders>
            <w:shd w:val="clear" w:color="auto" w:fill="auto"/>
            <w:noWrap/>
            <w:vAlign w:val="center"/>
            <w:hideMark/>
          </w:tcPr>
          <w:p w14:paraId="4EEEACD1" w14:textId="77777777" w:rsidR="000C3DD7" w:rsidRPr="002139C6" w:rsidRDefault="000C3DD7" w:rsidP="00F73AB2">
            <w:pPr>
              <w:keepLines/>
              <w:snapToGrid w:val="0"/>
              <w:spacing w:line="240" w:lineRule="exact"/>
              <w:rPr>
                <w:sz w:val="20"/>
                <w:szCs w:val="20"/>
              </w:rPr>
            </w:pPr>
            <w:r w:rsidRPr="002139C6">
              <w:rPr>
                <w:sz w:val="20"/>
                <w:szCs w:val="20"/>
              </w:rPr>
              <w:t>Low</w:t>
            </w:r>
          </w:p>
        </w:tc>
        <w:tc>
          <w:tcPr>
            <w:tcW w:w="960" w:type="dxa"/>
            <w:tcBorders>
              <w:top w:val="single" w:sz="4" w:space="0" w:color="auto"/>
            </w:tcBorders>
            <w:shd w:val="clear" w:color="auto" w:fill="auto"/>
            <w:noWrap/>
            <w:vAlign w:val="center"/>
            <w:hideMark/>
          </w:tcPr>
          <w:p w14:paraId="3568A811" w14:textId="77777777" w:rsidR="000C3DD7" w:rsidRPr="002139C6" w:rsidRDefault="000C3DD7" w:rsidP="00F73AB2">
            <w:pPr>
              <w:keepLines/>
              <w:snapToGrid w:val="0"/>
              <w:spacing w:line="240" w:lineRule="exact"/>
              <w:rPr>
                <w:sz w:val="20"/>
                <w:szCs w:val="20"/>
              </w:rPr>
            </w:pPr>
            <w:r w:rsidRPr="002139C6">
              <w:rPr>
                <w:sz w:val="20"/>
                <w:szCs w:val="20"/>
              </w:rPr>
              <w:t>Medium</w:t>
            </w:r>
          </w:p>
        </w:tc>
        <w:tc>
          <w:tcPr>
            <w:tcW w:w="960" w:type="dxa"/>
            <w:tcBorders>
              <w:top w:val="single" w:sz="4" w:space="0" w:color="auto"/>
            </w:tcBorders>
            <w:shd w:val="clear" w:color="auto" w:fill="auto"/>
            <w:noWrap/>
            <w:vAlign w:val="center"/>
            <w:hideMark/>
          </w:tcPr>
          <w:p w14:paraId="0B045B5C" w14:textId="77777777" w:rsidR="000C3DD7" w:rsidRPr="002139C6" w:rsidRDefault="000C3DD7" w:rsidP="00F73AB2">
            <w:pPr>
              <w:keepLines/>
              <w:snapToGrid w:val="0"/>
              <w:spacing w:line="240" w:lineRule="exact"/>
              <w:rPr>
                <w:sz w:val="20"/>
                <w:szCs w:val="20"/>
              </w:rPr>
            </w:pPr>
            <w:r w:rsidRPr="002139C6">
              <w:rPr>
                <w:sz w:val="20"/>
                <w:szCs w:val="20"/>
              </w:rPr>
              <w:t>High</w:t>
            </w:r>
          </w:p>
        </w:tc>
      </w:tr>
      <w:tr w:rsidR="000C3DD7" w:rsidRPr="002139C6" w14:paraId="11970DD7" w14:textId="77777777" w:rsidTr="00F73AB2">
        <w:trPr>
          <w:gridAfter w:val="1"/>
          <w:wAfter w:w="20" w:type="dxa"/>
          <w:cantSplit/>
          <w:trHeight w:val="340"/>
          <w:tblHeader/>
        </w:trPr>
        <w:tc>
          <w:tcPr>
            <w:tcW w:w="2570" w:type="dxa"/>
            <w:shd w:val="clear" w:color="auto" w:fill="auto"/>
            <w:noWrap/>
            <w:vAlign w:val="center"/>
            <w:hideMark/>
          </w:tcPr>
          <w:p w14:paraId="2806E33E" w14:textId="77777777" w:rsidR="000C3DD7" w:rsidRPr="002139C6" w:rsidRDefault="000C3DD7" w:rsidP="00F73AB2">
            <w:pPr>
              <w:keepLines/>
              <w:snapToGrid w:val="0"/>
              <w:spacing w:line="240" w:lineRule="exact"/>
              <w:rPr>
                <w:sz w:val="20"/>
                <w:szCs w:val="20"/>
              </w:rPr>
            </w:pPr>
            <w:r w:rsidRPr="002139C6">
              <w:rPr>
                <w:sz w:val="20"/>
                <w:szCs w:val="20"/>
              </w:rPr>
              <w:t>Mean</w:t>
            </w:r>
          </w:p>
        </w:tc>
        <w:tc>
          <w:tcPr>
            <w:tcW w:w="832" w:type="dxa"/>
            <w:shd w:val="clear" w:color="auto" w:fill="auto"/>
            <w:noWrap/>
            <w:vAlign w:val="center"/>
            <w:hideMark/>
          </w:tcPr>
          <w:p w14:paraId="2B487F31" w14:textId="77777777" w:rsidR="000C3DD7" w:rsidRPr="002139C6" w:rsidRDefault="000C3DD7" w:rsidP="00F73AB2">
            <w:pPr>
              <w:keepLines/>
              <w:snapToGrid w:val="0"/>
              <w:spacing w:line="240" w:lineRule="exact"/>
              <w:rPr>
                <w:sz w:val="20"/>
                <w:szCs w:val="20"/>
              </w:rPr>
            </w:pPr>
            <w:r w:rsidRPr="002139C6">
              <w:rPr>
                <w:sz w:val="20"/>
                <w:szCs w:val="20"/>
              </w:rPr>
              <w:t>-0.396</w:t>
            </w:r>
          </w:p>
        </w:tc>
        <w:tc>
          <w:tcPr>
            <w:tcW w:w="946" w:type="dxa"/>
            <w:shd w:val="clear" w:color="auto" w:fill="auto"/>
            <w:noWrap/>
            <w:vAlign w:val="center"/>
            <w:hideMark/>
          </w:tcPr>
          <w:p w14:paraId="17444116" w14:textId="77777777" w:rsidR="000C3DD7" w:rsidRPr="002139C6" w:rsidRDefault="000C3DD7" w:rsidP="00F73AB2">
            <w:pPr>
              <w:keepLines/>
              <w:snapToGrid w:val="0"/>
              <w:spacing w:line="240" w:lineRule="exact"/>
              <w:rPr>
                <w:sz w:val="20"/>
                <w:szCs w:val="20"/>
              </w:rPr>
            </w:pPr>
            <w:r w:rsidRPr="002139C6">
              <w:rPr>
                <w:sz w:val="20"/>
                <w:szCs w:val="20"/>
              </w:rPr>
              <w:t>-0.150</w:t>
            </w:r>
          </w:p>
        </w:tc>
        <w:tc>
          <w:tcPr>
            <w:tcW w:w="897" w:type="dxa"/>
            <w:shd w:val="clear" w:color="auto" w:fill="auto"/>
            <w:noWrap/>
            <w:vAlign w:val="center"/>
            <w:hideMark/>
          </w:tcPr>
          <w:p w14:paraId="3081AB01" w14:textId="77777777" w:rsidR="000C3DD7" w:rsidRPr="002139C6" w:rsidRDefault="000C3DD7" w:rsidP="00F73AB2">
            <w:pPr>
              <w:keepLines/>
              <w:snapToGrid w:val="0"/>
              <w:spacing w:line="240" w:lineRule="exact"/>
              <w:rPr>
                <w:sz w:val="20"/>
                <w:szCs w:val="20"/>
              </w:rPr>
            </w:pPr>
            <w:r w:rsidRPr="002139C6">
              <w:rPr>
                <w:sz w:val="20"/>
                <w:szCs w:val="20"/>
              </w:rPr>
              <w:t>-0.120</w:t>
            </w:r>
          </w:p>
        </w:tc>
        <w:tc>
          <w:tcPr>
            <w:tcW w:w="284" w:type="dxa"/>
            <w:shd w:val="clear" w:color="auto" w:fill="auto"/>
            <w:noWrap/>
            <w:vAlign w:val="center"/>
            <w:hideMark/>
          </w:tcPr>
          <w:p w14:paraId="798A202C" w14:textId="0BA14FB1" w:rsidR="000C3DD7" w:rsidRPr="002139C6" w:rsidRDefault="000C3DD7" w:rsidP="00F73AB2">
            <w:pPr>
              <w:keepLines/>
              <w:snapToGrid w:val="0"/>
              <w:spacing w:line="240" w:lineRule="exact"/>
              <w:rPr>
                <w:sz w:val="20"/>
                <w:szCs w:val="20"/>
              </w:rPr>
            </w:pPr>
          </w:p>
        </w:tc>
        <w:tc>
          <w:tcPr>
            <w:tcW w:w="800" w:type="dxa"/>
            <w:shd w:val="clear" w:color="auto" w:fill="auto"/>
            <w:noWrap/>
            <w:vAlign w:val="center"/>
            <w:hideMark/>
          </w:tcPr>
          <w:p w14:paraId="43013DE2" w14:textId="77777777" w:rsidR="000C3DD7" w:rsidRPr="002139C6" w:rsidRDefault="000C3DD7" w:rsidP="00F73AB2">
            <w:pPr>
              <w:keepLines/>
              <w:snapToGrid w:val="0"/>
              <w:spacing w:line="240" w:lineRule="exact"/>
              <w:rPr>
                <w:sz w:val="20"/>
                <w:szCs w:val="20"/>
              </w:rPr>
            </w:pPr>
            <w:r w:rsidRPr="002139C6">
              <w:rPr>
                <w:sz w:val="20"/>
                <w:szCs w:val="20"/>
              </w:rPr>
              <w:t>-0.616</w:t>
            </w:r>
          </w:p>
        </w:tc>
        <w:tc>
          <w:tcPr>
            <w:tcW w:w="960" w:type="dxa"/>
            <w:shd w:val="clear" w:color="auto" w:fill="auto"/>
            <w:noWrap/>
            <w:vAlign w:val="center"/>
            <w:hideMark/>
          </w:tcPr>
          <w:p w14:paraId="21AFD15C" w14:textId="77777777" w:rsidR="000C3DD7" w:rsidRPr="002139C6" w:rsidRDefault="000C3DD7" w:rsidP="00F73AB2">
            <w:pPr>
              <w:keepLines/>
              <w:snapToGrid w:val="0"/>
              <w:spacing w:line="240" w:lineRule="exact"/>
              <w:rPr>
                <w:sz w:val="20"/>
                <w:szCs w:val="20"/>
              </w:rPr>
            </w:pPr>
            <w:r w:rsidRPr="002139C6">
              <w:rPr>
                <w:sz w:val="20"/>
                <w:szCs w:val="20"/>
              </w:rPr>
              <w:t>-0.242</w:t>
            </w:r>
          </w:p>
        </w:tc>
        <w:tc>
          <w:tcPr>
            <w:tcW w:w="960" w:type="dxa"/>
            <w:shd w:val="clear" w:color="auto" w:fill="auto"/>
            <w:noWrap/>
            <w:vAlign w:val="center"/>
            <w:hideMark/>
          </w:tcPr>
          <w:p w14:paraId="70FF6A1F" w14:textId="77777777" w:rsidR="000C3DD7" w:rsidRPr="002139C6" w:rsidRDefault="000C3DD7" w:rsidP="00F73AB2">
            <w:pPr>
              <w:keepLines/>
              <w:snapToGrid w:val="0"/>
              <w:spacing w:line="240" w:lineRule="exact"/>
              <w:rPr>
                <w:sz w:val="20"/>
                <w:szCs w:val="20"/>
              </w:rPr>
            </w:pPr>
            <w:r w:rsidRPr="002139C6">
              <w:rPr>
                <w:sz w:val="20"/>
                <w:szCs w:val="20"/>
              </w:rPr>
              <w:t>-0.161</w:t>
            </w:r>
          </w:p>
        </w:tc>
      </w:tr>
      <w:tr w:rsidR="000C3DD7" w:rsidRPr="002139C6" w14:paraId="7F71FD23" w14:textId="77777777" w:rsidTr="00F73AB2">
        <w:trPr>
          <w:gridAfter w:val="1"/>
          <w:wAfter w:w="20" w:type="dxa"/>
          <w:cantSplit/>
          <w:trHeight w:val="340"/>
          <w:tblHeader/>
        </w:trPr>
        <w:tc>
          <w:tcPr>
            <w:tcW w:w="2570" w:type="dxa"/>
            <w:tcBorders>
              <w:bottom w:val="single" w:sz="4" w:space="0" w:color="auto"/>
            </w:tcBorders>
            <w:shd w:val="clear" w:color="auto" w:fill="auto"/>
            <w:noWrap/>
            <w:vAlign w:val="center"/>
            <w:hideMark/>
          </w:tcPr>
          <w:p w14:paraId="6AFABE34" w14:textId="77777777" w:rsidR="000C3DD7" w:rsidRPr="002139C6" w:rsidRDefault="000C3DD7" w:rsidP="00F73AB2">
            <w:pPr>
              <w:keepLines/>
              <w:snapToGrid w:val="0"/>
              <w:spacing w:line="240" w:lineRule="exact"/>
              <w:rPr>
                <w:sz w:val="20"/>
                <w:szCs w:val="20"/>
              </w:rPr>
            </w:pPr>
            <w:r w:rsidRPr="002139C6">
              <w:rPr>
                <w:sz w:val="20"/>
                <w:szCs w:val="20"/>
              </w:rPr>
              <w:t>Median</w:t>
            </w:r>
          </w:p>
        </w:tc>
        <w:tc>
          <w:tcPr>
            <w:tcW w:w="832" w:type="dxa"/>
            <w:tcBorders>
              <w:bottom w:val="single" w:sz="4" w:space="0" w:color="auto"/>
            </w:tcBorders>
            <w:shd w:val="clear" w:color="auto" w:fill="auto"/>
            <w:noWrap/>
            <w:vAlign w:val="center"/>
            <w:hideMark/>
          </w:tcPr>
          <w:p w14:paraId="305FCD93" w14:textId="77777777" w:rsidR="000C3DD7" w:rsidRPr="002139C6" w:rsidRDefault="000C3DD7" w:rsidP="00F73AB2">
            <w:pPr>
              <w:keepLines/>
              <w:snapToGrid w:val="0"/>
              <w:spacing w:line="240" w:lineRule="exact"/>
              <w:rPr>
                <w:sz w:val="20"/>
                <w:szCs w:val="20"/>
              </w:rPr>
            </w:pPr>
            <w:r w:rsidRPr="002139C6">
              <w:rPr>
                <w:sz w:val="20"/>
                <w:szCs w:val="20"/>
              </w:rPr>
              <w:t>-0.443</w:t>
            </w:r>
          </w:p>
        </w:tc>
        <w:tc>
          <w:tcPr>
            <w:tcW w:w="946" w:type="dxa"/>
            <w:tcBorders>
              <w:bottom w:val="single" w:sz="4" w:space="0" w:color="auto"/>
            </w:tcBorders>
            <w:shd w:val="clear" w:color="auto" w:fill="auto"/>
            <w:noWrap/>
            <w:vAlign w:val="center"/>
            <w:hideMark/>
          </w:tcPr>
          <w:p w14:paraId="665E3D78" w14:textId="77777777" w:rsidR="000C3DD7" w:rsidRPr="002139C6" w:rsidRDefault="000C3DD7" w:rsidP="00F73AB2">
            <w:pPr>
              <w:keepLines/>
              <w:snapToGrid w:val="0"/>
              <w:spacing w:line="240" w:lineRule="exact"/>
              <w:rPr>
                <w:sz w:val="20"/>
                <w:szCs w:val="20"/>
              </w:rPr>
            </w:pPr>
            <w:r w:rsidRPr="002139C6">
              <w:rPr>
                <w:sz w:val="20"/>
                <w:szCs w:val="20"/>
              </w:rPr>
              <w:t>-0.149</w:t>
            </w:r>
          </w:p>
        </w:tc>
        <w:tc>
          <w:tcPr>
            <w:tcW w:w="897" w:type="dxa"/>
            <w:tcBorders>
              <w:bottom w:val="single" w:sz="4" w:space="0" w:color="auto"/>
            </w:tcBorders>
            <w:shd w:val="clear" w:color="auto" w:fill="auto"/>
            <w:noWrap/>
            <w:vAlign w:val="center"/>
            <w:hideMark/>
          </w:tcPr>
          <w:p w14:paraId="4868FFDB" w14:textId="77777777" w:rsidR="000C3DD7" w:rsidRPr="002139C6" w:rsidRDefault="000C3DD7" w:rsidP="00F73AB2">
            <w:pPr>
              <w:keepLines/>
              <w:snapToGrid w:val="0"/>
              <w:spacing w:line="240" w:lineRule="exact"/>
              <w:rPr>
                <w:sz w:val="20"/>
                <w:szCs w:val="20"/>
              </w:rPr>
            </w:pPr>
            <w:r w:rsidRPr="002139C6">
              <w:rPr>
                <w:sz w:val="20"/>
                <w:szCs w:val="20"/>
              </w:rPr>
              <w:t>-0.138</w:t>
            </w:r>
          </w:p>
        </w:tc>
        <w:tc>
          <w:tcPr>
            <w:tcW w:w="284" w:type="dxa"/>
            <w:tcBorders>
              <w:bottom w:val="single" w:sz="4" w:space="0" w:color="auto"/>
            </w:tcBorders>
            <w:shd w:val="clear" w:color="auto" w:fill="auto"/>
            <w:noWrap/>
            <w:vAlign w:val="center"/>
            <w:hideMark/>
          </w:tcPr>
          <w:p w14:paraId="7F2C5789" w14:textId="467B0368" w:rsidR="000C3DD7" w:rsidRPr="002139C6" w:rsidRDefault="000C3DD7" w:rsidP="00F73AB2">
            <w:pPr>
              <w:keepLines/>
              <w:snapToGrid w:val="0"/>
              <w:spacing w:line="240" w:lineRule="exact"/>
              <w:rPr>
                <w:sz w:val="20"/>
                <w:szCs w:val="20"/>
              </w:rPr>
            </w:pPr>
          </w:p>
        </w:tc>
        <w:tc>
          <w:tcPr>
            <w:tcW w:w="800" w:type="dxa"/>
            <w:tcBorders>
              <w:bottom w:val="single" w:sz="4" w:space="0" w:color="auto"/>
            </w:tcBorders>
            <w:shd w:val="clear" w:color="auto" w:fill="auto"/>
            <w:noWrap/>
            <w:vAlign w:val="center"/>
            <w:hideMark/>
          </w:tcPr>
          <w:p w14:paraId="632720F2" w14:textId="77777777" w:rsidR="000C3DD7" w:rsidRPr="002139C6" w:rsidRDefault="000C3DD7" w:rsidP="00F73AB2">
            <w:pPr>
              <w:keepLines/>
              <w:snapToGrid w:val="0"/>
              <w:spacing w:line="240" w:lineRule="exact"/>
              <w:rPr>
                <w:sz w:val="20"/>
                <w:szCs w:val="20"/>
              </w:rPr>
            </w:pPr>
            <w:r w:rsidRPr="002139C6">
              <w:rPr>
                <w:sz w:val="20"/>
                <w:szCs w:val="20"/>
              </w:rPr>
              <w:t>-0.721</w:t>
            </w:r>
          </w:p>
        </w:tc>
        <w:tc>
          <w:tcPr>
            <w:tcW w:w="960" w:type="dxa"/>
            <w:tcBorders>
              <w:bottom w:val="single" w:sz="4" w:space="0" w:color="auto"/>
            </w:tcBorders>
            <w:shd w:val="clear" w:color="auto" w:fill="auto"/>
            <w:noWrap/>
            <w:vAlign w:val="center"/>
            <w:hideMark/>
          </w:tcPr>
          <w:p w14:paraId="6F27DF9E" w14:textId="77777777" w:rsidR="000C3DD7" w:rsidRPr="002139C6" w:rsidRDefault="000C3DD7" w:rsidP="00F73AB2">
            <w:pPr>
              <w:keepLines/>
              <w:snapToGrid w:val="0"/>
              <w:spacing w:line="240" w:lineRule="exact"/>
              <w:rPr>
                <w:sz w:val="20"/>
                <w:szCs w:val="20"/>
              </w:rPr>
            </w:pPr>
            <w:r w:rsidRPr="002139C6">
              <w:rPr>
                <w:sz w:val="20"/>
                <w:szCs w:val="20"/>
              </w:rPr>
              <w:t>-0.228</w:t>
            </w:r>
          </w:p>
        </w:tc>
        <w:tc>
          <w:tcPr>
            <w:tcW w:w="960" w:type="dxa"/>
            <w:tcBorders>
              <w:bottom w:val="single" w:sz="4" w:space="0" w:color="auto"/>
            </w:tcBorders>
            <w:shd w:val="clear" w:color="auto" w:fill="auto"/>
            <w:noWrap/>
            <w:vAlign w:val="center"/>
            <w:hideMark/>
          </w:tcPr>
          <w:p w14:paraId="67BAAC54" w14:textId="77777777" w:rsidR="000C3DD7" w:rsidRPr="002139C6" w:rsidRDefault="000C3DD7" w:rsidP="00F73AB2">
            <w:pPr>
              <w:keepLines/>
              <w:snapToGrid w:val="0"/>
              <w:spacing w:line="240" w:lineRule="exact"/>
              <w:rPr>
                <w:sz w:val="20"/>
                <w:szCs w:val="20"/>
              </w:rPr>
            </w:pPr>
            <w:r w:rsidRPr="002139C6">
              <w:rPr>
                <w:sz w:val="20"/>
                <w:szCs w:val="20"/>
              </w:rPr>
              <w:t>-0.181</w:t>
            </w:r>
          </w:p>
        </w:tc>
      </w:tr>
      <w:tr w:rsidR="000C3DD7" w:rsidRPr="002139C6" w14:paraId="1E47F6FC" w14:textId="77777777" w:rsidTr="00F73AB2">
        <w:trPr>
          <w:gridAfter w:val="1"/>
          <w:wAfter w:w="20" w:type="dxa"/>
          <w:cantSplit/>
          <w:trHeight w:val="340"/>
          <w:tblHeader/>
        </w:trPr>
        <w:tc>
          <w:tcPr>
            <w:tcW w:w="8249" w:type="dxa"/>
            <w:gridSpan w:val="8"/>
            <w:tcBorders>
              <w:top w:val="single" w:sz="4" w:space="0" w:color="auto"/>
              <w:left w:val="nil"/>
              <w:bottom w:val="single" w:sz="4" w:space="0" w:color="auto"/>
            </w:tcBorders>
            <w:shd w:val="clear" w:color="auto" w:fill="auto"/>
            <w:noWrap/>
            <w:vAlign w:val="center"/>
            <w:hideMark/>
          </w:tcPr>
          <w:p w14:paraId="530913C3" w14:textId="77777777" w:rsidR="000C3DD7" w:rsidRPr="002139C6" w:rsidRDefault="000C3DD7" w:rsidP="00F73AB2">
            <w:pPr>
              <w:keepLines/>
              <w:snapToGrid w:val="0"/>
              <w:spacing w:line="240" w:lineRule="exact"/>
              <w:rPr>
                <w:rFonts w:eastAsia="Times New Roman"/>
                <w:sz w:val="20"/>
                <w:szCs w:val="20"/>
              </w:rPr>
            </w:pPr>
            <w:r w:rsidRPr="002139C6">
              <w:rPr>
                <w:sz w:val="20"/>
                <w:szCs w:val="20"/>
              </w:rPr>
              <w:t>Panel C. Recommendation 90 days before M&amp;As</w:t>
            </w:r>
          </w:p>
        </w:tc>
      </w:tr>
      <w:tr w:rsidR="000C3DD7" w:rsidRPr="002139C6" w14:paraId="51DA3769" w14:textId="77777777" w:rsidTr="00F73AB2">
        <w:trPr>
          <w:gridAfter w:val="1"/>
          <w:wAfter w:w="20" w:type="dxa"/>
          <w:cantSplit/>
          <w:trHeight w:val="340"/>
          <w:tblHeader/>
        </w:trPr>
        <w:tc>
          <w:tcPr>
            <w:tcW w:w="2570" w:type="dxa"/>
            <w:tcBorders>
              <w:top w:val="single" w:sz="4" w:space="0" w:color="auto"/>
            </w:tcBorders>
            <w:shd w:val="clear" w:color="auto" w:fill="auto"/>
            <w:noWrap/>
            <w:vAlign w:val="center"/>
            <w:hideMark/>
          </w:tcPr>
          <w:p w14:paraId="49DADE8A" w14:textId="77777777" w:rsidR="000C3DD7" w:rsidRPr="002139C6" w:rsidRDefault="000C3DD7" w:rsidP="00F73AB2">
            <w:pPr>
              <w:keepLines/>
              <w:snapToGrid w:val="0"/>
              <w:spacing w:line="240" w:lineRule="exact"/>
              <w:rPr>
                <w:sz w:val="20"/>
                <w:szCs w:val="20"/>
              </w:rPr>
            </w:pPr>
            <w:r w:rsidRPr="002139C6">
              <w:rPr>
                <w:sz w:val="20"/>
                <w:szCs w:val="20"/>
              </w:rPr>
              <w:t>Recommendation score</w:t>
            </w:r>
          </w:p>
        </w:tc>
        <w:tc>
          <w:tcPr>
            <w:tcW w:w="832" w:type="dxa"/>
            <w:tcBorders>
              <w:top w:val="single" w:sz="4" w:space="0" w:color="auto"/>
            </w:tcBorders>
            <w:shd w:val="clear" w:color="auto" w:fill="auto"/>
            <w:noWrap/>
            <w:vAlign w:val="center"/>
            <w:hideMark/>
          </w:tcPr>
          <w:p w14:paraId="6C98286D" w14:textId="77777777" w:rsidR="000C3DD7" w:rsidRPr="002139C6" w:rsidRDefault="000C3DD7" w:rsidP="00F73AB2">
            <w:pPr>
              <w:keepLines/>
              <w:snapToGrid w:val="0"/>
              <w:spacing w:line="240" w:lineRule="exact"/>
              <w:rPr>
                <w:sz w:val="20"/>
                <w:szCs w:val="20"/>
              </w:rPr>
            </w:pPr>
            <w:r w:rsidRPr="002139C6">
              <w:rPr>
                <w:sz w:val="20"/>
                <w:szCs w:val="20"/>
              </w:rPr>
              <w:t>Low</w:t>
            </w:r>
          </w:p>
        </w:tc>
        <w:tc>
          <w:tcPr>
            <w:tcW w:w="946" w:type="dxa"/>
            <w:tcBorders>
              <w:top w:val="single" w:sz="4" w:space="0" w:color="auto"/>
            </w:tcBorders>
            <w:shd w:val="clear" w:color="auto" w:fill="auto"/>
            <w:noWrap/>
            <w:vAlign w:val="center"/>
            <w:hideMark/>
          </w:tcPr>
          <w:p w14:paraId="2453C4B3" w14:textId="77777777" w:rsidR="000C3DD7" w:rsidRPr="002139C6" w:rsidRDefault="000C3DD7" w:rsidP="00F73AB2">
            <w:pPr>
              <w:keepLines/>
              <w:snapToGrid w:val="0"/>
              <w:spacing w:line="240" w:lineRule="exact"/>
              <w:rPr>
                <w:sz w:val="20"/>
                <w:szCs w:val="20"/>
              </w:rPr>
            </w:pPr>
            <w:r w:rsidRPr="002139C6">
              <w:rPr>
                <w:sz w:val="20"/>
                <w:szCs w:val="20"/>
              </w:rPr>
              <w:t>Medium</w:t>
            </w:r>
          </w:p>
        </w:tc>
        <w:tc>
          <w:tcPr>
            <w:tcW w:w="897" w:type="dxa"/>
            <w:tcBorders>
              <w:top w:val="single" w:sz="4" w:space="0" w:color="auto"/>
            </w:tcBorders>
            <w:shd w:val="clear" w:color="auto" w:fill="auto"/>
            <w:noWrap/>
            <w:vAlign w:val="center"/>
            <w:hideMark/>
          </w:tcPr>
          <w:p w14:paraId="3CADDE78" w14:textId="77777777" w:rsidR="000C3DD7" w:rsidRPr="002139C6" w:rsidRDefault="000C3DD7" w:rsidP="00F73AB2">
            <w:pPr>
              <w:keepLines/>
              <w:snapToGrid w:val="0"/>
              <w:spacing w:line="240" w:lineRule="exact"/>
              <w:rPr>
                <w:sz w:val="20"/>
                <w:szCs w:val="20"/>
              </w:rPr>
            </w:pPr>
            <w:r w:rsidRPr="002139C6">
              <w:rPr>
                <w:sz w:val="20"/>
                <w:szCs w:val="20"/>
              </w:rPr>
              <w:t>High</w:t>
            </w:r>
          </w:p>
        </w:tc>
        <w:tc>
          <w:tcPr>
            <w:tcW w:w="284" w:type="dxa"/>
            <w:tcBorders>
              <w:top w:val="single" w:sz="4" w:space="0" w:color="auto"/>
            </w:tcBorders>
            <w:shd w:val="clear" w:color="auto" w:fill="auto"/>
            <w:noWrap/>
            <w:vAlign w:val="center"/>
            <w:hideMark/>
          </w:tcPr>
          <w:p w14:paraId="753C7A75" w14:textId="77777777" w:rsidR="000C3DD7" w:rsidRPr="002139C6" w:rsidRDefault="000C3DD7" w:rsidP="00F73AB2">
            <w:pPr>
              <w:keepLines/>
              <w:snapToGrid w:val="0"/>
              <w:spacing w:line="240" w:lineRule="exact"/>
              <w:rPr>
                <w:sz w:val="20"/>
                <w:szCs w:val="20"/>
              </w:rPr>
            </w:pPr>
          </w:p>
        </w:tc>
        <w:tc>
          <w:tcPr>
            <w:tcW w:w="800" w:type="dxa"/>
            <w:tcBorders>
              <w:top w:val="single" w:sz="4" w:space="0" w:color="auto"/>
            </w:tcBorders>
            <w:shd w:val="clear" w:color="auto" w:fill="auto"/>
            <w:noWrap/>
            <w:vAlign w:val="center"/>
            <w:hideMark/>
          </w:tcPr>
          <w:p w14:paraId="2C32C4AE" w14:textId="77777777" w:rsidR="000C3DD7" w:rsidRPr="002139C6" w:rsidRDefault="000C3DD7" w:rsidP="00F73AB2">
            <w:pPr>
              <w:keepLines/>
              <w:snapToGrid w:val="0"/>
              <w:spacing w:line="240" w:lineRule="exact"/>
              <w:rPr>
                <w:sz w:val="20"/>
                <w:szCs w:val="20"/>
              </w:rPr>
            </w:pPr>
            <w:r w:rsidRPr="002139C6">
              <w:rPr>
                <w:sz w:val="20"/>
                <w:szCs w:val="20"/>
              </w:rPr>
              <w:t>Low</w:t>
            </w:r>
          </w:p>
        </w:tc>
        <w:tc>
          <w:tcPr>
            <w:tcW w:w="960" w:type="dxa"/>
            <w:tcBorders>
              <w:top w:val="single" w:sz="4" w:space="0" w:color="auto"/>
            </w:tcBorders>
            <w:shd w:val="clear" w:color="auto" w:fill="auto"/>
            <w:noWrap/>
            <w:vAlign w:val="center"/>
            <w:hideMark/>
          </w:tcPr>
          <w:p w14:paraId="32B00986" w14:textId="77777777" w:rsidR="000C3DD7" w:rsidRPr="002139C6" w:rsidRDefault="000C3DD7" w:rsidP="00F73AB2">
            <w:pPr>
              <w:keepLines/>
              <w:snapToGrid w:val="0"/>
              <w:spacing w:line="240" w:lineRule="exact"/>
              <w:rPr>
                <w:sz w:val="20"/>
                <w:szCs w:val="20"/>
              </w:rPr>
            </w:pPr>
            <w:r w:rsidRPr="002139C6">
              <w:rPr>
                <w:sz w:val="20"/>
                <w:szCs w:val="20"/>
              </w:rPr>
              <w:t>Medium</w:t>
            </w:r>
          </w:p>
        </w:tc>
        <w:tc>
          <w:tcPr>
            <w:tcW w:w="960" w:type="dxa"/>
            <w:tcBorders>
              <w:top w:val="single" w:sz="4" w:space="0" w:color="auto"/>
            </w:tcBorders>
            <w:shd w:val="clear" w:color="auto" w:fill="auto"/>
            <w:noWrap/>
            <w:vAlign w:val="center"/>
            <w:hideMark/>
          </w:tcPr>
          <w:p w14:paraId="266A2A01" w14:textId="77777777" w:rsidR="000C3DD7" w:rsidRPr="002139C6" w:rsidRDefault="000C3DD7" w:rsidP="00F73AB2">
            <w:pPr>
              <w:keepLines/>
              <w:snapToGrid w:val="0"/>
              <w:spacing w:line="240" w:lineRule="exact"/>
              <w:rPr>
                <w:sz w:val="20"/>
                <w:szCs w:val="20"/>
              </w:rPr>
            </w:pPr>
            <w:r w:rsidRPr="002139C6">
              <w:rPr>
                <w:sz w:val="20"/>
                <w:szCs w:val="20"/>
              </w:rPr>
              <w:t>High</w:t>
            </w:r>
          </w:p>
        </w:tc>
      </w:tr>
      <w:tr w:rsidR="000C3DD7" w:rsidRPr="002139C6" w14:paraId="2498839C" w14:textId="77777777" w:rsidTr="00F73AB2">
        <w:trPr>
          <w:gridAfter w:val="1"/>
          <w:wAfter w:w="20" w:type="dxa"/>
          <w:cantSplit/>
          <w:trHeight w:val="340"/>
          <w:tblHeader/>
        </w:trPr>
        <w:tc>
          <w:tcPr>
            <w:tcW w:w="2570" w:type="dxa"/>
            <w:shd w:val="clear" w:color="auto" w:fill="auto"/>
            <w:noWrap/>
            <w:vAlign w:val="center"/>
            <w:hideMark/>
          </w:tcPr>
          <w:p w14:paraId="3B8CA930" w14:textId="77777777" w:rsidR="000C3DD7" w:rsidRPr="002139C6" w:rsidRDefault="000C3DD7" w:rsidP="00F73AB2">
            <w:pPr>
              <w:keepLines/>
              <w:snapToGrid w:val="0"/>
              <w:spacing w:line="240" w:lineRule="exact"/>
              <w:rPr>
                <w:sz w:val="20"/>
                <w:szCs w:val="20"/>
              </w:rPr>
            </w:pPr>
            <w:r w:rsidRPr="002139C6">
              <w:rPr>
                <w:sz w:val="20"/>
                <w:szCs w:val="20"/>
              </w:rPr>
              <w:t>Mean</w:t>
            </w:r>
          </w:p>
        </w:tc>
        <w:tc>
          <w:tcPr>
            <w:tcW w:w="832" w:type="dxa"/>
            <w:shd w:val="clear" w:color="auto" w:fill="auto"/>
            <w:noWrap/>
            <w:vAlign w:val="center"/>
            <w:hideMark/>
          </w:tcPr>
          <w:p w14:paraId="1E435B73" w14:textId="77777777" w:rsidR="000C3DD7" w:rsidRPr="002139C6" w:rsidRDefault="000C3DD7" w:rsidP="00F73AB2">
            <w:pPr>
              <w:keepLines/>
              <w:snapToGrid w:val="0"/>
              <w:spacing w:line="240" w:lineRule="exact"/>
              <w:rPr>
                <w:sz w:val="20"/>
                <w:szCs w:val="20"/>
              </w:rPr>
            </w:pPr>
            <w:r w:rsidRPr="002139C6">
              <w:rPr>
                <w:sz w:val="20"/>
                <w:szCs w:val="20"/>
              </w:rPr>
              <w:t>-0.369</w:t>
            </w:r>
          </w:p>
        </w:tc>
        <w:tc>
          <w:tcPr>
            <w:tcW w:w="946" w:type="dxa"/>
            <w:shd w:val="clear" w:color="auto" w:fill="auto"/>
            <w:noWrap/>
            <w:vAlign w:val="center"/>
            <w:hideMark/>
          </w:tcPr>
          <w:p w14:paraId="1918096C" w14:textId="77777777" w:rsidR="000C3DD7" w:rsidRPr="002139C6" w:rsidRDefault="000C3DD7" w:rsidP="00F73AB2">
            <w:pPr>
              <w:keepLines/>
              <w:snapToGrid w:val="0"/>
              <w:spacing w:line="240" w:lineRule="exact"/>
              <w:rPr>
                <w:sz w:val="20"/>
                <w:szCs w:val="20"/>
              </w:rPr>
            </w:pPr>
            <w:r w:rsidRPr="002139C6">
              <w:rPr>
                <w:sz w:val="20"/>
                <w:szCs w:val="20"/>
              </w:rPr>
              <w:t>-0.150</w:t>
            </w:r>
          </w:p>
        </w:tc>
        <w:tc>
          <w:tcPr>
            <w:tcW w:w="897" w:type="dxa"/>
            <w:shd w:val="clear" w:color="auto" w:fill="auto"/>
            <w:noWrap/>
            <w:vAlign w:val="center"/>
            <w:hideMark/>
          </w:tcPr>
          <w:p w14:paraId="4A2E2204" w14:textId="77777777" w:rsidR="000C3DD7" w:rsidRPr="002139C6" w:rsidRDefault="000C3DD7" w:rsidP="00F73AB2">
            <w:pPr>
              <w:keepLines/>
              <w:snapToGrid w:val="0"/>
              <w:spacing w:line="240" w:lineRule="exact"/>
              <w:rPr>
                <w:sz w:val="20"/>
                <w:szCs w:val="20"/>
              </w:rPr>
            </w:pPr>
            <w:r w:rsidRPr="002139C6">
              <w:rPr>
                <w:sz w:val="20"/>
                <w:szCs w:val="20"/>
              </w:rPr>
              <w:t>-0.120</w:t>
            </w:r>
          </w:p>
        </w:tc>
        <w:tc>
          <w:tcPr>
            <w:tcW w:w="284" w:type="dxa"/>
            <w:shd w:val="clear" w:color="auto" w:fill="auto"/>
            <w:noWrap/>
            <w:vAlign w:val="center"/>
            <w:hideMark/>
          </w:tcPr>
          <w:p w14:paraId="66DBCC9E" w14:textId="783E78E8" w:rsidR="000C3DD7" w:rsidRPr="002139C6" w:rsidRDefault="000C3DD7" w:rsidP="00F73AB2">
            <w:pPr>
              <w:keepLines/>
              <w:snapToGrid w:val="0"/>
              <w:spacing w:line="240" w:lineRule="exact"/>
              <w:rPr>
                <w:sz w:val="20"/>
                <w:szCs w:val="20"/>
              </w:rPr>
            </w:pPr>
          </w:p>
        </w:tc>
        <w:tc>
          <w:tcPr>
            <w:tcW w:w="800" w:type="dxa"/>
            <w:shd w:val="clear" w:color="auto" w:fill="auto"/>
            <w:noWrap/>
            <w:vAlign w:val="center"/>
            <w:hideMark/>
          </w:tcPr>
          <w:p w14:paraId="1945A916" w14:textId="77777777" w:rsidR="000C3DD7" w:rsidRPr="002139C6" w:rsidRDefault="000C3DD7" w:rsidP="00F73AB2">
            <w:pPr>
              <w:keepLines/>
              <w:snapToGrid w:val="0"/>
              <w:spacing w:line="240" w:lineRule="exact"/>
              <w:rPr>
                <w:sz w:val="20"/>
                <w:szCs w:val="20"/>
              </w:rPr>
            </w:pPr>
            <w:r w:rsidRPr="002139C6">
              <w:rPr>
                <w:sz w:val="20"/>
                <w:szCs w:val="20"/>
              </w:rPr>
              <w:t>-0.579</w:t>
            </w:r>
          </w:p>
        </w:tc>
        <w:tc>
          <w:tcPr>
            <w:tcW w:w="960" w:type="dxa"/>
            <w:shd w:val="clear" w:color="auto" w:fill="auto"/>
            <w:noWrap/>
            <w:vAlign w:val="center"/>
            <w:hideMark/>
          </w:tcPr>
          <w:p w14:paraId="207462BF" w14:textId="77777777" w:rsidR="000C3DD7" w:rsidRPr="002139C6" w:rsidRDefault="000C3DD7" w:rsidP="00F73AB2">
            <w:pPr>
              <w:keepLines/>
              <w:snapToGrid w:val="0"/>
              <w:spacing w:line="240" w:lineRule="exact"/>
              <w:rPr>
                <w:sz w:val="20"/>
                <w:szCs w:val="20"/>
              </w:rPr>
            </w:pPr>
            <w:r w:rsidRPr="002139C6">
              <w:rPr>
                <w:sz w:val="20"/>
                <w:szCs w:val="20"/>
              </w:rPr>
              <w:t>-0.248</w:t>
            </w:r>
          </w:p>
        </w:tc>
        <w:tc>
          <w:tcPr>
            <w:tcW w:w="960" w:type="dxa"/>
            <w:shd w:val="clear" w:color="auto" w:fill="auto"/>
            <w:noWrap/>
            <w:vAlign w:val="center"/>
            <w:hideMark/>
          </w:tcPr>
          <w:p w14:paraId="2BFD043E" w14:textId="77777777" w:rsidR="000C3DD7" w:rsidRPr="002139C6" w:rsidRDefault="000C3DD7" w:rsidP="00F73AB2">
            <w:pPr>
              <w:keepLines/>
              <w:snapToGrid w:val="0"/>
              <w:spacing w:line="240" w:lineRule="exact"/>
              <w:rPr>
                <w:sz w:val="20"/>
                <w:szCs w:val="20"/>
              </w:rPr>
            </w:pPr>
            <w:r w:rsidRPr="002139C6">
              <w:rPr>
                <w:sz w:val="20"/>
                <w:szCs w:val="20"/>
              </w:rPr>
              <w:t>-0.177</w:t>
            </w:r>
          </w:p>
        </w:tc>
      </w:tr>
      <w:tr w:rsidR="000C3DD7" w:rsidRPr="002139C6" w14:paraId="6102B265" w14:textId="77777777" w:rsidTr="00F73AB2">
        <w:trPr>
          <w:gridAfter w:val="1"/>
          <w:wAfter w:w="20" w:type="dxa"/>
          <w:cantSplit/>
          <w:trHeight w:val="340"/>
          <w:tblHeader/>
        </w:trPr>
        <w:tc>
          <w:tcPr>
            <w:tcW w:w="2570" w:type="dxa"/>
            <w:shd w:val="clear" w:color="auto" w:fill="auto"/>
            <w:noWrap/>
            <w:vAlign w:val="center"/>
            <w:hideMark/>
          </w:tcPr>
          <w:p w14:paraId="09FDBD49" w14:textId="77777777" w:rsidR="000C3DD7" w:rsidRPr="002139C6" w:rsidRDefault="000C3DD7" w:rsidP="00F73AB2">
            <w:pPr>
              <w:keepLines/>
              <w:snapToGrid w:val="0"/>
              <w:spacing w:line="240" w:lineRule="exact"/>
              <w:rPr>
                <w:sz w:val="20"/>
                <w:szCs w:val="20"/>
              </w:rPr>
            </w:pPr>
            <w:r w:rsidRPr="002139C6">
              <w:rPr>
                <w:sz w:val="20"/>
                <w:szCs w:val="20"/>
              </w:rPr>
              <w:t>Median</w:t>
            </w:r>
          </w:p>
        </w:tc>
        <w:tc>
          <w:tcPr>
            <w:tcW w:w="832" w:type="dxa"/>
            <w:shd w:val="clear" w:color="auto" w:fill="auto"/>
            <w:noWrap/>
            <w:vAlign w:val="center"/>
            <w:hideMark/>
          </w:tcPr>
          <w:p w14:paraId="6653432D" w14:textId="77777777" w:rsidR="000C3DD7" w:rsidRPr="002139C6" w:rsidRDefault="000C3DD7" w:rsidP="00F73AB2">
            <w:pPr>
              <w:keepLines/>
              <w:snapToGrid w:val="0"/>
              <w:spacing w:line="240" w:lineRule="exact"/>
              <w:rPr>
                <w:sz w:val="20"/>
                <w:szCs w:val="20"/>
              </w:rPr>
            </w:pPr>
            <w:r w:rsidRPr="002139C6">
              <w:rPr>
                <w:sz w:val="20"/>
                <w:szCs w:val="20"/>
              </w:rPr>
              <w:t>-0.428</w:t>
            </w:r>
          </w:p>
        </w:tc>
        <w:tc>
          <w:tcPr>
            <w:tcW w:w="946" w:type="dxa"/>
            <w:shd w:val="clear" w:color="auto" w:fill="auto"/>
            <w:noWrap/>
            <w:vAlign w:val="center"/>
            <w:hideMark/>
          </w:tcPr>
          <w:p w14:paraId="23451541" w14:textId="77777777" w:rsidR="000C3DD7" w:rsidRPr="002139C6" w:rsidRDefault="000C3DD7" w:rsidP="00F73AB2">
            <w:pPr>
              <w:keepLines/>
              <w:snapToGrid w:val="0"/>
              <w:spacing w:line="240" w:lineRule="exact"/>
              <w:rPr>
                <w:sz w:val="20"/>
                <w:szCs w:val="20"/>
              </w:rPr>
            </w:pPr>
            <w:r w:rsidRPr="002139C6">
              <w:rPr>
                <w:sz w:val="20"/>
                <w:szCs w:val="20"/>
              </w:rPr>
              <w:t>-0.148</w:t>
            </w:r>
          </w:p>
        </w:tc>
        <w:tc>
          <w:tcPr>
            <w:tcW w:w="897" w:type="dxa"/>
            <w:shd w:val="clear" w:color="auto" w:fill="auto"/>
            <w:noWrap/>
            <w:vAlign w:val="center"/>
            <w:hideMark/>
          </w:tcPr>
          <w:p w14:paraId="2C4D146A" w14:textId="77777777" w:rsidR="000C3DD7" w:rsidRPr="002139C6" w:rsidRDefault="000C3DD7" w:rsidP="00F73AB2">
            <w:pPr>
              <w:keepLines/>
              <w:snapToGrid w:val="0"/>
              <w:spacing w:line="240" w:lineRule="exact"/>
              <w:rPr>
                <w:sz w:val="20"/>
                <w:szCs w:val="20"/>
              </w:rPr>
            </w:pPr>
            <w:r w:rsidRPr="002139C6">
              <w:rPr>
                <w:sz w:val="20"/>
                <w:szCs w:val="20"/>
              </w:rPr>
              <w:t>-0.141</w:t>
            </w:r>
          </w:p>
        </w:tc>
        <w:tc>
          <w:tcPr>
            <w:tcW w:w="284" w:type="dxa"/>
            <w:shd w:val="clear" w:color="auto" w:fill="auto"/>
            <w:noWrap/>
            <w:vAlign w:val="center"/>
            <w:hideMark/>
          </w:tcPr>
          <w:p w14:paraId="2414EA05" w14:textId="0FB14B1A" w:rsidR="000C3DD7" w:rsidRPr="002139C6" w:rsidRDefault="000C3DD7" w:rsidP="00F73AB2">
            <w:pPr>
              <w:keepLines/>
              <w:snapToGrid w:val="0"/>
              <w:spacing w:line="240" w:lineRule="exact"/>
              <w:rPr>
                <w:sz w:val="20"/>
                <w:szCs w:val="20"/>
              </w:rPr>
            </w:pPr>
          </w:p>
        </w:tc>
        <w:tc>
          <w:tcPr>
            <w:tcW w:w="800" w:type="dxa"/>
            <w:shd w:val="clear" w:color="auto" w:fill="auto"/>
            <w:noWrap/>
            <w:vAlign w:val="center"/>
            <w:hideMark/>
          </w:tcPr>
          <w:p w14:paraId="51628E8B" w14:textId="77777777" w:rsidR="000C3DD7" w:rsidRPr="002139C6" w:rsidRDefault="000C3DD7" w:rsidP="00F73AB2">
            <w:pPr>
              <w:keepLines/>
              <w:snapToGrid w:val="0"/>
              <w:spacing w:line="240" w:lineRule="exact"/>
              <w:rPr>
                <w:sz w:val="20"/>
                <w:szCs w:val="20"/>
              </w:rPr>
            </w:pPr>
            <w:r w:rsidRPr="002139C6">
              <w:rPr>
                <w:sz w:val="20"/>
                <w:szCs w:val="20"/>
              </w:rPr>
              <w:t>-0.705</w:t>
            </w:r>
          </w:p>
        </w:tc>
        <w:tc>
          <w:tcPr>
            <w:tcW w:w="960" w:type="dxa"/>
            <w:shd w:val="clear" w:color="auto" w:fill="auto"/>
            <w:noWrap/>
            <w:vAlign w:val="center"/>
            <w:hideMark/>
          </w:tcPr>
          <w:p w14:paraId="4D034456" w14:textId="77777777" w:rsidR="000C3DD7" w:rsidRPr="002139C6" w:rsidRDefault="000C3DD7" w:rsidP="00F73AB2">
            <w:pPr>
              <w:keepLines/>
              <w:snapToGrid w:val="0"/>
              <w:spacing w:line="240" w:lineRule="exact"/>
              <w:rPr>
                <w:sz w:val="20"/>
                <w:szCs w:val="20"/>
              </w:rPr>
            </w:pPr>
            <w:r w:rsidRPr="002139C6">
              <w:rPr>
                <w:sz w:val="20"/>
                <w:szCs w:val="20"/>
              </w:rPr>
              <w:t>-0.242</w:t>
            </w:r>
          </w:p>
        </w:tc>
        <w:tc>
          <w:tcPr>
            <w:tcW w:w="960" w:type="dxa"/>
            <w:shd w:val="clear" w:color="auto" w:fill="auto"/>
            <w:noWrap/>
            <w:vAlign w:val="center"/>
            <w:hideMark/>
          </w:tcPr>
          <w:p w14:paraId="116168EB" w14:textId="77777777" w:rsidR="000C3DD7" w:rsidRPr="002139C6" w:rsidRDefault="000C3DD7" w:rsidP="00F73AB2">
            <w:pPr>
              <w:keepLines/>
              <w:snapToGrid w:val="0"/>
              <w:spacing w:line="240" w:lineRule="exact"/>
              <w:rPr>
                <w:sz w:val="20"/>
                <w:szCs w:val="20"/>
              </w:rPr>
            </w:pPr>
            <w:r w:rsidRPr="002139C6">
              <w:rPr>
                <w:sz w:val="20"/>
                <w:szCs w:val="20"/>
              </w:rPr>
              <w:t>-0.186</w:t>
            </w:r>
          </w:p>
        </w:tc>
      </w:tr>
    </w:tbl>
    <w:p w14:paraId="61D89887" w14:textId="77777777" w:rsidR="000E0A6C" w:rsidRDefault="000E0A6C" w:rsidP="00E63B90">
      <w:pPr>
        <w:pStyle w:val="text"/>
        <w:spacing w:beforeLines="50" w:before="180"/>
      </w:pPr>
      <w:bookmarkStart w:id="10" w:name="_Hlk147757037"/>
      <w:r>
        <w:t xml:space="preserve">The univariate analysis presented above provides supportive evidence for the third research hypothesis. Next, we test the previous research hypotheses within a multivariate framework. The empirical results of equation (3) are presented in Tables 7 and 8. Based on the dummy variable representing 100% cash payment, we include the </w:t>
      </w:r>
      <w:r>
        <w:lastRenderedPageBreak/>
        <w:t>regressions of analysts' recommendations in the 30-day, 60-day, and 90-day windows prior to the M&amp;A announcements in Table 7.</w:t>
      </w:r>
    </w:p>
    <w:p w14:paraId="0358416E" w14:textId="77777777" w:rsidR="000E0A6C" w:rsidRDefault="000E0A6C" w:rsidP="00324F2F">
      <w:pPr>
        <w:pStyle w:val="text"/>
      </w:pPr>
      <w:r>
        <w:t>From Table 7, we find that the strong buy recommendations have a significant negative impact on the likelihood of cash payment at the 10% significance level in the 30-day and 60-day windows. This finding is consistent with the evidence from the univariate analysis in Table 4. The strong buy recommendations from analysts might drive stock prices upward or even lead to overvaluation. Consequently, acquirers may take advantage of their overvalued stocks to merge or acquire other firms by using stock as a form of payment.</w:t>
      </w:r>
    </w:p>
    <w:p w14:paraId="133E5C3D" w14:textId="6684E9AB" w:rsidR="000E0A6C" w:rsidRDefault="000E0A6C" w:rsidP="00324F2F">
      <w:pPr>
        <w:pStyle w:val="text"/>
      </w:pPr>
      <w:r>
        <w:t xml:space="preserve">Additionally, </w:t>
      </w:r>
      <w:r w:rsidR="00707136">
        <w:t>firm</w:t>
      </w:r>
      <w:r>
        <w:t xml:space="preserve"> size emerges as a positive driver for cash payment, implying that larger firms are more likely to utilize cash as the payment method in M&amp;A transactions. This observation aligns with the notion that larger firms tend to have greater financial resources and access to capital, enabling them to fund acquisitions through cash payments more readily.</w:t>
      </w:r>
    </w:p>
    <w:p w14:paraId="7B8A02BE" w14:textId="77777777" w:rsidR="000E0A6C" w:rsidRDefault="000E0A6C" w:rsidP="00324F2F">
      <w:pPr>
        <w:pStyle w:val="text"/>
      </w:pPr>
      <w:r>
        <w:t>The multivariate analysis reinforces the findings from the univariate analysis, providing further support for the hypothesis that analysts' recommendations, particularly strong buy recommendations, influence the choice of payment method in M&amp;A transactions. Specifically, strong buy recommendations are associated with a lower likelihood of cash payment, suggesting that acquirers may exploit the perceived overvaluation of their stocks and employ stock-based payments.</w:t>
      </w:r>
    </w:p>
    <w:p w14:paraId="027643DF" w14:textId="58A095E8" w:rsidR="000E0A6C" w:rsidRDefault="000E0A6C" w:rsidP="00324F2F">
      <w:pPr>
        <w:pStyle w:val="text"/>
      </w:pPr>
      <w:r>
        <w:t xml:space="preserve">Furthermore, the positive relationship between </w:t>
      </w:r>
      <w:r w:rsidR="00707136">
        <w:t>firm</w:t>
      </w:r>
      <w:r>
        <w:t xml:space="preserve"> size and cash payment highlights the importance of considering </w:t>
      </w:r>
      <w:r w:rsidR="00707136">
        <w:t>firm</w:t>
      </w:r>
      <w:r>
        <w:t xml:space="preserve"> characteristics and financial resources in analyzing payment method decisions. Larger firms, with their greater financial flexibility, appear to have a propensity for utilizing cash payments, potentially due to their ability to access capital markets and generate sufficient cash flows to fund acquisitions.</w:t>
      </w:r>
    </w:p>
    <w:p w14:paraId="163DB2E9" w14:textId="5E2F5FAE" w:rsidR="00106E4F" w:rsidRPr="00353396" w:rsidRDefault="000E0A6C" w:rsidP="00324F2F">
      <w:pPr>
        <w:pStyle w:val="text"/>
      </w:pPr>
      <w:r>
        <w:t xml:space="preserve">These findings contribute to a deeper understanding of the factors driving payment method decisions in M&amp;A transactions and underscore the interplay between analyst recommendations, </w:t>
      </w:r>
      <w:r w:rsidR="00707136">
        <w:t>firm</w:t>
      </w:r>
      <w:r>
        <w:t xml:space="preserve"> valuation, and financial resources in shaping these strategic corporate decisions.</w:t>
      </w:r>
      <w:r w:rsidR="00106E4F" w:rsidRPr="00353396">
        <w:t xml:space="preserve"> </w:t>
      </w:r>
    </w:p>
    <w:bookmarkEnd w:id="10"/>
    <w:p w14:paraId="5805609F" w14:textId="7540C67C" w:rsidR="00683650" w:rsidRPr="00353396" w:rsidRDefault="00233E5D" w:rsidP="00C3335D">
      <w:pPr>
        <w:pStyle w:val="3"/>
      </w:pPr>
      <w:r>
        <w:lastRenderedPageBreak/>
        <w:t xml:space="preserve">Table </w:t>
      </w:r>
      <w:r w:rsidR="00350966">
        <w:fldChar w:fldCharType="begin"/>
      </w:r>
      <w:r w:rsidR="00350966">
        <w:instrText xml:space="preserve"> SEQ Table \* ARABIC </w:instrText>
      </w:r>
      <w:r w:rsidR="00350966">
        <w:fldChar w:fldCharType="separate"/>
      </w:r>
      <w:r w:rsidR="00350966">
        <w:rPr>
          <w:noProof/>
        </w:rPr>
        <w:t>7</w:t>
      </w:r>
      <w:r w:rsidR="00350966">
        <w:rPr>
          <w:noProof/>
        </w:rPr>
        <w:fldChar w:fldCharType="end"/>
      </w:r>
      <w:r>
        <w:rPr>
          <w:rFonts w:hint="eastAsia"/>
        </w:rPr>
        <w:t>.</w:t>
      </w:r>
      <w:r w:rsidR="00683650" w:rsidRPr="00353396">
        <w:t xml:space="preserve"> The logistic regression of the </w:t>
      </w:r>
      <w:r w:rsidR="00F82681">
        <w:t>cash-only</w:t>
      </w:r>
      <w:r w:rsidR="00683650" w:rsidRPr="00353396">
        <w:t xml:space="preserve"> payment</w:t>
      </w:r>
    </w:p>
    <w:p w14:paraId="1E4B5277" w14:textId="4E225D43" w:rsidR="00CC531F" w:rsidRPr="00353396" w:rsidRDefault="00CC531F" w:rsidP="00C3335D">
      <w:pPr>
        <w:pStyle w:val="table-note"/>
      </w:pPr>
      <w:r w:rsidRPr="00353396">
        <w:t xml:space="preserve">The dependent variable is </w:t>
      </w:r>
      <w:proofErr w:type="spellStart"/>
      <w:r w:rsidRPr="00353396">
        <w:t>D</w:t>
      </w:r>
      <w:r w:rsidRPr="00353396">
        <w:rPr>
          <w:vertAlign w:val="superscript"/>
        </w:rPr>
        <w:t>cash</w:t>
      </w:r>
      <w:proofErr w:type="spellEnd"/>
      <w:r w:rsidR="00F82681">
        <w:t xml:space="preserve">, which </w:t>
      </w:r>
      <w:r w:rsidRPr="00353396">
        <w:t>equal</w:t>
      </w:r>
      <w:r w:rsidR="00F82681">
        <w:t>s</w:t>
      </w:r>
      <w:r w:rsidRPr="00353396">
        <w:t xml:space="preserve"> to 1 when the </w:t>
      </w:r>
      <w:r w:rsidR="00726AFA">
        <w:t>acquirer</w:t>
      </w:r>
      <w:r w:rsidRPr="00353396">
        <w:t xml:space="preserve"> uses 100% cash payment in the M&amp;A and 0 otherwise. The key independent variables are the numbers of analysts’ </w:t>
      </w:r>
      <w:r w:rsidR="00F82681">
        <w:t>recommendations</w:t>
      </w:r>
      <w:r w:rsidRPr="00353396">
        <w:t xml:space="preserve">: </w:t>
      </w:r>
      <w:r w:rsidR="00055F34">
        <w:t>S</w:t>
      </w:r>
      <w:r w:rsidRPr="00353396">
        <w:t>trong</w:t>
      </w:r>
      <w:r w:rsidR="000A09BD">
        <w:rPr>
          <w:rFonts w:hint="eastAsia"/>
        </w:rPr>
        <w:t xml:space="preserve"> </w:t>
      </w:r>
      <w:r w:rsidRPr="00353396">
        <w:t xml:space="preserve">buy, </w:t>
      </w:r>
      <w:r w:rsidR="00055F34">
        <w:t>B</w:t>
      </w:r>
      <w:r w:rsidRPr="00353396">
        <w:t xml:space="preserve">uy, </w:t>
      </w:r>
      <w:r w:rsidR="00055F34">
        <w:t>H</w:t>
      </w:r>
      <w:r w:rsidRPr="00353396">
        <w:t xml:space="preserve">old, </w:t>
      </w:r>
      <w:r w:rsidR="00055F34">
        <w:t>S</w:t>
      </w:r>
      <w:r w:rsidRPr="00353396">
        <w:t xml:space="preserve">ell, and </w:t>
      </w:r>
      <w:r w:rsidR="00055F34">
        <w:t>S</w:t>
      </w:r>
      <w:r w:rsidRPr="00353396">
        <w:t>trong</w:t>
      </w:r>
      <w:r w:rsidR="000A09BD">
        <w:rPr>
          <w:rFonts w:hint="eastAsia"/>
        </w:rPr>
        <w:t xml:space="preserve"> </w:t>
      </w:r>
      <w:r w:rsidRPr="00353396">
        <w:t xml:space="preserve">sell. The rest </w:t>
      </w:r>
      <w:r w:rsidR="00F82681">
        <w:t xml:space="preserve">of the </w:t>
      </w:r>
      <w:r w:rsidRPr="00353396">
        <w:t xml:space="preserve">independent variables that may have </w:t>
      </w:r>
      <w:r w:rsidR="00F82681">
        <w:t xml:space="preserve">a </w:t>
      </w:r>
      <w:r w:rsidRPr="00353396">
        <w:t xml:space="preserve">certain impact on the method of payment in M&amp;As, are </w:t>
      </w:r>
      <w:r w:rsidR="00707136">
        <w:t>firm</w:t>
      </w:r>
      <w:r w:rsidRPr="00353396">
        <w:t xml:space="preserve"> size (</w:t>
      </w:r>
      <w:r w:rsidR="000A09BD">
        <w:rPr>
          <w:rFonts w:hint="eastAsia"/>
        </w:rPr>
        <w:t>S</w:t>
      </w:r>
      <w:r w:rsidRPr="00353396">
        <w:t>ize), book-to-market ratio (</w:t>
      </w:r>
      <w:r w:rsidR="000A09BD">
        <w:rPr>
          <w:rFonts w:hint="eastAsia"/>
        </w:rPr>
        <w:t>BM</w:t>
      </w:r>
      <w:r w:rsidRPr="00353396">
        <w:t>), return on assets (</w:t>
      </w:r>
      <w:r w:rsidR="000A09BD">
        <w:rPr>
          <w:rFonts w:hint="eastAsia"/>
        </w:rPr>
        <w:t>ROA</w:t>
      </w:r>
      <w:r w:rsidRPr="00353396">
        <w:t>), dividend payout ratio (</w:t>
      </w:r>
      <w:r w:rsidR="000A09BD">
        <w:rPr>
          <w:rFonts w:hint="eastAsia"/>
        </w:rPr>
        <w:t>DPR</w:t>
      </w:r>
      <w:r w:rsidRPr="00353396">
        <w:t>), liquidity ratio (</w:t>
      </w:r>
      <w:r w:rsidR="000A09BD">
        <w:rPr>
          <w:rFonts w:hint="eastAsia"/>
        </w:rPr>
        <w:t>L</w:t>
      </w:r>
      <w:r w:rsidRPr="00353396">
        <w:t>iquid), debt ratio (</w:t>
      </w:r>
      <w:r w:rsidR="000A09BD">
        <w:rPr>
          <w:rFonts w:hint="eastAsia"/>
        </w:rPr>
        <w:t>DR</w:t>
      </w:r>
      <w:r w:rsidRPr="00353396">
        <w:t>), and three-month abnormal return before announcement date (</w:t>
      </w:r>
      <w:r w:rsidR="000A09BD">
        <w:rPr>
          <w:rFonts w:hint="eastAsia"/>
        </w:rPr>
        <w:t>R</w:t>
      </w:r>
      <w:r w:rsidRPr="00353396">
        <w:t xml:space="preserve">unup). In addition, </w:t>
      </w:r>
      <w:r w:rsidR="003607FD">
        <w:t>we</w:t>
      </w:r>
      <w:r w:rsidRPr="00353396">
        <w:t xml:space="preserve"> also control for annual and industrial dummies. </w:t>
      </w:r>
    </w:p>
    <w:tbl>
      <w:tblPr>
        <w:tblW w:w="8364" w:type="dxa"/>
        <w:tblLayout w:type="fixed"/>
        <w:tblCellMar>
          <w:left w:w="75" w:type="dxa"/>
          <w:right w:w="75" w:type="dxa"/>
        </w:tblCellMar>
        <w:tblLook w:val="0000" w:firstRow="0" w:lastRow="0" w:firstColumn="0" w:lastColumn="0" w:noHBand="0" w:noVBand="0"/>
      </w:tblPr>
      <w:tblGrid>
        <w:gridCol w:w="2127"/>
        <w:gridCol w:w="2126"/>
        <w:gridCol w:w="2126"/>
        <w:gridCol w:w="1985"/>
      </w:tblGrid>
      <w:tr w:rsidR="00F27D10" w:rsidRPr="00353396" w14:paraId="1B268ACE" w14:textId="77777777" w:rsidTr="00F73AB2">
        <w:trPr>
          <w:cantSplit/>
          <w:tblHeader/>
        </w:trPr>
        <w:tc>
          <w:tcPr>
            <w:tcW w:w="2127" w:type="dxa"/>
            <w:tcBorders>
              <w:top w:val="single" w:sz="6" w:space="0" w:color="auto"/>
              <w:left w:val="nil"/>
              <w:bottom w:val="single" w:sz="4" w:space="0" w:color="auto"/>
              <w:right w:val="nil"/>
            </w:tcBorders>
          </w:tcPr>
          <w:p w14:paraId="4AA74E83"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Variables</w:t>
            </w:r>
          </w:p>
        </w:tc>
        <w:tc>
          <w:tcPr>
            <w:tcW w:w="2126" w:type="dxa"/>
            <w:tcBorders>
              <w:top w:val="single" w:sz="6" w:space="0" w:color="auto"/>
              <w:left w:val="nil"/>
              <w:bottom w:val="single" w:sz="4" w:space="0" w:color="auto"/>
              <w:right w:val="nil"/>
            </w:tcBorders>
          </w:tcPr>
          <w:p w14:paraId="0F7BC2AC"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30 days</w:t>
            </w:r>
          </w:p>
        </w:tc>
        <w:tc>
          <w:tcPr>
            <w:tcW w:w="2126" w:type="dxa"/>
            <w:tcBorders>
              <w:top w:val="single" w:sz="6" w:space="0" w:color="auto"/>
              <w:left w:val="nil"/>
              <w:bottom w:val="single" w:sz="4" w:space="0" w:color="auto"/>
              <w:right w:val="nil"/>
            </w:tcBorders>
          </w:tcPr>
          <w:p w14:paraId="19E7F41D"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60 days</w:t>
            </w:r>
          </w:p>
        </w:tc>
        <w:tc>
          <w:tcPr>
            <w:tcW w:w="1985" w:type="dxa"/>
            <w:tcBorders>
              <w:top w:val="single" w:sz="6" w:space="0" w:color="auto"/>
              <w:left w:val="nil"/>
              <w:bottom w:val="single" w:sz="4" w:space="0" w:color="auto"/>
              <w:right w:val="nil"/>
            </w:tcBorders>
          </w:tcPr>
          <w:p w14:paraId="728CB5C7"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90 days</w:t>
            </w:r>
          </w:p>
        </w:tc>
      </w:tr>
      <w:tr w:rsidR="00F27D10" w:rsidRPr="00353396" w14:paraId="0C004BCE" w14:textId="77777777" w:rsidTr="00F73AB2">
        <w:trPr>
          <w:cantSplit/>
          <w:tblHeader/>
        </w:trPr>
        <w:tc>
          <w:tcPr>
            <w:tcW w:w="2127" w:type="dxa"/>
            <w:tcBorders>
              <w:top w:val="single" w:sz="4" w:space="0" w:color="auto"/>
              <w:left w:val="nil"/>
              <w:bottom w:val="nil"/>
              <w:right w:val="nil"/>
            </w:tcBorders>
          </w:tcPr>
          <w:p w14:paraId="30A7CFE3" w14:textId="07E6B163" w:rsidR="00F27D10" w:rsidRPr="0069630A" w:rsidRDefault="000A09BD" w:rsidP="0069630A">
            <w:pPr>
              <w:keepLines/>
              <w:suppressAutoHyphens/>
              <w:snapToGrid w:val="0"/>
              <w:spacing w:line="240" w:lineRule="exact"/>
              <w:ind w:right="0"/>
              <w:rPr>
                <w:sz w:val="20"/>
                <w:szCs w:val="20"/>
              </w:rPr>
            </w:pPr>
            <w:r w:rsidRPr="0069630A">
              <w:rPr>
                <w:sz w:val="20"/>
                <w:szCs w:val="20"/>
              </w:rPr>
              <w:t>S</w:t>
            </w:r>
            <w:r w:rsidR="00F27D10" w:rsidRPr="0069630A">
              <w:rPr>
                <w:sz w:val="20"/>
                <w:szCs w:val="20"/>
              </w:rPr>
              <w:t>trong</w:t>
            </w:r>
            <w:r w:rsidRPr="0069630A">
              <w:rPr>
                <w:sz w:val="20"/>
                <w:szCs w:val="20"/>
              </w:rPr>
              <w:t xml:space="preserve"> </w:t>
            </w:r>
            <w:r w:rsidR="00F27D10" w:rsidRPr="0069630A">
              <w:rPr>
                <w:sz w:val="20"/>
                <w:szCs w:val="20"/>
              </w:rPr>
              <w:t>buy</w:t>
            </w:r>
          </w:p>
        </w:tc>
        <w:tc>
          <w:tcPr>
            <w:tcW w:w="2126" w:type="dxa"/>
            <w:tcBorders>
              <w:top w:val="single" w:sz="4" w:space="0" w:color="auto"/>
              <w:left w:val="nil"/>
              <w:bottom w:val="nil"/>
              <w:right w:val="nil"/>
            </w:tcBorders>
          </w:tcPr>
          <w:p w14:paraId="30DF0325"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-0.271*</w:t>
            </w:r>
          </w:p>
        </w:tc>
        <w:tc>
          <w:tcPr>
            <w:tcW w:w="2126" w:type="dxa"/>
            <w:tcBorders>
              <w:top w:val="single" w:sz="4" w:space="0" w:color="auto"/>
              <w:left w:val="nil"/>
              <w:bottom w:val="nil"/>
              <w:right w:val="nil"/>
            </w:tcBorders>
          </w:tcPr>
          <w:p w14:paraId="76886773"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-0.248*</w:t>
            </w:r>
          </w:p>
        </w:tc>
        <w:tc>
          <w:tcPr>
            <w:tcW w:w="1985" w:type="dxa"/>
            <w:tcBorders>
              <w:top w:val="single" w:sz="4" w:space="0" w:color="auto"/>
              <w:left w:val="nil"/>
              <w:bottom w:val="nil"/>
              <w:right w:val="nil"/>
            </w:tcBorders>
          </w:tcPr>
          <w:p w14:paraId="69F58BC7"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-0.188</w:t>
            </w:r>
          </w:p>
        </w:tc>
      </w:tr>
      <w:tr w:rsidR="00F27D10" w:rsidRPr="00353396" w14:paraId="5DE8EB1F" w14:textId="77777777" w:rsidTr="00F73AB2">
        <w:trPr>
          <w:cantSplit/>
          <w:tblHeader/>
        </w:trPr>
        <w:tc>
          <w:tcPr>
            <w:tcW w:w="2127" w:type="dxa"/>
            <w:tcBorders>
              <w:top w:val="nil"/>
              <w:left w:val="nil"/>
              <w:bottom w:val="nil"/>
              <w:right w:val="nil"/>
            </w:tcBorders>
          </w:tcPr>
          <w:p w14:paraId="0268D0A4" w14:textId="77777777" w:rsidR="00F27D10" w:rsidRPr="0069630A" w:rsidRDefault="00F27D10" w:rsidP="0069630A">
            <w:pPr>
              <w:keepLines/>
              <w:suppressAutoHyphens/>
              <w:snapToGrid w:val="0"/>
              <w:spacing w:line="240" w:lineRule="exact"/>
              <w:ind w:right="0"/>
              <w:rPr>
                <w:sz w:val="20"/>
                <w:szCs w:val="20"/>
              </w:rPr>
            </w:pPr>
          </w:p>
        </w:tc>
        <w:tc>
          <w:tcPr>
            <w:tcW w:w="2126" w:type="dxa"/>
            <w:tcBorders>
              <w:top w:val="nil"/>
              <w:left w:val="nil"/>
              <w:bottom w:val="nil"/>
              <w:right w:val="nil"/>
            </w:tcBorders>
          </w:tcPr>
          <w:p w14:paraId="0A18DCE7"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(0.071)</w:t>
            </w:r>
          </w:p>
        </w:tc>
        <w:tc>
          <w:tcPr>
            <w:tcW w:w="2126" w:type="dxa"/>
            <w:tcBorders>
              <w:top w:val="nil"/>
              <w:left w:val="nil"/>
              <w:bottom w:val="nil"/>
              <w:right w:val="nil"/>
            </w:tcBorders>
          </w:tcPr>
          <w:p w14:paraId="76DF3BAB"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(0.053)</w:t>
            </w:r>
          </w:p>
        </w:tc>
        <w:tc>
          <w:tcPr>
            <w:tcW w:w="1985" w:type="dxa"/>
            <w:tcBorders>
              <w:top w:val="nil"/>
              <w:left w:val="nil"/>
              <w:bottom w:val="nil"/>
              <w:right w:val="nil"/>
            </w:tcBorders>
          </w:tcPr>
          <w:p w14:paraId="6D011754"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(0.145)</w:t>
            </w:r>
          </w:p>
        </w:tc>
      </w:tr>
      <w:tr w:rsidR="00F27D10" w:rsidRPr="00353396" w14:paraId="0610B3F4" w14:textId="77777777" w:rsidTr="00F73AB2">
        <w:trPr>
          <w:cantSplit/>
          <w:tblHeader/>
        </w:trPr>
        <w:tc>
          <w:tcPr>
            <w:tcW w:w="2127" w:type="dxa"/>
            <w:tcBorders>
              <w:top w:val="nil"/>
              <w:left w:val="nil"/>
              <w:bottom w:val="nil"/>
              <w:right w:val="nil"/>
            </w:tcBorders>
          </w:tcPr>
          <w:p w14:paraId="4B90FCF9" w14:textId="1DEF227A" w:rsidR="00F27D10" w:rsidRPr="0069630A" w:rsidRDefault="000A09BD" w:rsidP="0069630A">
            <w:pPr>
              <w:keepLines/>
              <w:suppressAutoHyphens/>
              <w:snapToGrid w:val="0"/>
              <w:spacing w:line="240" w:lineRule="exact"/>
              <w:ind w:right="0"/>
              <w:rPr>
                <w:sz w:val="20"/>
                <w:szCs w:val="20"/>
              </w:rPr>
            </w:pPr>
            <w:r w:rsidRPr="0069630A">
              <w:rPr>
                <w:sz w:val="20"/>
                <w:szCs w:val="20"/>
              </w:rPr>
              <w:t>B</w:t>
            </w:r>
            <w:r w:rsidR="00F27D10" w:rsidRPr="0069630A">
              <w:rPr>
                <w:sz w:val="20"/>
                <w:szCs w:val="20"/>
              </w:rPr>
              <w:t>uy</w:t>
            </w:r>
          </w:p>
        </w:tc>
        <w:tc>
          <w:tcPr>
            <w:tcW w:w="2126" w:type="dxa"/>
            <w:tcBorders>
              <w:top w:val="nil"/>
              <w:left w:val="nil"/>
              <w:bottom w:val="nil"/>
              <w:right w:val="nil"/>
            </w:tcBorders>
          </w:tcPr>
          <w:p w14:paraId="1445A7D6"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-0.101</w:t>
            </w:r>
          </w:p>
        </w:tc>
        <w:tc>
          <w:tcPr>
            <w:tcW w:w="2126" w:type="dxa"/>
            <w:tcBorders>
              <w:top w:val="nil"/>
              <w:left w:val="nil"/>
              <w:bottom w:val="nil"/>
              <w:right w:val="nil"/>
            </w:tcBorders>
          </w:tcPr>
          <w:p w14:paraId="4F448C3E"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-0.099</w:t>
            </w:r>
          </w:p>
        </w:tc>
        <w:tc>
          <w:tcPr>
            <w:tcW w:w="1985" w:type="dxa"/>
            <w:tcBorders>
              <w:top w:val="nil"/>
              <w:left w:val="nil"/>
              <w:bottom w:val="nil"/>
              <w:right w:val="nil"/>
            </w:tcBorders>
          </w:tcPr>
          <w:p w14:paraId="13C4F5A7"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-0.126</w:t>
            </w:r>
          </w:p>
        </w:tc>
      </w:tr>
      <w:tr w:rsidR="00F27D10" w:rsidRPr="00353396" w14:paraId="36154B3E" w14:textId="77777777" w:rsidTr="00F73AB2">
        <w:trPr>
          <w:cantSplit/>
          <w:tblHeader/>
        </w:trPr>
        <w:tc>
          <w:tcPr>
            <w:tcW w:w="2127" w:type="dxa"/>
            <w:tcBorders>
              <w:top w:val="nil"/>
              <w:left w:val="nil"/>
              <w:bottom w:val="nil"/>
              <w:right w:val="nil"/>
            </w:tcBorders>
          </w:tcPr>
          <w:p w14:paraId="49D45887" w14:textId="77777777" w:rsidR="00F27D10" w:rsidRPr="0069630A" w:rsidRDefault="00F27D10" w:rsidP="0069630A">
            <w:pPr>
              <w:keepLines/>
              <w:suppressAutoHyphens/>
              <w:snapToGrid w:val="0"/>
              <w:spacing w:line="240" w:lineRule="exact"/>
              <w:ind w:right="0"/>
              <w:rPr>
                <w:sz w:val="20"/>
                <w:szCs w:val="20"/>
              </w:rPr>
            </w:pPr>
          </w:p>
        </w:tc>
        <w:tc>
          <w:tcPr>
            <w:tcW w:w="2126" w:type="dxa"/>
            <w:tcBorders>
              <w:top w:val="nil"/>
              <w:left w:val="nil"/>
              <w:bottom w:val="nil"/>
              <w:right w:val="nil"/>
            </w:tcBorders>
          </w:tcPr>
          <w:p w14:paraId="7255186B"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(0.399)</w:t>
            </w:r>
          </w:p>
        </w:tc>
        <w:tc>
          <w:tcPr>
            <w:tcW w:w="2126" w:type="dxa"/>
            <w:tcBorders>
              <w:top w:val="nil"/>
              <w:left w:val="nil"/>
              <w:bottom w:val="nil"/>
              <w:right w:val="nil"/>
            </w:tcBorders>
          </w:tcPr>
          <w:p w14:paraId="4596B7DB"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(0.347)</w:t>
            </w:r>
          </w:p>
        </w:tc>
        <w:tc>
          <w:tcPr>
            <w:tcW w:w="1985" w:type="dxa"/>
            <w:tcBorders>
              <w:top w:val="nil"/>
              <w:left w:val="nil"/>
              <w:bottom w:val="nil"/>
              <w:right w:val="nil"/>
            </w:tcBorders>
          </w:tcPr>
          <w:p w14:paraId="4218377B"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(0.208)</w:t>
            </w:r>
          </w:p>
        </w:tc>
      </w:tr>
      <w:tr w:rsidR="00F27D10" w:rsidRPr="00353396" w14:paraId="18DACB6D" w14:textId="77777777" w:rsidTr="00F73AB2">
        <w:trPr>
          <w:cantSplit/>
          <w:tblHeader/>
        </w:trPr>
        <w:tc>
          <w:tcPr>
            <w:tcW w:w="2127" w:type="dxa"/>
            <w:tcBorders>
              <w:top w:val="nil"/>
              <w:left w:val="nil"/>
              <w:bottom w:val="nil"/>
              <w:right w:val="nil"/>
            </w:tcBorders>
          </w:tcPr>
          <w:p w14:paraId="69F45007" w14:textId="7A229DEC" w:rsidR="00F27D10" w:rsidRPr="0069630A" w:rsidRDefault="000A09BD" w:rsidP="0069630A">
            <w:pPr>
              <w:keepLines/>
              <w:suppressAutoHyphens/>
              <w:snapToGrid w:val="0"/>
              <w:spacing w:line="240" w:lineRule="exact"/>
              <w:ind w:right="0"/>
              <w:rPr>
                <w:sz w:val="20"/>
                <w:szCs w:val="20"/>
              </w:rPr>
            </w:pPr>
            <w:r w:rsidRPr="0069630A">
              <w:rPr>
                <w:sz w:val="20"/>
                <w:szCs w:val="20"/>
              </w:rPr>
              <w:t>H</w:t>
            </w:r>
            <w:r w:rsidR="00F27D10" w:rsidRPr="0069630A">
              <w:rPr>
                <w:sz w:val="20"/>
                <w:szCs w:val="20"/>
              </w:rPr>
              <w:t>old</w:t>
            </w:r>
          </w:p>
        </w:tc>
        <w:tc>
          <w:tcPr>
            <w:tcW w:w="2126" w:type="dxa"/>
            <w:tcBorders>
              <w:top w:val="nil"/>
              <w:left w:val="nil"/>
              <w:bottom w:val="nil"/>
              <w:right w:val="nil"/>
            </w:tcBorders>
          </w:tcPr>
          <w:p w14:paraId="5CAF19D2"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0.160</w:t>
            </w:r>
          </w:p>
        </w:tc>
        <w:tc>
          <w:tcPr>
            <w:tcW w:w="2126" w:type="dxa"/>
            <w:tcBorders>
              <w:top w:val="nil"/>
              <w:left w:val="nil"/>
              <w:bottom w:val="nil"/>
              <w:right w:val="nil"/>
            </w:tcBorders>
          </w:tcPr>
          <w:p w14:paraId="447E821A"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0.121</w:t>
            </w:r>
          </w:p>
        </w:tc>
        <w:tc>
          <w:tcPr>
            <w:tcW w:w="1985" w:type="dxa"/>
            <w:tcBorders>
              <w:top w:val="nil"/>
              <w:left w:val="nil"/>
              <w:bottom w:val="nil"/>
              <w:right w:val="nil"/>
            </w:tcBorders>
          </w:tcPr>
          <w:p w14:paraId="4452001A"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0.078</w:t>
            </w:r>
          </w:p>
        </w:tc>
      </w:tr>
      <w:tr w:rsidR="00F27D10" w:rsidRPr="00353396" w14:paraId="61ACFE6E" w14:textId="77777777" w:rsidTr="00F73AB2">
        <w:trPr>
          <w:cantSplit/>
          <w:tblHeader/>
        </w:trPr>
        <w:tc>
          <w:tcPr>
            <w:tcW w:w="2127" w:type="dxa"/>
            <w:tcBorders>
              <w:top w:val="nil"/>
              <w:left w:val="nil"/>
              <w:bottom w:val="nil"/>
              <w:right w:val="nil"/>
            </w:tcBorders>
          </w:tcPr>
          <w:p w14:paraId="1CBAD03E" w14:textId="77777777" w:rsidR="00F27D10" w:rsidRPr="0069630A" w:rsidRDefault="00F27D10" w:rsidP="0069630A">
            <w:pPr>
              <w:keepLines/>
              <w:suppressAutoHyphens/>
              <w:snapToGrid w:val="0"/>
              <w:spacing w:line="240" w:lineRule="exact"/>
              <w:ind w:right="0"/>
              <w:rPr>
                <w:sz w:val="20"/>
                <w:szCs w:val="20"/>
              </w:rPr>
            </w:pPr>
          </w:p>
        </w:tc>
        <w:tc>
          <w:tcPr>
            <w:tcW w:w="2126" w:type="dxa"/>
            <w:tcBorders>
              <w:top w:val="nil"/>
              <w:left w:val="nil"/>
              <w:bottom w:val="nil"/>
              <w:right w:val="nil"/>
            </w:tcBorders>
          </w:tcPr>
          <w:p w14:paraId="45D3A47A"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(0.180)</w:t>
            </w:r>
          </w:p>
        </w:tc>
        <w:tc>
          <w:tcPr>
            <w:tcW w:w="2126" w:type="dxa"/>
            <w:tcBorders>
              <w:top w:val="nil"/>
              <w:left w:val="nil"/>
              <w:bottom w:val="nil"/>
              <w:right w:val="nil"/>
            </w:tcBorders>
          </w:tcPr>
          <w:p w14:paraId="6359C0DF"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(0.199)</w:t>
            </w:r>
          </w:p>
        </w:tc>
        <w:tc>
          <w:tcPr>
            <w:tcW w:w="1985" w:type="dxa"/>
            <w:tcBorders>
              <w:top w:val="nil"/>
              <w:left w:val="nil"/>
              <w:bottom w:val="nil"/>
              <w:right w:val="nil"/>
            </w:tcBorders>
          </w:tcPr>
          <w:p w14:paraId="05492214"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(0.370)</w:t>
            </w:r>
          </w:p>
        </w:tc>
      </w:tr>
      <w:tr w:rsidR="00F27D10" w:rsidRPr="00353396" w14:paraId="42C45DC6" w14:textId="77777777" w:rsidTr="00F73AB2">
        <w:trPr>
          <w:cantSplit/>
          <w:tblHeader/>
        </w:trPr>
        <w:tc>
          <w:tcPr>
            <w:tcW w:w="2127" w:type="dxa"/>
            <w:tcBorders>
              <w:top w:val="nil"/>
              <w:left w:val="nil"/>
              <w:bottom w:val="nil"/>
              <w:right w:val="nil"/>
            </w:tcBorders>
          </w:tcPr>
          <w:p w14:paraId="44A99F66" w14:textId="415BC347" w:rsidR="00F27D10" w:rsidRPr="0069630A" w:rsidRDefault="000A09BD" w:rsidP="0069630A">
            <w:pPr>
              <w:keepLines/>
              <w:suppressAutoHyphens/>
              <w:snapToGrid w:val="0"/>
              <w:spacing w:line="240" w:lineRule="exact"/>
              <w:ind w:right="0"/>
              <w:rPr>
                <w:sz w:val="20"/>
                <w:szCs w:val="20"/>
              </w:rPr>
            </w:pPr>
            <w:r w:rsidRPr="0069630A">
              <w:rPr>
                <w:sz w:val="20"/>
                <w:szCs w:val="20"/>
              </w:rPr>
              <w:t>S</w:t>
            </w:r>
            <w:r w:rsidR="00F27D10" w:rsidRPr="0069630A">
              <w:rPr>
                <w:sz w:val="20"/>
                <w:szCs w:val="20"/>
              </w:rPr>
              <w:t>ell</w:t>
            </w:r>
          </w:p>
        </w:tc>
        <w:tc>
          <w:tcPr>
            <w:tcW w:w="2126" w:type="dxa"/>
            <w:tcBorders>
              <w:top w:val="nil"/>
              <w:left w:val="nil"/>
              <w:bottom w:val="nil"/>
              <w:right w:val="nil"/>
            </w:tcBorders>
          </w:tcPr>
          <w:p w14:paraId="3A54D2F0"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-0.188</w:t>
            </w:r>
          </w:p>
        </w:tc>
        <w:tc>
          <w:tcPr>
            <w:tcW w:w="2126" w:type="dxa"/>
            <w:tcBorders>
              <w:top w:val="nil"/>
              <w:left w:val="nil"/>
              <w:bottom w:val="nil"/>
              <w:right w:val="nil"/>
            </w:tcBorders>
          </w:tcPr>
          <w:p w14:paraId="632D1495"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-0.412</w:t>
            </w:r>
          </w:p>
        </w:tc>
        <w:tc>
          <w:tcPr>
            <w:tcW w:w="1985" w:type="dxa"/>
            <w:tcBorders>
              <w:top w:val="nil"/>
              <w:left w:val="nil"/>
              <w:bottom w:val="nil"/>
              <w:right w:val="nil"/>
            </w:tcBorders>
          </w:tcPr>
          <w:p w14:paraId="537B7856"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-0.475</w:t>
            </w:r>
          </w:p>
        </w:tc>
      </w:tr>
      <w:tr w:rsidR="00F27D10" w:rsidRPr="00353396" w14:paraId="56A8EEE4" w14:textId="77777777" w:rsidTr="00F73AB2">
        <w:trPr>
          <w:cantSplit/>
          <w:tblHeader/>
        </w:trPr>
        <w:tc>
          <w:tcPr>
            <w:tcW w:w="2127" w:type="dxa"/>
            <w:tcBorders>
              <w:top w:val="nil"/>
              <w:left w:val="nil"/>
              <w:bottom w:val="nil"/>
              <w:right w:val="nil"/>
            </w:tcBorders>
          </w:tcPr>
          <w:p w14:paraId="024E494E" w14:textId="77777777" w:rsidR="00F27D10" w:rsidRPr="0069630A" w:rsidRDefault="00F27D10" w:rsidP="0069630A">
            <w:pPr>
              <w:keepLines/>
              <w:suppressAutoHyphens/>
              <w:snapToGrid w:val="0"/>
              <w:spacing w:line="240" w:lineRule="exact"/>
              <w:ind w:right="0"/>
              <w:rPr>
                <w:sz w:val="20"/>
                <w:szCs w:val="20"/>
              </w:rPr>
            </w:pPr>
          </w:p>
        </w:tc>
        <w:tc>
          <w:tcPr>
            <w:tcW w:w="2126" w:type="dxa"/>
            <w:tcBorders>
              <w:top w:val="nil"/>
              <w:left w:val="nil"/>
              <w:bottom w:val="nil"/>
              <w:right w:val="nil"/>
            </w:tcBorders>
          </w:tcPr>
          <w:p w14:paraId="105ED6AF"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(0.672)</w:t>
            </w:r>
          </w:p>
        </w:tc>
        <w:tc>
          <w:tcPr>
            <w:tcW w:w="2126" w:type="dxa"/>
            <w:tcBorders>
              <w:top w:val="nil"/>
              <w:left w:val="nil"/>
              <w:bottom w:val="nil"/>
              <w:right w:val="nil"/>
            </w:tcBorders>
          </w:tcPr>
          <w:p w14:paraId="215EA489"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(0.234)</w:t>
            </w:r>
          </w:p>
        </w:tc>
        <w:tc>
          <w:tcPr>
            <w:tcW w:w="1985" w:type="dxa"/>
            <w:tcBorders>
              <w:top w:val="nil"/>
              <w:left w:val="nil"/>
              <w:bottom w:val="nil"/>
              <w:right w:val="nil"/>
            </w:tcBorders>
          </w:tcPr>
          <w:p w14:paraId="46DAE5A6"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(0.175)</w:t>
            </w:r>
          </w:p>
        </w:tc>
      </w:tr>
      <w:tr w:rsidR="00F27D10" w:rsidRPr="00353396" w14:paraId="008BE396" w14:textId="77777777" w:rsidTr="00F73AB2">
        <w:trPr>
          <w:cantSplit/>
          <w:tblHeader/>
        </w:trPr>
        <w:tc>
          <w:tcPr>
            <w:tcW w:w="2127" w:type="dxa"/>
            <w:tcBorders>
              <w:top w:val="nil"/>
              <w:left w:val="nil"/>
              <w:bottom w:val="nil"/>
              <w:right w:val="nil"/>
            </w:tcBorders>
          </w:tcPr>
          <w:p w14:paraId="29E175A6" w14:textId="24C01901" w:rsidR="00F27D10" w:rsidRPr="0069630A" w:rsidRDefault="000A09BD" w:rsidP="0069630A">
            <w:pPr>
              <w:keepLines/>
              <w:suppressAutoHyphens/>
              <w:snapToGrid w:val="0"/>
              <w:spacing w:line="240" w:lineRule="exact"/>
              <w:ind w:right="0"/>
              <w:rPr>
                <w:sz w:val="20"/>
                <w:szCs w:val="20"/>
              </w:rPr>
            </w:pPr>
            <w:r w:rsidRPr="0069630A">
              <w:rPr>
                <w:sz w:val="20"/>
                <w:szCs w:val="20"/>
              </w:rPr>
              <w:t>S</w:t>
            </w:r>
            <w:r w:rsidR="00F27D10" w:rsidRPr="0069630A">
              <w:rPr>
                <w:sz w:val="20"/>
                <w:szCs w:val="20"/>
              </w:rPr>
              <w:t>trong</w:t>
            </w:r>
            <w:r w:rsidRPr="0069630A">
              <w:rPr>
                <w:sz w:val="20"/>
                <w:szCs w:val="20"/>
              </w:rPr>
              <w:t xml:space="preserve"> </w:t>
            </w:r>
            <w:r w:rsidR="00F27D10" w:rsidRPr="0069630A">
              <w:rPr>
                <w:sz w:val="20"/>
                <w:szCs w:val="20"/>
              </w:rPr>
              <w:t>sell</w:t>
            </w:r>
          </w:p>
        </w:tc>
        <w:tc>
          <w:tcPr>
            <w:tcW w:w="2126" w:type="dxa"/>
            <w:tcBorders>
              <w:top w:val="nil"/>
              <w:left w:val="nil"/>
              <w:bottom w:val="nil"/>
              <w:right w:val="nil"/>
            </w:tcBorders>
          </w:tcPr>
          <w:p w14:paraId="496B2C75"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-0.110</w:t>
            </w:r>
          </w:p>
        </w:tc>
        <w:tc>
          <w:tcPr>
            <w:tcW w:w="2126" w:type="dxa"/>
            <w:tcBorders>
              <w:top w:val="nil"/>
              <w:left w:val="nil"/>
              <w:bottom w:val="nil"/>
              <w:right w:val="nil"/>
            </w:tcBorders>
          </w:tcPr>
          <w:p w14:paraId="2F956576"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-0.160</w:t>
            </w:r>
          </w:p>
        </w:tc>
        <w:tc>
          <w:tcPr>
            <w:tcW w:w="1985" w:type="dxa"/>
            <w:tcBorders>
              <w:top w:val="nil"/>
              <w:left w:val="nil"/>
              <w:bottom w:val="nil"/>
              <w:right w:val="nil"/>
            </w:tcBorders>
          </w:tcPr>
          <w:p w14:paraId="11623B5C"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-0.094</w:t>
            </w:r>
          </w:p>
        </w:tc>
      </w:tr>
      <w:tr w:rsidR="00F27D10" w:rsidRPr="00353396" w14:paraId="17592C79" w14:textId="77777777" w:rsidTr="00F73AB2">
        <w:trPr>
          <w:cantSplit/>
          <w:tblHeader/>
        </w:trPr>
        <w:tc>
          <w:tcPr>
            <w:tcW w:w="2127" w:type="dxa"/>
            <w:tcBorders>
              <w:top w:val="nil"/>
              <w:left w:val="nil"/>
              <w:bottom w:val="nil"/>
              <w:right w:val="nil"/>
            </w:tcBorders>
          </w:tcPr>
          <w:p w14:paraId="11A69696" w14:textId="77777777" w:rsidR="00F27D10" w:rsidRPr="0069630A" w:rsidRDefault="00F27D10" w:rsidP="0069630A">
            <w:pPr>
              <w:keepLines/>
              <w:suppressAutoHyphens/>
              <w:snapToGrid w:val="0"/>
              <w:spacing w:line="240" w:lineRule="exact"/>
              <w:ind w:right="0"/>
              <w:rPr>
                <w:sz w:val="20"/>
                <w:szCs w:val="20"/>
              </w:rPr>
            </w:pPr>
          </w:p>
        </w:tc>
        <w:tc>
          <w:tcPr>
            <w:tcW w:w="2126" w:type="dxa"/>
            <w:tcBorders>
              <w:top w:val="nil"/>
              <w:left w:val="nil"/>
              <w:bottom w:val="nil"/>
              <w:right w:val="nil"/>
            </w:tcBorders>
          </w:tcPr>
          <w:p w14:paraId="3EEBA899"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(0.755)</w:t>
            </w:r>
          </w:p>
        </w:tc>
        <w:tc>
          <w:tcPr>
            <w:tcW w:w="2126" w:type="dxa"/>
            <w:tcBorders>
              <w:top w:val="nil"/>
              <w:left w:val="nil"/>
              <w:bottom w:val="nil"/>
              <w:right w:val="nil"/>
            </w:tcBorders>
          </w:tcPr>
          <w:p w14:paraId="71AFCC16"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(0.595)</w:t>
            </w:r>
          </w:p>
        </w:tc>
        <w:tc>
          <w:tcPr>
            <w:tcW w:w="1985" w:type="dxa"/>
            <w:tcBorders>
              <w:top w:val="nil"/>
              <w:left w:val="nil"/>
              <w:bottom w:val="nil"/>
              <w:right w:val="nil"/>
            </w:tcBorders>
          </w:tcPr>
          <w:p w14:paraId="003549B4"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(0.759)</w:t>
            </w:r>
          </w:p>
        </w:tc>
      </w:tr>
      <w:tr w:rsidR="00F27D10" w:rsidRPr="00353396" w14:paraId="55AA039E" w14:textId="77777777" w:rsidTr="00F73AB2">
        <w:trPr>
          <w:cantSplit/>
          <w:tblHeader/>
        </w:trPr>
        <w:tc>
          <w:tcPr>
            <w:tcW w:w="2127" w:type="dxa"/>
            <w:tcBorders>
              <w:top w:val="nil"/>
              <w:left w:val="nil"/>
              <w:bottom w:val="nil"/>
              <w:right w:val="nil"/>
            </w:tcBorders>
          </w:tcPr>
          <w:p w14:paraId="530BECA2" w14:textId="2BDAB9D4" w:rsidR="00F27D10" w:rsidRPr="0069630A" w:rsidRDefault="000A09BD" w:rsidP="0069630A">
            <w:pPr>
              <w:keepLines/>
              <w:suppressAutoHyphens/>
              <w:snapToGrid w:val="0"/>
              <w:spacing w:line="240" w:lineRule="exact"/>
              <w:ind w:right="0"/>
              <w:rPr>
                <w:sz w:val="20"/>
                <w:szCs w:val="20"/>
              </w:rPr>
            </w:pPr>
            <w:r w:rsidRPr="0069630A">
              <w:rPr>
                <w:sz w:val="20"/>
                <w:szCs w:val="20"/>
              </w:rPr>
              <w:t>S</w:t>
            </w:r>
            <w:r w:rsidR="00F27D10" w:rsidRPr="0069630A">
              <w:rPr>
                <w:sz w:val="20"/>
                <w:szCs w:val="20"/>
              </w:rPr>
              <w:t>ize</w:t>
            </w:r>
          </w:p>
        </w:tc>
        <w:tc>
          <w:tcPr>
            <w:tcW w:w="2126" w:type="dxa"/>
            <w:tcBorders>
              <w:top w:val="nil"/>
              <w:left w:val="nil"/>
              <w:bottom w:val="nil"/>
              <w:right w:val="nil"/>
            </w:tcBorders>
          </w:tcPr>
          <w:p w14:paraId="0B81E06C"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2.801***</w:t>
            </w:r>
          </w:p>
        </w:tc>
        <w:tc>
          <w:tcPr>
            <w:tcW w:w="2126" w:type="dxa"/>
            <w:tcBorders>
              <w:top w:val="nil"/>
              <w:left w:val="nil"/>
              <w:bottom w:val="nil"/>
              <w:right w:val="nil"/>
            </w:tcBorders>
          </w:tcPr>
          <w:p w14:paraId="108B4590"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2.030**</w:t>
            </w:r>
          </w:p>
        </w:tc>
        <w:tc>
          <w:tcPr>
            <w:tcW w:w="1985" w:type="dxa"/>
            <w:tcBorders>
              <w:top w:val="nil"/>
              <w:left w:val="nil"/>
              <w:bottom w:val="nil"/>
              <w:right w:val="nil"/>
            </w:tcBorders>
          </w:tcPr>
          <w:p w14:paraId="49F84CE0"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2.362***</w:t>
            </w:r>
          </w:p>
        </w:tc>
      </w:tr>
      <w:tr w:rsidR="00F27D10" w:rsidRPr="00353396" w14:paraId="428CE54E" w14:textId="77777777" w:rsidTr="00F73AB2">
        <w:trPr>
          <w:cantSplit/>
          <w:tblHeader/>
        </w:trPr>
        <w:tc>
          <w:tcPr>
            <w:tcW w:w="2127" w:type="dxa"/>
            <w:tcBorders>
              <w:top w:val="nil"/>
              <w:left w:val="nil"/>
              <w:bottom w:val="nil"/>
              <w:right w:val="nil"/>
            </w:tcBorders>
          </w:tcPr>
          <w:p w14:paraId="7659A0DB" w14:textId="77777777" w:rsidR="00F27D10" w:rsidRPr="0069630A" w:rsidRDefault="00F27D10" w:rsidP="0069630A">
            <w:pPr>
              <w:keepLines/>
              <w:suppressAutoHyphens/>
              <w:snapToGrid w:val="0"/>
              <w:spacing w:line="240" w:lineRule="exact"/>
              <w:ind w:right="0"/>
              <w:rPr>
                <w:sz w:val="20"/>
                <w:szCs w:val="20"/>
              </w:rPr>
            </w:pPr>
          </w:p>
        </w:tc>
        <w:tc>
          <w:tcPr>
            <w:tcW w:w="2126" w:type="dxa"/>
            <w:tcBorders>
              <w:top w:val="nil"/>
              <w:left w:val="nil"/>
              <w:bottom w:val="nil"/>
              <w:right w:val="nil"/>
            </w:tcBorders>
          </w:tcPr>
          <w:p w14:paraId="677CF74E"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(0.004)</w:t>
            </w:r>
          </w:p>
        </w:tc>
        <w:tc>
          <w:tcPr>
            <w:tcW w:w="2126" w:type="dxa"/>
            <w:tcBorders>
              <w:top w:val="nil"/>
              <w:left w:val="nil"/>
              <w:bottom w:val="nil"/>
              <w:right w:val="nil"/>
            </w:tcBorders>
          </w:tcPr>
          <w:p w14:paraId="40284E04"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(0.010)</w:t>
            </w:r>
          </w:p>
        </w:tc>
        <w:tc>
          <w:tcPr>
            <w:tcW w:w="1985" w:type="dxa"/>
            <w:tcBorders>
              <w:top w:val="nil"/>
              <w:left w:val="nil"/>
              <w:bottom w:val="nil"/>
              <w:right w:val="nil"/>
            </w:tcBorders>
          </w:tcPr>
          <w:p w14:paraId="6545D1C2"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(0.001)</w:t>
            </w:r>
          </w:p>
        </w:tc>
      </w:tr>
      <w:tr w:rsidR="00F27D10" w:rsidRPr="00353396" w14:paraId="6F507205" w14:textId="77777777" w:rsidTr="00F73AB2">
        <w:trPr>
          <w:cantSplit/>
          <w:tblHeader/>
        </w:trPr>
        <w:tc>
          <w:tcPr>
            <w:tcW w:w="2127" w:type="dxa"/>
            <w:tcBorders>
              <w:top w:val="nil"/>
              <w:left w:val="nil"/>
              <w:bottom w:val="nil"/>
              <w:right w:val="nil"/>
            </w:tcBorders>
          </w:tcPr>
          <w:p w14:paraId="3245B568" w14:textId="29D0073F" w:rsidR="00F27D10" w:rsidRPr="0069630A" w:rsidRDefault="000A09BD" w:rsidP="0069630A">
            <w:pPr>
              <w:keepLines/>
              <w:suppressAutoHyphens/>
              <w:snapToGrid w:val="0"/>
              <w:spacing w:line="240" w:lineRule="exact"/>
              <w:ind w:right="0"/>
              <w:rPr>
                <w:sz w:val="20"/>
                <w:szCs w:val="20"/>
              </w:rPr>
            </w:pPr>
            <w:r w:rsidRPr="0069630A">
              <w:rPr>
                <w:sz w:val="20"/>
                <w:szCs w:val="20"/>
              </w:rPr>
              <w:t>BM</w:t>
            </w:r>
          </w:p>
        </w:tc>
        <w:tc>
          <w:tcPr>
            <w:tcW w:w="2126" w:type="dxa"/>
            <w:tcBorders>
              <w:top w:val="nil"/>
              <w:left w:val="nil"/>
              <w:bottom w:val="nil"/>
              <w:right w:val="nil"/>
            </w:tcBorders>
          </w:tcPr>
          <w:p w14:paraId="374D28FA"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-0.832</w:t>
            </w:r>
          </w:p>
        </w:tc>
        <w:tc>
          <w:tcPr>
            <w:tcW w:w="2126" w:type="dxa"/>
            <w:tcBorders>
              <w:top w:val="nil"/>
              <w:left w:val="nil"/>
              <w:bottom w:val="nil"/>
              <w:right w:val="nil"/>
            </w:tcBorders>
          </w:tcPr>
          <w:p w14:paraId="2629E2A0"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-0.695</w:t>
            </w:r>
          </w:p>
        </w:tc>
        <w:tc>
          <w:tcPr>
            <w:tcW w:w="1985" w:type="dxa"/>
            <w:tcBorders>
              <w:top w:val="nil"/>
              <w:left w:val="nil"/>
              <w:bottom w:val="nil"/>
              <w:right w:val="nil"/>
            </w:tcBorders>
          </w:tcPr>
          <w:p w14:paraId="2FE7EBDE"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-0.662</w:t>
            </w:r>
          </w:p>
        </w:tc>
      </w:tr>
      <w:tr w:rsidR="00F27D10" w:rsidRPr="00353396" w14:paraId="3B72AB23" w14:textId="77777777" w:rsidTr="00F73AB2">
        <w:trPr>
          <w:cantSplit/>
          <w:tblHeader/>
        </w:trPr>
        <w:tc>
          <w:tcPr>
            <w:tcW w:w="2127" w:type="dxa"/>
            <w:tcBorders>
              <w:top w:val="nil"/>
              <w:left w:val="nil"/>
              <w:bottom w:val="nil"/>
              <w:right w:val="nil"/>
            </w:tcBorders>
          </w:tcPr>
          <w:p w14:paraId="7C3329DE" w14:textId="77777777" w:rsidR="00F27D10" w:rsidRPr="0069630A" w:rsidRDefault="00F27D10" w:rsidP="0069630A">
            <w:pPr>
              <w:keepLines/>
              <w:suppressAutoHyphens/>
              <w:snapToGrid w:val="0"/>
              <w:spacing w:line="240" w:lineRule="exact"/>
              <w:ind w:right="0"/>
              <w:rPr>
                <w:sz w:val="20"/>
                <w:szCs w:val="20"/>
              </w:rPr>
            </w:pPr>
          </w:p>
        </w:tc>
        <w:tc>
          <w:tcPr>
            <w:tcW w:w="2126" w:type="dxa"/>
            <w:tcBorders>
              <w:top w:val="nil"/>
              <w:left w:val="nil"/>
              <w:bottom w:val="nil"/>
              <w:right w:val="nil"/>
            </w:tcBorders>
          </w:tcPr>
          <w:p w14:paraId="51DA13D2"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(0.210)</w:t>
            </w:r>
          </w:p>
        </w:tc>
        <w:tc>
          <w:tcPr>
            <w:tcW w:w="2126" w:type="dxa"/>
            <w:tcBorders>
              <w:top w:val="nil"/>
              <w:left w:val="nil"/>
              <w:bottom w:val="nil"/>
              <w:right w:val="nil"/>
            </w:tcBorders>
          </w:tcPr>
          <w:p w14:paraId="363747F7"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(0.196)</w:t>
            </w:r>
          </w:p>
        </w:tc>
        <w:tc>
          <w:tcPr>
            <w:tcW w:w="1985" w:type="dxa"/>
            <w:tcBorders>
              <w:top w:val="nil"/>
              <w:left w:val="nil"/>
              <w:bottom w:val="nil"/>
              <w:right w:val="nil"/>
            </w:tcBorders>
          </w:tcPr>
          <w:p w14:paraId="01D09F0F"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(0.163)</w:t>
            </w:r>
          </w:p>
        </w:tc>
      </w:tr>
      <w:tr w:rsidR="00F27D10" w:rsidRPr="00353396" w14:paraId="333CF923" w14:textId="77777777" w:rsidTr="00F73AB2">
        <w:trPr>
          <w:cantSplit/>
          <w:tblHeader/>
        </w:trPr>
        <w:tc>
          <w:tcPr>
            <w:tcW w:w="2127" w:type="dxa"/>
            <w:tcBorders>
              <w:top w:val="nil"/>
              <w:left w:val="nil"/>
              <w:bottom w:val="nil"/>
              <w:right w:val="nil"/>
            </w:tcBorders>
          </w:tcPr>
          <w:p w14:paraId="391C2965" w14:textId="6BF3532E" w:rsidR="00F27D10" w:rsidRPr="0069630A" w:rsidRDefault="000A09BD" w:rsidP="0069630A">
            <w:pPr>
              <w:keepLines/>
              <w:suppressAutoHyphens/>
              <w:snapToGrid w:val="0"/>
              <w:spacing w:line="240" w:lineRule="exact"/>
              <w:ind w:right="0"/>
              <w:rPr>
                <w:sz w:val="20"/>
                <w:szCs w:val="20"/>
              </w:rPr>
            </w:pPr>
            <w:r w:rsidRPr="0069630A">
              <w:rPr>
                <w:sz w:val="20"/>
                <w:szCs w:val="20"/>
              </w:rPr>
              <w:t>ROA</w:t>
            </w:r>
          </w:p>
        </w:tc>
        <w:tc>
          <w:tcPr>
            <w:tcW w:w="2126" w:type="dxa"/>
            <w:tcBorders>
              <w:top w:val="nil"/>
              <w:left w:val="nil"/>
              <w:bottom w:val="nil"/>
              <w:right w:val="nil"/>
            </w:tcBorders>
          </w:tcPr>
          <w:p w14:paraId="086CE3B5"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1.787</w:t>
            </w:r>
          </w:p>
        </w:tc>
        <w:tc>
          <w:tcPr>
            <w:tcW w:w="2126" w:type="dxa"/>
            <w:tcBorders>
              <w:top w:val="nil"/>
              <w:left w:val="nil"/>
              <w:bottom w:val="nil"/>
              <w:right w:val="nil"/>
            </w:tcBorders>
          </w:tcPr>
          <w:p w14:paraId="54684C54"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1.188</w:t>
            </w:r>
          </w:p>
        </w:tc>
        <w:tc>
          <w:tcPr>
            <w:tcW w:w="1985" w:type="dxa"/>
            <w:tcBorders>
              <w:top w:val="nil"/>
              <w:left w:val="nil"/>
              <w:bottom w:val="nil"/>
              <w:right w:val="nil"/>
            </w:tcBorders>
          </w:tcPr>
          <w:p w14:paraId="4045077C"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1.203</w:t>
            </w:r>
          </w:p>
        </w:tc>
      </w:tr>
      <w:tr w:rsidR="00F27D10" w:rsidRPr="00353396" w14:paraId="3B9D632B" w14:textId="77777777" w:rsidTr="00F73AB2">
        <w:trPr>
          <w:cantSplit/>
          <w:tblHeader/>
        </w:trPr>
        <w:tc>
          <w:tcPr>
            <w:tcW w:w="2127" w:type="dxa"/>
            <w:tcBorders>
              <w:top w:val="nil"/>
              <w:left w:val="nil"/>
              <w:bottom w:val="nil"/>
              <w:right w:val="nil"/>
            </w:tcBorders>
          </w:tcPr>
          <w:p w14:paraId="452E8C6E" w14:textId="77777777" w:rsidR="00F27D10" w:rsidRPr="0069630A" w:rsidRDefault="00F27D10" w:rsidP="0069630A">
            <w:pPr>
              <w:keepLines/>
              <w:suppressAutoHyphens/>
              <w:snapToGrid w:val="0"/>
              <w:spacing w:line="240" w:lineRule="exact"/>
              <w:ind w:right="0"/>
              <w:rPr>
                <w:sz w:val="20"/>
                <w:szCs w:val="20"/>
              </w:rPr>
            </w:pPr>
          </w:p>
        </w:tc>
        <w:tc>
          <w:tcPr>
            <w:tcW w:w="2126" w:type="dxa"/>
            <w:tcBorders>
              <w:top w:val="nil"/>
              <w:left w:val="nil"/>
              <w:bottom w:val="nil"/>
              <w:right w:val="nil"/>
            </w:tcBorders>
          </w:tcPr>
          <w:p w14:paraId="25CE3433"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(0.162)</w:t>
            </w:r>
          </w:p>
        </w:tc>
        <w:tc>
          <w:tcPr>
            <w:tcW w:w="2126" w:type="dxa"/>
            <w:tcBorders>
              <w:top w:val="nil"/>
              <w:left w:val="nil"/>
              <w:bottom w:val="nil"/>
              <w:right w:val="nil"/>
            </w:tcBorders>
          </w:tcPr>
          <w:p w14:paraId="72B55301"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(0.269)</w:t>
            </w:r>
          </w:p>
        </w:tc>
        <w:tc>
          <w:tcPr>
            <w:tcW w:w="1985" w:type="dxa"/>
            <w:tcBorders>
              <w:top w:val="nil"/>
              <w:left w:val="nil"/>
              <w:bottom w:val="nil"/>
              <w:right w:val="nil"/>
            </w:tcBorders>
          </w:tcPr>
          <w:p w14:paraId="313E3C55"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(0.255)</w:t>
            </w:r>
          </w:p>
        </w:tc>
      </w:tr>
      <w:tr w:rsidR="00F27D10" w:rsidRPr="00353396" w14:paraId="26050ACA" w14:textId="77777777" w:rsidTr="00F73AB2">
        <w:trPr>
          <w:cantSplit/>
          <w:tblHeader/>
        </w:trPr>
        <w:tc>
          <w:tcPr>
            <w:tcW w:w="2127" w:type="dxa"/>
            <w:tcBorders>
              <w:top w:val="nil"/>
              <w:left w:val="nil"/>
              <w:bottom w:val="nil"/>
              <w:right w:val="nil"/>
            </w:tcBorders>
          </w:tcPr>
          <w:p w14:paraId="1FF23DBE" w14:textId="35AF431F" w:rsidR="00F27D10" w:rsidRPr="0069630A" w:rsidRDefault="000A09BD" w:rsidP="0069630A">
            <w:pPr>
              <w:keepLines/>
              <w:suppressAutoHyphens/>
              <w:snapToGrid w:val="0"/>
              <w:spacing w:line="240" w:lineRule="exact"/>
              <w:ind w:right="0"/>
              <w:rPr>
                <w:sz w:val="20"/>
                <w:szCs w:val="20"/>
              </w:rPr>
            </w:pPr>
            <w:r w:rsidRPr="0069630A">
              <w:rPr>
                <w:sz w:val="20"/>
                <w:szCs w:val="20"/>
              </w:rPr>
              <w:t>DPR</w:t>
            </w:r>
          </w:p>
        </w:tc>
        <w:tc>
          <w:tcPr>
            <w:tcW w:w="2126" w:type="dxa"/>
            <w:tcBorders>
              <w:top w:val="nil"/>
              <w:left w:val="nil"/>
              <w:bottom w:val="nil"/>
              <w:right w:val="nil"/>
            </w:tcBorders>
          </w:tcPr>
          <w:p w14:paraId="2B3762B0"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0.126</w:t>
            </w:r>
          </w:p>
        </w:tc>
        <w:tc>
          <w:tcPr>
            <w:tcW w:w="2126" w:type="dxa"/>
            <w:tcBorders>
              <w:top w:val="nil"/>
              <w:left w:val="nil"/>
              <w:bottom w:val="nil"/>
              <w:right w:val="nil"/>
            </w:tcBorders>
          </w:tcPr>
          <w:p w14:paraId="06D1CA6A"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0.221</w:t>
            </w:r>
          </w:p>
        </w:tc>
        <w:tc>
          <w:tcPr>
            <w:tcW w:w="1985" w:type="dxa"/>
            <w:tcBorders>
              <w:top w:val="nil"/>
              <w:left w:val="nil"/>
              <w:bottom w:val="nil"/>
              <w:right w:val="nil"/>
            </w:tcBorders>
          </w:tcPr>
          <w:p w14:paraId="394EFB22"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0.262*</w:t>
            </w:r>
          </w:p>
        </w:tc>
      </w:tr>
      <w:tr w:rsidR="00F27D10" w:rsidRPr="00353396" w14:paraId="45598658" w14:textId="77777777" w:rsidTr="00F73AB2">
        <w:trPr>
          <w:cantSplit/>
          <w:tblHeader/>
        </w:trPr>
        <w:tc>
          <w:tcPr>
            <w:tcW w:w="2127" w:type="dxa"/>
            <w:tcBorders>
              <w:top w:val="nil"/>
              <w:left w:val="nil"/>
              <w:bottom w:val="nil"/>
              <w:right w:val="nil"/>
            </w:tcBorders>
          </w:tcPr>
          <w:p w14:paraId="2A7BAD25" w14:textId="77777777" w:rsidR="00F27D10" w:rsidRPr="0069630A" w:rsidRDefault="00F27D10" w:rsidP="0069630A">
            <w:pPr>
              <w:keepLines/>
              <w:suppressAutoHyphens/>
              <w:snapToGrid w:val="0"/>
              <w:spacing w:line="240" w:lineRule="exact"/>
              <w:ind w:right="0"/>
              <w:rPr>
                <w:sz w:val="20"/>
                <w:szCs w:val="20"/>
              </w:rPr>
            </w:pPr>
          </w:p>
        </w:tc>
        <w:tc>
          <w:tcPr>
            <w:tcW w:w="2126" w:type="dxa"/>
            <w:tcBorders>
              <w:top w:val="nil"/>
              <w:left w:val="nil"/>
              <w:bottom w:val="nil"/>
              <w:right w:val="nil"/>
            </w:tcBorders>
          </w:tcPr>
          <w:p w14:paraId="65AE1C09"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(0.715)</w:t>
            </w:r>
          </w:p>
        </w:tc>
        <w:tc>
          <w:tcPr>
            <w:tcW w:w="2126" w:type="dxa"/>
            <w:tcBorders>
              <w:top w:val="nil"/>
              <w:left w:val="nil"/>
              <w:bottom w:val="nil"/>
              <w:right w:val="nil"/>
            </w:tcBorders>
          </w:tcPr>
          <w:p w14:paraId="63767CEE"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(0.128)</w:t>
            </w:r>
          </w:p>
        </w:tc>
        <w:tc>
          <w:tcPr>
            <w:tcW w:w="1985" w:type="dxa"/>
            <w:tcBorders>
              <w:top w:val="nil"/>
              <w:left w:val="nil"/>
              <w:bottom w:val="nil"/>
              <w:right w:val="nil"/>
            </w:tcBorders>
          </w:tcPr>
          <w:p w14:paraId="53A3935F"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(0.098)</w:t>
            </w:r>
          </w:p>
        </w:tc>
      </w:tr>
      <w:tr w:rsidR="00F27D10" w:rsidRPr="00353396" w14:paraId="465E7619" w14:textId="77777777" w:rsidTr="00F73AB2">
        <w:trPr>
          <w:cantSplit/>
          <w:tblHeader/>
        </w:trPr>
        <w:tc>
          <w:tcPr>
            <w:tcW w:w="2127" w:type="dxa"/>
            <w:tcBorders>
              <w:top w:val="nil"/>
              <w:left w:val="nil"/>
              <w:bottom w:val="nil"/>
              <w:right w:val="nil"/>
            </w:tcBorders>
          </w:tcPr>
          <w:p w14:paraId="1683A7DA" w14:textId="10B1BC9F" w:rsidR="00F27D10" w:rsidRPr="0069630A" w:rsidRDefault="000A09BD" w:rsidP="0069630A">
            <w:pPr>
              <w:keepLines/>
              <w:suppressAutoHyphens/>
              <w:snapToGrid w:val="0"/>
              <w:spacing w:line="240" w:lineRule="exact"/>
              <w:ind w:right="0"/>
              <w:rPr>
                <w:sz w:val="20"/>
                <w:szCs w:val="20"/>
              </w:rPr>
            </w:pPr>
            <w:r w:rsidRPr="0069630A">
              <w:rPr>
                <w:sz w:val="20"/>
                <w:szCs w:val="20"/>
              </w:rPr>
              <w:t>L</w:t>
            </w:r>
            <w:r w:rsidR="00F27D10" w:rsidRPr="0069630A">
              <w:rPr>
                <w:sz w:val="20"/>
                <w:szCs w:val="20"/>
              </w:rPr>
              <w:t>iquid</w:t>
            </w:r>
          </w:p>
        </w:tc>
        <w:tc>
          <w:tcPr>
            <w:tcW w:w="2126" w:type="dxa"/>
            <w:tcBorders>
              <w:top w:val="nil"/>
              <w:left w:val="nil"/>
              <w:bottom w:val="nil"/>
              <w:right w:val="nil"/>
            </w:tcBorders>
          </w:tcPr>
          <w:p w14:paraId="53CB0D6B"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3.044*</w:t>
            </w:r>
          </w:p>
        </w:tc>
        <w:tc>
          <w:tcPr>
            <w:tcW w:w="2126" w:type="dxa"/>
            <w:tcBorders>
              <w:top w:val="nil"/>
              <w:left w:val="nil"/>
              <w:bottom w:val="nil"/>
              <w:right w:val="nil"/>
            </w:tcBorders>
          </w:tcPr>
          <w:p w14:paraId="2FCE96B1"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1.311</w:t>
            </w:r>
          </w:p>
        </w:tc>
        <w:tc>
          <w:tcPr>
            <w:tcW w:w="1985" w:type="dxa"/>
            <w:tcBorders>
              <w:top w:val="nil"/>
              <w:left w:val="nil"/>
              <w:bottom w:val="nil"/>
              <w:right w:val="nil"/>
            </w:tcBorders>
          </w:tcPr>
          <w:p w14:paraId="2377CF75"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2.215*</w:t>
            </w:r>
          </w:p>
        </w:tc>
      </w:tr>
      <w:tr w:rsidR="00F27D10" w:rsidRPr="00353396" w14:paraId="63D8BB6E" w14:textId="77777777" w:rsidTr="00F73AB2">
        <w:trPr>
          <w:cantSplit/>
          <w:tblHeader/>
        </w:trPr>
        <w:tc>
          <w:tcPr>
            <w:tcW w:w="2127" w:type="dxa"/>
            <w:tcBorders>
              <w:top w:val="nil"/>
              <w:left w:val="nil"/>
              <w:bottom w:val="nil"/>
              <w:right w:val="nil"/>
            </w:tcBorders>
          </w:tcPr>
          <w:p w14:paraId="30E57892" w14:textId="77777777" w:rsidR="00F27D10" w:rsidRPr="0069630A" w:rsidRDefault="00F27D10" w:rsidP="0069630A">
            <w:pPr>
              <w:keepLines/>
              <w:suppressAutoHyphens/>
              <w:snapToGrid w:val="0"/>
              <w:spacing w:line="240" w:lineRule="exact"/>
              <w:ind w:right="0"/>
              <w:rPr>
                <w:sz w:val="20"/>
                <w:szCs w:val="20"/>
              </w:rPr>
            </w:pPr>
          </w:p>
        </w:tc>
        <w:tc>
          <w:tcPr>
            <w:tcW w:w="2126" w:type="dxa"/>
            <w:tcBorders>
              <w:top w:val="nil"/>
              <w:left w:val="nil"/>
              <w:bottom w:val="nil"/>
              <w:right w:val="nil"/>
            </w:tcBorders>
          </w:tcPr>
          <w:p w14:paraId="6E4F4A8F"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(0.073)</w:t>
            </w:r>
          </w:p>
        </w:tc>
        <w:tc>
          <w:tcPr>
            <w:tcW w:w="2126" w:type="dxa"/>
            <w:tcBorders>
              <w:top w:val="nil"/>
              <w:left w:val="nil"/>
              <w:bottom w:val="nil"/>
              <w:right w:val="nil"/>
            </w:tcBorders>
          </w:tcPr>
          <w:p w14:paraId="72EC41C3"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(0.353)</w:t>
            </w:r>
          </w:p>
        </w:tc>
        <w:tc>
          <w:tcPr>
            <w:tcW w:w="1985" w:type="dxa"/>
            <w:tcBorders>
              <w:top w:val="nil"/>
              <w:left w:val="nil"/>
              <w:bottom w:val="nil"/>
              <w:right w:val="nil"/>
            </w:tcBorders>
          </w:tcPr>
          <w:p w14:paraId="6CA3D2BE"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(0.094)</w:t>
            </w:r>
          </w:p>
        </w:tc>
      </w:tr>
      <w:tr w:rsidR="00F27D10" w:rsidRPr="00353396" w14:paraId="04E8F2CE" w14:textId="77777777" w:rsidTr="00F73AB2">
        <w:trPr>
          <w:cantSplit/>
          <w:tblHeader/>
        </w:trPr>
        <w:tc>
          <w:tcPr>
            <w:tcW w:w="2127" w:type="dxa"/>
            <w:tcBorders>
              <w:top w:val="nil"/>
              <w:left w:val="nil"/>
              <w:bottom w:val="nil"/>
              <w:right w:val="nil"/>
            </w:tcBorders>
          </w:tcPr>
          <w:p w14:paraId="0C9B6745" w14:textId="72EF9AB4" w:rsidR="00F27D10" w:rsidRPr="0069630A" w:rsidRDefault="000A09BD" w:rsidP="0069630A">
            <w:pPr>
              <w:keepLines/>
              <w:suppressAutoHyphens/>
              <w:snapToGrid w:val="0"/>
              <w:spacing w:line="240" w:lineRule="exact"/>
              <w:ind w:right="0"/>
              <w:rPr>
                <w:sz w:val="20"/>
                <w:szCs w:val="20"/>
              </w:rPr>
            </w:pPr>
            <w:r w:rsidRPr="0069630A">
              <w:rPr>
                <w:sz w:val="20"/>
                <w:szCs w:val="20"/>
              </w:rPr>
              <w:t>DR</w:t>
            </w:r>
          </w:p>
        </w:tc>
        <w:tc>
          <w:tcPr>
            <w:tcW w:w="2126" w:type="dxa"/>
            <w:tcBorders>
              <w:top w:val="nil"/>
              <w:left w:val="nil"/>
              <w:bottom w:val="nil"/>
              <w:right w:val="nil"/>
            </w:tcBorders>
          </w:tcPr>
          <w:p w14:paraId="40D582A8"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1.272</w:t>
            </w:r>
          </w:p>
        </w:tc>
        <w:tc>
          <w:tcPr>
            <w:tcW w:w="2126" w:type="dxa"/>
            <w:tcBorders>
              <w:top w:val="nil"/>
              <w:left w:val="nil"/>
              <w:bottom w:val="nil"/>
              <w:right w:val="nil"/>
            </w:tcBorders>
          </w:tcPr>
          <w:p w14:paraId="5A023089"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0.701</w:t>
            </w:r>
          </w:p>
        </w:tc>
        <w:tc>
          <w:tcPr>
            <w:tcW w:w="1985" w:type="dxa"/>
            <w:tcBorders>
              <w:top w:val="nil"/>
              <w:left w:val="nil"/>
              <w:bottom w:val="nil"/>
              <w:right w:val="nil"/>
            </w:tcBorders>
          </w:tcPr>
          <w:p w14:paraId="210CD8E1"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0.958</w:t>
            </w:r>
          </w:p>
        </w:tc>
      </w:tr>
      <w:tr w:rsidR="00F27D10" w:rsidRPr="00353396" w14:paraId="1791795B" w14:textId="77777777" w:rsidTr="00F73AB2">
        <w:trPr>
          <w:cantSplit/>
          <w:tblHeader/>
        </w:trPr>
        <w:tc>
          <w:tcPr>
            <w:tcW w:w="2127" w:type="dxa"/>
            <w:tcBorders>
              <w:top w:val="nil"/>
              <w:left w:val="nil"/>
              <w:bottom w:val="nil"/>
              <w:right w:val="nil"/>
            </w:tcBorders>
          </w:tcPr>
          <w:p w14:paraId="77B76BC0" w14:textId="77777777" w:rsidR="00F27D10" w:rsidRPr="0069630A" w:rsidRDefault="00F27D10" w:rsidP="0069630A">
            <w:pPr>
              <w:keepLines/>
              <w:suppressAutoHyphens/>
              <w:snapToGrid w:val="0"/>
              <w:spacing w:line="240" w:lineRule="exact"/>
              <w:ind w:right="0"/>
              <w:rPr>
                <w:sz w:val="20"/>
                <w:szCs w:val="20"/>
              </w:rPr>
            </w:pPr>
          </w:p>
        </w:tc>
        <w:tc>
          <w:tcPr>
            <w:tcW w:w="2126" w:type="dxa"/>
            <w:tcBorders>
              <w:top w:val="nil"/>
              <w:left w:val="nil"/>
              <w:bottom w:val="nil"/>
              <w:right w:val="nil"/>
            </w:tcBorders>
          </w:tcPr>
          <w:p w14:paraId="52AD9751"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(0.114)</w:t>
            </w:r>
          </w:p>
        </w:tc>
        <w:tc>
          <w:tcPr>
            <w:tcW w:w="2126" w:type="dxa"/>
            <w:tcBorders>
              <w:top w:val="nil"/>
              <w:left w:val="nil"/>
              <w:bottom w:val="nil"/>
              <w:right w:val="nil"/>
            </w:tcBorders>
          </w:tcPr>
          <w:p w14:paraId="6892CDEC"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(0.281)</w:t>
            </w:r>
          </w:p>
        </w:tc>
        <w:tc>
          <w:tcPr>
            <w:tcW w:w="1985" w:type="dxa"/>
            <w:tcBorders>
              <w:top w:val="nil"/>
              <w:left w:val="nil"/>
              <w:bottom w:val="nil"/>
              <w:right w:val="nil"/>
            </w:tcBorders>
          </w:tcPr>
          <w:p w14:paraId="62F2CC38"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(0.142)</w:t>
            </w:r>
          </w:p>
        </w:tc>
      </w:tr>
      <w:tr w:rsidR="00F27D10" w:rsidRPr="00353396" w14:paraId="4E45AF98" w14:textId="77777777" w:rsidTr="00F73AB2">
        <w:trPr>
          <w:cantSplit/>
          <w:tblHeader/>
        </w:trPr>
        <w:tc>
          <w:tcPr>
            <w:tcW w:w="2127" w:type="dxa"/>
            <w:tcBorders>
              <w:top w:val="nil"/>
              <w:left w:val="nil"/>
              <w:bottom w:val="nil"/>
              <w:right w:val="nil"/>
            </w:tcBorders>
          </w:tcPr>
          <w:p w14:paraId="42E958F2" w14:textId="6CC7E220" w:rsidR="00F27D10" w:rsidRPr="0069630A" w:rsidRDefault="000A09BD" w:rsidP="0069630A">
            <w:pPr>
              <w:keepLines/>
              <w:suppressAutoHyphens/>
              <w:snapToGrid w:val="0"/>
              <w:spacing w:line="240" w:lineRule="exact"/>
              <w:ind w:right="0"/>
              <w:rPr>
                <w:sz w:val="20"/>
                <w:szCs w:val="20"/>
              </w:rPr>
            </w:pPr>
            <w:r w:rsidRPr="0069630A">
              <w:rPr>
                <w:sz w:val="20"/>
                <w:szCs w:val="20"/>
              </w:rPr>
              <w:t>R</w:t>
            </w:r>
            <w:r w:rsidR="00F27D10" w:rsidRPr="0069630A">
              <w:rPr>
                <w:sz w:val="20"/>
                <w:szCs w:val="20"/>
              </w:rPr>
              <w:t>unup</w:t>
            </w:r>
          </w:p>
        </w:tc>
        <w:tc>
          <w:tcPr>
            <w:tcW w:w="2126" w:type="dxa"/>
            <w:tcBorders>
              <w:top w:val="nil"/>
              <w:left w:val="nil"/>
              <w:bottom w:val="nil"/>
              <w:right w:val="nil"/>
            </w:tcBorders>
          </w:tcPr>
          <w:p w14:paraId="0D06214C"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-0.096</w:t>
            </w:r>
          </w:p>
        </w:tc>
        <w:tc>
          <w:tcPr>
            <w:tcW w:w="2126" w:type="dxa"/>
            <w:tcBorders>
              <w:top w:val="nil"/>
              <w:left w:val="nil"/>
              <w:bottom w:val="nil"/>
              <w:right w:val="nil"/>
            </w:tcBorders>
          </w:tcPr>
          <w:p w14:paraId="3F380ADF"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0.279</w:t>
            </w:r>
          </w:p>
        </w:tc>
        <w:tc>
          <w:tcPr>
            <w:tcW w:w="1985" w:type="dxa"/>
            <w:tcBorders>
              <w:top w:val="nil"/>
              <w:left w:val="nil"/>
              <w:bottom w:val="nil"/>
              <w:right w:val="nil"/>
            </w:tcBorders>
          </w:tcPr>
          <w:p w14:paraId="6405D192"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0.652</w:t>
            </w:r>
          </w:p>
        </w:tc>
      </w:tr>
      <w:tr w:rsidR="00F27D10" w:rsidRPr="00353396" w14:paraId="583487AB" w14:textId="77777777" w:rsidTr="00F73AB2">
        <w:trPr>
          <w:cantSplit/>
          <w:tblHeader/>
        </w:trPr>
        <w:tc>
          <w:tcPr>
            <w:tcW w:w="2127" w:type="dxa"/>
            <w:tcBorders>
              <w:top w:val="nil"/>
              <w:left w:val="nil"/>
              <w:bottom w:val="nil"/>
              <w:right w:val="nil"/>
            </w:tcBorders>
          </w:tcPr>
          <w:p w14:paraId="626E4716" w14:textId="77777777" w:rsidR="00F27D10" w:rsidRPr="0069630A" w:rsidRDefault="00F27D10" w:rsidP="0069630A">
            <w:pPr>
              <w:keepLines/>
              <w:suppressAutoHyphens/>
              <w:snapToGrid w:val="0"/>
              <w:spacing w:line="240" w:lineRule="exact"/>
              <w:ind w:right="0"/>
              <w:rPr>
                <w:sz w:val="20"/>
                <w:szCs w:val="20"/>
              </w:rPr>
            </w:pPr>
          </w:p>
        </w:tc>
        <w:tc>
          <w:tcPr>
            <w:tcW w:w="2126" w:type="dxa"/>
            <w:tcBorders>
              <w:top w:val="nil"/>
              <w:left w:val="nil"/>
              <w:bottom w:val="nil"/>
              <w:right w:val="nil"/>
            </w:tcBorders>
          </w:tcPr>
          <w:p w14:paraId="3BAA1446"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(0.915)</w:t>
            </w:r>
          </w:p>
        </w:tc>
        <w:tc>
          <w:tcPr>
            <w:tcW w:w="2126" w:type="dxa"/>
            <w:tcBorders>
              <w:top w:val="nil"/>
              <w:left w:val="nil"/>
              <w:bottom w:val="nil"/>
              <w:right w:val="nil"/>
            </w:tcBorders>
          </w:tcPr>
          <w:p w14:paraId="06D88FE2"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(0.695)</w:t>
            </w:r>
          </w:p>
        </w:tc>
        <w:tc>
          <w:tcPr>
            <w:tcW w:w="1985" w:type="dxa"/>
            <w:tcBorders>
              <w:top w:val="nil"/>
              <w:left w:val="nil"/>
              <w:bottom w:val="nil"/>
              <w:right w:val="nil"/>
            </w:tcBorders>
          </w:tcPr>
          <w:p w14:paraId="3D148B65"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(0.354)</w:t>
            </w:r>
          </w:p>
        </w:tc>
      </w:tr>
      <w:tr w:rsidR="00F27D10" w:rsidRPr="00353396" w14:paraId="4E19D284" w14:textId="77777777" w:rsidTr="00F73AB2">
        <w:trPr>
          <w:cantSplit/>
          <w:tblHeader/>
        </w:trPr>
        <w:tc>
          <w:tcPr>
            <w:tcW w:w="2127" w:type="dxa"/>
            <w:tcBorders>
              <w:top w:val="nil"/>
              <w:left w:val="nil"/>
              <w:bottom w:val="nil"/>
              <w:right w:val="nil"/>
            </w:tcBorders>
          </w:tcPr>
          <w:p w14:paraId="72458D20"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Constant</w:t>
            </w:r>
          </w:p>
        </w:tc>
        <w:tc>
          <w:tcPr>
            <w:tcW w:w="2126" w:type="dxa"/>
            <w:tcBorders>
              <w:top w:val="nil"/>
              <w:left w:val="nil"/>
              <w:bottom w:val="nil"/>
              <w:right w:val="nil"/>
            </w:tcBorders>
          </w:tcPr>
          <w:p w14:paraId="7143F4F1"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-5.815***</w:t>
            </w:r>
          </w:p>
        </w:tc>
        <w:tc>
          <w:tcPr>
            <w:tcW w:w="2126" w:type="dxa"/>
            <w:tcBorders>
              <w:top w:val="nil"/>
              <w:left w:val="nil"/>
              <w:bottom w:val="nil"/>
              <w:right w:val="nil"/>
            </w:tcBorders>
          </w:tcPr>
          <w:p w14:paraId="5718A62E"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-3.922**</w:t>
            </w:r>
          </w:p>
        </w:tc>
        <w:tc>
          <w:tcPr>
            <w:tcW w:w="1985" w:type="dxa"/>
            <w:tcBorders>
              <w:top w:val="nil"/>
              <w:left w:val="nil"/>
              <w:bottom w:val="nil"/>
              <w:right w:val="nil"/>
            </w:tcBorders>
          </w:tcPr>
          <w:p w14:paraId="67AC0A73"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-4.895***</w:t>
            </w:r>
          </w:p>
        </w:tc>
      </w:tr>
      <w:tr w:rsidR="00F27D10" w:rsidRPr="00353396" w14:paraId="00CECDB2" w14:textId="77777777" w:rsidTr="00F73AB2">
        <w:trPr>
          <w:cantSplit/>
          <w:tblHeader/>
        </w:trPr>
        <w:tc>
          <w:tcPr>
            <w:tcW w:w="2127" w:type="dxa"/>
            <w:tcBorders>
              <w:top w:val="nil"/>
              <w:left w:val="nil"/>
              <w:bottom w:val="nil"/>
              <w:right w:val="nil"/>
            </w:tcBorders>
          </w:tcPr>
          <w:p w14:paraId="4FADEBA4" w14:textId="77777777" w:rsidR="00F27D10" w:rsidRPr="0069630A" w:rsidRDefault="00F27D10" w:rsidP="0069630A">
            <w:pPr>
              <w:keepLines/>
              <w:suppressAutoHyphens/>
              <w:snapToGrid w:val="0"/>
              <w:spacing w:line="240" w:lineRule="exact"/>
              <w:ind w:right="0"/>
              <w:rPr>
                <w:sz w:val="20"/>
                <w:szCs w:val="20"/>
              </w:rPr>
            </w:pPr>
          </w:p>
        </w:tc>
        <w:tc>
          <w:tcPr>
            <w:tcW w:w="2126" w:type="dxa"/>
            <w:tcBorders>
              <w:top w:val="nil"/>
              <w:left w:val="nil"/>
              <w:bottom w:val="nil"/>
              <w:right w:val="nil"/>
            </w:tcBorders>
          </w:tcPr>
          <w:p w14:paraId="5E35DCAD"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(0.010)</w:t>
            </w:r>
          </w:p>
        </w:tc>
        <w:tc>
          <w:tcPr>
            <w:tcW w:w="2126" w:type="dxa"/>
            <w:tcBorders>
              <w:top w:val="nil"/>
              <w:left w:val="nil"/>
              <w:bottom w:val="nil"/>
              <w:right w:val="nil"/>
            </w:tcBorders>
          </w:tcPr>
          <w:p w14:paraId="535FBA7A"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(0.035)</w:t>
            </w:r>
          </w:p>
        </w:tc>
        <w:tc>
          <w:tcPr>
            <w:tcW w:w="1985" w:type="dxa"/>
            <w:tcBorders>
              <w:top w:val="nil"/>
              <w:left w:val="nil"/>
              <w:bottom w:val="nil"/>
              <w:right w:val="nil"/>
            </w:tcBorders>
          </w:tcPr>
          <w:p w14:paraId="1A81CE29"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(0.004)</w:t>
            </w:r>
          </w:p>
        </w:tc>
      </w:tr>
      <w:tr w:rsidR="00F27D10" w:rsidRPr="00353396" w14:paraId="5E84E419" w14:textId="77777777" w:rsidTr="00F73AB2">
        <w:tblPrEx>
          <w:tblBorders>
            <w:bottom w:val="single" w:sz="6" w:space="0" w:color="auto"/>
          </w:tblBorders>
        </w:tblPrEx>
        <w:trPr>
          <w:cantSplit/>
          <w:tblHeader/>
        </w:trPr>
        <w:tc>
          <w:tcPr>
            <w:tcW w:w="2127" w:type="dxa"/>
            <w:tcBorders>
              <w:top w:val="single" w:sz="4" w:space="0" w:color="auto"/>
              <w:left w:val="nil"/>
              <w:bottom w:val="single" w:sz="6" w:space="0" w:color="auto"/>
              <w:right w:val="nil"/>
            </w:tcBorders>
          </w:tcPr>
          <w:p w14:paraId="18B5CE21"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Pseudo R</w:t>
            </w:r>
            <w:r w:rsidRPr="0069630A">
              <w:rPr>
                <w:sz w:val="20"/>
                <w:szCs w:val="20"/>
                <w:vertAlign w:val="superscript"/>
              </w:rPr>
              <w:t>2</w:t>
            </w:r>
          </w:p>
        </w:tc>
        <w:tc>
          <w:tcPr>
            <w:tcW w:w="2126" w:type="dxa"/>
            <w:tcBorders>
              <w:top w:val="single" w:sz="4" w:space="0" w:color="auto"/>
              <w:left w:val="nil"/>
              <w:bottom w:val="single" w:sz="6" w:space="0" w:color="auto"/>
              <w:right w:val="nil"/>
            </w:tcBorders>
          </w:tcPr>
          <w:p w14:paraId="11B17EC4"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0.171</w:t>
            </w:r>
          </w:p>
        </w:tc>
        <w:tc>
          <w:tcPr>
            <w:tcW w:w="2126" w:type="dxa"/>
            <w:tcBorders>
              <w:top w:val="single" w:sz="4" w:space="0" w:color="auto"/>
              <w:left w:val="nil"/>
              <w:bottom w:val="single" w:sz="6" w:space="0" w:color="auto"/>
              <w:right w:val="nil"/>
            </w:tcBorders>
          </w:tcPr>
          <w:p w14:paraId="6158DBB6"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0.134</w:t>
            </w:r>
          </w:p>
        </w:tc>
        <w:tc>
          <w:tcPr>
            <w:tcW w:w="1985" w:type="dxa"/>
            <w:tcBorders>
              <w:top w:val="single" w:sz="4" w:space="0" w:color="auto"/>
              <w:left w:val="nil"/>
              <w:bottom w:val="single" w:sz="6" w:space="0" w:color="auto"/>
              <w:right w:val="nil"/>
            </w:tcBorders>
          </w:tcPr>
          <w:p w14:paraId="28F1C7A6" w14:textId="77777777" w:rsidR="00F27D10" w:rsidRPr="0069630A" w:rsidRDefault="00F27D10" w:rsidP="0069630A">
            <w:pPr>
              <w:keepLines/>
              <w:suppressAutoHyphens/>
              <w:snapToGrid w:val="0"/>
              <w:spacing w:line="240" w:lineRule="exact"/>
              <w:ind w:right="0"/>
              <w:rPr>
                <w:sz w:val="20"/>
                <w:szCs w:val="20"/>
              </w:rPr>
            </w:pPr>
            <w:r w:rsidRPr="0069630A">
              <w:rPr>
                <w:sz w:val="20"/>
                <w:szCs w:val="20"/>
              </w:rPr>
              <w:t>0.139</w:t>
            </w:r>
          </w:p>
        </w:tc>
      </w:tr>
    </w:tbl>
    <w:p w14:paraId="59607E24" w14:textId="5C0DCC57" w:rsidR="00465E16" w:rsidRPr="00353396" w:rsidRDefault="00233E5D" w:rsidP="00C3335D">
      <w:pPr>
        <w:pStyle w:val="3"/>
      </w:pPr>
      <w:r>
        <w:lastRenderedPageBreak/>
        <w:t xml:space="preserve">Table </w:t>
      </w:r>
      <w:r w:rsidR="00350966">
        <w:fldChar w:fldCharType="begin"/>
      </w:r>
      <w:r w:rsidR="00350966">
        <w:instrText xml:space="preserve"> SEQ Table \* ARABIC </w:instrText>
      </w:r>
      <w:r w:rsidR="00350966">
        <w:fldChar w:fldCharType="separate"/>
      </w:r>
      <w:r w:rsidR="00350966">
        <w:rPr>
          <w:noProof/>
        </w:rPr>
        <w:t>8</w:t>
      </w:r>
      <w:r w:rsidR="00350966">
        <w:rPr>
          <w:noProof/>
        </w:rPr>
        <w:fldChar w:fldCharType="end"/>
      </w:r>
      <w:r>
        <w:rPr>
          <w:rFonts w:hint="eastAsia"/>
        </w:rPr>
        <w:t>.</w:t>
      </w:r>
      <w:r w:rsidR="00465E16" w:rsidRPr="00353396">
        <w:t xml:space="preserve"> The logistic regression of the stock only payment</w:t>
      </w:r>
    </w:p>
    <w:p w14:paraId="140C632E" w14:textId="0A287BCF" w:rsidR="003C575D" w:rsidRPr="00353396" w:rsidRDefault="00571AB8" w:rsidP="00C3335D">
      <w:pPr>
        <w:pStyle w:val="table-note"/>
      </w:pPr>
      <w:r w:rsidRPr="00353396">
        <w:t xml:space="preserve">The dependent variable is </w:t>
      </w:r>
      <w:proofErr w:type="spellStart"/>
      <w:r w:rsidR="00F32476" w:rsidRPr="00353396">
        <w:t>D</w:t>
      </w:r>
      <w:r w:rsidR="00F32476" w:rsidRPr="00353396">
        <w:rPr>
          <w:vertAlign w:val="superscript"/>
        </w:rPr>
        <w:t>stock</w:t>
      </w:r>
      <w:proofErr w:type="spellEnd"/>
      <w:r w:rsidR="00F82681">
        <w:t>, which equals</w:t>
      </w:r>
      <w:r w:rsidR="00F32476" w:rsidRPr="00353396">
        <w:t xml:space="preserve"> 1 when the </w:t>
      </w:r>
      <w:r w:rsidR="00726AFA">
        <w:t>acquirer</w:t>
      </w:r>
      <w:r w:rsidR="00F32476" w:rsidRPr="00353396">
        <w:t xml:space="preserve"> uses 100% stock payment in the M&amp;A and 0 otherwise.</w:t>
      </w:r>
      <w:r w:rsidRPr="00353396">
        <w:t xml:space="preserve"> The key independent variables are the numbers of analysts’ </w:t>
      </w:r>
      <w:r w:rsidR="00F82681">
        <w:t>recommendations</w:t>
      </w:r>
      <w:r w:rsidRPr="00353396">
        <w:t xml:space="preserve">: </w:t>
      </w:r>
      <w:r w:rsidR="00055F34">
        <w:t>S</w:t>
      </w:r>
      <w:r w:rsidRPr="00353396">
        <w:t>trong</w:t>
      </w:r>
      <w:r w:rsidR="00055F34">
        <w:t xml:space="preserve"> B</w:t>
      </w:r>
      <w:r w:rsidRPr="00353396">
        <w:t xml:space="preserve">uy, </w:t>
      </w:r>
      <w:r w:rsidR="00055F34">
        <w:t>B</w:t>
      </w:r>
      <w:r w:rsidRPr="00353396">
        <w:t xml:space="preserve">uy, </w:t>
      </w:r>
      <w:r w:rsidR="00055F34">
        <w:t>H</w:t>
      </w:r>
      <w:r w:rsidRPr="00353396">
        <w:t xml:space="preserve">old, </w:t>
      </w:r>
      <w:r w:rsidR="00055F34">
        <w:t>S</w:t>
      </w:r>
      <w:r w:rsidRPr="00353396">
        <w:t xml:space="preserve">ell, and </w:t>
      </w:r>
      <w:r w:rsidR="00055F34">
        <w:t>S</w:t>
      </w:r>
      <w:r w:rsidRPr="00353396">
        <w:t>trong</w:t>
      </w:r>
      <w:r w:rsidR="00055F34">
        <w:t xml:space="preserve"> </w:t>
      </w:r>
      <w:r w:rsidRPr="00353396">
        <w:t xml:space="preserve">sell. The rest </w:t>
      </w:r>
      <w:r w:rsidR="00F82681">
        <w:t xml:space="preserve">of the </w:t>
      </w:r>
      <w:r w:rsidRPr="00353396">
        <w:t xml:space="preserve">independent variables that may have </w:t>
      </w:r>
      <w:r w:rsidR="00F82681">
        <w:t xml:space="preserve">a </w:t>
      </w:r>
      <w:r w:rsidRPr="00353396">
        <w:t xml:space="preserve">certain impact on the method of payment in M&amp;As, are </w:t>
      </w:r>
      <w:r w:rsidR="00707136">
        <w:t>firm</w:t>
      </w:r>
      <w:r w:rsidRPr="00353396">
        <w:t xml:space="preserve"> size (</w:t>
      </w:r>
      <w:r w:rsidR="000F4879">
        <w:rPr>
          <w:rFonts w:hint="eastAsia"/>
        </w:rPr>
        <w:t>S</w:t>
      </w:r>
      <w:r w:rsidRPr="00353396">
        <w:t>ize), book-to-market ratio (</w:t>
      </w:r>
      <w:r w:rsidR="000F4879">
        <w:rPr>
          <w:rFonts w:hint="eastAsia"/>
        </w:rPr>
        <w:t>BM</w:t>
      </w:r>
      <w:r w:rsidRPr="00353396">
        <w:t>), return on assets (</w:t>
      </w:r>
      <w:r w:rsidR="000F4879">
        <w:rPr>
          <w:rFonts w:hint="eastAsia"/>
        </w:rPr>
        <w:t>ROA</w:t>
      </w:r>
      <w:r w:rsidRPr="00353396">
        <w:t>), dividend payout ratio (</w:t>
      </w:r>
      <w:r w:rsidR="000F4879">
        <w:rPr>
          <w:rFonts w:hint="eastAsia"/>
        </w:rPr>
        <w:t>DPR</w:t>
      </w:r>
      <w:r w:rsidRPr="00353396">
        <w:t>), liquidity ratio (</w:t>
      </w:r>
      <w:r w:rsidR="000F4879">
        <w:rPr>
          <w:rFonts w:hint="eastAsia"/>
        </w:rPr>
        <w:t>L</w:t>
      </w:r>
      <w:r w:rsidRPr="00353396">
        <w:t>iquid), debt ratio (</w:t>
      </w:r>
      <w:r w:rsidR="000F4879">
        <w:rPr>
          <w:rFonts w:hint="eastAsia"/>
        </w:rPr>
        <w:t>DR</w:t>
      </w:r>
      <w:r w:rsidRPr="00353396">
        <w:t>), and three-month abnormal return before announcement date (</w:t>
      </w:r>
      <w:r w:rsidR="000F4879">
        <w:rPr>
          <w:rFonts w:hint="eastAsia"/>
        </w:rPr>
        <w:t>R</w:t>
      </w:r>
      <w:r w:rsidRPr="00353396">
        <w:t xml:space="preserve">unup). In addition, </w:t>
      </w:r>
      <w:r w:rsidR="003607FD">
        <w:t>we</w:t>
      </w:r>
      <w:r w:rsidRPr="00353396">
        <w:t xml:space="preserve"> also control for annual and industrial dummies. </w:t>
      </w:r>
    </w:p>
    <w:tbl>
      <w:tblPr>
        <w:tblW w:w="8222" w:type="dxa"/>
        <w:tblLayout w:type="fixed"/>
        <w:tblCellMar>
          <w:left w:w="75" w:type="dxa"/>
          <w:right w:w="75" w:type="dxa"/>
        </w:tblCellMar>
        <w:tblLook w:val="0000" w:firstRow="0" w:lastRow="0" w:firstColumn="0" w:lastColumn="0" w:noHBand="0" w:noVBand="0"/>
      </w:tblPr>
      <w:tblGrid>
        <w:gridCol w:w="1985"/>
        <w:gridCol w:w="2173"/>
        <w:gridCol w:w="2173"/>
        <w:gridCol w:w="1891"/>
      </w:tblGrid>
      <w:tr w:rsidR="00465E16" w:rsidRPr="0069630A" w14:paraId="5BD39216" w14:textId="77777777" w:rsidTr="00F73AB2">
        <w:trPr>
          <w:cantSplit/>
          <w:tblHeader/>
        </w:trPr>
        <w:tc>
          <w:tcPr>
            <w:tcW w:w="1985" w:type="dxa"/>
            <w:tcBorders>
              <w:top w:val="single" w:sz="6" w:space="0" w:color="auto"/>
              <w:left w:val="nil"/>
              <w:bottom w:val="single" w:sz="4" w:space="0" w:color="auto"/>
              <w:right w:val="nil"/>
            </w:tcBorders>
            <w:vAlign w:val="center"/>
          </w:tcPr>
          <w:p w14:paraId="3A45A285" w14:textId="77777777" w:rsidR="00465E16" w:rsidRPr="0069630A" w:rsidRDefault="00571AB8" w:rsidP="0069630A">
            <w:pPr>
              <w:keepLines/>
              <w:snapToGrid w:val="0"/>
              <w:spacing w:line="240" w:lineRule="exact"/>
              <w:rPr>
                <w:sz w:val="20"/>
                <w:szCs w:val="20"/>
              </w:rPr>
            </w:pPr>
            <w:r w:rsidRPr="0069630A">
              <w:rPr>
                <w:sz w:val="20"/>
                <w:szCs w:val="20"/>
              </w:rPr>
              <w:t>Variables</w:t>
            </w:r>
          </w:p>
        </w:tc>
        <w:tc>
          <w:tcPr>
            <w:tcW w:w="2173" w:type="dxa"/>
            <w:tcBorders>
              <w:top w:val="single" w:sz="6" w:space="0" w:color="auto"/>
              <w:left w:val="nil"/>
              <w:bottom w:val="single" w:sz="4" w:space="0" w:color="auto"/>
              <w:right w:val="nil"/>
            </w:tcBorders>
            <w:vAlign w:val="center"/>
          </w:tcPr>
          <w:p w14:paraId="1C7894BF" w14:textId="77777777" w:rsidR="00465E16" w:rsidRPr="0069630A" w:rsidRDefault="00465E16" w:rsidP="0069630A">
            <w:pPr>
              <w:keepLines/>
              <w:snapToGrid w:val="0"/>
              <w:spacing w:line="240" w:lineRule="exact"/>
              <w:rPr>
                <w:sz w:val="20"/>
                <w:szCs w:val="20"/>
              </w:rPr>
            </w:pPr>
            <w:r w:rsidRPr="0069630A">
              <w:rPr>
                <w:sz w:val="20"/>
                <w:szCs w:val="20"/>
              </w:rPr>
              <w:t>30</w:t>
            </w:r>
            <w:r w:rsidR="00106E4F" w:rsidRPr="0069630A">
              <w:rPr>
                <w:sz w:val="20"/>
                <w:szCs w:val="20"/>
              </w:rPr>
              <w:t xml:space="preserve"> </w:t>
            </w:r>
            <w:r w:rsidRPr="0069630A">
              <w:rPr>
                <w:sz w:val="20"/>
                <w:szCs w:val="20"/>
              </w:rPr>
              <w:t>days</w:t>
            </w:r>
          </w:p>
        </w:tc>
        <w:tc>
          <w:tcPr>
            <w:tcW w:w="2173" w:type="dxa"/>
            <w:tcBorders>
              <w:top w:val="single" w:sz="6" w:space="0" w:color="auto"/>
              <w:left w:val="nil"/>
              <w:bottom w:val="single" w:sz="4" w:space="0" w:color="auto"/>
              <w:right w:val="nil"/>
            </w:tcBorders>
            <w:vAlign w:val="center"/>
          </w:tcPr>
          <w:p w14:paraId="58EF215A" w14:textId="77777777" w:rsidR="00465E16" w:rsidRPr="0069630A" w:rsidRDefault="00465E16" w:rsidP="0069630A">
            <w:pPr>
              <w:keepLines/>
              <w:snapToGrid w:val="0"/>
              <w:spacing w:line="240" w:lineRule="exact"/>
              <w:rPr>
                <w:sz w:val="20"/>
                <w:szCs w:val="20"/>
              </w:rPr>
            </w:pPr>
            <w:r w:rsidRPr="0069630A">
              <w:rPr>
                <w:sz w:val="20"/>
                <w:szCs w:val="20"/>
              </w:rPr>
              <w:t>60</w:t>
            </w:r>
            <w:r w:rsidR="00106E4F" w:rsidRPr="0069630A">
              <w:rPr>
                <w:sz w:val="20"/>
                <w:szCs w:val="20"/>
              </w:rPr>
              <w:t xml:space="preserve"> </w:t>
            </w:r>
            <w:r w:rsidRPr="0069630A">
              <w:rPr>
                <w:sz w:val="20"/>
                <w:szCs w:val="20"/>
              </w:rPr>
              <w:t>days</w:t>
            </w:r>
          </w:p>
        </w:tc>
        <w:tc>
          <w:tcPr>
            <w:tcW w:w="1891" w:type="dxa"/>
            <w:tcBorders>
              <w:top w:val="single" w:sz="6" w:space="0" w:color="auto"/>
              <w:left w:val="nil"/>
              <w:bottom w:val="single" w:sz="4" w:space="0" w:color="auto"/>
              <w:right w:val="nil"/>
            </w:tcBorders>
            <w:vAlign w:val="center"/>
          </w:tcPr>
          <w:p w14:paraId="68DF5BD9" w14:textId="77777777" w:rsidR="00465E16" w:rsidRPr="0069630A" w:rsidRDefault="00465E16" w:rsidP="0069630A">
            <w:pPr>
              <w:keepLines/>
              <w:snapToGrid w:val="0"/>
              <w:spacing w:line="240" w:lineRule="exact"/>
              <w:rPr>
                <w:sz w:val="20"/>
                <w:szCs w:val="20"/>
              </w:rPr>
            </w:pPr>
            <w:r w:rsidRPr="0069630A">
              <w:rPr>
                <w:sz w:val="20"/>
                <w:szCs w:val="20"/>
              </w:rPr>
              <w:t>90</w:t>
            </w:r>
            <w:r w:rsidR="00106E4F" w:rsidRPr="0069630A">
              <w:rPr>
                <w:sz w:val="20"/>
                <w:szCs w:val="20"/>
              </w:rPr>
              <w:t xml:space="preserve"> </w:t>
            </w:r>
            <w:r w:rsidRPr="0069630A">
              <w:rPr>
                <w:sz w:val="20"/>
                <w:szCs w:val="20"/>
              </w:rPr>
              <w:t>days</w:t>
            </w:r>
          </w:p>
        </w:tc>
      </w:tr>
      <w:tr w:rsidR="00465E16" w:rsidRPr="0069630A" w14:paraId="4DADD1C5" w14:textId="77777777" w:rsidTr="00F73AB2">
        <w:trPr>
          <w:cantSplit/>
          <w:tblHeader/>
        </w:trPr>
        <w:tc>
          <w:tcPr>
            <w:tcW w:w="1985" w:type="dxa"/>
            <w:tcBorders>
              <w:top w:val="single" w:sz="4" w:space="0" w:color="auto"/>
              <w:left w:val="nil"/>
              <w:bottom w:val="nil"/>
              <w:right w:val="nil"/>
            </w:tcBorders>
            <w:vAlign w:val="center"/>
          </w:tcPr>
          <w:p w14:paraId="5E98324D" w14:textId="3DE128FF" w:rsidR="00465E16" w:rsidRPr="0069630A" w:rsidRDefault="00A95329" w:rsidP="0069630A">
            <w:pPr>
              <w:keepLines/>
              <w:snapToGrid w:val="0"/>
              <w:spacing w:line="240" w:lineRule="exact"/>
              <w:rPr>
                <w:sz w:val="20"/>
                <w:szCs w:val="20"/>
              </w:rPr>
            </w:pPr>
            <w:r w:rsidRPr="0069630A">
              <w:rPr>
                <w:sz w:val="20"/>
                <w:szCs w:val="20"/>
              </w:rPr>
              <w:t>S</w:t>
            </w:r>
            <w:r w:rsidR="00465E16" w:rsidRPr="0069630A">
              <w:rPr>
                <w:sz w:val="20"/>
                <w:szCs w:val="20"/>
              </w:rPr>
              <w:t>trong</w:t>
            </w:r>
            <w:r w:rsidRPr="0069630A">
              <w:rPr>
                <w:sz w:val="20"/>
                <w:szCs w:val="20"/>
              </w:rPr>
              <w:t xml:space="preserve"> </w:t>
            </w:r>
            <w:r w:rsidR="00465E16" w:rsidRPr="0069630A">
              <w:rPr>
                <w:sz w:val="20"/>
                <w:szCs w:val="20"/>
              </w:rPr>
              <w:t>buy</w:t>
            </w:r>
          </w:p>
        </w:tc>
        <w:tc>
          <w:tcPr>
            <w:tcW w:w="2173" w:type="dxa"/>
            <w:tcBorders>
              <w:top w:val="single" w:sz="4" w:space="0" w:color="auto"/>
              <w:left w:val="nil"/>
              <w:bottom w:val="nil"/>
              <w:right w:val="nil"/>
            </w:tcBorders>
            <w:vAlign w:val="center"/>
          </w:tcPr>
          <w:p w14:paraId="0FCEABC9" w14:textId="77777777" w:rsidR="00465E16" w:rsidRPr="0069630A" w:rsidRDefault="00465E16" w:rsidP="0069630A">
            <w:pPr>
              <w:keepLines/>
              <w:snapToGrid w:val="0"/>
              <w:spacing w:line="240" w:lineRule="exact"/>
              <w:rPr>
                <w:sz w:val="20"/>
                <w:szCs w:val="20"/>
              </w:rPr>
            </w:pPr>
            <w:r w:rsidRPr="0069630A">
              <w:rPr>
                <w:sz w:val="20"/>
                <w:szCs w:val="20"/>
              </w:rPr>
              <w:t>0.322*</w:t>
            </w:r>
          </w:p>
        </w:tc>
        <w:tc>
          <w:tcPr>
            <w:tcW w:w="2173" w:type="dxa"/>
            <w:tcBorders>
              <w:top w:val="single" w:sz="4" w:space="0" w:color="auto"/>
              <w:left w:val="nil"/>
              <w:bottom w:val="nil"/>
              <w:right w:val="nil"/>
            </w:tcBorders>
            <w:vAlign w:val="center"/>
          </w:tcPr>
          <w:p w14:paraId="06A10282" w14:textId="77777777" w:rsidR="00465E16" w:rsidRPr="0069630A" w:rsidRDefault="00465E16" w:rsidP="0069630A">
            <w:pPr>
              <w:keepLines/>
              <w:snapToGrid w:val="0"/>
              <w:spacing w:line="240" w:lineRule="exact"/>
              <w:rPr>
                <w:sz w:val="20"/>
                <w:szCs w:val="20"/>
              </w:rPr>
            </w:pPr>
            <w:r w:rsidRPr="0069630A">
              <w:rPr>
                <w:sz w:val="20"/>
                <w:szCs w:val="20"/>
              </w:rPr>
              <w:t>0.329*</w:t>
            </w:r>
          </w:p>
        </w:tc>
        <w:tc>
          <w:tcPr>
            <w:tcW w:w="1891" w:type="dxa"/>
            <w:tcBorders>
              <w:top w:val="single" w:sz="4" w:space="0" w:color="auto"/>
              <w:left w:val="nil"/>
              <w:bottom w:val="nil"/>
              <w:right w:val="nil"/>
            </w:tcBorders>
            <w:vAlign w:val="center"/>
          </w:tcPr>
          <w:p w14:paraId="69E9E973" w14:textId="77777777" w:rsidR="00465E16" w:rsidRPr="0069630A" w:rsidRDefault="00465E16" w:rsidP="0069630A">
            <w:pPr>
              <w:keepLines/>
              <w:snapToGrid w:val="0"/>
              <w:spacing w:line="240" w:lineRule="exact"/>
              <w:rPr>
                <w:sz w:val="20"/>
                <w:szCs w:val="20"/>
              </w:rPr>
            </w:pPr>
            <w:r w:rsidRPr="0069630A">
              <w:rPr>
                <w:sz w:val="20"/>
                <w:szCs w:val="20"/>
              </w:rPr>
              <w:t>0.289</w:t>
            </w:r>
          </w:p>
        </w:tc>
      </w:tr>
      <w:tr w:rsidR="00465E16" w:rsidRPr="0069630A" w14:paraId="35109A5F" w14:textId="77777777" w:rsidTr="00F73AB2">
        <w:trPr>
          <w:cantSplit/>
          <w:tblHeader/>
        </w:trPr>
        <w:tc>
          <w:tcPr>
            <w:tcW w:w="1985" w:type="dxa"/>
            <w:tcBorders>
              <w:top w:val="nil"/>
              <w:left w:val="nil"/>
              <w:bottom w:val="nil"/>
              <w:right w:val="nil"/>
            </w:tcBorders>
            <w:vAlign w:val="center"/>
          </w:tcPr>
          <w:p w14:paraId="2055491C" w14:textId="77777777" w:rsidR="00465E16" w:rsidRPr="0069630A" w:rsidRDefault="00465E16" w:rsidP="0069630A">
            <w:pPr>
              <w:keepLines/>
              <w:snapToGrid w:val="0"/>
              <w:spacing w:line="240" w:lineRule="exact"/>
              <w:rPr>
                <w:sz w:val="20"/>
                <w:szCs w:val="20"/>
              </w:rPr>
            </w:pPr>
          </w:p>
        </w:tc>
        <w:tc>
          <w:tcPr>
            <w:tcW w:w="2173" w:type="dxa"/>
            <w:tcBorders>
              <w:top w:val="nil"/>
              <w:left w:val="nil"/>
              <w:bottom w:val="nil"/>
              <w:right w:val="nil"/>
            </w:tcBorders>
            <w:vAlign w:val="center"/>
          </w:tcPr>
          <w:p w14:paraId="02E28926" w14:textId="77777777" w:rsidR="00465E16" w:rsidRPr="0069630A" w:rsidRDefault="00465E16" w:rsidP="0069630A">
            <w:pPr>
              <w:keepLines/>
              <w:snapToGrid w:val="0"/>
              <w:spacing w:line="240" w:lineRule="exact"/>
              <w:rPr>
                <w:sz w:val="20"/>
                <w:szCs w:val="20"/>
              </w:rPr>
            </w:pPr>
            <w:r w:rsidRPr="0069630A">
              <w:rPr>
                <w:sz w:val="20"/>
                <w:szCs w:val="20"/>
              </w:rPr>
              <w:t>(0.092)</w:t>
            </w:r>
          </w:p>
        </w:tc>
        <w:tc>
          <w:tcPr>
            <w:tcW w:w="2173" w:type="dxa"/>
            <w:tcBorders>
              <w:top w:val="nil"/>
              <w:left w:val="nil"/>
              <w:bottom w:val="nil"/>
              <w:right w:val="nil"/>
            </w:tcBorders>
            <w:vAlign w:val="center"/>
          </w:tcPr>
          <w:p w14:paraId="47B41F57" w14:textId="77777777" w:rsidR="00465E16" w:rsidRPr="0069630A" w:rsidRDefault="00465E16" w:rsidP="0069630A">
            <w:pPr>
              <w:keepLines/>
              <w:snapToGrid w:val="0"/>
              <w:spacing w:line="240" w:lineRule="exact"/>
              <w:rPr>
                <w:sz w:val="20"/>
                <w:szCs w:val="20"/>
              </w:rPr>
            </w:pPr>
            <w:r w:rsidRPr="0069630A">
              <w:rPr>
                <w:sz w:val="20"/>
                <w:szCs w:val="20"/>
              </w:rPr>
              <w:t>(0.053)</w:t>
            </w:r>
          </w:p>
        </w:tc>
        <w:tc>
          <w:tcPr>
            <w:tcW w:w="1891" w:type="dxa"/>
            <w:tcBorders>
              <w:top w:val="nil"/>
              <w:left w:val="nil"/>
              <w:bottom w:val="nil"/>
              <w:right w:val="nil"/>
            </w:tcBorders>
            <w:vAlign w:val="center"/>
          </w:tcPr>
          <w:p w14:paraId="642330B6" w14:textId="77777777" w:rsidR="00465E16" w:rsidRPr="0069630A" w:rsidRDefault="00465E16" w:rsidP="0069630A">
            <w:pPr>
              <w:keepLines/>
              <w:snapToGrid w:val="0"/>
              <w:spacing w:line="240" w:lineRule="exact"/>
              <w:rPr>
                <w:sz w:val="20"/>
                <w:szCs w:val="20"/>
              </w:rPr>
            </w:pPr>
            <w:r w:rsidRPr="0069630A">
              <w:rPr>
                <w:sz w:val="20"/>
                <w:szCs w:val="20"/>
              </w:rPr>
              <w:t>(0.109)</w:t>
            </w:r>
          </w:p>
        </w:tc>
      </w:tr>
      <w:tr w:rsidR="00465E16" w:rsidRPr="0069630A" w14:paraId="04757AD2" w14:textId="77777777" w:rsidTr="00F73AB2">
        <w:trPr>
          <w:cantSplit/>
          <w:tblHeader/>
        </w:trPr>
        <w:tc>
          <w:tcPr>
            <w:tcW w:w="1985" w:type="dxa"/>
            <w:tcBorders>
              <w:top w:val="nil"/>
              <w:left w:val="nil"/>
              <w:bottom w:val="nil"/>
              <w:right w:val="nil"/>
            </w:tcBorders>
            <w:vAlign w:val="center"/>
          </w:tcPr>
          <w:p w14:paraId="58FF09B3" w14:textId="3B7B998D" w:rsidR="00465E16" w:rsidRPr="0069630A" w:rsidRDefault="00A95329" w:rsidP="0069630A">
            <w:pPr>
              <w:keepLines/>
              <w:snapToGrid w:val="0"/>
              <w:spacing w:line="240" w:lineRule="exact"/>
              <w:rPr>
                <w:sz w:val="20"/>
                <w:szCs w:val="20"/>
              </w:rPr>
            </w:pPr>
            <w:r w:rsidRPr="0069630A">
              <w:rPr>
                <w:sz w:val="20"/>
                <w:szCs w:val="20"/>
              </w:rPr>
              <w:t>B</w:t>
            </w:r>
            <w:r w:rsidR="00465E16" w:rsidRPr="0069630A">
              <w:rPr>
                <w:sz w:val="20"/>
                <w:szCs w:val="20"/>
              </w:rPr>
              <w:t>uy</w:t>
            </w:r>
          </w:p>
        </w:tc>
        <w:tc>
          <w:tcPr>
            <w:tcW w:w="2173" w:type="dxa"/>
            <w:tcBorders>
              <w:top w:val="nil"/>
              <w:left w:val="nil"/>
              <w:bottom w:val="nil"/>
              <w:right w:val="nil"/>
            </w:tcBorders>
            <w:vAlign w:val="center"/>
          </w:tcPr>
          <w:p w14:paraId="4B23F40A" w14:textId="77777777" w:rsidR="00465E16" w:rsidRPr="0069630A" w:rsidRDefault="00465E16" w:rsidP="0069630A">
            <w:pPr>
              <w:keepLines/>
              <w:snapToGrid w:val="0"/>
              <w:spacing w:line="240" w:lineRule="exact"/>
              <w:rPr>
                <w:sz w:val="20"/>
                <w:szCs w:val="20"/>
              </w:rPr>
            </w:pPr>
            <w:r w:rsidRPr="0069630A">
              <w:rPr>
                <w:sz w:val="20"/>
                <w:szCs w:val="20"/>
              </w:rPr>
              <w:t>-0.066</w:t>
            </w:r>
          </w:p>
        </w:tc>
        <w:tc>
          <w:tcPr>
            <w:tcW w:w="2173" w:type="dxa"/>
            <w:tcBorders>
              <w:top w:val="nil"/>
              <w:left w:val="nil"/>
              <w:bottom w:val="nil"/>
              <w:right w:val="nil"/>
            </w:tcBorders>
            <w:vAlign w:val="center"/>
          </w:tcPr>
          <w:p w14:paraId="3D55FF92" w14:textId="77777777" w:rsidR="00465E16" w:rsidRPr="0069630A" w:rsidRDefault="00465E16" w:rsidP="0069630A">
            <w:pPr>
              <w:keepLines/>
              <w:snapToGrid w:val="0"/>
              <w:spacing w:line="240" w:lineRule="exact"/>
              <w:rPr>
                <w:sz w:val="20"/>
                <w:szCs w:val="20"/>
              </w:rPr>
            </w:pPr>
            <w:r w:rsidRPr="0069630A">
              <w:rPr>
                <w:sz w:val="20"/>
                <w:szCs w:val="20"/>
              </w:rPr>
              <w:t>-0.033</w:t>
            </w:r>
          </w:p>
        </w:tc>
        <w:tc>
          <w:tcPr>
            <w:tcW w:w="1891" w:type="dxa"/>
            <w:tcBorders>
              <w:top w:val="nil"/>
              <w:left w:val="nil"/>
              <w:bottom w:val="nil"/>
              <w:right w:val="nil"/>
            </w:tcBorders>
            <w:vAlign w:val="center"/>
          </w:tcPr>
          <w:p w14:paraId="273A5902" w14:textId="77777777" w:rsidR="00465E16" w:rsidRPr="0069630A" w:rsidRDefault="00465E16" w:rsidP="0069630A">
            <w:pPr>
              <w:keepLines/>
              <w:snapToGrid w:val="0"/>
              <w:spacing w:line="240" w:lineRule="exact"/>
              <w:rPr>
                <w:sz w:val="20"/>
                <w:szCs w:val="20"/>
              </w:rPr>
            </w:pPr>
            <w:r w:rsidRPr="0069630A">
              <w:rPr>
                <w:sz w:val="20"/>
                <w:szCs w:val="20"/>
              </w:rPr>
              <w:t>-0.040</w:t>
            </w:r>
          </w:p>
        </w:tc>
      </w:tr>
      <w:tr w:rsidR="00465E16" w:rsidRPr="0069630A" w14:paraId="3E6D392E" w14:textId="77777777" w:rsidTr="00F73AB2">
        <w:trPr>
          <w:cantSplit/>
          <w:tblHeader/>
        </w:trPr>
        <w:tc>
          <w:tcPr>
            <w:tcW w:w="1985" w:type="dxa"/>
            <w:tcBorders>
              <w:top w:val="nil"/>
              <w:left w:val="nil"/>
              <w:bottom w:val="nil"/>
              <w:right w:val="nil"/>
            </w:tcBorders>
            <w:vAlign w:val="center"/>
          </w:tcPr>
          <w:p w14:paraId="29F57CA4" w14:textId="77777777" w:rsidR="00465E16" w:rsidRPr="0069630A" w:rsidRDefault="00465E16" w:rsidP="0069630A">
            <w:pPr>
              <w:keepLines/>
              <w:snapToGrid w:val="0"/>
              <w:spacing w:line="240" w:lineRule="exact"/>
              <w:rPr>
                <w:sz w:val="20"/>
                <w:szCs w:val="20"/>
              </w:rPr>
            </w:pPr>
          </w:p>
        </w:tc>
        <w:tc>
          <w:tcPr>
            <w:tcW w:w="2173" w:type="dxa"/>
            <w:tcBorders>
              <w:top w:val="nil"/>
              <w:left w:val="nil"/>
              <w:bottom w:val="nil"/>
              <w:right w:val="nil"/>
            </w:tcBorders>
            <w:vAlign w:val="center"/>
          </w:tcPr>
          <w:p w14:paraId="49BB7BD1" w14:textId="77777777" w:rsidR="00465E16" w:rsidRPr="0069630A" w:rsidRDefault="00465E16" w:rsidP="0069630A">
            <w:pPr>
              <w:keepLines/>
              <w:snapToGrid w:val="0"/>
              <w:spacing w:line="240" w:lineRule="exact"/>
              <w:rPr>
                <w:sz w:val="20"/>
                <w:szCs w:val="20"/>
              </w:rPr>
            </w:pPr>
            <w:r w:rsidRPr="0069630A">
              <w:rPr>
                <w:sz w:val="20"/>
                <w:szCs w:val="20"/>
              </w:rPr>
              <w:t>(0.670)</w:t>
            </w:r>
          </w:p>
        </w:tc>
        <w:tc>
          <w:tcPr>
            <w:tcW w:w="2173" w:type="dxa"/>
            <w:tcBorders>
              <w:top w:val="nil"/>
              <w:left w:val="nil"/>
              <w:bottom w:val="nil"/>
              <w:right w:val="nil"/>
            </w:tcBorders>
            <w:vAlign w:val="center"/>
          </w:tcPr>
          <w:p w14:paraId="3889CB68" w14:textId="77777777" w:rsidR="00465E16" w:rsidRPr="0069630A" w:rsidRDefault="00465E16" w:rsidP="0069630A">
            <w:pPr>
              <w:keepLines/>
              <w:snapToGrid w:val="0"/>
              <w:spacing w:line="240" w:lineRule="exact"/>
              <w:rPr>
                <w:sz w:val="20"/>
                <w:szCs w:val="20"/>
              </w:rPr>
            </w:pPr>
            <w:r w:rsidRPr="0069630A">
              <w:rPr>
                <w:sz w:val="20"/>
                <w:szCs w:val="20"/>
              </w:rPr>
              <w:t>(0.817)</w:t>
            </w:r>
          </w:p>
        </w:tc>
        <w:tc>
          <w:tcPr>
            <w:tcW w:w="1891" w:type="dxa"/>
            <w:tcBorders>
              <w:top w:val="nil"/>
              <w:left w:val="nil"/>
              <w:bottom w:val="nil"/>
              <w:right w:val="nil"/>
            </w:tcBorders>
            <w:vAlign w:val="center"/>
          </w:tcPr>
          <w:p w14:paraId="194D1D64" w14:textId="77777777" w:rsidR="00465E16" w:rsidRPr="0069630A" w:rsidRDefault="00465E16" w:rsidP="0069630A">
            <w:pPr>
              <w:keepLines/>
              <w:snapToGrid w:val="0"/>
              <w:spacing w:line="240" w:lineRule="exact"/>
              <w:rPr>
                <w:sz w:val="20"/>
                <w:szCs w:val="20"/>
              </w:rPr>
            </w:pPr>
            <w:r w:rsidRPr="0069630A">
              <w:rPr>
                <w:sz w:val="20"/>
                <w:szCs w:val="20"/>
              </w:rPr>
              <w:t>(0.765)</w:t>
            </w:r>
          </w:p>
        </w:tc>
      </w:tr>
      <w:tr w:rsidR="00465E16" w:rsidRPr="0069630A" w14:paraId="0EC0F62F" w14:textId="77777777" w:rsidTr="00F73AB2">
        <w:trPr>
          <w:cantSplit/>
          <w:tblHeader/>
        </w:trPr>
        <w:tc>
          <w:tcPr>
            <w:tcW w:w="1985" w:type="dxa"/>
            <w:tcBorders>
              <w:top w:val="nil"/>
              <w:left w:val="nil"/>
              <w:bottom w:val="nil"/>
              <w:right w:val="nil"/>
            </w:tcBorders>
            <w:vAlign w:val="center"/>
          </w:tcPr>
          <w:p w14:paraId="7F3767DC" w14:textId="1ADAD350" w:rsidR="00465E16" w:rsidRPr="0069630A" w:rsidRDefault="00A95329" w:rsidP="0069630A">
            <w:pPr>
              <w:keepLines/>
              <w:snapToGrid w:val="0"/>
              <w:spacing w:line="240" w:lineRule="exact"/>
              <w:rPr>
                <w:sz w:val="20"/>
                <w:szCs w:val="20"/>
              </w:rPr>
            </w:pPr>
            <w:r w:rsidRPr="0069630A">
              <w:rPr>
                <w:sz w:val="20"/>
                <w:szCs w:val="20"/>
              </w:rPr>
              <w:t>H</w:t>
            </w:r>
            <w:r w:rsidR="00465E16" w:rsidRPr="0069630A">
              <w:rPr>
                <w:sz w:val="20"/>
                <w:szCs w:val="20"/>
              </w:rPr>
              <w:t>old</w:t>
            </w:r>
          </w:p>
        </w:tc>
        <w:tc>
          <w:tcPr>
            <w:tcW w:w="2173" w:type="dxa"/>
            <w:tcBorders>
              <w:top w:val="nil"/>
              <w:left w:val="nil"/>
              <w:bottom w:val="nil"/>
              <w:right w:val="nil"/>
            </w:tcBorders>
            <w:vAlign w:val="center"/>
          </w:tcPr>
          <w:p w14:paraId="0B984E13" w14:textId="77777777" w:rsidR="00465E16" w:rsidRPr="0069630A" w:rsidRDefault="00465E16" w:rsidP="0069630A">
            <w:pPr>
              <w:keepLines/>
              <w:snapToGrid w:val="0"/>
              <w:spacing w:line="240" w:lineRule="exact"/>
              <w:rPr>
                <w:sz w:val="20"/>
                <w:szCs w:val="20"/>
              </w:rPr>
            </w:pPr>
            <w:r w:rsidRPr="0069630A">
              <w:rPr>
                <w:sz w:val="20"/>
                <w:szCs w:val="20"/>
              </w:rPr>
              <w:t>-0.002</w:t>
            </w:r>
          </w:p>
        </w:tc>
        <w:tc>
          <w:tcPr>
            <w:tcW w:w="2173" w:type="dxa"/>
            <w:tcBorders>
              <w:top w:val="nil"/>
              <w:left w:val="nil"/>
              <w:bottom w:val="nil"/>
              <w:right w:val="nil"/>
            </w:tcBorders>
            <w:vAlign w:val="center"/>
          </w:tcPr>
          <w:p w14:paraId="6CF7D8C9" w14:textId="77777777" w:rsidR="00465E16" w:rsidRPr="0069630A" w:rsidRDefault="00465E16" w:rsidP="0069630A">
            <w:pPr>
              <w:keepLines/>
              <w:snapToGrid w:val="0"/>
              <w:spacing w:line="240" w:lineRule="exact"/>
              <w:rPr>
                <w:sz w:val="20"/>
                <w:szCs w:val="20"/>
              </w:rPr>
            </w:pPr>
            <w:r w:rsidRPr="0069630A">
              <w:rPr>
                <w:sz w:val="20"/>
                <w:szCs w:val="20"/>
              </w:rPr>
              <w:t>-0.054</w:t>
            </w:r>
          </w:p>
        </w:tc>
        <w:tc>
          <w:tcPr>
            <w:tcW w:w="1891" w:type="dxa"/>
            <w:tcBorders>
              <w:top w:val="nil"/>
              <w:left w:val="nil"/>
              <w:bottom w:val="nil"/>
              <w:right w:val="nil"/>
            </w:tcBorders>
            <w:vAlign w:val="center"/>
          </w:tcPr>
          <w:p w14:paraId="7B448576" w14:textId="77777777" w:rsidR="00465E16" w:rsidRPr="0069630A" w:rsidRDefault="00465E16" w:rsidP="0069630A">
            <w:pPr>
              <w:keepLines/>
              <w:snapToGrid w:val="0"/>
              <w:spacing w:line="240" w:lineRule="exact"/>
              <w:rPr>
                <w:sz w:val="20"/>
                <w:szCs w:val="20"/>
              </w:rPr>
            </w:pPr>
            <w:r w:rsidRPr="0069630A">
              <w:rPr>
                <w:sz w:val="20"/>
                <w:szCs w:val="20"/>
              </w:rPr>
              <w:t>-0.046</w:t>
            </w:r>
          </w:p>
        </w:tc>
      </w:tr>
      <w:tr w:rsidR="00465E16" w:rsidRPr="0069630A" w14:paraId="123B7543" w14:textId="77777777" w:rsidTr="00F73AB2">
        <w:trPr>
          <w:cantSplit/>
          <w:tblHeader/>
        </w:trPr>
        <w:tc>
          <w:tcPr>
            <w:tcW w:w="1985" w:type="dxa"/>
            <w:tcBorders>
              <w:top w:val="nil"/>
              <w:left w:val="nil"/>
              <w:bottom w:val="nil"/>
              <w:right w:val="nil"/>
            </w:tcBorders>
            <w:vAlign w:val="center"/>
          </w:tcPr>
          <w:p w14:paraId="1BB1155C" w14:textId="77777777" w:rsidR="00465E16" w:rsidRPr="0069630A" w:rsidRDefault="00465E16" w:rsidP="0069630A">
            <w:pPr>
              <w:keepLines/>
              <w:snapToGrid w:val="0"/>
              <w:spacing w:line="240" w:lineRule="exact"/>
              <w:rPr>
                <w:sz w:val="20"/>
                <w:szCs w:val="20"/>
              </w:rPr>
            </w:pPr>
          </w:p>
        </w:tc>
        <w:tc>
          <w:tcPr>
            <w:tcW w:w="2173" w:type="dxa"/>
            <w:tcBorders>
              <w:top w:val="nil"/>
              <w:left w:val="nil"/>
              <w:bottom w:val="nil"/>
              <w:right w:val="nil"/>
            </w:tcBorders>
            <w:vAlign w:val="center"/>
          </w:tcPr>
          <w:p w14:paraId="738D2B4F" w14:textId="77777777" w:rsidR="00465E16" w:rsidRPr="0069630A" w:rsidRDefault="00465E16" w:rsidP="0069630A">
            <w:pPr>
              <w:keepLines/>
              <w:snapToGrid w:val="0"/>
              <w:spacing w:line="240" w:lineRule="exact"/>
              <w:rPr>
                <w:sz w:val="20"/>
                <w:szCs w:val="20"/>
              </w:rPr>
            </w:pPr>
            <w:r w:rsidRPr="0069630A">
              <w:rPr>
                <w:sz w:val="20"/>
                <w:szCs w:val="20"/>
              </w:rPr>
              <w:t>(0.986)</w:t>
            </w:r>
          </w:p>
        </w:tc>
        <w:tc>
          <w:tcPr>
            <w:tcW w:w="2173" w:type="dxa"/>
            <w:tcBorders>
              <w:top w:val="nil"/>
              <w:left w:val="nil"/>
              <w:bottom w:val="nil"/>
              <w:right w:val="nil"/>
            </w:tcBorders>
            <w:vAlign w:val="center"/>
          </w:tcPr>
          <w:p w14:paraId="09C35B15" w14:textId="77777777" w:rsidR="00465E16" w:rsidRPr="0069630A" w:rsidRDefault="00465E16" w:rsidP="0069630A">
            <w:pPr>
              <w:keepLines/>
              <w:snapToGrid w:val="0"/>
              <w:spacing w:line="240" w:lineRule="exact"/>
              <w:rPr>
                <w:sz w:val="20"/>
                <w:szCs w:val="20"/>
              </w:rPr>
            </w:pPr>
            <w:r w:rsidRPr="0069630A">
              <w:rPr>
                <w:sz w:val="20"/>
                <w:szCs w:val="20"/>
              </w:rPr>
              <w:t>(0.662)</w:t>
            </w:r>
          </w:p>
        </w:tc>
        <w:tc>
          <w:tcPr>
            <w:tcW w:w="1891" w:type="dxa"/>
            <w:tcBorders>
              <w:top w:val="nil"/>
              <w:left w:val="nil"/>
              <w:bottom w:val="nil"/>
              <w:right w:val="nil"/>
            </w:tcBorders>
            <w:vAlign w:val="center"/>
          </w:tcPr>
          <w:p w14:paraId="2689DEF7" w14:textId="77777777" w:rsidR="00465E16" w:rsidRPr="0069630A" w:rsidRDefault="00465E16" w:rsidP="0069630A">
            <w:pPr>
              <w:keepLines/>
              <w:snapToGrid w:val="0"/>
              <w:spacing w:line="240" w:lineRule="exact"/>
              <w:rPr>
                <w:sz w:val="20"/>
                <w:szCs w:val="20"/>
              </w:rPr>
            </w:pPr>
            <w:r w:rsidRPr="0069630A">
              <w:rPr>
                <w:sz w:val="20"/>
                <w:szCs w:val="20"/>
              </w:rPr>
              <w:t>(0.705)</w:t>
            </w:r>
          </w:p>
        </w:tc>
      </w:tr>
      <w:tr w:rsidR="00465E16" w:rsidRPr="0069630A" w14:paraId="6E041009" w14:textId="77777777" w:rsidTr="00F73AB2">
        <w:trPr>
          <w:cantSplit/>
          <w:tblHeader/>
        </w:trPr>
        <w:tc>
          <w:tcPr>
            <w:tcW w:w="1985" w:type="dxa"/>
            <w:tcBorders>
              <w:top w:val="nil"/>
              <w:left w:val="nil"/>
              <w:bottom w:val="nil"/>
              <w:right w:val="nil"/>
            </w:tcBorders>
            <w:vAlign w:val="center"/>
          </w:tcPr>
          <w:p w14:paraId="0E0E426A" w14:textId="2E1517B4" w:rsidR="00465E16" w:rsidRPr="0069630A" w:rsidRDefault="00A95329" w:rsidP="0069630A">
            <w:pPr>
              <w:keepLines/>
              <w:snapToGrid w:val="0"/>
              <w:spacing w:line="240" w:lineRule="exact"/>
              <w:rPr>
                <w:sz w:val="20"/>
                <w:szCs w:val="20"/>
              </w:rPr>
            </w:pPr>
            <w:r w:rsidRPr="0069630A">
              <w:rPr>
                <w:sz w:val="20"/>
                <w:szCs w:val="20"/>
              </w:rPr>
              <w:t>S</w:t>
            </w:r>
            <w:r w:rsidR="00465E16" w:rsidRPr="0069630A">
              <w:rPr>
                <w:sz w:val="20"/>
                <w:szCs w:val="20"/>
              </w:rPr>
              <w:t>ell</w:t>
            </w:r>
          </w:p>
        </w:tc>
        <w:tc>
          <w:tcPr>
            <w:tcW w:w="2173" w:type="dxa"/>
            <w:tcBorders>
              <w:top w:val="nil"/>
              <w:left w:val="nil"/>
              <w:bottom w:val="nil"/>
              <w:right w:val="nil"/>
            </w:tcBorders>
            <w:vAlign w:val="center"/>
          </w:tcPr>
          <w:p w14:paraId="5416A364" w14:textId="77777777" w:rsidR="00465E16" w:rsidRPr="0069630A" w:rsidRDefault="00465E16" w:rsidP="0069630A">
            <w:pPr>
              <w:keepLines/>
              <w:snapToGrid w:val="0"/>
              <w:spacing w:line="240" w:lineRule="exact"/>
              <w:rPr>
                <w:sz w:val="20"/>
                <w:szCs w:val="20"/>
              </w:rPr>
            </w:pPr>
            <w:r w:rsidRPr="0069630A">
              <w:rPr>
                <w:sz w:val="20"/>
                <w:szCs w:val="20"/>
              </w:rPr>
              <w:t>-0.143</w:t>
            </w:r>
          </w:p>
        </w:tc>
        <w:tc>
          <w:tcPr>
            <w:tcW w:w="2173" w:type="dxa"/>
            <w:tcBorders>
              <w:top w:val="nil"/>
              <w:left w:val="nil"/>
              <w:bottom w:val="nil"/>
              <w:right w:val="nil"/>
            </w:tcBorders>
            <w:vAlign w:val="center"/>
          </w:tcPr>
          <w:p w14:paraId="038706BA" w14:textId="77777777" w:rsidR="00465E16" w:rsidRPr="0069630A" w:rsidRDefault="00465E16" w:rsidP="0069630A">
            <w:pPr>
              <w:keepLines/>
              <w:snapToGrid w:val="0"/>
              <w:spacing w:line="240" w:lineRule="exact"/>
              <w:rPr>
                <w:sz w:val="20"/>
                <w:szCs w:val="20"/>
              </w:rPr>
            </w:pPr>
            <w:r w:rsidRPr="0069630A">
              <w:rPr>
                <w:sz w:val="20"/>
                <w:szCs w:val="20"/>
              </w:rPr>
              <w:t>0.291</w:t>
            </w:r>
          </w:p>
        </w:tc>
        <w:tc>
          <w:tcPr>
            <w:tcW w:w="1891" w:type="dxa"/>
            <w:tcBorders>
              <w:top w:val="nil"/>
              <w:left w:val="nil"/>
              <w:bottom w:val="nil"/>
              <w:right w:val="nil"/>
            </w:tcBorders>
            <w:vAlign w:val="center"/>
          </w:tcPr>
          <w:p w14:paraId="6E19C76A" w14:textId="77777777" w:rsidR="00465E16" w:rsidRPr="0069630A" w:rsidRDefault="00465E16" w:rsidP="0069630A">
            <w:pPr>
              <w:keepLines/>
              <w:snapToGrid w:val="0"/>
              <w:spacing w:line="240" w:lineRule="exact"/>
              <w:rPr>
                <w:sz w:val="20"/>
                <w:szCs w:val="20"/>
              </w:rPr>
            </w:pPr>
            <w:r w:rsidRPr="0069630A">
              <w:rPr>
                <w:sz w:val="20"/>
                <w:szCs w:val="20"/>
              </w:rPr>
              <w:t>0.388</w:t>
            </w:r>
          </w:p>
        </w:tc>
      </w:tr>
      <w:tr w:rsidR="00465E16" w:rsidRPr="0069630A" w14:paraId="1C3D971F" w14:textId="77777777" w:rsidTr="00F73AB2">
        <w:trPr>
          <w:cantSplit/>
          <w:tblHeader/>
        </w:trPr>
        <w:tc>
          <w:tcPr>
            <w:tcW w:w="1985" w:type="dxa"/>
            <w:tcBorders>
              <w:top w:val="nil"/>
              <w:left w:val="nil"/>
              <w:bottom w:val="nil"/>
              <w:right w:val="nil"/>
            </w:tcBorders>
            <w:vAlign w:val="center"/>
          </w:tcPr>
          <w:p w14:paraId="2CE82414" w14:textId="77777777" w:rsidR="00465E16" w:rsidRPr="0069630A" w:rsidRDefault="00465E16" w:rsidP="0069630A">
            <w:pPr>
              <w:keepLines/>
              <w:snapToGrid w:val="0"/>
              <w:spacing w:line="240" w:lineRule="exact"/>
              <w:rPr>
                <w:sz w:val="20"/>
                <w:szCs w:val="20"/>
              </w:rPr>
            </w:pPr>
          </w:p>
        </w:tc>
        <w:tc>
          <w:tcPr>
            <w:tcW w:w="2173" w:type="dxa"/>
            <w:tcBorders>
              <w:top w:val="nil"/>
              <w:left w:val="nil"/>
              <w:bottom w:val="nil"/>
              <w:right w:val="nil"/>
            </w:tcBorders>
            <w:vAlign w:val="center"/>
          </w:tcPr>
          <w:p w14:paraId="60BCE203" w14:textId="77777777" w:rsidR="00465E16" w:rsidRPr="0069630A" w:rsidRDefault="00465E16" w:rsidP="0069630A">
            <w:pPr>
              <w:keepLines/>
              <w:snapToGrid w:val="0"/>
              <w:spacing w:line="240" w:lineRule="exact"/>
              <w:rPr>
                <w:sz w:val="20"/>
                <w:szCs w:val="20"/>
              </w:rPr>
            </w:pPr>
            <w:r w:rsidRPr="0069630A">
              <w:rPr>
                <w:sz w:val="20"/>
                <w:szCs w:val="20"/>
              </w:rPr>
              <w:t>(0.777)</w:t>
            </w:r>
          </w:p>
        </w:tc>
        <w:tc>
          <w:tcPr>
            <w:tcW w:w="2173" w:type="dxa"/>
            <w:tcBorders>
              <w:top w:val="nil"/>
              <w:left w:val="nil"/>
              <w:bottom w:val="nil"/>
              <w:right w:val="nil"/>
            </w:tcBorders>
            <w:vAlign w:val="center"/>
          </w:tcPr>
          <w:p w14:paraId="4937899F" w14:textId="77777777" w:rsidR="00465E16" w:rsidRPr="0069630A" w:rsidRDefault="00465E16" w:rsidP="0069630A">
            <w:pPr>
              <w:keepLines/>
              <w:snapToGrid w:val="0"/>
              <w:spacing w:line="240" w:lineRule="exact"/>
              <w:rPr>
                <w:sz w:val="20"/>
                <w:szCs w:val="20"/>
              </w:rPr>
            </w:pPr>
            <w:r w:rsidRPr="0069630A">
              <w:rPr>
                <w:sz w:val="20"/>
                <w:szCs w:val="20"/>
              </w:rPr>
              <w:t>(0.517)</w:t>
            </w:r>
          </w:p>
        </w:tc>
        <w:tc>
          <w:tcPr>
            <w:tcW w:w="1891" w:type="dxa"/>
            <w:tcBorders>
              <w:top w:val="nil"/>
              <w:left w:val="nil"/>
              <w:bottom w:val="nil"/>
              <w:right w:val="nil"/>
            </w:tcBorders>
            <w:vAlign w:val="center"/>
          </w:tcPr>
          <w:p w14:paraId="72A76E41" w14:textId="77777777" w:rsidR="00465E16" w:rsidRPr="0069630A" w:rsidRDefault="00465E16" w:rsidP="0069630A">
            <w:pPr>
              <w:keepLines/>
              <w:snapToGrid w:val="0"/>
              <w:spacing w:line="240" w:lineRule="exact"/>
              <w:rPr>
                <w:sz w:val="20"/>
                <w:szCs w:val="20"/>
              </w:rPr>
            </w:pPr>
            <w:r w:rsidRPr="0069630A">
              <w:rPr>
                <w:sz w:val="20"/>
                <w:szCs w:val="20"/>
              </w:rPr>
              <w:t>(0.387)</w:t>
            </w:r>
          </w:p>
        </w:tc>
      </w:tr>
      <w:tr w:rsidR="00465E16" w:rsidRPr="0069630A" w14:paraId="4E0B489F" w14:textId="77777777" w:rsidTr="00F73AB2">
        <w:trPr>
          <w:cantSplit/>
          <w:tblHeader/>
        </w:trPr>
        <w:tc>
          <w:tcPr>
            <w:tcW w:w="1985" w:type="dxa"/>
            <w:tcBorders>
              <w:top w:val="nil"/>
              <w:left w:val="nil"/>
              <w:bottom w:val="nil"/>
              <w:right w:val="nil"/>
            </w:tcBorders>
            <w:vAlign w:val="center"/>
          </w:tcPr>
          <w:p w14:paraId="01DB3C22" w14:textId="0D617D39" w:rsidR="00465E16" w:rsidRPr="0069630A" w:rsidRDefault="00A95329" w:rsidP="0069630A">
            <w:pPr>
              <w:keepLines/>
              <w:snapToGrid w:val="0"/>
              <w:spacing w:line="240" w:lineRule="exact"/>
              <w:rPr>
                <w:sz w:val="20"/>
                <w:szCs w:val="20"/>
              </w:rPr>
            </w:pPr>
            <w:r w:rsidRPr="0069630A">
              <w:rPr>
                <w:sz w:val="20"/>
                <w:szCs w:val="20"/>
              </w:rPr>
              <w:t>S</w:t>
            </w:r>
            <w:r w:rsidR="00465E16" w:rsidRPr="0069630A">
              <w:rPr>
                <w:sz w:val="20"/>
                <w:szCs w:val="20"/>
              </w:rPr>
              <w:t>trong</w:t>
            </w:r>
            <w:r w:rsidRPr="0069630A">
              <w:rPr>
                <w:sz w:val="20"/>
                <w:szCs w:val="20"/>
              </w:rPr>
              <w:t xml:space="preserve"> </w:t>
            </w:r>
            <w:r w:rsidR="00465E16" w:rsidRPr="0069630A">
              <w:rPr>
                <w:sz w:val="20"/>
                <w:szCs w:val="20"/>
              </w:rPr>
              <w:t>sell</w:t>
            </w:r>
          </w:p>
        </w:tc>
        <w:tc>
          <w:tcPr>
            <w:tcW w:w="2173" w:type="dxa"/>
            <w:tcBorders>
              <w:top w:val="nil"/>
              <w:left w:val="nil"/>
              <w:bottom w:val="nil"/>
              <w:right w:val="nil"/>
            </w:tcBorders>
            <w:vAlign w:val="center"/>
          </w:tcPr>
          <w:p w14:paraId="529E9CD9" w14:textId="77777777" w:rsidR="00465E16" w:rsidRPr="0069630A" w:rsidRDefault="00465E16" w:rsidP="0069630A">
            <w:pPr>
              <w:keepLines/>
              <w:snapToGrid w:val="0"/>
              <w:spacing w:line="240" w:lineRule="exact"/>
              <w:rPr>
                <w:sz w:val="20"/>
                <w:szCs w:val="20"/>
              </w:rPr>
            </w:pPr>
            <w:r w:rsidRPr="0069630A">
              <w:rPr>
                <w:sz w:val="20"/>
                <w:szCs w:val="20"/>
              </w:rPr>
              <w:t>0.648</w:t>
            </w:r>
          </w:p>
        </w:tc>
        <w:tc>
          <w:tcPr>
            <w:tcW w:w="2173" w:type="dxa"/>
            <w:tcBorders>
              <w:top w:val="nil"/>
              <w:left w:val="nil"/>
              <w:bottom w:val="nil"/>
              <w:right w:val="nil"/>
            </w:tcBorders>
            <w:vAlign w:val="center"/>
          </w:tcPr>
          <w:p w14:paraId="29F40907" w14:textId="77777777" w:rsidR="00465E16" w:rsidRPr="0069630A" w:rsidRDefault="00465E16" w:rsidP="0069630A">
            <w:pPr>
              <w:keepLines/>
              <w:snapToGrid w:val="0"/>
              <w:spacing w:line="240" w:lineRule="exact"/>
              <w:rPr>
                <w:sz w:val="20"/>
                <w:szCs w:val="20"/>
              </w:rPr>
            </w:pPr>
            <w:r w:rsidRPr="0069630A">
              <w:rPr>
                <w:sz w:val="20"/>
                <w:szCs w:val="20"/>
              </w:rPr>
              <w:t>0.908**</w:t>
            </w:r>
          </w:p>
        </w:tc>
        <w:tc>
          <w:tcPr>
            <w:tcW w:w="1891" w:type="dxa"/>
            <w:tcBorders>
              <w:top w:val="nil"/>
              <w:left w:val="nil"/>
              <w:bottom w:val="nil"/>
              <w:right w:val="nil"/>
            </w:tcBorders>
            <w:vAlign w:val="center"/>
          </w:tcPr>
          <w:p w14:paraId="120B1402" w14:textId="77777777" w:rsidR="00465E16" w:rsidRPr="0069630A" w:rsidRDefault="00465E16" w:rsidP="0069630A">
            <w:pPr>
              <w:keepLines/>
              <w:snapToGrid w:val="0"/>
              <w:spacing w:line="240" w:lineRule="exact"/>
              <w:rPr>
                <w:sz w:val="20"/>
                <w:szCs w:val="20"/>
              </w:rPr>
            </w:pPr>
            <w:r w:rsidRPr="0069630A">
              <w:rPr>
                <w:sz w:val="20"/>
                <w:szCs w:val="20"/>
              </w:rPr>
              <w:t>0.813**</w:t>
            </w:r>
          </w:p>
        </w:tc>
      </w:tr>
      <w:tr w:rsidR="00465E16" w:rsidRPr="0069630A" w14:paraId="22C9B4A1" w14:textId="77777777" w:rsidTr="00F73AB2">
        <w:trPr>
          <w:cantSplit/>
          <w:tblHeader/>
        </w:trPr>
        <w:tc>
          <w:tcPr>
            <w:tcW w:w="1985" w:type="dxa"/>
            <w:tcBorders>
              <w:top w:val="nil"/>
              <w:left w:val="nil"/>
              <w:bottom w:val="nil"/>
              <w:right w:val="nil"/>
            </w:tcBorders>
            <w:vAlign w:val="center"/>
          </w:tcPr>
          <w:p w14:paraId="21EDE8EF" w14:textId="77777777" w:rsidR="00465E16" w:rsidRPr="0069630A" w:rsidRDefault="00465E16" w:rsidP="0069630A">
            <w:pPr>
              <w:keepLines/>
              <w:snapToGrid w:val="0"/>
              <w:spacing w:line="240" w:lineRule="exact"/>
              <w:rPr>
                <w:sz w:val="20"/>
                <w:szCs w:val="20"/>
              </w:rPr>
            </w:pPr>
          </w:p>
        </w:tc>
        <w:tc>
          <w:tcPr>
            <w:tcW w:w="2173" w:type="dxa"/>
            <w:tcBorders>
              <w:top w:val="nil"/>
              <w:left w:val="nil"/>
              <w:bottom w:val="nil"/>
              <w:right w:val="nil"/>
            </w:tcBorders>
            <w:vAlign w:val="center"/>
          </w:tcPr>
          <w:p w14:paraId="3F0DE540" w14:textId="77777777" w:rsidR="00465E16" w:rsidRPr="0069630A" w:rsidRDefault="00465E16" w:rsidP="0069630A">
            <w:pPr>
              <w:keepLines/>
              <w:snapToGrid w:val="0"/>
              <w:spacing w:line="240" w:lineRule="exact"/>
              <w:rPr>
                <w:sz w:val="20"/>
                <w:szCs w:val="20"/>
              </w:rPr>
            </w:pPr>
            <w:r w:rsidRPr="0069630A">
              <w:rPr>
                <w:sz w:val="20"/>
                <w:szCs w:val="20"/>
              </w:rPr>
              <w:t>(0.140)</w:t>
            </w:r>
          </w:p>
        </w:tc>
        <w:tc>
          <w:tcPr>
            <w:tcW w:w="2173" w:type="dxa"/>
            <w:tcBorders>
              <w:top w:val="nil"/>
              <w:left w:val="nil"/>
              <w:bottom w:val="nil"/>
              <w:right w:val="nil"/>
            </w:tcBorders>
            <w:vAlign w:val="center"/>
          </w:tcPr>
          <w:p w14:paraId="1320AC95" w14:textId="77777777" w:rsidR="00465E16" w:rsidRPr="0069630A" w:rsidRDefault="00465E16" w:rsidP="0069630A">
            <w:pPr>
              <w:keepLines/>
              <w:snapToGrid w:val="0"/>
              <w:spacing w:line="240" w:lineRule="exact"/>
              <w:rPr>
                <w:sz w:val="20"/>
                <w:szCs w:val="20"/>
              </w:rPr>
            </w:pPr>
            <w:r w:rsidRPr="0069630A">
              <w:rPr>
                <w:sz w:val="20"/>
                <w:szCs w:val="20"/>
              </w:rPr>
              <w:t>(0.017)</w:t>
            </w:r>
          </w:p>
        </w:tc>
        <w:tc>
          <w:tcPr>
            <w:tcW w:w="1891" w:type="dxa"/>
            <w:tcBorders>
              <w:top w:val="nil"/>
              <w:left w:val="nil"/>
              <w:bottom w:val="nil"/>
              <w:right w:val="nil"/>
            </w:tcBorders>
            <w:vAlign w:val="center"/>
          </w:tcPr>
          <w:p w14:paraId="67898BEB" w14:textId="77777777" w:rsidR="00465E16" w:rsidRPr="0069630A" w:rsidRDefault="00465E16" w:rsidP="0069630A">
            <w:pPr>
              <w:keepLines/>
              <w:snapToGrid w:val="0"/>
              <w:spacing w:line="240" w:lineRule="exact"/>
              <w:rPr>
                <w:sz w:val="20"/>
                <w:szCs w:val="20"/>
              </w:rPr>
            </w:pPr>
            <w:r w:rsidRPr="0069630A">
              <w:rPr>
                <w:sz w:val="20"/>
                <w:szCs w:val="20"/>
              </w:rPr>
              <w:t>(0.031)</w:t>
            </w:r>
          </w:p>
        </w:tc>
      </w:tr>
      <w:tr w:rsidR="00465E16" w:rsidRPr="0069630A" w14:paraId="44BAE345" w14:textId="77777777" w:rsidTr="00F73AB2">
        <w:trPr>
          <w:cantSplit/>
          <w:tblHeader/>
        </w:trPr>
        <w:tc>
          <w:tcPr>
            <w:tcW w:w="1985" w:type="dxa"/>
            <w:tcBorders>
              <w:top w:val="nil"/>
              <w:left w:val="nil"/>
              <w:bottom w:val="nil"/>
              <w:right w:val="nil"/>
            </w:tcBorders>
            <w:vAlign w:val="center"/>
          </w:tcPr>
          <w:p w14:paraId="2F233A70" w14:textId="5560B86E" w:rsidR="00465E16" w:rsidRPr="0069630A" w:rsidRDefault="00A95329" w:rsidP="0069630A">
            <w:pPr>
              <w:keepLines/>
              <w:snapToGrid w:val="0"/>
              <w:spacing w:line="240" w:lineRule="exact"/>
              <w:rPr>
                <w:sz w:val="20"/>
                <w:szCs w:val="20"/>
              </w:rPr>
            </w:pPr>
            <w:r w:rsidRPr="0069630A">
              <w:rPr>
                <w:sz w:val="20"/>
                <w:szCs w:val="20"/>
              </w:rPr>
              <w:t>S</w:t>
            </w:r>
            <w:r w:rsidR="00465E16" w:rsidRPr="0069630A">
              <w:rPr>
                <w:sz w:val="20"/>
                <w:szCs w:val="20"/>
              </w:rPr>
              <w:t>ize</w:t>
            </w:r>
          </w:p>
        </w:tc>
        <w:tc>
          <w:tcPr>
            <w:tcW w:w="2173" w:type="dxa"/>
            <w:tcBorders>
              <w:top w:val="nil"/>
              <w:left w:val="nil"/>
              <w:bottom w:val="nil"/>
              <w:right w:val="nil"/>
            </w:tcBorders>
            <w:vAlign w:val="center"/>
          </w:tcPr>
          <w:p w14:paraId="7585AC22" w14:textId="77777777" w:rsidR="00465E16" w:rsidRPr="0069630A" w:rsidRDefault="00465E16" w:rsidP="0069630A">
            <w:pPr>
              <w:keepLines/>
              <w:snapToGrid w:val="0"/>
              <w:spacing w:line="240" w:lineRule="exact"/>
              <w:rPr>
                <w:sz w:val="20"/>
                <w:szCs w:val="20"/>
              </w:rPr>
            </w:pPr>
            <w:r w:rsidRPr="0069630A">
              <w:rPr>
                <w:sz w:val="20"/>
                <w:szCs w:val="20"/>
              </w:rPr>
              <w:t>-0.699</w:t>
            </w:r>
          </w:p>
        </w:tc>
        <w:tc>
          <w:tcPr>
            <w:tcW w:w="2173" w:type="dxa"/>
            <w:tcBorders>
              <w:top w:val="nil"/>
              <w:left w:val="nil"/>
              <w:bottom w:val="nil"/>
              <w:right w:val="nil"/>
            </w:tcBorders>
            <w:vAlign w:val="center"/>
          </w:tcPr>
          <w:p w14:paraId="24297F34" w14:textId="77777777" w:rsidR="00465E16" w:rsidRPr="0069630A" w:rsidRDefault="00465E16" w:rsidP="0069630A">
            <w:pPr>
              <w:keepLines/>
              <w:snapToGrid w:val="0"/>
              <w:spacing w:line="240" w:lineRule="exact"/>
              <w:rPr>
                <w:sz w:val="20"/>
                <w:szCs w:val="20"/>
              </w:rPr>
            </w:pPr>
            <w:r w:rsidRPr="0069630A">
              <w:rPr>
                <w:sz w:val="20"/>
                <w:szCs w:val="20"/>
              </w:rPr>
              <w:t>-1.461</w:t>
            </w:r>
          </w:p>
        </w:tc>
        <w:tc>
          <w:tcPr>
            <w:tcW w:w="1891" w:type="dxa"/>
            <w:tcBorders>
              <w:top w:val="nil"/>
              <w:left w:val="nil"/>
              <w:bottom w:val="nil"/>
              <w:right w:val="nil"/>
            </w:tcBorders>
            <w:vAlign w:val="center"/>
          </w:tcPr>
          <w:p w14:paraId="6701A243" w14:textId="77777777" w:rsidR="00465E16" w:rsidRPr="0069630A" w:rsidRDefault="00465E16" w:rsidP="0069630A">
            <w:pPr>
              <w:keepLines/>
              <w:snapToGrid w:val="0"/>
              <w:spacing w:line="240" w:lineRule="exact"/>
              <w:rPr>
                <w:sz w:val="20"/>
                <w:szCs w:val="20"/>
              </w:rPr>
            </w:pPr>
            <w:r w:rsidRPr="0069630A">
              <w:rPr>
                <w:sz w:val="20"/>
                <w:szCs w:val="20"/>
              </w:rPr>
              <w:t>-1.230</w:t>
            </w:r>
          </w:p>
        </w:tc>
      </w:tr>
      <w:tr w:rsidR="00465E16" w:rsidRPr="0069630A" w14:paraId="10E72C48" w14:textId="77777777" w:rsidTr="00F73AB2">
        <w:trPr>
          <w:cantSplit/>
          <w:tblHeader/>
        </w:trPr>
        <w:tc>
          <w:tcPr>
            <w:tcW w:w="1985" w:type="dxa"/>
            <w:tcBorders>
              <w:top w:val="nil"/>
              <w:left w:val="nil"/>
              <w:bottom w:val="nil"/>
              <w:right w:val="nil"/>
            </w:tcBorders>
            <w:vAlign w:val="center"/>
          </w:tcPr>
          <w:p w14:paraId="50AD9C5E" w14:textId="77777777" w:rsidR="00465E16" w:rsidRPr="0069630A" w:rsidRDefault="00465E16" w:rsidP="0069630A">
            <w:pPr>
              <w:keepLines/>
              <w:snapToGrid w:val="0"/>
              <w:spacing w:line="240" w:lineRule="exact"/>
              <w:rPr>
                <w:sz w:val="20"/>
                <w:szCs w:val="20"/>
              </w:rPr>
            </w:pPr>
          </w:p>
        </w:tc>
        <w:tc>
          <w:tcPr>
            <w:tcW w:w="2173" w:type="dxa"/>
            <w:tcBorders>
              <w:top w:val="nil"/>
              <w:left w:val="nil"/>
              <w:bottom w:val="nil"/>
              <w:right w:val="nil"/>
            </w:tcBorders>
            <w:vAlign w:val="center"/>
          </w:tcPr>
          <w:p w14:paraId="2F5494DF" w14:textId="77777777" w:rsidR="00465E16" w:rsidRPr="0069630A" w:rsidRDefault="00465E16" w:rsidP="0069630A">
            <w:pPr>
              <w:keepLines/>
              <w:snapToGrid w:val="0"/>
              <w:spacing w:line="240" w:lineRule="exact"/>
              <w:rPr>
                <w:sz w:val="20"/>
                <w:szCs w:val="20"/>
              </w:rPr>
            </w:pPr>
            <w:r w:rsidRPr="0069630A">
              <w:rPr>
                <w:sz w:val="20"/>
                <w:szCs w:val="20"/>
              </w:rPr>
              <w:t>(0.629)</w:t>
            </w:r>
          </w:p>
        </w:tc>
        <w:tc>
          <w:tcPr>
            <w:tcW w:w="2173" w:type="dxa"/>
            <w:tcBorders>
              <w:top w:val="nil"/>
              <w:left w:val="nil"/>
              <w:bottom w:val="nil"/>
              <w:right w:val="nil"/>
            </w:tcBorders>
            <w:vAlign w:val="center"/>
          </w:tcPr>
          <w:p w14:paraId="5ADFF6DE" w14:textId="77777777" w:rsidR="00465E16" w:rsidRPr="0069630A" w:rsidRDefault="00465E16" w:rsidP="0069630A">
            <w:pPr>
              <w:keepLines/>
              <w:snapToGrid w:val="0"/>
              <w:spacing w:line="240" w:lineRule="exact"/>
              <w:rPr>
                <w:sz w:val="20"/>
                <w:szCs w:val="20"/>
              </w:rPr>
            </w:pPr>
            <w:r w:rsidRPr="0069630A">
              <w:rPr>
                <w:sz w:val="20"/>
                <w:szCs w:val="20"/>
              </w:rPr>
              <w:t>(0.242)</w:t>
            </w:r>
          </w:p>
        </w:tc>
        <w:tc>
          <w:tcPr>
            <w:tcW w:w="1891" w:type="dxa"/>
            <w:tcBorders>
              <w:top w:val="nil"/>
              <w:left w:val="nil"/>
              <w:bottom w:val="nil"/>
              <w:right w:val="nil"/>
            </w:tcBorders>
            <w:vAlign w:val="center"/>
          </w:tcPr>
          <w:p w14:paraId="5D0E83E7" w14:textId="77777777" w:rsidR="00465E16" w:rsidRPr="0069630A" w:rsidRDefault="00465E16" w:rsidP="0069630A">
            <w:pPr>
              <w:keepLines/>
              <w:snapToGrid w:val="0"/>
              <w:spacing w:line="240" w:lineRule="exact"/>
              <w:rPr>
                <w:sz w:val="20"/>
                <w:szCs w:val="20"/>
              </w:rPr>
            </w:pPr>
            <w:r w:rsidRPr="0069630A">
              <w:rPr>
                <w:sz w:val="20"/>
                <w:szCs w:val="20"/>
              </w:rPr>
              <w:t>(0.277)</w:t>
            </w:r>
          </w:p>
        </w:tc>
      </w:tr>
      <w:tr w:rsidR="00465E16" w:rsidRPr="0069630A" w14:paraId="695A0FBE" w14:textId="77777777" w:rsidTr="00F73AB2">
        <w:trPr>
          <w:cantSplit/>
          <w:tblHeader/>
        </w:trPr>
        <w:tc>
          <w:tcPr>
            <w:tcW w:w="1985" w:type="dxa"/>
            <w:tcBorders>
              <w:top w:val="nil"/>
              <w:left w:val="nil"/>
              <w:bottom w:val="nil"/>
              <w:right w:val="nil"/>
            </w:tcBorders>
            <w:vAlign w:val="center"/>
          </w:tcPr>
          <w:p w14:paraId="0F9A8733" w14:textId="397CD8CA" w:rsidR="00465E16" w:rsidRPr="0069630A" w:rsidRDefault="00A95329" w:rsidP="0069630A">
            <w:pPr>
              <w:keepLines/>
              <w:snapToGrid w:val="0"/>
              <w:spacing w:line="240" w:lineRule="exact"/>
              <w:rPr>
                <w:sz w:val="20"/>
                <w:szCs w:val="20"/>
              </w:rPr>
            </w:pPr>
            <w:r w:rsidRPr="0069630A">
              <w:rPr>
                <w:sz w:val="20"/>
                <w:szCs w:val="20"/>
              </w:rPr>
              <w:t>BM</w:t>
            </w:r>
          </w:p>
        </w:tc>
        <w:tc>
          <w:tcPr>
            <w:tcW w:w="2173" w:type="dxa"/>
            <w:tcBorders>
              <w:top w:val="nil"/>
              <w:left w:val="nil"/>
              <w:bottom w:val="nil"/>
              <w:right w:val="nil"/>
            </w:tcBorders>
            <w:vAlign w:val="center"/>
          </w:tcPr>
          <w:p w14:paraId="3641561E" w14:textId="77777777" w:rsidR="00465E16" w:rsidRPr="0069630A" w:rsidRDefault="00465E16" w:rsidP="0069630A">
            <w:pPr>
              <w:keepLines/>
              <w:snapToGrid w:val="0"/>
              <w:spacing w:line="240" w:lineRule="exact"/>
              <w:rPr>
                <w:sz w:val="20"/>
                <w:szCs w:val="20"/>
              </w:rPr>
            </w:pPr>
            <w:r w:rsidRPr="0069630A">
              <w:rPr>
                <w:sz w:val="20"/>
                <w:szCs w:val="20"/>
              </w:rPr>
              <w:t>-0.494</w:t>
            </w:r>
          </w:p>
        </w:tc>
        <w:tc>
          <w:tcPr>
            <w:tcW w:w="2173" w:type="dxa"/>
            <w:tcBorders>
              <w:top w:val="nil"/>
              <w:left w:val="nil"/>
              <w:bottom w:val="nil"/>
              <w:right w:val="nil"/>
            </w:tcBorders>
            <w:vAlign w:val="center"/>
          </w:tcPr>
          <w:p w14:paraId="03918548" w14:textId="77777777" w:rsidR="00465E16" w:rsidRPr="0069630A" w:rsidRDefault="00465E16" w:rsidP="0069630A">
            <w:pPr>
              <w:keepLines/>
              <w:snapToGrid w:val="0"/>
              <w:spacing w:line="240" w:lineRule="exact"/>
              <w:rPr>
                <w:sz w:val="20"/>
                <w:szCs w:val="20"/>
              </w:rPr>
            </w:pPr>
            <w:r w:rsidRPr="0069630A">
              <w:rPr>
                <w:sz w:val="20"/>
                <w:szCs w:val="20"/>
              </w:rPr>
              <w:t>-0.398</w:t>
            </w:r>
          </w:p>
        </w:tc>
        <w:tc>
          <w:tcPr>
            <w:tcW w:w="1891" w:type="dxa"/>
            <w:tcBorders>
              <w:top w:val="nil"/>
              <w:left w:val="nil"/>
              <w:bottom w:val="nil"/>
              <w:right w:val="nil"/>
            </w:tcBorders>
            <w:vAlign w:val="center"/>
          </w:tcPr>
          <w:p w14:paraId="00B2E078" w14:textId="77777777" w:rsidR="00465E16" w:rsidRPr="0069630A" w:rsidRDefault="00465E16" w:rsidP="0069630A">
            <w:pPr>
              <w:keepLines/>
              <w:snapToGrid w:val="0"/>
              <w:spacing w:line="240" w:lineRule="exact"/>
              <w:rPr>
                <w:sz w:val="20"/>
                <w:szCs w:val="20"/>
              </w:rPr>
            </w:pPr>
            <w:r w:rsidRPr="0069630A">
              <w:rPr>
                <w:sz w:val="20"/>
                <w:szCs w:val="20"/>
              </w:rPr>
              <w:t>0.416</w:t>
            </w:r>
          </w:p>
        </w:tc>
      </w:tr>
      <w:tr w:rsidR="00465E16" w:rsidRPr="0069630A" w14:paraId="5D3D69D9" w14:textId="77777777" w:rsidTr="00F73AB2">
        <w:trPr>
          <w:cantSplit/>
          <w:tblHeader/>
        </w:trPr>
        <w:tc>
          <w:tcPr>
            <w:tcW w:w="1985" w:type="dxa"/>
            <w:tcBorders>
              <w:top w:val="nil"/>
              <w:left w:val="nil"/>
              <w:bottom w:val="nil"/>
              <w:right w:val="nil"/>
            </w:tcBorders>
            <w:vAlign w:val="center"/>
          </w:tcPr>
          <w:p w14:paraId="3F1AD60C" w14:textId="77777777" w:rsidR="00465E16" w:rsidRPr="0069630A" w:rsidRDefault="00465E16" w:rsidP="0069630A">
            <w:pPr>
              <w:keepLines/>
              <w:snapToGrid w:val="0"/>
              <w:spacing w:line="240" w:lineRule="exact"/>
              <w:rPr>
                <w:sz w:val="20"/>
                <w:szCs w:val="20"/>
              </w:rPr>
            </w:pPr>
          </w:p>
        </w:tc>
        <w:tc>
          <w:tcPr>
            <w:tcW w:w="2173" w:type="dxa"/>
            <w:tcBorders>
              <w:top w:val="nil"/>
              <w:left w:val="nil"/>
              <w:bottom w:val="nil"/>
              <w:right w:val="nil"/>
            </w:tcBorders>
            <w:vAlign w:val="center"/>
          </w:tcPr>
          <w:p w14:paraId="0392707E" w14:textId="77777777" w:rsidR="00465E16" w:rsidRPr="0069630A" w:rsidRDefault="00465E16" w:rsidP="0069630A">
            <w:pPr>
              <w:keepLines/>
              <w:snapToGrid w:val="0"/>
              <w:spacing w:line="240" w:lineRule="exact"/>
              <w:rPr>
                <w:sz w:val="20"/>
                <w:szCs w:val="20"/>
              </w:rPr>
            </w:pPr>
            <w:r w:rsidRPr="0069630A">
              <w:rPr>
                <w:sz w:val="20"/>
                <w:szCs w:val="20"/>
              </w:rPr>
              <w:t>(0.630)</w:t>
            </w:r>
          </w:p>
        </w:tc>
        <w:tc>
          <w:tcPr>
            <w:tcW w:w="2173" w:type="dxa"/>
            <w:tcBorders>
              <w:top w:val="nil"/>
              <w:left w:val="nil"/>
              <w:bottom w:val="nil"/>
              <w:right w:val="nil"/>
            </w:tcBorders>
            <w:vAlign w:val="center"/>
          </w:tcPr>
          <w:p w14:paraId="23F234FE" w14:textId="77777777" w:rsidR="00465E16" w:rsidRPr="0069630A" w:rsidRDefault="00465E16" w:rsidP="0069630A">
            <w:pPr>
              <w:keepLines/>
              <w:snapToGrid w:val="0"/>
              <w:spacing w:line="240" w:lineRule="exact"/>
              <w:rPr>
                <w:sz w:val="20"/>
                <w:szCs w:val="20"/>
              </w:rPr>
            </w:pPr>
            <w:r w:rsidRPr="0069630A">
              <w:rPr>
                <w:sz w:val="20"/>
                <w:szCs w:val="20"/>
              </w:rPr>
              <w:t>(0.669)</w:t>
            </w:r>
          </w:p>
        </w:tc>
        <w:tc>
          <w:tcPr>
            <w:tcW w:w="1891" w:type="dxa"/>
            <w:tcBorders>
              <w:top w:val="nil"/>
              <w:left w:val="nil"/>
              <w:bottom w:val="nil"/>
              <w:right w:val="nil"/>
            </w:tcBorders>
            <w:vAlign w:val="center"/>
          </w:tcPr>
          <w:p w14:paraId="1DE7B5FD" w14:textId="77777777" w:rsidR="00465E16" w:rsidRPr="0069630A" w:rsidRDefault="00465E16" w:rsidP="0069630A">
            <w:pPr>
              <w:keepLines/>
              <w:snapToGrid w:val="0"/>
              <w:spacing w:line="240" w:lineRule="exact"/>
              <w:rPr>
                <w:sz w:val="20"/>
                <w:szCs w:val="20"/>
              </w:rPr>
            </w:pPr>
            <w:r w:rsidRPr="0069630A">
              <w:rPr>
                <w:sz w:val="20"/>
                <w:szCs w:val="20"/>
              </w:rPr>
              <w:t>(0.570)</w:t>
            </w:r>
          </w:p>
        </w:tc>
      </w:tr>
      <w:tr w:rsidR="00465E16" w:rsidRPr="0069630A" w14:paraId="4FE50758" w14:textId="77777777" w:rsidTr="00F73AB2">
        <w:trPr>
          <w:cantSplit/>
          <w:tblHeader/>
        </w:trPr>
        <w:tc>
          <w:tcPr>
            <w:tcW w:w="1985" w:type="dxa"/>
            <w:tcBorders>
              <w:top w:val="nil"/>
              <w:left w:val="nil"/>
              <w:bottom w:val="nil"/>
              <w:right w:val="nil"/>
            </w:tcBorders>
            <w:vAlign w:val="center"/>
          </w:tcPr>
          <w:p w14:paraId="181299DA" w14:textId="2B52DC6F" w:rsidR="00465E16" w:rsidRPr="0069630A" w:rsidRDefault="00A95329" w:rsidP="0069630A">
            <w:pPr>
              <w:keepLines/>
              <w:snapToGrid w:val="0"/>
              <w:spacing w:line="240" w:lineRule="exact"/>
              <w:rPr>
                <w:sz w:val="20"/>
                <w:szCs w:val="20"/>
              </w:rPr>
            </w:pPr>
            <w:r w:rsidRPr="0069630A">
              <w:rPr>
                <w:sz w:val="20"/>
                <w:szCs w:val="20"/>
              </w:rPr>
              <w:t>ROA</w:t>
            </w:r>
          </w:p>
        </w:tc>
        <w:tc>
          <w:tcPr>
            <w:tcW w:w="2173" w:type="dxa"/>
            <w:tcBorders>
              <w:top w:val="nil"/>
              <w:left w:val="nil"/>
              <w:bottom w:val="nil"/>
              <w:right w:val="nil"/>
            </w:tcBorders>
            <w:vAlign w:val="center"/>
          </w:tcPr>
          <w:p w14:paraId="1CA508E1" w14:textId="77777777" w:rsidR="00465E16" w:rsidRPr="0069630A" w:rsidRDefault="00465E16" w:rsidP="0069630A">
            <w:pPr>
              <w:keepLines/>
              <w:snapToGrid w:val="0"/>
              <w:spacing w:line="240" w:lineRule="exact"/>
              <w:rPr>
                <w:sz w:val="20"/>
                <w:szCs w:val="20"/>
              </w:rPr>
            </w:pPr>
            <w:r w:rsidRPr="0069630A">
              <w:rPr>
                <w:sz w:val="20"/>
                <w:szCs w:val="20"/>
              </w:rPr>
              <w:t>-4.313**</w:t>
            </w:r>
          </w:p>
        </w:tc>
        <w:tc>
          <w:tcPr>
            <w:tcW w:w="2173" w:type="dxa"/>
            <w:tcBorders>
              <w:top w:val="nil"/>
              <w:left w:val="nil"/>
              <w:bottom w:val="nil"/>
              <w:right w:val="nil"/>
            </w:tcBorders>
            <w:vAlign w:val="center"/>
          </w:tcPr>
          <w:p w14:paraId="02525A90" w14:textId="77777777" w:rsidR="00465E16" w:rsidRPr="0069630A" w:rsidRDefault="00465E16" w:rsidP="0069630A">
            <w:pPr>
              <w:keepLines/>
              <w:snapToGrid w:val="0"/>
              <w:spacing w:line="240" w:lineRule="exact"/>
              <w:rPr>
                <w:sz w:val="20"/>
                <w:szCs w:val="20"/>
              </w:rPr>
            </w:pPr>
            <w:r w:rsidRPr="0069630A">
              <w:rPr>
                <w:sz w:val="20"/>
                <w:szCs w:val="20"/>
              </w:rPr>
              <w:t>-3.615***</w:t>
            </w:r>
          </w:p>
        </w:tc>
        <w:tc>
          <w:tcPr>
            <w:tcW w:w="1891" w:type="dxa"/>
            <w:tcBorders>
              <w:top w:val="nil"/>
              <w:left w:val="nil"/>
              <w:bottom w:val="nil"/>
              <w:right w:val="nil"/>
            </w:tcBorders>
            <w:vAlign w:val="center"/>
          </w:tcPr>
          <w:p w14:paraId="2C68E9FB" w14:textId="77777777" w:rsidR="00465E16" w:rsidRPr="0069630A" w:rsidRDefault="00465E16" w:rsidP="0069630A">
            <w:pPr>
              <w:keepLines/>
              <w:snapToGrid w:val="0"/>
              <w:spacing w:line="240" w:lineRule="exact"/>
              <w:rPr>
                <w:sz w:val="20"/>
                <w:szCs w:val="20"/>
              </w:rPr>
            </w:pPr>
            <w:r w:rsidRPr="0069630A">
              <w:rPr>
                <w:sz w:val="20"/>
                <w:szCs w:val="20"/>
              </w:rPr>
              <w:t>-3.804***</w:t>
            </w:r>
          </w:p>
        </w:tc>
      </w:tr>
      <w:tr w:rsidR="00465E16" w:rsidRPr="0069630A" w14:paraId="0BC172D1" w14:textId="77777777" w:rsidTr="00F73AB2">
        <w:trPr>
          <w:cantSplit/>
          <w:tblHeader/>
        </w:trPr>
        <w:tc>
          <w:tcPr>
            <w:tcW w:w="1985" w:type="dxa"/>
            <w:tcBorders>
              <w:top w:val="nil"/>
              <w:left w:val="nil"/>
              <w:bottom w:val="nil"/>
              <w:right w:val="nil"/>
            </w:tcBorders>
            <w:vAlign w:val="center"/>
          </w:tcPr>
          <w:p w14:paraId="20579E8D" w14:textId="77777777" w:rsidR="00465E16" w:rsidRPr="0069630A" w:rsidRDefault="00465E16" w:rsidP="0069630A">
            <w:pPr>
              <w:keepLines/>
              <w:snapToGrid w:val="0"/>
              <w:spacing w:line="240" w:lineRule="exact"/>
              <w:rPr>
                <w:sz w:val="20"/>
                <w:szCs w:val="20"/>
              </w:rPr>
            </w:pPr>
          </w:p>
        </w:tc>
        <w:tc>
          <w:tcPr>
            <w:tcW w:w="2173" w:type="dxa"/>
            <w:tcBorders>
              <w:top w:val="nil"/>
              <w:left w:val="nil"/>
              <w:bottom w:val="nil"/>
              <w:right w:val="nil"/>
            </w:tcBorders>
            <w:vAlign w:val="center"/>
          </w:tcPr>
          <w:p w14:paraId="5C6A4A0F" w14:textId="77777777" w:rsidR="00465E16" w:rsidRPr="0069630A" w:rsidRDefault="00465E16" w:rsidP="0069630A">
            <w:pPr>
              <w:keepLines/>
              <w:snapToGrid w:val="0"/>
              <w:spacing w:line="240" w:lineRule="exact"/>
              <w:rPr>
                <w:sz w:val="20"/>
                <w:szCs w:val="20"/>
              </w:rPr>
            </w:pPr>
            <w:r w:rsidRPr="0069630A">
              <w:rPr>
                <w:sz w:val="20"/>
                <w:szCs w:val="20"/>
              </w:rPr>
              <w:t>(0.011)</w:t>
            </w:r>
          </w:p>
        </w:tc>
        <w:tc>
          <w:tcPr>
            <w:tcW w:w="2173" w:type="dxa"/>
            <w:tcBorders>
              <w:top w:val="nil"/>
              <w:left w:val="nil"/>
              <w:bottom w:val="nil"/>
              <w:right w:val="nil"/>
            </w:tcBorders>
            <w:vAlign w:val="center"/>
          </w:tcPr>
          <w:p w14:paraId="74A7FC2F" w14:textId="77777777" w:rsidR="00465E16" w:rsidRPr="0069630A" w:rsidRDefault="00465E16" w:rsidP="0069630A">
            <w:pPr>
              <w:keepLines/>
              <w:snapToGrid w:val="0"/>
              <w:spacing w:line="240" w:lineRule="exact"/>
              <w:rPr>
                <w:sz w:val="20"/>
                <w:szCs w:val="20"/>
              </w:rPr>
            </w:pPr>
            <w:r w:rsidRPr="0069630A">
              <w:rPr>
                <w:sz w:val="20"/>
                <w:szCs w:val="20"/>
              </w:rPr>
              <w:t>(0.008)</w:t>
            </w:r>
          </w:p>
        </w:tc>
        <w:tc>
          <w:tcPr>
            <w:tcW w:w="1891" w:type="dxa"/>
            <w:tcBorders>
              <w:top w:val="nil"/>
              <w:left w:val="nil"/>
              <w:bottom w:val="nil"/>
              <w:right w:val="nil"/>
            </w:tcBorders>
            <w:vAlign w:val="center"/>
          </w:tcPr>
          <w:p w14:paraId="6B829600" w14:textId="77777777" w:rsidR="00465E16" w:rsidRPr="0069630A" w:rsidRDefault="00465E16" w:rsidP="0069630A">
            <w:pPr>
              <w:keepLines/>
              <w:snapToGrid w:val="0"/>
              <w:spacing w:line="240" w:lineRule="exact"/>
              <w:rPr>
                <w:sz w:val="20"/>
                <w:szCs w:val="20"/>
              </w:rPr>
            </w:pPr>
            <w:r w:rsidRPr="0069630A">
              <w:rPr>
                <w:sz w:val="20"/>
                <w:szCs w:val="20"/>
              </w:rPr>
              <w:t>(0.006)</w:t>
            </w:r>
          </w:p>
        </w:tc>
      </w:tr>
      <w:tr w:rsidR="00465E16" w:rsidRPr="0069630A" w14:paraId="5D6D18BC" w14:textId="77777777" w:rsidTr="00F73AB2">
        <w:trPr>
          <w:cantSplit/>
          <w:tblHeader/>
        </w:trPr>
        <w:tc>
          <w:tcPr>
            <w:tcW w:w="1985" w:type="dxa"/>
            <w:tcBorders>
              <w:top w:val="nil"/>
              <w:left w:val="nil"/>
              <w:bottom w:val="nil"/>
              <w:right w:val="nil"/>
            </w:tcBorders>
            <w:vAlign w:val="center"/>
          </w:tcPr>
          <w:p w14:paraId="175E764C" w14:textId="1DAF0D9F" w:rsidR="00465E16" w:rsidRPr="0069630A" w:rsidRDefault="00A95329" w:rsidP="0069630A">
            <w:pPr>
              <w:keepLines/>
              <w:snapToGrid w:val="0"/>
              <w:spacing w:line="240" w:lineRule="exact"/>
              <w:rPr>
                <w:sz w:val="20"/>
                <w:szCs w:val="20"/>
              </w:rPr>
            </w:pPr>
            <w:r w:rsidRPr="0069630A">
              <w:rPr>
                <w:sz w:val="20"/>
                <w:szCs w:val="20"/>
              </w:rPr>
              <w:t>DPR</w:t>
            </w:r>
          </w:p>
        </w:tc>
        <w:tc>
          <w:tcPr>
            <w:tcW w:w="2173" w:type="dxa"/>
            <w:tcBorders>
              <w:top w:val="nil"/>
              <w:left w:val="nil"/>
              <w:bottom w:val="nil"/>
              <w:right w:val="nil"/>
            </w:tcBorders>
            <w:vAlign w:val="center"/>
          </w:tcPr>
          <w:p w14:paraId="1DED0832" w14:textId="77777777" w:rsidR="00465E16" w:rsidRPr="0069630A" w:rsidRDefault="00465E16" w:rsidP="0069630A">
            <w:pPr>
              <w:keepLines/>
              <w:snapToGrid w:val="0"/>
              <w:spacing w:line="240" w:lineRule="exact"/>
              <w:rPr>
                <w:sz w:val="20"/>
                <w:szCs w:val="20"/>
              </w:rPr>
            </w:pPr>
            <w:r w:rsidRPr="0069630A">
              <w:rPr>
                <w:sz w:val="20"/>
                <w:szCs w:val="20"/>
              </w:rPr>
              <w:t>0.102</w:t>
            </w:r>
          </w:p>
        </w:tc>
        <w:tc>
          <w:tcPr>
            <w:tcW w:w="2173" w:type="dxa"/>
            <w:tcBorders>
              <w:top w:val="nil"/>
              <w:left w:val="nil"/>
              <w:bottom w:val="nil"/>
              <w:right w:val="nil"/>
            </w:tcBorders>
            <w:vAlign w:val="center"/>
          </w:tcPr>
          <w:p w14:paraId="29601DB0" w14:textId="77777777" w:rsidR="00465E16" w:rsidRPr="0069630A" w:rsidRDefault="00465E16" w:rsidP="0069630A">
            <w:pPr>
              <w:keepLines/>
              <w:snapToGrid w:val="0"/>
              <w:spacing w:line="240" w:lineRule="exact"/>
              <w:rPr>
                <w:sz w:val="20"/>
                <w:szCs w:val="20"/>
              </w:rPr>
            </w:pPr>
            <w:r w:rsidRPr="0069630A">
              <w:rPr>
                <w:sz w:val="20"/>
                <w:szCs w:val="20"/>
              </w:rPr>
              <w:t>0.558</w:t>
            </w:r>
          </w:p>
        </w:tc>
        <w:tc>
          <w:tcPr>
            <w:tcW w:w="1891" w:type="dxa"/>
            <w:tcBorders>
              <w:top w:val="nil"/>
              <w:left w:val="nil"/>
              <w:bottom w:val="nil"/>
              <w:right w:val="nil"/>
            </w:tcBorders>
            <w:vAlign w:val="center"/>
          </w:tcPr>
          <w:p w14:paraId="675FB344" w14:textId="77777777" w:rsidR="00465E16" w:rsidRPr="0069630A" w:rsidRDefault="00465E16" w:rsidP="0069630A">
            <w:pPr>
              <w:keepLines/>
              <w:snapToGrid w:val="0"/>
              <w:spacing w:line="240" w:lineRule="exact"/>
              <w:rPr>
                <w:sz w:val="20"/>
                <w:szCs w:val="20"/>
              </w:rPr>
            </w:pPr>
            <w:r w:rsidRPr="0069630A">
              <w:rPr>
                <w:sz w:val="20"/>
                <w:szCs w:val="20"/>
              </w:rPr>
              <w:t>0.474</w:t>
            </w:r>
          </w:p>
        </w:tc>
      </w:tr>
      <w:tr w:rsidR="00465E16" w:rsidRPr="0069630A" w14:paraId="520A5DB5" w14:textId="77777777" w:rsidTr="00F73AB2">
        <w:trPr>
          <w:cantSplit/>
          <w:tblHeader/>
        </w:trPr>
        <w:tc>
          <w:tcPr>
            <w:tcW w:w="1985" w:type="dxa"/>
            <w:tcBorders>
              <w:top w:val="nil"/>
              <w:left w:val="nil"/>
              <w:bottom w:val="nil"/>
              <w:right w:val="nil"/>
            </w:tcBorders>
            <w:vAlign w:val="center"/>
          </w:tcPr>
          <w:p w14:paraId="3D5AC6C1" w14:textId="77777777" w:rsidR="00465E16" w:rsidRPr="0069630A" w:rsidRDefault="00465E16" w:rsidP="0069630A">
            <w:pPr>
              <w:keepLines/>
              <w:snapToGrid w:val="0"/>
              <w:spacing w:line="240" w:lineRule="exact"/>
              <w:rPr>
                <w:sz w:val="20"/>
                <w:szCs w:val="20"/>
              </w:rPr>
            </w:pPr>
          </w:p>
        </w:tc>
        <w:tc>
          <w:tcPr>
            <w:tcW w:w="2173" w:type="dxa"/>
            <w:tcBorders>
              <w:top w:val="nil"/>
              <w:left w:val="nil"/>
              <w:bottom w:val="nil"/>
              <w:right w:val="nil"/>
            </w:tcBorders>
            <w:vAlign w:val="center"/>
          </w:tcPr>
          <w:p w14:paraId="5E87A783" w14:textId="77777777" w:rsidR="00465E16" w:rsidRPr="0069630A" w:rsidRDefault="00465E16" w:rsidP="0069630A">
            <w:pPr>
              <w:keepLines/>
              <w:snapToGrid w:val="0"/>
              <w:spacing w:line="240" w:lineRule="exact"/>
              <w:rPr>
                <w:sz w:val="20"/>
                <w:szCs w:val="20"/>
              </w:rPr>
            </w:pPr>
            <w:r w:rsidRPr="0069630A">
              <w:rPr>
                <w:sz w:val="20"/>
                <w:szCs w:val="20"/>
              </w:rPr>
              <w:t>(0.815)</w:t>
            </w:r>
          </w:p>
        </w:tc>
        <w:tc>
          <w:tcPr>
            <w:tcW w:w="2173" w:type="dxa"/>
            <w:tcBorders>
              <w:top w:val="nil"/>
              <w:left w:val="nil"/>
              <w:bottom w:val="nil"/>
              <w:right w:val="nil"/>
            </w:tcBorders>
            <w:vAlign w:val="center"/>
          </w:tcPr>
          <w:p w14:paraId="15323EC9" w14:textId="77777777" w:rsidR="00465E16" w:rsidRPr="0069630A" w:rsidRDefault="00465E16" w:rsidP="0069630A">
            <w:pPr>
              <w:keepLines/>
              <w:snapToGrid w:val="0"/>
              <w:spacing w:line="240" w:lineRule="exact"/>
              <w:rPr>
                <w:sz w:val="20"/>
                <w:szCs w:val="20"/>
              </w:rPr>
            </w:pPr>
            <w:r w:rsidRPr="0069630A">
              <w:rPr>
                <w:sz w:val="20"/>
                <w:szCs w:val="20"/>
              </w:rPr>
              <w:t>(0.141)</w:t>
            </w:r>
          </w:p>
        </w:tc>
        <w:tc>
          <w:tcPr>
            <w:tcW w:w="1891" w:type="dxa"/>
            <w:tcBorders>
              <w:top w:val="nil"/>
              <w:left w:val="nil"/>
              <w:bottom w:val="nil"/>
              <w:right w:val="nil"/>
            </w:tcBorders>
            <w:vAlign w:val="center"/>
          </w:tcPr>
          <w:p w14:paraId="439F519A" w14:textId="77777777" w:rsidR="00465E16" w:rsidRPr="0069630A" w:rsidRDefault="00465E16" w:rsidP="0069630A">
            <w:pPr>
              <w:keepLines/>
              <w:snapToGrid w:val="0"/>
              <w:spacing w:line="240" w:lineRule="exact"/>
              <w:rPr>
                <w:sz w:val="20"/>
                <w:szCs w:val="20"/>
              </w:rPr>
            </w:pPr>
            <w:r w:rsidRPr="0069630A">
              <w:rPr>
                <w:sz w:val="20"/>
                <w:szCs w:val="20"/>
              </w:rPr>
              <w:t>(0.216)</w:t>
            </w:r>
          </w:p>
        </w:tc>
      </w:tr>
      <w:tr w:rsidR="00465E16" w:rsidRPr="0069630A" w14:paraId="30CFCE70" w14:textId="77777777" w:rsidTr="00F73AB2">
        <w:trPr>
          <w:cantSplit/>
          <w:tblHeader/>
        </w:trPr>
        <w:tc>
          <w:tcPr>
            <w:tcW w:w="1985" w:type="dxa"/>
            <w:tcBorders>
              <w:top w:val="nil"/>
              <w:left w:val="nil"/>
              <w:bottom w:val="nil"/>
              <w:right w:val="nil"/>
            </w:tcBorders>
            <w:vAlign w:val="center"/>
          </w:tcPr>
          <w:p w14:paraId="72B9BDA5" w14:textId="22102E98" w:rsidR="00465E16" w:rsidRPr="0069630A" w:rsidRDefault="00A95329" w:rsidP="0069630A">
            <w:pPr>
              <w:keepLines/>
              <w:snapToGrid w:val="0"/>
              <w:spacing w:line="240" w:lineRule="exact"/>
              <w:rPr>
                <w:sz w:val="20"/>
                <w:szCs w:val="20"/>
              </w:rPr>
            </w:pPr>
            <w:r w:rsidRPr="0069630A">
              <w:rPr>
                <w:sz w:val="20"/>
                <w:szCs w:val="20"/>
              </w:rPr>
              <w:t>L</w:t>
            </w:r>
            <w:r w:rsidR="00465E16" w:rsidRPr="0069630A">
              <w:rPr>
                <w:sz w:val="20"/>
                <w:szCs w:val="20"/>
              </w:rPr>
              <w:t>iquid</w:t>
            </w:r>
          </w:p>
        </w:tc>
        <w:tc>
          <w:tcPr>
            <w:tcW w:w="2173" w:type="dxa"/>
            <w:tcBorders>
              <w:top w:val="nil"/>
              <w:left w:val="nil"/>
              <w:bottom w:val="nil"/>
              <w:right w:val="nil"/>
            </w:tcBorders>
            <w:vAlign w:val="center"/>
          </w:tcPr>
          <w:p w14:paraId="5AAD5B6D" w14:textId="77777777" w:rsidR="00465E16" w:rsidRPr="0069630A" w:rsidRDefault="00465E16" w:rsidP="0069630A">
            <w:pPr>
              <w:keepLines/>
              <w:snapToGrid w:val="0"/>
              <w:spacing w:line="240" w:lineRule="exact"/>
              <w:rPr>
                <w:sz w:val="20"/>
                <w:szCs w:val="20"/>
              </w:rPr>
            </w:pPr>
            <w:r w:rsidRPr="0069630A">
              <w:rPr>
                <w:sz w:val="20"/>
                <w:szCs w:val="20"/>
              </w:rPr>
              <w:t>-2.681</w:t>
            </w:r>
          </w:p>
        </w:tc>
        <w:tc>
          <w:tcPr>
            <w:tcW w:w="2173" w:type="dxa"/>
            <w:tcBorders>
              <w:top w:val="nil"/>
              <w:left w:val="nil"/>
              <w:bottom w:val="nil"/>
              <w:right w:val="nil"/>
            </w:tcBorders>
            <w:vAlign w:val="center"/>
          </w:tcPr>
          <w:p w14:paraId="4799416F" w14:textId="77777777" w:rsidR="00465E16" w:rsidRPr="0069630A" w:rsidRDefault="00465E16" w:rsidP="0069630A">
            <w:pPr>
              <w:keepLines/>
              <w:snapToGrid w:val="0"/>
              <w:spacing w:line="240" w:lineRule="exact"/>
              <w:rPr>
                <w:sz w:val="20"/>
                <w:szCs w:val="20"/>
              </w:rPr>
            </w:pPr>
            <w:r w:rsidRPr="0069630A">
              <w:rPr>
                <w:sz w:val="20"/>
                <w:szCs w:val="20"/>
              </w:rPr>
              <w:t>-2.785</w:t>
            </w:r>
          </w:p>
        </w:tc>
        <w:tc>
          <w:tcPr>
            <w:tcW w:w="1891" w:type="dxa"/>
            <w:tcBorders>
              <w:top w:val="nil"/>
              <w:left w:val="nil"/>
              <w:bottom w:val="nil"/>
              <w:right w:val="nil"/>
            </w:tcBorders>
            <w:vAlign w:val="center"/>
          </w:tcPr>
          <w:p w14:paraId="5D701B2F" w14:textId="77777777" w:rsidR="00465E16" w:rsidRPr="0069630A" w:rsidRDefault="00465E16" w:rsidP="0069630A">
            <w:pPr>
              <w:keepLines/>
              <w:snapToGrid w:val="0"/>
              <w:spacing w:line="240" w:lineRule="exact"/>
              <w:rPr>
                <w:sz w:val="20"/>
                <w:szCs w:val="20"/>
              </w:rPr>
            </w:pPr>
            <w:r w:rsidRPr="0069630A">
              <w:rPr>
                <w:sz w:val="20"/>
                <w:szCs w:val="20"/>
              </w:rPr>
              <w:t>-2.909*</w:t>
            </w:r>
          </w:p>
        </w:tc>
      </w:tr>
      <w:tr w:rsidR="00465E16" w:rsidRPr="0069630A" w14:paraId="6639E184" w14:textId="77777777" w:rsidTr="00F73AB2">
        <w:trPr>
          <w:cantSplit/>
          <w:tblHeader/>
        </w:trPr>
        <w:tc>
          <w:tcPr>
            <w:tcW w:w="1985" w:type="dxa"/>
            <w:tcBorders>
              <w:top w:val="nil"/>
              <w:left w:val="nil"/>
              <w:bottom w:val="nil"/>
              <w:right w:val="nil"/>
            </w:tcBorders>
            <w:vAlign w:val="center"/>
          </w:tcPr>
          <w:p w14:paraId="2F2F7BE6" w14:textId="77777777" w:rsidR="00465E16" w:rsidRPr="0069630A" w:rsidRDefault="00465E16" w:rsidP="0069630A">
            <w:pPr>
              <w:keepLines/>
              <w:snapToGrid w:val="0"/>
              <w:spacing w:line="240" w:lineRule="exact"/>
              <w:rPr>
                <w:sz w:val="20"/>
                <w:szCs w:val="20"/>
              </w:rPr>
            </w:pPr>
          </w:p>
        </w:tc>
        <w:tc>
          <w:tcPr>
            <w:tcW w:w="2173" w:type="dxa"/>
            <w:tcBorders>
              <w:top w:val="nil"/>
              <w:left w:val="nil"/>
              <w:bottom w:val="nil"/>
              <w:right w:val="nil"/>
            </w:tcBorders>
            <w:vAlign w:val="center"/>
          </w:tcPr>
          <w:p w14:paraId="4BB0FEE5" w14:textId="77777777" w:rsidR="00465E16" w:rsidRPr="0069630A" w:rsidRDefault="00465E16" w:rsidP="0069630A">
            <w:pPr>
              <w:keepLines/>
              <w:snapToGrid w:val="0"/>
              <w:spacing w:line="240" w:lineRule="exact"/>
              <w:rPr>
                <w:sz w:val="20"/>
                <w:szCs w:val="20"/>
              </w:rPr>
            </w:pPr>
            <w:r w:rsidRPr="0069630A">
              <w:rPr>
                <w:sz w:val="20"/>
                <w:szCs w:val="20"/>
              </w:rPr>
              <w:t>(0.188)</w:t>
            </w:r>
          </w:p>
        </w:tc>
        <w:tc>
          <w:tcPr>
            <w:tcW w:w="2173" w:type="dxa"/>
            <w:tcBorders>
              <w:top w:val="nil"/>
              <w:left w:val="nil"/>
              <w:bottom w:val="nil"/>
              <w:right w:val="nil"/>
            </w:tcBorders>
            <w:vAlign w:val="center"/>
          </w:tcPr>
          <w:p w14:paraId="602F76F3" w14:textId="77777777" w:rsidR="00465E16" w:rsidRPr="0069630A" w:rsidRDefault="00465E16" w:rsidP="0069630A">
            <w:pPr>
              <w:keepLines/>
              <w:snapToGrid w:val="0"/>
              <w:spacing w:line="240" w:lineRule="exact"/>
              <w:rPr>
                <w:sz w:val="20"/>
                <w:szCs w:val="20"/>
              </w:rPr>
            </w:pPr>
            <w:r w:rsidRPr="0069630A">
              <w:rPr>
                <w:sz w:val="20"/>
                <w:szCs w:val="20"/>
              </w:rPr>
              <w:t>(0.109)</w:t>
            </w:r>
          </w:p>
        </w:tc>
        <w:tc>
          <w:tcPr>
            <w:tcW w:w="1891" w:type="dxa"/>
            <w:tcBorders>
              <w:top w:val="nil"/>
              <w:left w:val="nil"/>
              <w:bottom w:val="nil"/>
              <w:right w:val="nil"/>
            </w:tcBorders>
            <w:vAlign w:val="center"/>
          </w:tcPr>
          <w:p w14:paraId="17F3275D" w14:textId="77777777" w:rsidR="00465E16" w:rsidRPr="0069630A" w:rsidRDefault="00465E16" w:rsidP="0069630A">
            <w:pPr>
              <w:keepLines/>
              <w:snapToGrid w:val="0"/>
              <w:spacing w:line="240" w:lineRule="exact"/>
              <w:rPr>
                <w:sz w:val="20"/>
                <w:szCs w:val="20"/>
              </w:rPr>
            </w:pPr>
            <w:r w:rsidRPr="0069630A">
              <w:rPr>
                <w:sz w:val="20"/>
                <w:szCs w:val="20"/>
              </w:rPr>
              <w:t>(0.072)</w:t>
            </w:r>
          </w:p>
        </w:tc>
      </w:tr>
      <w:tr w:rsidR="00465E16" w:rsidRPr="0069630A" w14:paraId="578C47FC" w14:textId="77777777" w:rsidTr="00F73AB2">
        <w:trPr>
          <w:cantSplit/>
          <w:tblHeader/>
        </w:trPr>
        <w:tc>
          <w:tcPr>
            <w:tcW w:w="1985" w:type="dxa"/>
            <w:tcBorders>
              <w:top w:val="nil"/>
              <w:left w:val="nil"/>
              <w:bottom w:val="nil"/>
              <w:right w:val="nil"/>
            </w:tcBorders>
            <w:vAlign w:val="center"/>
          </w:tcPr>
          <w:p w14:paraId="558D70C6" w14:textId="4ADAC756" w:rsidR="00465E16" w:rsidRPr="0069630A" w:rsidRDefault="00A95329" w:rsidP="0069630A">
            <w:pPr>
              <w:keepLines/>
              <w:snapToGrid w:val="0"/>
              <w:spacing w:line="240" w:lineRule="exact"/>
              <w:rPr>
                <w:sz w:val="20"/>
                <w:szCs w:val="20"/>
              </w:rPr>
            </w:pPr>
            <w:r w:rsidRPr="0069630A">
              <w:rPr>
                <w:sz w:val="20"/>
                <w:szCs w:val="20"/>
              </w:rPr>
              <w:t>DR</w:t>
            </w:r>
          </w:p>
        </w:tc>
        <w:tc>
          <w:tcPr>
            <w:tcW w:w="2173" w:type="dxa"/>
            <w:tcBorders>
              <w:top w:val="nil"/>
              <w:left w:val="nil"/>
              <w:bottom w:val="nil"/>
              <w:right w:val="nil"/>
            </w:tcBorders>
            <w:vAlign w:val="center"/>
          </w:tcPr>
          <w:p w14:paraId="2E2C4462" w14:textId="77777777" w:rsidR="00465E16" w:rsidRPr="0069630A" w:rsidRDefault="00465E16" w:rsidP="0069630A">
            <w:pPr>
              <w:keepLines/>
              <w:snapToGrid w:val="0"/>
              <w:spacing w:line="240" w:lineRule="exact"/>
              <w:rPr>
                <w:sz w:val="20"/>
                <w:szCs w:val="20"/>
              </w:rPr>
            </w:pPr>
            <w:r w:rsidRPr="0069630A">
              <w:rPr>
                <w:sz w:val="20"/>
                <w:szCs w:val="20"/>
              </w:rPr>
              <w:t>-2.339**</w:t>
            </w:r>
          </w:p>
        </w:tc>
        <w:tc>
          <w:tcPr>
            <w:tcW w:w="2173" w:type="dxa"/>
            <w:tcBorders>
              <w:top w:val="nil"/>
              <w:left w:val="nil"/>
              <w:bottom w:val="nil"/>
              <w:right w:val="nil"/>
            </w:tcBorders>
            <w:vAlign w:val="center"/>
          </w:tcPr>
          <w:p w14:paraId="73481F04" w14:textId="77777777" w:rsidR="00465E16" w:rsidRPr="0069630A" w:rsidRDefault="00465E16" w:rsidP="0069630A">
            <w:pPr>
              <w:keepLines/>
              <w:snapToGrid w:val="0"/>
              <w:spacing w:line="240" w:lineRule="exact"/>
              <w:rPr>
                <w:sz w:val="20"/>
                <w:szCs w:val="20"/>
              </w:rPr>
            </w:pPr>
            <w:r w:rsidRPr="0069630A">
              <w:rPr>
                <w:sz w:val="20"/>
                <w:szCs w:val="20"/>
              </w:rPr>
              <w:t>-1.133</w:t>
            </w:r>
          </w:p>
        </w:tc>
        <w:tc>
          <w:tcPr>
            <w:tcW w:w="1891" w:type="dxa"/>
            <w:tcBorders>
              <w:top w:val="nil"/>
              <w:left w:val="nil"/>
              <w:bottom w:val="nil"/>
              <w:right w:val="nil"/>
            </w:tcBorders>
            <w:vAlign w:val="center"/>
          </w:tcPr>
          <w:p w14:paraId="30DADE3B" w14:textId="77777777" w:rsidR="00465E16" w:rsidRPr="0069630A" w:rsidRDefault="00465E16" w:rsidP="0069630A">
            <w:pPr>
              <w:keepLines/>
              <w:snapToGrid w:val="0"/>
              <w:spacing w:line="240" w:lineRule="exact"/>
              <w:rPr>
                <w:sz w:val="20"/>
                <w:szCs w:val="20"/>
              </w:rPr>
            </w:pPr>
            <w:r w:rsidRPr="0069630A">
              <w:rPr>
                <w:sz w:val="20"/>
                <w:szCs w:val="20"/>
              </w:rPr>
              <w:t>-1.286</w:t>
            </w:r>
          </w:p>
        </w:tc>
      </w:tr>
      <w:tr w:rsidR="00465E16" w:rsidRPr="0069630A" w14:paraId="6076D7E5" w14:textId="77777777" w:rsidTr="00F73AB2">
        <w:trPr>
          <w:cantSplit/>
          <w:tblHeader/>
        </w:trPr>
        <w:tc>
          <w:tcPr>
            <w:tcW w:w="1985" w:type="dxa"/>
            <w:tcBorders>
              <w:top w:val="nil"/>
              <w:left w:val="nil"/>
              <w:bottom w:val="nil"/>
              <w:right w:val="nil"/>
            </w:tcBorders>
            <w:vAlign w:val="center"/>
          </w:tcPr>
          <w:p w14:paraId="3BB2847C" w14:textId="77777777" w:rsidR="00465E16" w:rsidRPr="0069630A" w:rsidRDefault="00465E16" w:rsidP="0069630A">
            <w:pPr>
              <w:keepLines/>
              <w:snapToGrid w:val="0"/>
              <w:spacing w:line="240" w:lineRule="exact"/>
              <w:rPr>
                <w:sz w:val="20"/>
                <w:szCs w:val="20"/>
              </w:rPr>
            </w:pPr>
          </w:p>
        </w:tc>
        <w:tc>
          <w:tcPr>
            <w:tcW w:w="2173" w:type="dxa"/>
            <w:tcBorders>
              <w:top w:val="nil"/>
              <w:left w:val="nil"/>
              <w:bottom w:val="nil"/>
              <w:right w:val="nil"/>
            </w:tcBorders>
            <w:vAlign w:val="center"/>
          </w:tcPr>
          <w:p w14:paraId="4A915F24" w14:textId="77777777" w:rsidR="00465E16" w:rsidRPr="0069630A" w:rsidRDefault="00465E16" w:rsidP="0069630A">
            <w:pPr>
              <w:keepLines/>
              <w:snapToGrid w:val="0"/>
              <w:spacing w:line="240" w:lineRule="exact"/>
              <w:rPr>
                <w:sz w:val="20"/>
                <w:szCs w:val="20"/>
              </w:rPr>
            </w:pPr>
            <w:r w:rsidRPr="0069630A">
              <w:rPr>
                <w:sz w:val="20"/>
                <w:szCs w:val="20"/>
              </w:rPr>
              <w:t>(0.043)</w:t>
            </w:r>
          </w:p>
        </w:tc>
        <w:tc>
          <w:tcPr>
            <w:tcW w:w="2173" w:type="dxa"/>
            <w:tcBorders>
              <w:top w:val="nil"/>
              <w:left w:val="nil"/>
              <w:bottom w:val="nil"/>
              <w:right w:val="nil"/>
            </w:tcBorders>
            <w:vAlign w:val="center"/>
          </w:tcPr>
          <w:p w14:paraId="45FBB69A" w14:textId="77777777" w:rsidR="00465E16" w:rsidRPr="0069630A" w:rsidRDefault="00465E16" w:rsidP="0069630A">
            <w:pPr>
              <w:keepLines/>
              <w:snapToGrid w:val="0"/>
              <w:spacing w:line="240" w:lineRule="exact"/>
              <w:rPr>
                <w:sz w:val="20"/>
                <w:szCs w:val="20"/>
              </w:rPr>
            </w:pPr>
            <w:r w:rsidRPr="0069630A">
              <w:rPr>
                <w:sz w:val="20"/>
                <w:szCs w:val="20"/>
              </w:rPr>
              <w:t>(0.179)</w:t>
            </w:r>
          </w:p>
        </w:tc>
        <w:tc>
          <w:tcPr>
            <w:tcW w:w="1891" w:type="dxa"/>
            <w:tcBorders>
              <w:top w:val="nil"/>
              <w:left w:val="nil"/>
              <w:bottom w:val="nil"/>
              <w:right w:val="nil"/>
            </w:tcBorders>
            <w:vAlign w:val="center"/>
          </w:tcPr>
          <w:p w14:paraId="64991992" w14:textId="77777777" w:rsidR="00465E16" w:rsidRPr="0069630A" w:rsidRDefault="00465E16" w:rsidP="0069630A">
            <w:pPr>
              <w:keepLines/>
              <w:snapToGrid w:val="0"/>
              <w:spacing w:line="240" w:lineRule="exact"/>
              <w:rPr>
                <w:sz w:val="20"/>
                <w:szCs w:val="20"/>
              </w:rPr>
            </w:pPr>
            <w:r w:rsidRPr="0069630A">
              <w:rPr>
                <w:sz w:val="20"/>
                <w:szCs w:val="20"/>
              </w:rPr>
              <w:t>(0.142)</w:t>
            </w:r>
          </w:p>
        </w:tc>
      </w:tr>
      <w:tr w:rsidR="00465E16" w:rsidRPr="0069630A" w14:paraId="1AAF9B4C" w14:textId="77777777" w:rsidTr="00F73AB2">
        <w:trPr>
          <w:cantSplit/>
          <w:tblHeader/>
        </w:trPr>
        <w:tc>
          <w:tcPr>
            <w:tcW w:w="1985" w:type="dxa"/>
            <w:tcBorders>
              <w:top w:val="nil"/>
              <w:left w:val="nil"/>
              <w:bottom w:val="nil"/>
              <w:right w:val="nil"/>
            </w:tcBorders>
            <w:vAlign w:val="center"/>
          </w:tcPr>
          <w:p w14:paraId="4A454E92" w14:textId="0A315368" w:rsidR="00465E16" w:rsidRPr="0069630A" w:rsidRDefault="00A95329" w:rsidP="0069630A">
            <w:pPr>
              <w:keepLines/>
              <w:snapToGrid w:val="0"/>
              <w:spacing w:line="240" w:lineRule="exact"/>
              <w:rPr>
                <w:sz w:val="20"/>
                <w:szCs w:val="20"/>
              </w:rPr>
            </w:pPr>
            <w:r w:rsidRPr="0069630A">
              <w:rPr>
                <w:sz w:val="20"/>
                <w:szCs w:val="20"/>
              </w:rPr>
              <w:t>R</w:t>
            </w:r>
            <w:r w:rsidR="00F27D10" w:rsidRPr="0069630A">
              <w:rPr>
                <w:sz w:val="20"/>
                <w:szCs w:val="20"/>
              </w:rPr>
              <w:t>unup</w:t>
            </w:r>
          </w:p>
        </w:tc>
        <w:tc>
          <w:tcPr>
            <w:tcW w:w="2173" w:type="dxa"/>
            <w:tcBorders>
              <w:top w:val="nil"/>
              <w:left w:val="nil"/>
              <w:bottom w:val="nil"/>
              <w:right w:val="nil"/>
            </w:tcBorders>
            <w:vAlign w:val="center"/>
          </w:tcPr>
          <w:p w14:paraId="5FE423D5" w14:textId="77777777" w:rsidR="00465E16" w:rsidRPr="0069630A" w:rsidRDefault="00465E16" w:rsidP="0069630A">
            <w:pPr>
              <w:keepLines/>
              <w:snapToGrid w:val="0"/>
              <w:spacing w:line="240" w:lineRule="exact"/>
              <w:rPr>
                <w:sz w:val="20"/>
                <w:szCs w:val="20"/>
              </w:rPr>
            </w:pPr>
            <w:r w:rsidRPr="0069630A">
              <w:rPr>
                <w:sz w:val="20"/>
                <w:szCs w:val="20"/>
              </w:rPr>
              <w:t>2.087*</w:t>
            </w:r>
          </w:p>
        </w:tc>
        <w:tc>
          <w:tcPr>
            <w:tcW w:w="2173" w:type="dxa"/>
            <w:tcBorders>
              <w:top w:val="nil"/>
              <w:left w:val="nil"/>
              <w:bottom w:val="nil"/>
              <w:right w:val="nil"/>
            </w:tcBorders>
            <w:vAlign w:val="center"/>
          </w:tcPr>
          <w:p w14:paraId="4E3F98B1" w14:textId="77777777" w:rsidR="00465E16" w:rsidRPr="0069630A" w:rsidRDefault="00465E16" w:rsidP="0069630A">
            <w:pPr>
              <w:keepLines/>
              <w:snapToGrid w:val="0"/>
              <w:spacing w:line="240" w:lineRule="exact"/>
              <w:rPr>
                <w:sz w:val="20"/>
                <w:szCs w:val="20"/>
              </w:rPr>
            </w:pPr>
            <w:r w:rsidRPr="0069630A">
              <w:rPr>
                <w:sz w:val="20"/>
                <w:szCs w:val="20"/>
              </w:rPr>
              <w:t>1.102</w:t>
            </w:r>
          </w:p>
        </w:tc>
        <w:tc>
          <w:tcPr>
            <w:tcW w:w="1891" w:type="dxa"/>
            <w:tcBorders>
              <w:top w:val="nil"/>
              <w:left w:val="nil"/>
              <w:bottom w:val="nil"/>
              <w:right w:val="nil"/>
            </w:tcBorders>
            <w:vAlign w:val="center"/>
          </w:tcPr>
          <w:p w14:paraId="78D190DE" w14:textId="77777777" w:rsidR="00465E16" w:rsidRPr="0069630A" w:rsidRDefault="00465E16" w:rsidP="0069630A">
            <w:pPr>
              <w:keepLines/>
              <w:snapToGrid w:val="0"/>
              <w:spacing w:line="240" w:lineRule="exact"/>
              <w:rPr>
                <w:sz w:val="20"/>
                <w:szCs w:val="20"/>
              </w:rPr>
            </w:pPr>
            <w:r w:rsidRPr="0069630A">
              <w:rPr>
                <w:sz w:val="20"/>
                <w:szCs w:val="20"/>
              </w:rPr>
              <w:t>0.334</w:t>
            </w:r>
          </w:p>
        </w:tc>
      </w:tr>
      <w:tr w:rsidR="00465E16" w:rsidRPr="0069630A" w14:paraId="62602C4C" w14:textId="77777777" w:rsidTr="00F73AB2">
        <w:trPr>
          <w:cantSplit/>
          <w:tblHeader/>
        </w:trPr>
        <w:tc>
          <w:tcPr>
            <w:tcW w:w="1985" w:type="dxa"/>
            <w:tcBorders>
              <w:top w:val="nil"/>
              <w:left w:val="nil"/>
              <w:bottom w:val="nil"/>
              <w:right w:val="nil"/>
            </w:tcBorders>
            <w:vAlign w:val="center"/>
          </w:tcPr>
          <w:p w14:paraId="5DE575D2" w14:textId="77777777" w:rsidR="00465E16" w:rsidRPr="0069630A" w:rsidRDefault="00465E16" w:rsidP="0069630A">
            <w:pPr>
              <w:keepLines/>
              <w:snapToGrid w:val="0"/>
              <w:spacing w:line="240" w:lineRule="exact"/>
              <w:rPr>
                <w:sz w:val="20"/>
                <w:szCs w:val="20"/>
              </w:rPr>
            </w:pPr>
          </w:p>
        </w:tc>
        <w:tc>
          <w:tcPr>
            <w:tcW w:w="2173" w:type="dxa"/>
            <w:tcBorders>
              <w:top w:val="nil"/>
              <w:left w:val="nil"/>
              <w:bottom w:val="nil"/>
              <w:right w:val="nil"/>
            </w:tcBorders>
            <w:vAlign w:val="center"/>
          </w:tcPr>
          <w:p w14:paraId="46E5D081" w14:textId="77777777" w:rsidR="00465E16" w:rsidRPr="0069630A" w:rsidRDefault="00465E16" w:rsidP="0069630A">
            <w:pPr>
              <w:keepLines/>
              <w:snapToGrid w:val="0"/>
              <w:spacing w:line="240" w:lineRule="exact"/>
              <w:rPr>
                <w:sz w:val="20"/>
                <w:szCs w:val="20"/>
              </w:rPr>
            </w:pPr>
            <w:r w:rsidRPr="0069630A">
              <w:rPr>
                <w:sz w:val="20"/>
                <w:szCs w:val="20"/>
              </w:rPr>
              <w:t>(0.099)</w:t>
            </w:r>
          </w:p>
        </w:tc>
        <w:tc>
          <w:tcPr>
            <w:tcW w:w="2173" w:type="dxa"/>
            <w:tcBorders>
              <w:top w:val="nil"/>
              <w:left w:val="nil"/>
              <w:bottom w:val="nil"/>
              <w:right w:val="nil"/>
            </w:tcBorders>
            <w:vAlign w:val="center"/>
          </w:tcPr>
          <w:p w14:paraId="797CCF2F" w14:textId="77777777" w:rsidR="00465E16" w:rsidRPr="0069630A" w:rsidRDefault="00465E16" w:rsidP="0069630A">
            <w:pPr>
              <w:keepLines/>
              <w:snapToGrid w:val="0"/>
              <w:spacing w:line="240" w:lineRule="exact"/>
              <w:rPr>
                <w:sz w:val="20"/>
                <w:szCs w:val="20"/>
              </w:rPr>
            </w:pPr>
            <w:r w:rsidRPr="0069630A">
              <w:rPr>
                <w:sz w:val="20"/>
                <w:szCs w:val="20"/>
              </w:rPr>
              <w:t>(0.238)</w:t>
            </w:r>
          </w:p>
        </w:tc>
        <w:tc>
          <w:tcPr>
            <w:tcW w:w="1891" w:type="dxa"/>
            <w:tcBorders>
              <w:top w:val="nil"/>
              <w:left w:val="nil"/>
              <w:bottom w:val="nil"/>
              <w:right w:val="nil"/>
            </w:tcBorders>
            <w:vAlign w:val="center"/>
          </w:tcPr>
          <w:p w14:paraId="4425349C" w14:textId="77777777" w:rsidR="00465E16" w:rsidRPr="0069630A" w:rsidRDefault="00465E16" w:rsidP="0069630A">
            <w:pPr>
              <w:keepLines/>
              <w:snapToGrid w:val="0"/>
              <w:spacing w:line="240" w:lineRule="exact"/>
              <w:rPr>
                <w:sz w:val="20"/>
                <w:szCs w:val="20"/>
              </w:rPr>
            </w:pPr>
            <w:r w:rsidRPr="0069630A">
              <w:rPr>
                <w:sz w:val="20"/>
                <w:szCs w:val="20"/>
              </w:rPr>
              <w:t>(0.712)</w:t>
            </w:r>
          </w:p>
        </w:tc>
      </w:tr>
      <w:tr w:rsidR="00465E16" w:rsidRPr="0069630A" w14:paraId="104A7F13" w14:textId="77777777" w:rsidTr="00F73AB2">
        <w:trPr>
          <w:cantSplit/>
          <w:tblHeader/>
        </w:trPr>
        <w:tc>
          <w:tcPr>
            <w:tcW w:w="1985" w:type="dxa"/>
            <w:tcBorders>
              <w:top w:val="nil"/>
              <w:left w:val="nil"/>
              <w:bottom w:val="nil"/>
              <w:right w:val="nil"/>
            </w:tcBorders>
            <w:vAlign w:val="center"/>
          </w:tcPr>
          <w:p w14:paraId="1E904178" w14:textId="77777777" w:rsidR="00465E16" w:rsidRPr="0069630A" w:rsidRDefault="00465E16" w:rsidP="0069630A">
            <w:pPr>
              <w:keepLines/>
              <w:snapToGrid w:val="0"/>
              <w:spacing w:line="240" w:lineRule="exact"/>
              <w:rPr>
                <w:sz w:val="20"/>
                <w:szCs w:val="20"/>
              </w:rPr>
            </w:pPr>
            <w:r w:rsidRPr="0069630A">
              <w:rPr>
                <w:sz w:val="20"/>
                <w:szCs w:val="20"/>
              </w:rPr>
              <w:t>Constant</w:t>
            </w:r>
          </w:p>
        </w:tc>
        <w:tc>
          <w:tcPr>
            <w:tcW w:w="2173" w:type="dxa"/>
            <w:tcBorders>
              <w:top w:val="nil"/>
              <w:left w:val="nil"/>
              <w:bottom w:val="nil"/>
              <w:right w:val="nil"/>
            </w:tcBorders>
            <w:vAlign w:val="center"/>
          </w:tcPr>
          <w:p w14:paraId="1F2C549D" w14:textId="77777777" w:rsidR="00465E16" w:rsidRPr="0069630A" w:rsidRDefault="00465E16" w:rsidP="0069630A">
            <w:pPr>
              <w:keepLines/>
              <w:snapToGrid w:val="0"/>
              <w:spacing w:line="240" w:lineRule="exact"/>
              <w:rPr>
                <w:sz w:val="20"/>
                <w:szCs w:val="20"/>
              </w:rPr>
            </w:pPr>
            <w:r w:rsidRPr="0069630A">
              <w:rPr>
                <w:sz w:val="20"/>
                <w:szCs w:val="20"/>
              </w:rPr>
              <w:t>2.235</w:t>
            </w:r>
          </w:p>
        </w:tc>
        <w:tc>
          <w:tcPr>
            <w:tcW w:w="2173" w:type="dxa"/>
            <w:tcBorders>
              <w:top w:val="nil"/>
              <w:left w:val="nil"/>
              <w:bottom w:val="nil"/>
              <w:right w:val="nil"/>
            </w:tcBorders>
            <w:vAlign w:val="center"/>
          </w:tcPr>
          <w:p w14:paraId="02B6D179" w14:textId="77777777" w:rsidR="00465E16" w:rsidRPr="0069630A" w:rsidRDefault="00465E16" w:rsidP="0069630A">
            <w:pPr>
              <w:keepLines/>
              <w:snapToGrid w:val="0"/>
              <w:spacing w:line="240" w:lineRule="exact"/>
              <w:rPr>
                <w:sz w:val="20"/>
                <w:szCs w:val="20"/>
              </w:rPr>
            </w:pPr>
            <w:r w:rsidRPr="0069630A">
              <w:rPr>
                <w:sz w:val="20"/>
                <w:szCs w:val="20"/>
              </w:rPr>
              <w:t>2.899</w:t>
            </w:r>
          </w:p>
        </w:tc>
        <w:tc>
          <w:tcPr>
            <w:tcW w:w="1891" w:type="dxa"/>
            <w:tcBorders>
              <w:top w:val="nil"/>
              <w:left w:val="nil"/>
              <w:bottom w:val="nil"/>
              <w:right w:val="nil"/>
            </w:tcBorders>
            <w:vAlign w:val="center"/>
          </w:tcPr>
          <w:p w14:paraId="3A8EB88B" w14:textId="77777777" w:rsidR="00465E16" w:rsidRPr="0069630A" w:rsidRDefault="00465E16" w:rsidP="0069630A">
            <w:pPr>
              <w:keepLines/>
              <w:snapToGrid w:val="0"/>
              <w:spacing w:line="240" w:lineRule="exact"/>
              <w:rPr>
                <w:sz w:val="20"/>
                <w:szCs w:val="20"/>
              </w:rPr>
            </w:pPr>
            <w:r w:rsidRPr="0069630A">
              <w:rPr>
                <w:sz w:val="20"/>
                <w:szCs w:val="20"/>
              </w:rPr>
              <w:t>2.321</w:t>
            </w:r>
          </w:p>
        </w:tc>
      </w:tr>
      <w:tr w:rsidR="00465E16" w:rsidRPr="0069630A" w14:paraId="559866FA" w14:textId="77777777" w:rsidTr="00F73AB2">
        <w:trPr>
          <w:cantSplit/>
          <w:tblHeader/>
        </w:trPr>
        <w:tc>
          <w:tcPr>
            <w:tcW w:w="1985" w:type="dxa"/>
            <w:tcBorders>
              <w:top w:val="nil"/>
              <w:left w:val="nil"/>
              <w:bottom w:val="single" w:sz="4" w:space="0" w:color="auto"/>
              <w:right w:val="nil"/>
            </w:tcBorders>
            <w:vAlign w:val="center"/>
          </w:tcPr>
          <w:p w14:paraId="14F9A677" w14:textId="77777777" w:rsidR="00465E16" w:rsidRPr="0069630A" w:rsidRDefault="00465E16" w:rsidP="0069630A">
            <w:pPr>
              <w:keepLines/>
              <w:snapToGrid w:val="0"/>
              <w:spacing w:line="240" w:lineRule="exact"/>
              <w:rPr>
                <w:sz w:val="20"/>
                <w:szCs w:val="20"/>
              </w:rPr>
            </w:pPr>
          </w:p>
        </w:tc>
        <w:tc>
          <w:tcPr>
            <w:tcW w:w="2173" w:type="dxa"/>
            <w:tcBorders>
              <w:top w:val="nil"/>
              <w:left w:val="nil"/>
              <w:bottom w:val="single" w:sz="4" w:space="0" w:color="auto"/>
              <w:right w:val="nil"/>
            </w:tcBorders>
            <w:vAlign w:val="center"/>
          </w:tcPr>
          <w:p w14:paraId="4873DD4D" w14:textId="77777777" w:rsidR="00465E16" w:rsidRPr="0069630A" w:rsidRDefault="00465E16" w:rsidP="0069630A">
            <w:pPr>
              <w:keepLines/>
              <w:snapToGrid w:val="0"/>
              <w:spacing w:line="240" w:lineRule="exact"/>
              <w:rPr>
                <w:sz w:val="20"/>
                <w:szCs w:val="20"/>
              </w:rPr>
            </w:pPr>
            <w:r w:rsidRPr="0069630A">
              <w:rPr>
                <w:sz w:val="20"/>
                <w:szCs w:val="20"/>
              </w:rPr>
              <w:t>(0.485)</w:t>
            </w:r>
          </w:p>
        </w:tc>
        <w:tc>
          <w:tcPr>
            <w:tcW w:w="2173" w:type="dxa"/>
            <w:tcBorders>
              <w:top w:val="nil"/>
              <w:left w:val="nil"/>
              <w:bottom w:val="single" w:sz="4" w:space="0" w:color="auto"/>
              <w:right w:val="nil"/>
            </w:tcBorders>
            <w:vAlign w:val="center"/>
          </w:tcPr>
          <w:p w14:paraId="1FFDA40C" w14:textId="77777777" w:rsidR="00465E16" w:rsidRPr="0069630A" w:rsidRDefault="00465E16" w:rsidP="0069630A">
            <w:pPr>
              <w:keepLines/>
              <w:snapToGrid w:val="0"/>
              <w:spacing w:line="240" w:lineRule="exact"/>
              <w:rPr>
                <w:sz w:val="20"/>
                <w:szCs w:val="20"/>
              </w:rPr>
            </w:pPr>
            <w:r w:rsidRPr="0069630A">
              <w:rPr>
                <w:sz w:val="20"/>
                <w:szCs w:val="20"/>
              </w:rPr>
              <w:t>(0.295)</w:t>
            </w:r>
          </w:p>
        </w:tc>
        <w:tc>
          <w:tcPr>
            <w:tcW w:w="1891" w:type="dxa"/>
            <w:tcBorders>
              <w:top w:val="nil"/>
              <w:left w:val="nil"/>
              <w:bottom w:val="single" w:sz="4" w:space="0" w:color="auto"/>
              <w:right w:val="nil"/>
            </w:tcBorders>
            <w:vAlign w:val="center"/>
          </w:tcPr>
          <w:p w14:paraId="608B285D" w14:textId="77777777" w:rsidR="00465E16" w:rsidRPr="0069630A" w:rsidRDefault="00465E16" w:rsidP="0069630A">
            <w:pPr>
              <w:keepLines/>
              <w:snapToGrid w:val="0"/>
              <w:spacing w:line="240" w:lineRule="exact"/>
              <w:rPr>
                <w:sz w:val="20"/>
                <w:szCs w:val="20"/>
              </w:rPr>
            </w:pPr>
            <w:r w:rsidRPr="0069630A">
              <w:rPr>
                <w:sz w:val="20"/>
                <w:szCs w:val="20"/>
              </w:rPr>
              <w:t>(0.348)</w:t>
            </w:r>
          </w:p>
        </w:tc>
      </w:tr>
      <w:tr w:rsidR="00465E16" w:rsidRPr="0069630A" w14:paraId="2BE98277" w14:textId="77777777" w:rsidTr="00F73AB2">
        <w:tblPrEx>
          <w:tblBorders>
            <w:bottom w:val="single" w:sz="6" w:space="0" w:color="auto"/>
          </w:tblBorders>
        </w:tblPrEx>
        <w:trPr>
          <w:cantSplit/>
          <w:tblHeader/>
        </w:trPr>
        <w:tc>
          <w:tcPr>
            <w:tcW w:w="1985" w:type="dxa"/>
            <w:tcBorders>
              <w:top w:val="single" w:sz="4" w:space="0" w:color="auto"/>
              <w:left w:val="nil"/>
              <w:bottom w:val="single" w:sz="6" w:space="0" w:color="auto"/>
              <w:right w:val="nil"/>
            </w:tcBorders>
            <w:vAlign w:val="center"/>
          </w:tcPr>
          <w:p w14:paraId="52B373F0" w14:textId="77777777" w:rsidR="00465E16" w:rsidRPr="0069630A" w:rsidRDefault="00465E16" w:rsidP="0069630A">
            <w:pPr>
              <w:keepLines/>
              <w:snapToGrid w:val="0"/>
              <w:spacing w:line="240" w:lineRule="exact"/>
              <w:rPr>
                <w:sz w:val="20"/>
                <w:szCs w:val="20"/>
              </w:rPr>
            </w:pPr>
            <w:r w:rsidRPr="0069630A">
              <w:rPr>
                <w:sz w:val="20"/>
                <w:szCs w:val="20"/>
              </w:rPr>
              <w:t>Pseudo R</w:t>
            </w:r>
            <w:r w:rsidRPr="0069630A">
              <w:rPr>
                <w:sz w:val="20"/>
                <w:szCs w:val="20"/>
                <w:vertAlign w:val="superscript"/>
              </w:rPr>
              <w:t>2</w:t>
            </w:r>
          </w:p>
        </w:tc>
        <w:tc>
          <w:tcPr>
            <w:tcW w:w="2173" w:type="dxa"/>
            <w:tcBorders>
              <w:top w:val="single" w:sz="4" w:space="0" w:color="auto"/>
              <w:left w:val="nil"/>
              <w:bottom w:val="single" w:sz="6" w:space="0" w:color="auto"/>
              <w:right w:val="nil"/>
            </w:tcBorders>
            <w:vAlign w:val="center"/>
          </w:tcPr>
          <w:p w14:paraId="4973A656" w14:textId="77777777" w:rsidR="00465E16" w:rsidRPr="0069630A" w:rsidRDefault="00465E16" w:rsidP="0069630A">
            <w:pPr>
              <w:keepLines/>
              <w:snapToGrid w:val="0"/>
              <w:spacing w:line="240" w:lineRule="exact"/>
              <w:rPr>
                <w:sz w:val="20"/>
                <w:szCs w:val="20"/>
              </w:rPr>
            </w:pPr>
            <w:r w:rsidRPr="0069630A">
              <w:rPr>
                <w:sz w:val="20"/>
                <w:szCs w:val="20"/>
              </w:rPr>
              <w:t>0.179</w:t>
            </w:r>
          </w:p>
        </w:tc>
        <w:tc>
          <w:tcPr>
            <w:tcW w:w="2173" w:type="dxa"/>
            <w:tcBorders>
              <w:top w:val="single" w:sz="4" w:space="0" w:color="auto"/>
              <w:left w:val="nil"/>
              <w:bottom w:val="single" w:sz="6" w:space="0" w:color="auto"/>
              <w:right w:val="nil"/>
            </w:tcBorders>
            <w:vAlign w:val="center"/>
          </w:tcPr>
          <w:p w14:paraId="74C11D83" w14:textId="77777777" w:rsidR="00465E16" w:rsidRPr="0069630A" w:rsidRDefault="00465E16" w:rsidP="0069630A">
            <w:pPr>
              <w:keepLines/>
              <w:snapToGrid w:val="0"/>
              <w:spacing w:line="240" w:lineRule="exact"/>
              <w:rPr>
                <w:sz w:val="20"/>
                <w:szCs w:val="20"/>
              </w:rPr>
            </w:pPr>
            <w:r w:rsidRPr="0069630A">
              <w:rPr>
                <w:sz w:val="20"/>
                <w:szCs w:val="20"/>
              </w:rPr>
              <w:t>0.164</w:t>
            </w:r>
          </w:p>
        </w:tc>
        <w:tc>
          <w:tcPr>
            <w:tcW w:w="1891" w:type="dxa"/>
            <w:tcBorders>
              <w:top w:val="single" w:sz="4" w:space="0" w:color="auto"/>
              <w:left w:val="nil"/>
              <w:bottom w:val="single" w:sz="6" w:space="0" w:color="auto"/>
              <w:right w:val="nil"/>
            </w:tcBorders>
            <w:vAlign w:val="center"/>
          </w:tcPr>
          <w:p w14:paraId="2F96167D" w14:textId="77777777" w:rsidR="00465E16" w:rsidRPr="0069630A" w:rsidRDefault="00465E16" w:rsidP="0069630A">
            <w:pPr>
              <w:keepLines/>
              <w:snapToGrid w:val="0"/>
              <w:spacing w:line="240" w:lineRule="exact"/>
              <w:rPr>
                <w:sz w:val="20"/>
                <w:szCs w:val="20"/>
              </w:rPr>
            </w:pPr>
            <w:r w:rsidRPr="0069630A">
              <w:rPr>
                <w:sz w:val="20"/>
                <w:szCs w:val="20"/>
              </w:rPr>
              <w:t>0.167</w:t>
            </w:r>
          </w:p>
        </w:tc>
      </w:tr>
    </w:tbl>
    <w:p w14:paraId="64FE9B62" w14:textId="30A15B6B" w:rsidR="0069630A" w:rsidRDefault="0069630A" w:rsidP="00E63B90">
      <w:pPr>
        <w:pStyle w:val="text"/>
        <w:spacing w:beforeLines="50" w:before="180"/>
      </w:pPr>
      <w:bookmarkStart w:id="11" w:name="_Hlk147757075"/>
      <w:r w:rsidRPr="0069630A">
        <w:t xml:space="preserve">The result of 100% stock payment is summarized in Table 8. From Table 8, we find that the analysts’ recommendations of strong buy have significant positive impact on the decisions of stock payment in windows of 30 and 60 days. This result is consistent with the argument in Table 7 that strong buy recommendations may drive stock price up and </w:t>
      </w:r>
      <w:r w:rsidR="00726AFA">
        <w:t>acquirer</w:t>
      </w:r>
      <w:r w:rsidRPr="0069630A">
        <w:t xml:space="preserve">s may take advantage of overvalued equity in M&amp;As. The strong sell recommendations in windows of 60 and 90 days are significantly positive and this is inconsistent with the previous expectation. One possible reason is that offering stock provides an opportunity for the shareholders of the target firms to become shareholders in the combined entity. This can align the interests of both sets of shareholders and may be seen as a positive aspect if the acquiring firm's long-term growth prospects are considered favorable. Therefore, the negative recommendations provide an opportunity for target shareholders to participate in </w:t>
      </w:r>
      <w:proofErr w:type="gramStart"/>
      <w:r w:rsidR="00726AFA">
        <w:t>acquirer</w:t>
      </w:r>
      <w:r w:rsidRPr="0069630A">
        <w:t>s</w:t>
      </w:r>
      <w:proofErr w:type="gramEnd"/>
      <w:r w:rsidRPr="0069630A">
        <w:t xml:space="preserve"> future growth.</w:t>
      </w:r>
    </w:p>
    <w:p w14:paraId="520FDAA1" w14:textId="7A4FDDD8" w:rsidR="000E0A6C" w:rsidRDefault="000E0A6C" w:rsidP="00324F2F">
      <w:pPr>
        <w:pStyle w:val="text"/>
      </w:pPr>
      <w:r>
        <w:lastRenderedPageBreak/>
        <w:t>Finally, we test the information content of analysts' recommendations concerning acquirers' long-term market performance following M&amp;A transactions. The regression results for the three-year buy-and-hold abnormal returns (BHARs) across different windows are summarized in Table 9. From Table 9, we find that the buy recommendations significantly negatively impact acquirers' BHARs. This result implies that analysts' recommendations are not consistent with acquirers' future long-term performance. One potential reason for this discrepancy is that analysts may base their recommendations on short-term news or forecasts, which may not accurately capture the long-term synergies and implications of M&amp;A transactions. Additionally, if the agency problem of overvalued equity is severe in acquiring firms that use 100% stock payments, their long-term performance may be worse than those that use cash or mixed payments.</w:t>
      </w:r>
    </w:p>
    <w:p w14:paraId="3EB4B0EB" w14:textId="77777777" w:rsidR="000E0A6C" w:rsidRDefault="000E0A6C" w:rsidP="00324F2F">
      <w:pPr>
        <w:pStyle w:val="text"/>
      </w:pPr>
      <w:r>
        <w:t>Regarding the impact of payment methods, the empirical results are consistent with existing evidence. From Table 9, we find that acquiring firms that use cash payments perform significantly better than other acquirers in the 30-day, 60-day, and 90-day windows. In contrast, the use of 100% stock payments has a significantly negative impact on acquirers' BHARs in the 90-day window.</w:t>
      </w:r>
    </w:p>
    <w:p w14:paraId="0FC56775" w14:textId="326D3352" w:rsidR="000E0A6C" w:rsidRDefault="000E0A6C" w:rsidP="00324F2F">
      <w:pPr>
        <w:pStyle w:val="text"/>
      </w:pPr>
      <w:r>
        <w:t xml:space="preserve">These findings highlight the importance of considering the information content and potential biases of analysts' recommendations when evaluating the long-term implications of M&amp;A transactions. While analysts' recommendations may reflect short-term market sentiment or </w:t>
      </w:r>
      <w:r w:rsidR="00707136">
        <w:t>firm</w:t>
      </w:r>
      <w:r>
        <w:t>-specific factors, they appear to be less informative regarding the long-term performance implications of M&amp;A activities. This disconnect underscores the need for a more comprehensive and forward-looking approach in assessing the potential synergies and value creation opportunities associated with M&amp;A transactions.</w:t>
      </w:r>
    </w:p>
    <w:p w14:paraId="69B69FD4" w14:textId="77777777" w:rsidR="000E0A6C" w:rsidRDefault="000E0A6C" w:rsidP="00324F2F">
      <w:pPr>
        <w:pStyle w:val="text"/>
      </w:pPr>
      <w:r>
        <w:t>Furthermore, the observed relationship between payment methods and long-term performance aligns with existing literature. Acquirers that employ cash payments tend to outperform those that use stock payments, potentially due to the signaling effect of cash payments and the mitigation of agency problems associated with overvalued equity. These findings reinforce the importance of considering payment methods as a significant factor influencing acquirers' long-term performance following M&amp;A transactions.</w:t>
      </w:r>
    </w:p>
    <w:p w14:paraId="27C0EE6F" w14:textId="114061D8" w:rsidR="006D3A54" w:rsidRPr="00353396" w:rsidRDefault="000E0A6C" w:rsidP="00324F2F">
      <w:pPr>
        <w:pStyle w:val="text"/>
      </w:pPr>
      <w:r>
        <w:t>Overall, these results contribute to our understanding of the interplay between analysts' recommendations, payment methods, and long-term performance in the context of M&amp;A activities. By identifying the potential limitations of analysts' recommendations and the implications of payment method choices, this study provides valuable insights for investors, corporate decision-makers, and regulatory bodies in evaluating the long-term consequences of M&amp;A transactions.</w:t>
      </w:r>
      <w:r w:rsidR="00691162" w:rsidRPr="00353396">
        <w:t xml:space="preserve"> </w:t>
      </w:r>
    </w:p>
    <w:bookmarkEnd w:id="11"/>
    <w:p w14:paraId="08C1BC37" w14:textId="444CEBA6" w:rsidR="00465E16" w:rsidRPr="00353396" w:rsidRDefault="00233E5D" w:rsidP="00C3335D">
      <w:pPr>
        <w:pStyle w:val="3"/>
      </w:pPr>
      <w:r>
        <w:lastRenderedPageBreak/>
        <w:t xml:space="preserve">Table </w:t>
      </w:r>
      <w:r w:rsidR="00350966">
        <w:fldChar w:fldCharType="begin"/>
      </w:r>
      <w:r w:rsidR="00350966">
        <w:instrText xml:space="preserve"> SEQ Table \* ARABIC </w:instrText>
      </w:r>
      <w:r w:rsidR="00350966">
        <w:fldChar w:fldCharType="separate"/>
      </w:r>
      <w:r w:rsidR="00350966">
        <w:rPr>
          <w:noProof/>
        </w:rPr>
        <w:t>9</w:t>
      </w:r>
      <w:r w:rsidR="00350966">
        <w:rPr>
          <w:noProof/>
        </w:rPr>
        <w:fldChar w:fldCharType="end"/>
      </w:r>
      <w:r>
        <w:rPr>
          <w:rFonts w:hint="eastAsia"/>
        </w:rPr>
        <w:t>.</w:t>
      </w:r>
      <w:r w:rsidR="00465E16" w:rsidRPr="00353396">
        <w:t xml:space="preserve"> The regression of BHAR</w:t>
      </w:r>
    </w:p>
    <w:p w14:paraId="3864E3CC" w14:textId="37E8D48D" w:rsidR="003F7F82" w:rsidRDefault="003F7F82" w:rsidP="00C3335D">
      <w:pPr>
        <w:pStyle w:val="table-note"/>
      </w:pPr>
      <w:r w:rsidRPr="00353396">
        <w:t>The dependent variable is three-year buy and hold abnormal returns (BHARs) and the key independent variables are analysts’ recommendation (</w:t>
      </w:r>
      <w:r w:rsidR="00055F34">
        <w:t>S</w:t>
      </w:r>
      <w:r w:rsidRPr="00353396">
        <w:t>trong</w:t>
      </w:r>
      <w:r w:rsidR="00A95329">
        <w:rPr>
          <w:rFonts w:hint="eastAsia"/>
        </w:rPr>
        <w:t xml:space="preserve"> </w:t>
      </w:r>
      <w:r w:rsidRPr="00353396">
        <w:t xml:space="preserve">buy, </w:t>
      </w:r>
      <w:r w:rsidR="00055F34">
        <w:t>B</w:t>
      </w:r>
      <w:r w:rsidRPr="00353396">
        <w:t xml:space="preserve">uy, </w:t>
      </w:r>
      <w:r w:rsidR="00055F34">
        <w:t>H</w:t>
      </w:r>
      <w:r w:rsidRPr="00353396">
        <w:t xml:space="preserve">old, </w:t>
      </w:r>
      <w:r w:rsidR="00055F34">
        <w:t>S</w:t>
      </w:r>
      <w:r w:rsidRPr="00353396">
        <w:t xml:space="preserve">ell, and </w:t>
      </w:r>
      <w:r w:rsidR="00055F34">
        <w:t>S</w:t>
      </w:r>
      <w:r w:rsidRPr="00353396">
        <w:t>trong</w:t>
      </w:r>
      <w:r w:rsidR="00A95329">
        <w:rPr>
          <w:rFonts w:hint="eastAsia"/>
        </w:rPr>
        <w:t xml:space="preserve"> </w:t>
      </w:r>
      <w:r w:rsidRPr="00353396">
        <w:t xml:space="preserve">sell). </w:t>
      </w:r>
      <w:r w:rsidR="00E942EC" w:rsidRPr="00353396">
        <w:t xml:space="preserve">In addition, </w:t>
      </w:r>
      <w:r w:rsidR="003607FD">
        <w:t>we</w:t>
      </w:r>
      <w:r w:rsidR="00E942EC" w:rsidRPr="00353396">
        <w:t xml:space="preserve"> also control the variables that could affect the long-term performance after M&amp;As, which are firm size (</w:t>
      </w:r>
      <w:r w:rsidR="00A95329">
        <w:rPr>
          <w:rFonts w:hint="eastAsia"/>
        </w:rPr>
        <w:t>S</w:t>
      </w:r>
      <w:r w:rsidR="00E942EC" w:rsidRPr="00353396">
        <w:t>ize), book-to-market ratio (</w:t>
      </w:r>
      <w:r w:rsidR="00A95329">
        <w:rPr>
          <w:rFonts w:hint="eastAsia"/>
        </w:rPr>
        <w:t>BM</w:t>
      </w:r>
      <w:r w:rsidR="00E942EC" w:rsidRPr="00353396">
        <w:t>), return on assets (</w:t>
      </w:r>
      <w:r w:rsidR="00A95329">
        <w:t>ROA</w:t>
      </w:r>
      <w:r w:rsidR="00E942EC" w:rsidRPr="00353396">
        <w:t>), dividend payout ratio (</w:t>
      </w:r>
      <w:r w:rsidR="00A95329">
        <w:t>DPR</w:t>
      </w:r>
      <w:r w:rsidR="00E942EC" w:rsidRPr="00353396">
        <w:t>), liquidity ratio (</w:t>
      </w:r>
      <w:r w:rsidR="00A95329">
        <w:rPr>
          <w:rFonts w:hint="eastAsia"/>
        </w:rPr>
        <w:t>L</w:t>
      </w:r>
      <w:r w:rsidR="00E942EC" w:rsidRPr="00353396">
        <w:t>iquid), debt ratio (</w:t>
      </w:r>
      <w:r w:rsidR="00A95329">
        <w:rPr>
          <w:rFonts w:hint="eastAsia"/>
        </w:rPr>
        <w:t>DR</w:t>
      </w:r>
      <w:r w:rsidR="00E942EC" w:rsidRPr="00353396">
        <w:t>), three-month abnormal return before announcement date (</w:t>
      </w:r>
      <w:r w:rsidR="00A95329">
        <w:rPr>
          <w:rFonts w:hint="eastAsia"/>
        </w:rPr>
        <w:t>R</w:t>
      </w:r>
      <w:r w:rsidR="00E942EC" w:rsidRPr="00353396">
        <w:t>unup) and the dummy of horizontal M&amp;As (</w:t>
      </w:r>
      <w:r w:rsidR="00A95329">
        <w:rPr>
          <w:rFonts w:hint="eastAsia"/>
        </w:rPr>
        <w:t>H</w:t>
      </w:r>
      <w:r w:rsidR="00E942EC" w:rsidRPr="00353396">
        <w:t xml:space="preserve">orizon). Moreover, </w:t>
      </w:r>
      <w:r w:rsidR="003607FD">
        <w:t>we</w:t>
      </w:r>
      <w:r w:rsidR="00E942EC" w:rsidRPr="00353396">
        <w:t xml:space="preserve"> control the method of payment: </w:t>
      </w:r>
      <w:proofErr w:type="spellStart"/>
      <w:r w:rsidR="00E942EC" w:rsidRPr="00353396">
        <w:t>D</w:t>
      </w:r>
      <w:r w:rsidR="00E942EC" w:rsidRPr="00A95329">
        <w:rPr>
          <w:vertAlign w:val="superscript"/>
        </w:rPr>
        <w:t>cash</w:t>
      </w:r>
      <w:proofErr w:type="spellEnd"/>
      <w:r w:rsidR="00E942EC" w:rsidRPr="00353396">
        <w:t xml:space="preserve"> and </w:t>
      </w:r>
      <w:proofErr w:type="spellStart"/>
      <w:r w:rsidR="00E942EC" w:rsidRPr="00353396">
        <w:t>D</w:t>
      </w:r>
      <w:r w:rsidR="00E942EC" w:rsidRPr="00A95329">
        <w:rPr>
          <w:vertAlign w:val="superscript"/>
        </w:rPr>
        <w:t>stock</w:t>
      </w:r>
      <w:proofErr w:type="spellEnd"/>
      <w:r w:rsidR="00E942EC" w:rsidRPr="00353396">
        <w:t xml:space="preserve"> and annual and industrial dummies. </w:t>
      </w:r>
      <w:proofErr w:type="spellStart"/>
      <w:r w:rsidR="00E942EC" w:rsidRPr="00353396">
        <w:t>D</w:t>
      </w:r>
      <w:r w:rsidR="00E942EC" w:rsidRPr="00A95329">
        <w:rPr>
          <w:vertAlign w:val="superscript"/>
        </w:rPr>
        <w:t>cash</w:t>
      </w:r>
      <w:proofErr w:type="spellEnd"/>
      <w:r w:rsidR="00E942EC" w:rsidRPr="00353396">
        <w:t xml:space="preserve"> is equal to 1 when the </w:t>
      </w:r>
      <w:r w:rsidR="00726AFA">
        <w:t>acquirer</w:t>
      </w:r>
      <w:r w:rsidR="00E942EC" w:rsidRPr="00353396">
        <w:t xml:space="preserve"> uses 100% cash payment in the M&amp;A and 0 otherwise. </w:t>
      </w:r>
      <w:proofErr w:type="spellStart"/>
      <w:r w:rsidR="00E942EC" w:rsidRPr="00353396">
        <w:t>D</w:t>
      </w:r>
      <w:r w:rsidR="00E942EC" w:rsidRPr="00A95329">
        <w:rPr>
          <w:vertAlign w:val="superscript"/>
        </w:rPr>
        <w:t>stock</w:t>
      </w:r>
      <w:proofErr w:type="spellEnd"/>
      <w:r w:rsidR="00E942EC" w:rsidRPr="00353396">
        <w:t xml:space="preserve"> is equal to 1 when the </w:t>
      </w:r>
      <w:r w:rsidR="00726AFA">
        <w:t>acquirer</w:t>
      </w:r>
      <w:r w:rsidR="00E942EC" w:rsidRPr="00353396">
        <w:t xml:space="preserve"> uses 100% stock payment in the M&amp;A and 0 otherwise. </w:t>
      </w:r>
      <w:r w:rsidRPr="00353396">
        <w:t xml:space="preserve"> </w:t>
      </w:r>
    </w:p>
    <w:tbl>
      <w:tblPr>
        <w:tblW w:w="8222" w:type="dxa"/>
        <w:tblBorders>
          <w:top w:val="single" w:sz="4" w:space="0" w:color="auto"/>
          <w:bottom w:val="single" w:sz="4" w:space="0" w:color="auto"/>
        </w:tblBorders>
        <w:tblLayout w:type="fixed"/>
        <w:tblCellMar>
          <w:left w:w="75" w:type="dxa"/>
          <w:right w:w="75" w:type="dxa"/>
        </w:tblCellMar>
        <w:tblLook w:val="0000" w:firstRow="0" w:lastRow="0" w:firstColumn="0" w:lastColumn="0" w:noHBand="0" w:noVBand="0"/>
      </w:tblPr>
      <w:tblGrid>
        <w:gridCol w:w="1843"/>
        <w:gridCol w:w="2220"/>
        <w:gridCol w:w="2221"/>
        <w:gridCol w:w="1938"/>
      </w:tblGrid>
      <w:tr w:rsidR="005E17EF" w:rsidRPr="00353396" w14:paraId="2BA0F205" w14:textId="77777777" w:rsidTr="00F73AB2">
        <w:trPr>
          <w:cantSplit/>
          <w:tblHeader/>
        </w:trPr>
        <w:tc>
          <w:tcPr>
            <w:tcW w:w="1843" w:type="dxa"/>
            <w:tcBorders>
              <w:top w:val="single" w:sz="4" w:space="0" w:color="auto"/>
              <w:bottom w:val="single" w:sz="4" w:space="0" w:color="auto"/>
            </w:tcBorders>
            <w:vAlign w:val="center"/>
          </w:tcPr>
          <w:p w14:paraId="5071A8CB" w14:textId="77777777" w:rsidR="005E17EF" w:rsidRPr="0069630A" w:rsidRDefault="005E17EF" w:rsidP="0069630A">
            <w:pPr>
              <w:keepLines/>
              <w:snapToGrid w:val="0"/>
              <w:spacing w:line="240" w:lineRule="exact"/>
              <w:rPr>
                <w:sz w:val="20"/>
                <w:szCs w:val="20"/>
              </w:rPr>
            </w:pPr>
            <w:r w:rsidRPr="0069630A">
              <w:rPr>
                <w:sz w:val="20"/>
                <w:szCs w:val="20"/>
              </w:rPr>
              <w:t>VARIABLES</w:t>
            </w:r>
          </w:p>
        </w:tc>
        <w:tc>
          <w:tcPr>
            <w:tcW w:w="2220" w:type="dxa"/>
            <w:tcBorders>
              <w:top w:val="single" w:sz="4" w:space="0" w:color="auto"/>
              <w:bottom w:val="single" w:sz="4" w:space="0" w:color="auto"/>
            </w:tcBorders>
            <w:vAlign w:val="center"/>
          </w:tcPr>
          <w:p w14:paraId="3365603E" w14:textId="77777777" w:rsidR="005E17EF" w:rsidRPr="0069630A" w:rsidRDefault="005E17EF" w:rsidP="0069630A">
            <w:pPr>
              <w:keepLines/>
              <w:snapToGrid w:val="0"/>
              <w:spacing w:line="240" w:lineRule="exact"/>
              <w:rPr>
                <w:sz w:val="20"/>
                <w:szCs w:val="20"/>
              </w:rPr>
            </w:pPr>
            <w:r w:rsidRPr="0069630A">
              <w:rPr>
                <w:sz w:val="20"/>
                <w:szCs w:val="20"/>
              </w:rPr>
              <w:t>30 days</w:t>
            </w:r>
          </w:p>
        </w:tc>
        <w:tc>
          <w:tcPr>
            <w:tcW w:w="2221" w:type="dxa"/>
            <w:tcBorders>
              <w:top w:val="single" w:sz="4" w:space="0" w:color="auto"/>
              <w:bottom w:val="single" w:sz="4" w:space="0" w:color="auto"/>
            </w:tcBorders>
            <w:vAlign w:val="center"/>
          </w:tcPr>
          <w:p w14:paraId="532A04F6" w14:textId="77777777" w:rsidR="005E17EF" w:rsidRPr="0069630A" w:rsidRDefault="005E17EF" w:rsidP="0069630A">
            <w:pPr>
              <w:keepLines/>
              <w:snapToGrid w:val="0"/>
              <w:spacing w:line="240" w:lineRule="exact"/>
              <w:rPr>
                <w:sz w:val="20"/>
                <w:szCs w:val="20"/>
              </w:rPr>
            </w:pPr>
            <w:r w:rsidRPr="0069630A">
              <w:rPr>
                <w:sz w:val="20"/>
                <w:szCs w:val="20"/>
              </w:rPr>
              <w:t>60 days</w:t>
            </w:r>
          </w:p>
        </w:tc>
        <w:tc>
          <w:tcPr>
            <w:tcW w:w="1938" w:type="dxa"/>
            <w:tcBorders>
              <w:top w:val="single" w:sz="4" w:space="0" w:color="auto"/>
              <w:bottom w:val="single" w:sz="4" w:space="0" w:color="auto"/>
            </w:tcBorders>
            <w:vAlign w:val="center"/>
          </w:tcPr>
          <w:p w14:paraId="0E0D346D" w14:textId="77777777" w:rsidR="005E17EF" w:rsidRPr="0069630A" w:rsidRDefault="005E17EF" w:rsidP="0069630A">
            <w:pPr>
              <w:keepLines/>
              <w:snapToGrid w:val="0"/>
              <w:spacing w:line="240" w:lineRule="exact"/>
              <w:rPr>
                <w:sz w:val="20"/>
                <w:szCs w:val="20"/>
              </w:rPr>
            </w:pPr>
            <w:r w:rsidRPr="0069630A">
              <w:rPr>
                <w:sz w:val="20"/>
                <w:szCs w:val="20"/>
              </w:rPr>
              <w:t>90 days</w:t>
            </w:r>
          </w:p>
        </w:tc>
      </w:tr>
      <w:tr w:rsidR="005E17EF" w:rsidRPr="00353396" w14:paraId="0FB8A36C" w14:textId="77777777" w:rsidTr="00F73AB2">
        <w:trPr>
          <w:cantSplit/>
          <w:tblHeader/>
        </w:trPr>
        <w:tc>
          <w:tcPr>
            <w:tcW w:w="1843" w:type="dxa"/>
            <w:tcBorders>
              <w:top w:val="single" w:sz="4" w:space="0" w:color="auto"/>
            </w:tcBorders>
            <w:vAlign w:val="center"/>
          </w:tcPr>
          <w:p w14:paraId="58717B0A" w14:textId="1F791B03" w:rsidR="005E17EF" w:rsidRPr="0069630A" w:rsidRDefault="00A95329" w:rsidP="0069630A">
            <w:pPr>
              <w:keepLines/>
              <w:snapToGrid w:val="0"/>
              <w:spacing w:line="240" w:lineRule="exact"/>
              <w:rPr>
                <w:sz w:val="20"/>
                <w:szCs w:val="20"/>
              </w:rPr>
            </w:pPr>
            <w:r w:rsidRPr="0069630A">
              <w:rPr>
                <w:sz w:val="20"/>
                <w:szCs w:val="20"/>
              </w:rPr>
              <w:t>S</w:t>
            </w:r>
            <w:r w:rsidR="005E17EF" w:rsidRPr="0069630A">
              <w:rPr>
                <w:sz w:val="20"/>
                <w:szCs w:val="20"/>
              </w:rPr>
              <w:t>trong</w:t>
            </w:r>
            <w:r w:rsidRPr="0069630A">
              <w:rPr>
                <w:sz w:val="20"/>
                <w:szCs w:val="20"/>
              </w:rPr>
              <w:t xml:space="preserve"> </w:t>
            </w:r>
            <w:r w:rsidR="005E17EF" w:rsidRPr="0069630A">
              <w:rPr>
                <w:sz w:val="20"/>
                <w:szCs w:val="20"/>
              </w:rPr>
              <w:t>buy</w:t>
            </w:r>
          </w:p>
        </w:tc>
        <w:tc>
          <w:tcPr>
            <w:tcW w:w="2220" w:type="dxa"/>
            <w:tcBorders>
              <w:top w:val="single" w:sz="4" w:space="0" w:color="auto"/>
            </w:tcBorders>
            <w:vAlign w:val="center"/>
          </w:tcPr>
          <w:p w14:paraId="148A0494" w14:textId="77777777" w:rsidR="005E17EF" w:rsidRPr="0069630A" w:rsidRDefault="005E17EF" w:rsidP="0069630A">
            <w:pPr>
              <w:keepLines/>
              <w:snapToGrid w:val="0"/>
              <w:spacing w:line="240" w:lineRule="exact"/>
              <w:rPr>
                <w:sz w:val="20"/>
                <w:szCs w:val="20"/>
              </w:rPr>
            </w:pPr>
            <w:r w:rsidRPr="0069630A">
              <w:rPr>
                <w:sz w:val="20"/>
                <w:szCs w:val="20"/>
              </w:rPr>
              <w:t>-0.026</w:t>
            </w:r>
          </w:p>
        </w:tc>
        <w:tc>
          <w:tcPr>
            <w:tcW w:w="2221" w:type="dxa"/>
            <w:tcBorders>
              <w:top w:val="single" w:sz="4" w:space="0" w:color="auto"/>
            </w:tcBorders>
            <w:vAlign w:val="center"/>
          </w:tcPr>
          <w:p w14:paraId="0DDE625B" w14:textId="77777777" w:rsidR="005E17EF" w:rsidRPr="0069630A" w:rsidRDefault="005E17EF" w:rsidP="0069630A">
            <w:pPr>
              <w:keepLines/>
              <w:snapToGrid w:val="0"/>
              <w:spacing w:line="240" w:lineRule="exact"/>
              <w:rPr>
                <w:sz w:val="20"/>
                <w:szCs w:val="20"/>
              </w:rPr>
            </w:pPr>
            <w:r w:rsidRPr="0069630A">
              <w:rPr>
                <w:sz w:val="20"/>
                <w:szCs w:val="20"/>
              </w:rPr>
              <w:t>-0.039</w:t>
            </w:r>
          </w:p>
        </w:tc>
        <w:tc>
          <w:tcPr>
            <w:tcW w:w="1938" w:type="dxa"/>
            <w:tcBorders>
              <w:top w:val="single" w:sz="4" w:space="0" w:color="auto"/>
            </w:tcBorders>
            <w:vAlign w:val="center"/>
          </w:tcPr>
          <w:p w14:paraId="27700691" w14:textId="77777777" w:rsidR="005E17EF" w:rsidRPr="0069630A" w:rsidRDefault="005E17EF" w:rsidP="0069630A">
            <w:pPr>
              <w:keepLines/>
              <w:snapToGrid w:val="0"/>
              <w:spacing w:line="240" w:lineRule="exact"/>
              <w:rPr>
                <w:sz w:val="20"/>
                <w:szCs w:val="20"/>
              </w:rPr>
            </w:pPr>
            <w:r w:rsidRPr="0069630A">
              <w:rPr>
                <w:sz w:val="20"/>
                <w:szCs w:val="20"/>
              </w:rPr>
              <w:t>-0.022</w:t>
            </w:r>
          </w:p>
        </w:tc>
      </w:tr>
      <w:tr w:rsidR="005E17EF" w:rsidRPr="00353396" w14:paraId="76328308" w14:textId="77777777" w:rsidTr="00F73AB2">
        <w:trPr>
          <w:cantSplit/>
          <w:tblHeader/>
        </w:trPr>
        <w:tc>
          <w:tcPr>
            <w:tcW w:w="1843" w:type="dxa"/>
            <w:vAlign w:val="center"/>
          </w:tcPr>
          <w:p w14:paraId="3962294C" w14:textId="77777777" w:rsidR="005E17EF" w:rsidRPr="0069630A" w:rsidRDefault="005E17EF" w:rsidP="0069630A">
            <w:pPr>
              <w:keepLines/>
              <w:snapToGrid w:val="0"/>
              <w:spacing w:line="240" w:lineRule="exact"/>
              <w:rPr>
                <w:sz w:val="20"/>
                <w:szCs w:val="20"/>
              </w:rPr>
            </w:pPr>
          </w:p>
        </w:tc>
        <w:tc>
          <w:tcPr>
            <w:tcW w:w="2220" w:type="dxa"/>
            <w:vAlign w:val="center"/>
          </w:tcPr>
          <w:p w14:paraId="05D711E5" w14:textId="77777777" w:rsidR="005E17EF" w:rsidRPr="0069630A" w:rsidRDefault="005E17EF" w:rsidP="0069630A">
            <w:pPr>
              <w:keepLines/>
              <w:snapToGrid w:val="0"/>
              <w:spacing w:line="240" w:lineRule="exact"/>
              <w:rPr>
                <w:sz w:val="20"/>
                <w:szCs w:val="20"/>
              </w:rPr>
            </w:pPr>
            <w:r w:rsidRPr="0069630A">
              <w:rPr>
                <w:sz w:val="20"/>
                <w:szCs w:val="20"/>
              </w:rPr>
              <w:t>(0.463)</w:t>
            </w:r>
          </w:p>
        </w:tc>
        <w:tc>
          <w:tcPr>
            <w:tcW w:w="2221" w:type="dxa"/>
            <w:vAlign w:val="center"/>
          </w:tcPr>
          <w:p w14:paraId="26D62408" w14:textId="77777777" w:rsidR="005E17EF" w:rsidRPr="0069630A" w:rsidRDefault="005E17EF" w:rsidP="0069630A">
            <w:pPr>
              <w:keepLines/>
              <w:snapToGrid w:val="0"/>
              <w:spacing w:line="240" w:lineRule="exact"/>
              <w:rPr>
                <w:sz w:val="20"/>
                <w:szCs w:val="20"/>
              </w:rPr>
            </w:pPr>
            <w:r w:rsidRPr="0069630A">
              <w:rPr>
                <w:sz w:val="20"/>
                <w:szCs w:val="20"/>
              </w:rPr>
              <w:t>(0.244)</w:t>
            </w:r>
          </w:p>
        </w:tc>
        <w:tc>
          <w:tcPr>
            <w:tcW w:w="1938" w:type="dxa"/>
            <w:vAlign w:val="center"/>
          </w:tcPr>
          <w:p w14:paraId="00311656" w14:textId="77777777" w:rsidR="005E17EF" w:rsidRPr="0069630A" w:rsidRDefault="005E17EF" w:rsidP="0069630A">
            <w:pPr>
              <w:keepLines/>
              <w:snapToGrid w:val="0"/>
              <w:spacing w:line="240" w:lineRule="exact"/>
              <w:rPr>
                <w:sz w:val="20"/>
                <w:szCs w:val="20"/>
              </w:rPr>
            </w:pPr>
            <w:r w:rsidRPr="0069630A">
              <w:rPr>
                <w:sz w:val="20"/>
                <w:szCs w:val="20"/>
              </w:rPr>
              <w:t>(0.511)</w:t>
            </w:r>
          </w:p>
        </w:tc>
      </w:tr>
      <w:tr w:rsidR="005E17EF" w:rsidRPr="00353396" w14:paraId="776D3C5B" w14:textId="77777777" w:rsidTr="00F73AB2">
        <w:trPr>
          <w:cantSplit/>
          <w:tblHeader/>
        </w:trPr>
        <w:tc>
          <w:tcPr>
            <w:tcW w:w="1843" w:type="dxa"/>
            <w:vAlign w:val="center"/>
          </w:tcPr>
          <w:p w14:paraId="0AD9C70B" w14:textId="2BB4323F" w:rsidR="005E17EF" w:rsidRPr="0069630A" w:rsidRDefault="00A95329" w:rsidP="0069630A">
            <w:pPr>
              <w:keepLines/>
              <w:snapToGrid w:val="0"/>
              <w:spacing w:line="240" w:lineRule="exact"/>
              <w:rPr>
                <w:sz w:val="20"/>
                <w:szCs w:val="20"/>
              </w:rPr>
            </w:pPr>
            <w:r w:rsidRPr="0069630A">
              <w:rPr>
                <w:sz w:val="20"/>
                <w:szCs w:val="20"/>
              </w:rPr>
              <w:t>B</w:t>
            </w:r>
            <w:r w:rsidR="005E17EF" w:rsidRPr="0069630A">
              <w:rPr>
                <w:sz w:val="20"/>
                <w:szCs w:val="20"/>
              </w:rPr>
              <w:t>uy</w:t>
            </w:r>
          </w:p>
        </w:tc>
        <w:tc>
          <w:tcPr>
            <w:tcW w:w="2220" w:type="dxa"/>
            <w:vAlign w:val="center"/>
          </w:tcPr>
          <w:p w14:paraId="5FB59988" w14:textId="77777777" w:rsidR="005E17EF" w:rsidRPr="0069630A" w:rsidRDefault="005E17EF" w:rsidP="0069630A">
            <w:pPr>
              <w:keepLines/>
              <w:snapToGrid w:val="0"/>
              <w:spacing w:line="240" w:lineRule="exact"/>
              <w:rPr>
                <w:sz w:val="20"/>
                <w:szCs w:val="20"/>
              </w:rPr>
            </w:pPr>
            <w:r w:rsidRPr="0069630A">
              <w:rPr>
                <w:sz w:val="20"/>
                <w:szCs w:val="20"/>
              </w:rPr>
              <w:t>-0.079***</w:t>
            </w:r>
          </w:p>
        </w:tc>
        <w:tc>
          <w:tcPr>
            <w:tcW w:w="2221" w:type="dxa"/>
            <w:vAlign w:val="center"/>
          </w:tcPr>
          <w:p w14:paraId="54CFDA82" w14:textId="77777777" w:rsidR="005E17EF" w:rsidRPr="0069630A" w:rsidRDefault="005E17EF" w:rsidP="0069630A">
            <w:pPr>
              <w:keepLines/>
              <w:snapToGrid w:val="0"/>
              <w:spacing w:line="240" w:lineRule="exact"/>
              <w:rPr>
                <w:sz w:val="20"/>
                <w:szCs w:val="20"/>
              </w:rPr>
            </w:pPr>
            <w:r w:rsidRPr="0069630A">
              <w:rPr>
                <w:sz w:val="20"/>
                <w:szCs w:val="20"/>
              </w:rPr>
              <w:t>-0.059**</w:t>
            </w:r>
          </w:p>
        </w:tc>
        <w:tc>
          <w:tcPr>
            <w:tcW w:w="1938" w:type="dxa"/>
            <w:vAlign w:val="center"/>
          </w:tcPr>
          <w:p w14:paraId="44FEA0D7" w14:textId="77777777" w:rsidR="005E17EF" w:rsidRPr="0069630A" w:rsidRDefault="005E17EF" w:rsidP="0069630A">
            <w:pPr>
              <w:keepLines/>
              <w:snapToGrid w:val="0"/>
              <w:spacing w:line="240" w:lineRule="exact"/>
              <w:rPr>
                <w:sz w:val="20"/>
                <w:szCs w:val="20"/>
              </w:rPr>
            </w:pPr>
            <w:r w:rsidRPr="0069630A">
              <w:rPr>
                <w:sz w:val="20"/>
                <w:szCs w:val="20"/>
              </w:rPr>
              <w:t>-0.062**</w:t>
            </w:r>
          </w:p>
        </w:tc>
      </w:tr>
      <w:tr w:rsidR="005E17EF" w:rsidRPr="00353396" w14:paraId="556F8E3E" w14:textId="77777777" w:rsidTr="00F73AB2">
        <w:trPr>
          <w:cantSplit/>
          <w:tblHeader/>
        </w:trPr>
        <w:tc>
          <w:tcPr>
            <w:tcW w:w="1843" w:type="dxa"/>
            <w:vAlign w:val="center"/>
          </w:tcPr>
          <w:p w14:paraId="34B1709C" w14:textId="77777777" w:rsidR="005E17EF" w:rsidRPr="0069630A" w:rsidRDefault="005E17EF" w:rsidP="0069630A">
            <w:pPr>
              <w:keepLines/>
              <w:snapToGrid w:val="0"/>
              <w:spacing w:line="240" w:lineRule="exact"/>
              <w:rPr>
                <w:sz w:val="20"/>
                <w:szCs w:val="20"/>
              </w:rPr>
            </w:pPr>
          </w:p>
        </w:tc>
        <w:tc>
          <w:tcPr>
            <w:tcW w:w="2220" w:type="dxa"/>
            <w:vAlign w:val="center"/>
          </w:tcPr>
          <w:p w14:paraId="1639ECC3" w14:textId="77777777" w:rsidR="005E17EF" w:rsidRPr="0069630A" w:rsidRDefault="005E17EF" w:rsidP="0069630A">
            <w:pPr>
              <w:keepLines/>
              <w:snapToGrid w:val="0"/>
              <w:spacing w:line="240" w:lineRule="exact"/>
              <w:rPr>
                <w:sz w:val="20"/>
                <w:szCs w:val="20"/>
              </w:rPr>
            </w:pPr>
            <w:r w:rsidRPr="0069630A">
              <w:rPr>
                <w:sz w:val="20"/>
                <w:szCs w:val="20"/>
              </w:rPr>
              <w:t>(0.005)</w:t>
            </w:r>
          </w:p>
        </w:tc>
        <w:tc>
          <w:tcPr>
            <w:tcW w:w="2221" w:type="dxa"/>
            <w:vAlign w:val="center"/>
          </w:tcPr>
          <w:p w14:paraId="473CB162" w14:textId="77777777" w:rsidR="005E17EF" w:rsidRPr="0069630A" w:rsidRDefault="005E17EF" w:rsidP="0069630A">
            <w:pPr>
              <w:keepLines/>
              <w:snapToGrid w:val="0"/>
              <w:spacing w:line="240" w:lineRule="exact"/>
              <w:rPr>
                <w:sz w:val="20"/>
                <w:szCs w:val="20"/>
              </w:rPr>
            </w:pPr>
            <w:r w:rsidRPr="0069630A">
              <w:rPr>
                <w:sz w:val="20"/>
                <w:szCs w:val="20"/>
              </w:rPr>
              <w:t>(0.036)</w:t>
            </w:r>
          </w:p>
        </w:tc>
        <w:tc>
          <w:tcPr>
            <w:tcW w:w="1938" w:type="dxa"/>
            <w:vAlign w:val="center"/>
          </w:tcPr>
          <w:p w14:paraId="7E6DCD72" w14:textId="77777777" w:rsidR="005E17EF" w:rsidRPr="0069630A" w:rsidRDefault="005E17EF" w:rsidP="0069630A">
            <w:pPr>
              <w:keepLines/>
              <w:snapToGrid w:val="0"/>
              <w:spacing w:line="240" w:lineRule="exact"/>
              <w:rPr>
                <w:sz w:val="20"/>
                <w:szCs w:val="20"/>
              </w:rPr>
            </w:pPr>
            <w:r w:rsidRPr="0069630A">
              <w:rPr>
                <w:sz w:val="20"/>
                <w:szCs w:val="20"/>
              </w:rPr>
              <w:t>(0.028)</w:t>
            </w:r>
          </w:p>
        </w:tc>
      </w:tr>
      <w:tr w:rsidR="005E17EF" w:rsidRPr="00353396" w14:paraId="1305657D" w14:textId="77777777" w:rsidTr="00F73AB2">
        <w:trPr>
          <w:cantSplit/>
          <w:tblHeader/>
        </w:trPr>
        <w:tc>
          <w:tcPr>
            <w:tcW w:w="1843" w:type="dxa"/>
            <w:vAlign w:val="center"/>
          </w:tcPr>
          <w:p w14:paraId="33B0B5DE" w14:textId="680A7C18" w:rsidR="005E17EF" w:rsidRPr="0069630A" w:rsidRDefault="00A95329" w:rsidP="0069630A">
            <w:pPr>
              <w:keepLines/>
              <w:snapToGrid w:val="0"/>
              <w:spacing w:line="240" w:lineRule="exact"/>
              <w:rPr>
                <w:sz w:val="20"/>
                <w:szCs w:val="20"/>
              </w:rPr>
            </w:pPr>
            <w:r w:rsidRPr="0069630A">
              <w:rPr>
                <w:sz w:val="20"/>
                <w:szCs w:val="20"/>
              </w:rPr>
              <w:t>H</w:t>
            </w:r>
            <w:r w:rsidR="005E17EF" w:rsidRPr="0069630A">
              <w:rPr>
                <w:sz w:val="20"/>
                <w:szCs w:val="20"/>
              </w:rPr>
              <w:t>old</w:t>
            </w:r>
          </w:p>
        </w:tc>
        <w:tc>
          <w:tcPr>
            <w:tcW w:w="2220" w:type="dxa"/>
            <w:vAlign w:val="center"/>
          </w:tcPr>
          <w:p w14:paraId="1D3DDB38" w14:textId="77777777" w:rsidR="005E17EF" w:rsidRPr="0069630A" w:rsidRDefault="005E17EF" w:rsidP="0069630A">
            <w:pPr>
              <w:keepLines/>
              <w:snapToGrid w:val="0"/>
              <w:spacing w:line="240" w:lineRule="exact"/>
              <w:rPr>
                <w:sz w:val="20"/>
                <w:szCs w:val="20"/>
              </w:rPr>
            </w:pPr>
            <w:r w:rsidRPr="0069630A">
              <w:rPr>
                <w:sz w:val="20"/>
                <w:szCs w:val="20"/>
              </w:rPr>
              <w:t>-0.007</w:t>
            </w:r>
          </w:p>
        </w:tc>
        <w:tc>
          <w:tcPr>
            <w:tcW w:w="2221" w:type="dxa"/>
            <w:vAlign w:val="center"/>
          </w:tcPr>
          <w:p w14:paraId="690FB774" w14:textId="77777777" w:rsidR="005E17EF" w:rsidRPr="0069630A" w:rsidRDefault="005E17EF" w:rsidP="0069630A">
            <w:pPr>
              <w:keepLines/>
              <w:snapToGrid w:val="0"/>
              <w:spacing w:line="240" w:lineRule="exact"/>
              <w:rPr>
                <w:sz w:val="20"/>
                <w:szCs w:val="20"/>
              </w:rPr>
            </w:pPr>
            <w:r w:rsidRPr="0069630A">
              <w:rPr>
                <w:sz w:val="20"/>
                <w:szCs w:val="20"/>
              </w:rPr>
              <w:t>0.002</w:t>
            </w:r>
          </w:p>
        </w:tc>
        <w:tc>
          <w:tcPr>
            <w:tcW w:w="1938" w:type="dxa"/>
            <w:vAlign w:val="center"/>
          </w:tcPr>
          <w:p w14:paraId="1AFDBB41" w14:textId="77777777" w:rsidR="005E17EF" w:rsidRPr="0069630A" w:rsidRDefault="005E17EF" w:rsidP="0069630A">
            <w:pPr>
              <w:keepLines/>
              <w:snapToGrid w:val="0"/>
              <w:spacing w:line="240" w:lineRule="exact"/>
              <w:rPr>
                <w:sz w:val="20"/>
                <w:szCs w:val="20"/>
              </w:rPr>
            </w:pPr>
            <w:r w:rsidRPr="0069630A">
              <w:rPr>
                <w:sz w:val="20"/>
                <w:szCs w:val="20"/>
              </w:rPr>
              <w:t>0.010</w:t>
            </w:r>
          </w:p>
        </w:tc>
      </w:tr>
      <w:tr w:rsidR="005E17EF" w:rsidRPr="00353396" w14:paraId="6F4B9F8F" w14:textId="77777777" w:rsidTr="00F73AB2">
        <w:trPr>
          <w:cantSplit/>
          <w:tblHeader/>
        </w:trPr>
        <w:tc>
          <w:tcPr>
            <w:tcW w:w="1843" w:type="dxa"/>
            <w:vAlign w:val="center"/>
          </w:tcPr>
          <w:p w14:paraId="51131AB7" w14:textId="77777777" w:rsidR="005E17EF" w:rsidRPr="0069630A" w:rsidRDefault="005E17EF" w:rsidP="0069630A">
            <w:pPr>
              <w:keepLines/>
              <w:snapToGrid w:val="0"/>
              <w:spacing w:line="240" w:lineRule="exact"/>
              <w:rPr>
                <w:sz w:val="20"/>
                <w:szCs w:val="20"/>
              </w:rPr>
            </w:pPr>
          </w:p>
        </w:tc>
        <w:tc>
          <w:tcPr>
            <w:tcW w:w="2220" w:type="dxa"/>
            <w:vAlign w:val="center"/>
          </w:tcPr>
          <w:p w14:paraId="64F4C20F" w14:textId="77777777" w:rsidR="005E17EF" w:rsidRPr="0069630A" w:rsidRDefault="005E17EF" w:rsidP="0069630A">
            <w:pPr>
              <w:keepLines/>
              <w:snapToGrid w:val="0"/>
              <w:spacing w:line="240" w:lineRule="exact"/>
              <w:rPr>
                <w:sz w:val="20"/>
                <w:szCs w:val="20"/>
              </w:rPr>
            </w:pPr>
            <w:r w:rsidRPr="0069630A">
              <w:rPr>
                <w:sz w:val="20"/>
                <w:szCs w:val="20"/>
              </w:rPr>
              <w:t>(0.773)</w:t>
            </w:r>
          </w:p>
        </w:tc>
        <w:tc>
          <w:tcPr>
            <w:tcW w:w="2221" w:type="dxa"/>
            <w:vAlign w:val="center"/>
          </w:tcPr>
          <w:p w14:paraId="1CC5A2A7" w14:textId="77777777" w:rsidR="005E17EF" w:rsidRPr="0069630A" w:rsidRDefault="005E17EF" w:rsidP="0069630A">
            <w:pPr>
              <w:keepLines/>
              <w:snapToGrid w:val="0"/>
              <w:spacing w:line="240" w:lineRule="exact"/>
              <w:rPr>
                <w:sz w:val="20"/>
                <w:szCs w:val="20"/>
              </w:rPr>
            </w:pPr>
            <w:r w:rsidRPr="0069630A">
              <w:rPr>
                <w:sz w:val="20"/>
                <w:szCs w:val="20"/>
              </w:rPr>
              <w:t>(0.916)</w:t>
            </w:r>
          </w:p>
        </w:tc>
        <w:tc>
          <w:tcPr>
            <w:tcW w:w="1938" w:type="dxa"/>
            <w:vAlign w:val="center"/>
          </w:tcPr>
          <w:p w14:paraId="64FD950A" w14:textId="77777777" w:rsidR="005E17EF" w:rsidRPr="0069630A" w:rsidRDefault="005E17EF" w:rsidP="0069630A">
            <w:pPr>
              <w:keepLines/>
              <w:snapToGrid w:val="0"/>
              <w:spacing w:line="240" w:lineRule="exact"/>
              <w:rPr>
                <w:sz w:val="20"/>
                <w:szCs w:val="20"/>
              </w:rPr>
            </w:pPr>
            <w:r w:rsidRPr="0069630A">
              <w:rPr>
                <w:sz w:val="20"/>
                <w:szCs w:val="20"/>
              </w:rPr>
              <w:t>(0.626)</w:t>
            </w:r>
          </w:p>
        </w:tc>
      </w:tr>
      <w:tr w:rsidR="005E17EF" w:rsidRPr="00353396" w14:paraId="4C72E1FD" w14:textId="77777777" w:rsidTr="00F73AB2">
        <w:trPr>
          <w:cantSplit/>
          <w:tblHeader/>
        </w:trPr>
        <w:tc>
          <w:tcPr>
            <w:tcW w:w="1843" w:type="dxa"/>
            <w:vAlign w:val="center"/>
          </w:tcPr>
          <w:p w14:paraId="4335259D" w14:textId="56BA387C" w:rsidR="005E17EF" w:rsidRPr="0069630A" w:rsidRDefault="00A95329" w:rsidP="0069630A">
            <w:pPr>
              <w:keepLines/>
              <w:snapToGrid w:val="0"/>
              <w:spacing w:line="240" w:lineRule="exact"/>
              <w:rPr>
                <w:sz w:val="20"/>
                <w:szCs w:val="20"/>
              </w:rPr>
            </w:pPr>
            <w:r w:rsidRPr="0069630A">
              <w:rPr>
                <w:sz w:val="20"/>
                <w:szCs w:val="20"/>
              </w:rPr>
              <w:t>S</w:t>
            </w:r>
            <w:r w:rsidR="005E17EF" w:rsidRPr="0069630A">
              <w:rPr>
                <w:sz w:val="20"/>
                <w:szCs w:val="20"/>
              </w:rPr>
              <w:t>ell</w:t>
            </w:r>
          </w:p>
        </w:tc>
        <w:tc>
          <w:tcPr>
            <w:tcW w:w="2220" w:type="dxa"/>
            <w:vAlign w:val="center"/>
          </w:tcPr>
          <w:p w14:paraId="68F0CAD4" w14:textId="77777777" w:rsidR="005E17EF" w:rsidRPr="0069630A" w:rsidRDefault="005E17EF" w:rsidP="0069630A">
            <w:pPr>
              <w:keepLines/>
              <w:snapToGrid w:val="0"/>
              <w:spacing w:line="240" w:lineRule="exact"/>
              <w:rPr>
                <w:sz w:val="20"/>
                <w:szCs w:val="20"/>
              </w:rPr>
            </w:pPr>
            <w:r w:rsidRPr="0069630A">
              <w:rPr>
                <w:sz w:val="20"/>
                <w:szCs w:val="20"/>
              </w:rPr>
              <w:t>0.100</w:t>
            </w:r>
          </w:p>
        </w:tc>
        <w:tc>
          <w:tcPr>
            <w:tcW w:w="2221" w:type="dxa"/>
            <w:vAlign w:val="center"/>
          </w:tcPr>
          <w:p w14:paraId="78A21C33" w14:textId="77777777" w:rsidR="005E17EF" w:rsidRPr="0069630A" w:rsidRDefault="005E17EF" w:rsidP="0069630A">
            <w:pPr>
              <w:keepLines/>
              <w:snapToGrid w:val="0"/>
              <w:spacing w:line="240" w:lineRule="exact"/>
              <w:rPr>
                <w:sz w:val="20"/>
                <w:szCs w:val="20"/>
              </w:rPr>
            </w:pPr>
            <w:r w:rsidRPr="0069630A">
              <w:rPr>
                <w:sz w:val="20"/>
                <w:szCs w:val="20"/>
              </w:rPr>
              <w:t>0.074</w:t>
            </w:r>
          </w:p>
        </w:tc>
        <w:tc>
          <w:tcPr>
            <w:tcW w:w="1938" w:type="dxa"/>
            <w:vAlign w:val="center"/>
          </w:tcPr>
          <w:p w14:paraId="7E20D406" w14:textId="77777777" w:rsidR="005E17EF" w:rsidRPr="0069630A" w:rsidRDefault="005E17EF" w:rsidP="0069630A">
            <w:pPr>
              <w:keepLines/>
              <w:snapToGrid w:val="0"/>
              <w:spacing w:line="240" w:lineRule="exact"/>
              <w:rPr>
                <w:sz w:val="20"/>
                <w:szCs w:val="20"/>
              </w:rPr>
            </w:pPr>
            <w:r w:rsidRPr="0069630A">
              <w:rPr>
                <w:sz w:val="20"/>
                <w:szCs w:val="20"/>
              </w:rPr>
              <w:t>0.085</w:t>
            </w:r>
          </w:p>
        </w:tc>
      </w:tr>
      <w:tr w:rsidR="005E17EF" w:rsidRPr="00353396" w14:paraId="6EEB4F5C" w14:textId="77777777" w:rsidTr="00F73AB2">
        <w:trPr>
          <w:cantSplit/>
          <w:tblHeader/>
        </w:trPr>
        <w:tc>
          <w:tcPr>
            <w:tcW w:w="1843" w:type="dxa"/>
            <w:vAlign w:val="center"/>
          </w:tcPr>
          <w:p w14:paraId="6E5491D5" w14:textId="77777777" w:rsidR="005E17EF" w:rsidRPr="0069630A" w:rsidRDefault="005E17EF" w:rsidP="0069630A">
            <w:pPr>
              <w:keepLines/>
              <w:snapToGrid w:val="0"/>
              <w:spacing w:line="240" w:lineRule="exact"/>
              <w:rPr>
                <w:sz w:val="20"/>
                <w:szCs w:val="20"/>
              </w:rPr>
            </w:pPr>
          </w:p>
        </w:tc>
        <w:tc>
          <w:tcPr>
            <w:tcW w:w="2220" w:type="dxa"/>
            <w:vAlign w:val="center"/>
          </w:tcPr>
          <w:p w14:paraId="3D6B79F0" w14:textId="77777777" w:rsidR="005E17EF" w:rsidRPr="0069630A" w:rsidRDefault="005E17EF" w:rsidP="0069630A">
            <w:pPr>
              <w:keepLines/>
              <w:snapToGrid w:val="0"/>
              <w:spacing w:line="240" w:lineRule="exact"/>
              <w:rPr>
                <w:sz w:val="20"/>
                <w:szCs w:val="20"/>
              </w:rPr>
            </w:pPr>
            <w:r w:rsidRPr="0069630A">
              <w:rPr>
                <w:sz w:val="20"/>
                <w:szCs w:val="20"/>
              </w:rPr>
              <w:t>(0.392)</w:t>
            </w:r>
          </w:p>
        </w:tc>
        <w:tc>
          <w:tcPr>
            <w:tcW w:w="2221" w:type="dxa"/>
            <w:vAlign w:val="center"/>
          </w:tcPr>
          <w:p w14:paraId="5F31B2D8" w14:textId="77777777" w:rsidR="005E17EF" w:rsidRPr="0069630A" w:rsidRDefault="005E17EF" w:rsidP="0069630A">
            <w:pPr>
              <w:keepLines/>
              <w:snapToGrid w:val="0"/>
              <w:spacing w:line="240" w:lineRule="exact"/>
              <w:rPr>
                <w:sz w:val="20"/>
                <w:szCs w:val="20"/>
              </w:rPr>
            </w:pPr>
            <w:r w:rsidRPr="0069630A">
              <w:rPr>
                <w:sz w:val="20"/>
                <w:szCs w:val="20"/>
              </w:rPr>
              <w:t>(0.517)</w:t>
            </w:r>
          </w:p>
        </w:tc>
        <w:tc>
          <w:tcPr>
            <w:tcW w:w="1938" w:type="dxa"/>
            <w:vAlign w:val="center"/>
          </w:tcPr>
          <w:p w14:paraId="10A6ED53" w14:textId="77777777" w:rsidR="005E17EF" w:rsidRPr="0069630A" w:rsidRDefault="005E17EF" w:rsidP="0069630A">
            <w:pPr>
              <w:keepLines/>
              <w:snapToGrid w:val="0"/>
              <w:spacing w:line="240" w:lineRule="exact"/>
              <w:rPr>
                <w:sz w:val="20"/>
                <w:szCs w:val="20"/>
              </w:rPr>
            </w:pPr>
            <w:r w:rsidRPr="0069630A">
              <w:rPr>
                <w:sz w:val="20"/>
                <w:szCs w:val="20"/>
              </w:rPr>
              <w:t>(0.450)</w:t>
            </w:r>
          </w:p>
        </w:tc>
      </w:tr>
      <w:tr w:rsidR="005E17EF" w:rsidRPr="00353396" w14:paraId="17F4A8AB" w14:textId="77777777" w:rsidTr="00F73AB2">
        <w:trPr>
          <w:cantSplit/>
          <w:tblHeader/>
        </w:trPr>
        <w:tc>
          <w:tcPr>
            <w:tcW w:w="1843" w:type="dxa"/>
            <w:vAlign w:val="center"/>
          </w:tcPr>
          <w:p w14:paraId="54505DD4" w14:textId="1C8A301E" w:rsidR="005E17EF" w:rsidRPr="0069630A" w:rsidRDefault="00A95329" w:rsidP="0069630A">
            <w:pPr>
              <w:keepLines/>
              <w:snapToGrid w:val="0"/>
              <w:spacing w:line="240" w:lineRule="exact"/>
              <w:rPr>
                <w:sz w:val="20"/>
                <w:szCs w:val="20"/>
              </w:rPr>
            </w:pPr>
            <w:r w:rsidRPr="0069630A">
              <w:rPr>
                <w:sz w:val="20"/>
                <w:szCs w:val="20"/>
              </w:rPr>
              <w:t>S</w:t>
            </w:r>
            <w:r w:rsidR="005E17EF" w:rsidRPr="0069630A">
              <w:rPr>
                <w:sz w:val="20"/>
                <w:szCs w:val="20"/>
              </w:rPr>
              <w:t>trong</w:t>
            </w:r>
            <w:r w:rsidRPr="0069630A">
              <w:rPr>
                <w:sz w:val="20"/>
                <w:szCs w:val="20"/>
              </w:rPr>
              <w:t xml:space="preserve"> </w:t>
            </w:r>
            <w:r w:rsidR="005E17EF" w:rsidRPr="0069630A">
              <w:rPr>
                <w:sz w:val="20"/>
                <w:szCs w:val="20"/>
              </w:rPr>
              <w:t>sell</w:t>
            </w:r>
          </w:p>
        </w:tc>
        <w:tc>
          <w:tcPr>
            <w:tcW w:w="2220" w:type="dxa"/>
            <w:vAlign w:val="center"/>
          </w:tcPr>
          <w:p w14:paraId="2A2C6CF4" w14:textId="77777777" w:rsidR="005E17EF" w:rsidRPr="0069630A" w:rsidRDefault="005E17EF" w:rsidP="0069630A">
            <w:pPr>
              <w:keepLines/>
              <w:snapToGrid w:val="0"/>
              <w:spacing w:line="240" w:lineRule="exact"/>
              <w:rPr>
                <w:sz w:val="20"/>
                <w:szCs w:val="20"/>
              </w:rPr>
            </w:pPr>
            <w:r w:rsidRPr="0069630A">
              <w:rPr>
                <w:sz w:val="20"/>
                <w:szCs w:val="20"/>
              </w:rPr>
              <w:t>0.060</w:t>
            </w:r>
          </w:p>
        </w:tc>
        <w:tc>
          <w:tcPr>
            <w:tcW w:w="2221" w:type="dxa"/>
            <w:vAlign w:val="center"/>
          </w:tcPr>
          <w:p w14:paraId="055C8571" w14:textId="77777777" w:rsidR="005E17EF" w:rsidRPr="0069630A" w:rsidRDefault="005E17EF" w:rsidP="0069630A">
            <w:pPr>
              <w:keepLines/>
              <w:snapToGrid w:val="0"/>
              <w:spacing w:line="240" w:lineRule="exact"/>
              <w:rPr>
                <w:sz w:val="20"/>
                <w:szCs w:val="20"/>
              </w:rPr>
            </w:pPr>
            <w:r w:rsidRPr="0069630A">
              <w:rPr>
                <w:sz w:val="20"/>
                <w:szCs w:val="20"/>
              </w:rPr>
              <w:t>0.046</w:t>
            </w:r>
          </w:p>
        </w:tc>
        <w:tc>
          <w:tcPr>
            <w:tcW w:w="1938" w:type="dxa"/>
            <w:vAlign w:val="center"/>
          </w:tcPr>
          <w:p w14:paraId="4977E763" w14:textId="77777777" w:rsidR="005E17EF" w:rsidRPr="0069630A" w:rsidRDefault="005E17EF" w:rsidP="0069630A">
            <w:pPr>
              <w:keepLines/>
              <w:snapToGrid w:val="0"/>
              <w:spacing w:line="240" w:lineRule="exact"/>
              <w:rPr>
                <w:sz w:val="20"/>
                <w:szCs w:val="20"/>
              </w:rPr>
            </w:pPr>
            <w:r w:rsidRPr="0069630A">
              <w:rPr>
                <w:sz w:val="20"/>
                <w:szCs w:val="20"/>
              </w:rPr>
              <w:t>0.026</w:t>
            </w:r>
          </w:p>
        </w:tc>
      </w:tr>
      <w:tr w:rsidR="005E17EF" w:rsidRPr="00353396" w14:paraId="046BC748" w14:textId="77777777" w:rsidTr="00F73AB2">
        <w:trPr>
          <w:cantSplit/>
          <w:tblHeader/>
        </w:trPr>
        <w:tc>
          <w:tcPr>
            <w:tcW w:w="1843" w:type="dxa"/>
            <w:vAlign w:val="center"/>
          </w:tcPr>
          <w:p w14:paraId="1FF76A96" w14:textId="77777777" w:rsidR="005E17EF" w:rsidRPr="0069630A" w:rsidRDefault="005E17EF" w:rsidP="0069630A">
            <w:pPr>
              <w:keepLines/>
              <w:snapToGrid w:val="0"/>
              <w:spacing w:line="240" w:lineRule="exact"/>
              <w:rPr>
                <w:sz w:val="20"/>
                <w:szCs w:val="20"/>
              </w:rPr>
            </w:pPr>
          </w:p>
        </w:tc>
        <w:tc>
          <w:tcPr>
            <w:tcW w:w="2220" w:type="dxa"/>
            <w:vAlign w:val="center"/>
          </w:tcPr>
          <w:p w14:paraId="71C0B463" w14:textId="77777777" w:rsidR="005E17EF" w:rsidRPr="0069630A" w:rsidRDefault="005E17EF" w:rsidP="0069630A">
            <w:pPr>
              <w:keepLines/>
              <w:snapToGrid w:val="0"/>
              <w:spacing w:line="240" w:lineRule="exact"/>
              <w:rPr>
                <w:sz w:val="20"/>
                <w:szCs w:val="20"/>
              </w:rPr>
            </w:pPr>
            <w:r w:rsidRPr="0069630A">
              <w:rPr>
                <w:sz w:val="20"/>
                <w:szCs w:val="20"/>
              </w:rPr>
              <w:t>(0.460)</w:t>
            </w:r>
          </w:p>
        </w:tc>
        <w:tc>
          <w:tcPr>
            <w:tcW w:w="2221" w:type="dxa"/>
            <w:vAlign w:val="center"/>
          </w:tcPr>
          <w:p w14:paraId="08D52724" w14:textId="77777777" w:rsidR="005E17EF" w:rsidRPr="0069630A" w:rsidRDefault="005E17EF" w:rsidP="0069630A">
            <w:pPr>
              <w:keepLines/>
              <w:snapToGrid w:val="0"/>
              <w:spacing w:line="240" w:lineRule="exact"/>
              <w:rPr>
                <w:sz w:val="20"/>
                <w:szCs w:val="20"/>
              </w:rPr>
            </w:pPr>
            <w:r w:rsidRPr="0069630A">
              <w:rPr>
                <w:sz w:val="20"/>
                <w:szCs w:val="20"/>
              </w:rPr>
              <w:t>(0.565)</w:t>
            </w:r>
          </w:p>
        </w:tc>
        <w:tc>
          <w:tcPr>
            <w:tcW w:w="1938" w:type="dxa"/>
            <w:vAlign w:val="center"/>
          </w:tcPr>
          <w:p w14:paraId="744B3637" w14:textId="77777777" w:rsidR="005E17EF" w:rsidRPr="0069630A" w:rsidRDefault="005E17EF" w:rsidP="0069630A">
            <w:pPr>
              <w:keepLines/>
              <w:snapToGrid w:val="0"/>
              <w:spacing w:line="240" w:lineRule="exact"/>
              <w:rPr>
                <w:sz w:val="20"/>
                <w:szCs w:val="20"/>
              </w:rPr>
            </w:pPr>
            <w:r w:rsidRPr="0069630A">
              <w:rPr>
                <w:sz w:val="20"/>
                <w:szCs w:val="20"/>
              </w:rPr>
              <w:t>(0.740)</w:t>
            </w:r>
          </w:p>
        </w:tc>
      </w:tr>
      <w:tr w:rsidR="005E17EF" w:rsidRPr="00353396" w14:paraId="5A6B457D" w14:textId="77777777" w:rsidTr="00F73AB2">
        <w:trPr>
          <w:cantSplit/>
          <w:tblHeader/>
        </w:trPr>
        <w:tc>
          <w:tcPr>
            <w:tcW w:w="1843" w:type="dxa"/>
            <w:vAlign w:val="center"/>
          </w:tcPr>
          <w:p w14:paraId="35C8CCD4" w14:textId="3CDB415B" w:rsidR="005E17EF" w:rsidRPr="0069630A" w:rsidRDefault="00A95329" w:rsidP="0069630A">
            <w:pPr>
              <w:keepLines/>
              <w:snapToGrid w:val="0"/>
              <w:spacing w:line="240" w:lineRule="exact"/>
              <w:rPr>
                <w:sz w:val="20"/>
                <w:szCs w:val="20"/>
              </w:rPr>
            </w:pPr>
            <w:r w:rsidRPr="0069630A">
              <w:rPr>
                <w:sz w:val="20"/>
                <w:szCs w:val="20"/>
              </w:rPr>
              <w:t>S</w:t>
            </w:r>
            <w:r w:rsidR="005E17EF" w:rsidRPr="0069630A">
              <w:rPr>
                <w:sz w:val="20"/>
                <w:szCs w:val="20"/>
              </w:rPr>
              <w:t>ize</w:t>
            </w:r>
          </w:p>
        </w:tc>
        <w:tc>
          <w:tcPr>
            <w:tcW w:w="2220" w:type="dxa"/>
            <w:vAlign w:val="center"/>
          </w:tcPr>
          <w:p w14:paraId="7366B947" w14:textId="77777777" w:rsidR="005E17EF" w:rsidRPr="0069630A" w:rsidRDefault="005E17EF" w:rsidP="0069630A">
            <w:pPr>
              <w:keepLines/>
              <w:snapToGrid w:val="0"/>
              <w:spacing w:line="240" w:lineRule="exact"/>
              <w:rPr>
                <w:sz w:val="20"/>
                <w:szCs w:val="20"/>
              </w:rPr>
            </w:pPr>
            <w:r w:rsidRPr="0069630A">
              <w:rPr>
                <w:sz w:val="20"/>
                <w:szCs w:val="20"/>
              </w:rPr>
              <w:t>0.613***</w:t>
            </w:r>
          </w:p>
        </w:tc>
        <w:tc>
          <w:tcPr>
            <w:tcW w:w="2221" w:type="dxa"/>
            <w:vAlign w:val="center"/>
          </w:tcPr>
          <w:p w14:paraId="46DED7F2" w14:textId="77777777" w:rsidR="005E17EF" w:rsidRPr="0069630A" w:rsidRDefault="005E17EF" w:rsidP="0069630A">
            <w:pPr>
              <w:keepLines/>
              <w:snapToGrid w:val="0"/>
              <w:spacing w:line="240" w:lineRule="exact"/>
              <w:rPr>
                <w:sz w:val="20"/>
                <w:szCs w:val="20"/>
              </w:rPr>
            </w:pPr>
            <w:r w:rsidRPr="0069630A">
              <w:rPr>
                <w:sz w:val="20"/>
                <w:szCs w:val="20"/>
              </w:rPr>
              <w:t>0.497**</w:t>
            </w:r>
          </w:p>
        </w:tc>
        <w:tc>
          <w:tcPr>
            <w:tcW w:w="1938" w:type="dxa"/>
            <w:vAlign w:val="center"/>
          </w:tcPr>
          <w:p w14:paraId="6E0F4231" w14:textId="77777777" w:rsidR="005E17EF" w:rsidRPr="0069630A" w:rsidRDefault="005E17EF" w:rsidP="0069630A">
            <w:pPr>
              <w:keepLines/>
              <w:snapToGrid w:val="0"/>
              <w:spacing w:line="240" w:lineRule="exact"/>
              <w:rPr>
                <w:sz w:val="20"/>
                <w:szCs w:val="20"/>
              </w:rPr>
            </w:pPr>
            <w:r w:rsidRPr="0069630A">
              <w:rPr>
                <w:sz w:val="20"/>
                <w:szCs w:val="20"/>
              </w:rPr>
              <w:t>0.391**</w:t>
            </w:r>
          </w:p>
        </w:tc>
      </w:tr>
      <w:tr w:rsidR="005E17EF" w:rsidRPr="00353396" w14:paraId="25E7F68F" w14:textId="77777777" w:rsidTr="00F73AB2">
        <w:trPr>
          <w:cantSplit/>
          <w:tblHeader/>
        </w:trPr>
        <w:tc>
          <w:tcPr>
            <w:tcW w:w="1843" w:type="dxa"/>
            <w:vAlign w:val="center"/>
          </w:tcPr>
          <w:p w14:paraId="6055B7A2" w14:textId="77777777" w:rsidR="005E17EF" w:rsidRPr="0069630A" w:rsidRDefault="005E17EF" w:rsidP="0069630A">
            <w:pPr>
              <w:keepLines/>
              <w:snapToGrid w:val="0"/>
              <w:spacing w:line="240" w:lineRule="exact"/>
              <w:rPr>
                <w:sz w:val="20"/>
                <w:szCs w:val="20"/>
              </w:rPr>
            </w:pPr>
          </w:p>
        </w:tc>
        <w:tc>
          <w:tcPr>
            <w:tcW w:w="2220" w:type="dxa"/>
            <w:vAlign w:val="center"/>
          </w:tcPr>
          <w:p w14:paraId="537298EB" w14:textId="77777777" w:rsidR="005E17EF" w:rsidRPr="0069630A" w:rsidRDefault="005E17EF" w:rsidP="0069630A">
            <w:pPr>
              <w:keepLines/>
              <w:snapToGrid w:val="0"/>
              <w:spacing w:line="240" w:lineRule="exact"/>
              <w:rPr>
                <w:sz w:val="20"/>
                <w:szCs w:val="20"/>
              </w:rPr>
            </w:pPr>
            <w:r w:rsidRPr="0069630A">
              <w:rPr>
                <w:sz w:val="20"/>
                <w:szCs w:val="20"/>
              </w:rPr>
              <w:t>(0.006)</w:t>
            </w:r>
          </w:p>
        </w:tc>
        <w:tc>
          <w:tcPr>
            <w:tcW w:w="2221" w:type="dxa"/>
            <w:vAlign w:val="center"/>
          </w:tcPr>
          <w:p w14:paraId="6E614BC1" w14:textId="77777777" w:rsidR="005E17EF" w:rsidRPr="0069630A" w:rsidRDefault="005E17EF" w:rsidP="0069630A">
            <w:pPr>
              <w:keepLines/>
              <w:snapToGrid w:val="0"/>
              <w:spacing w:line="240" w:lineRule="exact"/>
              <w:rPr>
                <w:sz w:val="20"/>
                <w:szCs w:val="20"/>
              </w:rPr>
            </w:pPr>
            <w:r w:rsidRPr="0069630A">
              <w:rPr>
                <w:sz w:val="20"/>
                <w:szCs w:val="20"/>
              </w:rPr>
              <w:t>(0.013)</w:t>
            </w:r>
          </w:p>
        </w:tc>
        <w:tc>
          <w:tcPr>
            <w:tcW w:w="1938" w:type="dxa"/>
            <w:vAlign w:val="center"/>
          </w:tcPr>
          <w:p w14:paraId="25A429E5" w14:textId="77777777" w:rsidR="005E17EF" w:rsidRPr="0069630A" w:rsidRDefault="005E17EF" w:rsidP="0069630A">
            <w:pPr>
              <w:keepLines/>
              <w:snapToGrid w:val="0"/>
              <w:spacing w:line="240" w:lineRule="exact"/>
              <w:rPr>
                <w:sz w:val="20"/>
                <w:szCs w:val="20"/>
              </w:rPr>
            </w:pPr>
            <w:r w:rsidRPr="0069630A">
              <w:rPr>
                <w:sz w:val="20"/>
                <w:szCs w:val="20"/>
              </w:rPr>
              <w:t>(0.040)</w:t>
            </w:r>
          </w:p>
        </w:tc>
      </w:tr>
      <w:tr w:rsidR="005E17EF" w:rsidRPr="00353396" w14:paraId="2697D039" w14:textId="77777777" w:rsidTr="00F73AB2">
        <w:trPr>
          <w:cantSplit/>
          <w:tblHeader/>
        </w:trPr>
        <w:tc>
          <w:tcPr>
            <w:tcW w:w="1843" w:type="dxa"/>
            <w:vAlign w:val="center"/>
          </w:tcPr>
          <w:p w14:paraId="4EEA808C" w14:textId="03C37057" w:rsidR="005E17EF" w:rsidRPr="0069630A" w:rsidRDefault="00A95329" w:rsidP="0069630A">
            <w:pPr>
              <w:keepLines/>
              <w:snapToGrid w:val="0"/>
              <w:spacing w:line="240" w:lineRule="exact"/>
              <w:rPr>
                <w:sz w:val="20"/>
                <w:szCs w:val="20"/>
              </w:rPr>
            </w:pPr>
            <w:r w:rsidRPr="0069630A">
              <w:rPr>
                <w:sz w:val="20"/>
                <w:szCs w:val="20"/>
              </w:rPr>
              <w:t>BM</w:t>
            </w:r>
          </w:p>
        </w:tc>
        <w:tc>
          <w:tcPr>
            <w:tcW w:w="2220" w:type="dxa"/>
            <w:vAlign w:val="center"/>
          </w:tcPr>
          <w:p w14:paraId="15526855" w14:textId="77777777" w:rsidR="005E17EF" w:rsidRPr="0069630A" w:rsidRDefault="005E17EF" w:rsidP="0069630A">
            <w:pPr>
              <w:keepLines/>
              <w:snapToGrid w:val="0"/>
              <w:spacing w:line="240" w:lineRule="exact"/>
              <w:rPr>
                <w:sz w:val="20"/>
                <w:szCs w:val="20"/>
              </w:rPr>
            </w:pPr>
            <w:r w:rsidRPr="0069630A">
              <w:rPr>
                <w:sz w:val="20"/>
                <w:szCs w:val="20"/>
              </w:rPr>
              <w:t>0.129</w:t>
            </w:r>
          </w:p>
        </w:tc>
        <w:tc>
          <w:tcPr>
            <w:tcW w:w="2221" w:type="dxa"/>
            <w:vAlign w:val="center"/>
          </w:tcPr>
          <w:p w14:paraId="157946D2" w14:textId="77777777" w:rsidR="005E17EF" w:rsidRPr="0069630A" w:rsidRDefault="005E17EF" w:rsidP="0069630A">
            <w:pPr>
              <w:keepLines/>
              <w:snapToGrid w:val="0"/>
              <w:spacing w:line="240" w:lineRule="exact"/>
              <w:rPr>
                <w:sz w:val="20"/>
                <w:szCs w:val="20"/>
              </w:rPr>
            </w:pPr>
            <w:r w:rsidRPr="0069630A">
              <w:rPr>
                <w:sz w:val="20"/>
                <w:szCs w:val="20"/>
              </w:rPr>
              <w:t>0.114</w:t>
            </w:r>
          </w:p>
        </w:tc>
        <w:tc>
          <w:tcPr>
            <w:tcW w:w="1938" w:type="dxa"/>
            <w:vAlign w:val="center"/>
          </w:tcPr>
          <w:p w14:paraId="689E93C5" w14:textId="77777777" w:rsidR="005E17EF" w:rsidRPr="0069630A" w:rsidRDefault="005E17EF" w:rsidP="0069630A">
            <w:pPr>
              <w:keepLines/>
              <w:snapToGrid w:val="0"/>
              <w:spacing w:line="240" w:lineRule="exact"/>
              <w:rPr>
                <w:sz w:val="20"/>
                <w:szCs w:val="20"/>
              </w:rPr>
            </w:pPr>
            <w:r w:rsidRPr="0069630A">
              <w:rPr>
                <w:sz w:val="20"/>
                <w:szCs w:val="20"/>
              </w:rPr>
              <w:t>0.080</w:t>
            </w:r>
          </w:p>
        </w:tc>
      </w:tr>
      <w:tr w:rsidR="005E17EF" w:rsidRPr="00353396" w14:paraId="5C974007" w14:textId="77777777" w:rsidTr="00F73AB2">
        <w:trPr>
          <w:cantSplit/>
          <w:tblHeader/>
        </w:trPr>
        <w:tc>
          <w:tcPr>
            <w:tcW w:w="1843" w:type="dxa"/>
            <w:vAlign w:val="center"/>
          </w:tcPr>
          <w:p w14:paraId="291BE483" w14:textId="77777777" w:rsidR="005E17EF" w:rsidRPr="0069630A" w:rsidRDefault="005E17EF" w:rsidP="0069630A">
            <w:pPr>
              <w:keepLines/>
              <w:snapToGrid w:val="0"/>
              <w:spacing w:line="240" w:lineRule="exact"/>
              <w:rPr>
                <w:sz w:val="20"/>
                <w:szCs w:val="20"/>
              </w:rPr>
            </w:pPr>
          </w:p>
        </w:tc>
        <w:tc>
          <w:tcPr>
            <w:tcW w:w="2220" w:type="dxa"/>
            <w:vAlign w:val="center"/>
          </w:tcPr>
          <w:p w14:paraId="2E1A4C35" w14:textId="77777777" w:rsidR="005E17EF" w:rsidRPr="0069630A" w:rsidRDefault="005E17EF" w:rsidP="0069630A">
            <w:pPr>
              <w:keepLines/>
              <w:snapToGrid w:val="0"/>
              <w:spacing w:line="240" w:lineRule="exact"/>
              <w:rPr>
                <w:sz w:val="20"/>
                <w:szCs w:val="20"/>
              </w:rPr>
            </w:pPr>
            <w:r w:rsidRPr="0069630A">
              <w:rPr>
                <w:sz w:val="20"/>
                <w:szCs w:val="20"/>
              </w:rPr>
              <w:t>(0.364)</w:t>
            </w:r>
          </w:p>
        </w:tc>
        <w:tc>
          <w:tcPr>
            <w:tcW w:w="2221" w:type="dxa"/>
            <w:vAlign w:val="center"/>
          </w:tcPr>
          <w:p w14:paraId="41EA6632" w14:textId="77777777" w:rsidR="005E17EF" w:rsidRPr="0069630A" w:rsidRDefault="005E17EF" w:rsidP="0069630A">
            <w:pPr>
              <w:keepLines/>
              <w:snapToGrid w:val="0"/>
              <w:spacing w:line="240" w:lineRule="exact"/>
              <w:rPr>
                <w:sz w:val="20"/>
                <w:szCs w:val="20"/>
              </w:rPr>
            </w:pPr>
            <w:r w:rsidRPr="0069630A">
              <w:rPr>
                <w:sz w:val="20"/>
                <w:szCs w:val="20"/>
              </w:rPr>
              <w:t>(0.373)</w:t>
            </w:r>
          </w:p>
        </w:tc>
        <w:tc>
          <w:tcPr>
            <w:tcW w:w="1938" w:type="dxa"/>
            <w:vAlign w:val="center"/>
          </w:tcPr>
          <w:p w14:paraId="585F56F1" w14:textId="77777777" w:rsidR="005E17EF" w:rsidRPr="0069630A" w:rsidRDefault="005E17EF" w:rsidP="0069630A">
            <w:pPr>
              <w:keepLines/>
              <w:snapToGrid w:val="0"/>
              <w:spacing w:line="240" w:lineRule="exact"/>
              <w:rPr>
                <w:sz w:val="20"/>
                <w:szCs w:val="20"/>
              </w:rPr>
            </w:pPr>
            <w:r w:rsidRPr="0069630A">
              <w:rPr>
                <w:sz w:val="20"/>
                <w:szCs w:val="20"/>
              </w:rPr>
              <w:t>(0.504)</w:t>
            </w:r>
          </w:p>
        </w:tc>
      </w:tr>
      <w:tr w:rsidR="005E17EF" w:rsidRPr="00353396" w14:paraId="773EEF4B" w14:textId="77777777" w:rsidTr="00F73AB2">
        <w:trPr>
          <w:cantSplit/>
          <w:tblHeader/>
        </w:trPr>
        <w:tc>
          <w:tcPr>
            <w:tcW w:w="1843" w:type="dxa"/>
            <w:vAlign w:val="center"/>
          </w:tcPr>
          <w:p w14:paraId="31803CA3" w14:textId="558DF1FE" w:rsidR="005E17EF" w:rsidRPr="0069630A" w:rsidRDefault="00A95329" w:rsidP="0069630A">
            <w:pPr>
              <w:keepLines/>
              <w:snapToGrid w:val="0"/>
              <w:spacing w:line="240" w:lineRule="exact"/>
              <w:rPr>
                <w:sz w:val="20"/>
                <w:szCs w:val="20"/>
              </w:rPr>
            </w:pPr>
            <w:r w:rsidRPr="0069630A">
              <w:rPr>
                <w:sz w:val="20"/>
                <w:szCs w:val="20"/>
              </w:rPr>
              <w:t>ROA</w:t>
            </w:r>
          </w:p>
        </w:tc>
        <w:tc>
          <w:tcPr>
            <w:tcW w:w="2220" w:type="dxa"/>
            <w:vAlign w:val="center"/>
          </w:tcPr>
          <w:p w14:paraId="1FA308DE" w14:textId="77777777" w:rsidR="005E17EF" w:rsidRPr="0069630A" w:rsidRDefault="005E17EF" w:rsidP="0069630A">
            <w:pPr>
              <w:keepLines/>
              <w:snapToGrid w:val="0"/>
              <w:spacing w:line="240" w:lineRule="exact"/>
              <w:rPr>
                <w:sz w:val="20"/>
                <w:szCs w:val="20"/>
              </w:rPr>
            </w:pPr>
            <w:r w:rsidRPr="0069630A">
              <w:rPr>
                <w:sz w:val="20"/>
                <w:szCs w:val="20"/>
              </w:rPr>
              <w:t>0.256</w:t>
            </w:r>
          </w:p>
        </w:tc>
        <w:tc>
          <w:tcPr>
            <w:tcW w:w="2221" w:type="dxa"/>
            <w:vAlign w:val="center"/>
          </w:tcPr>
          <w:p w14:paraId="4C97E358" w14:textId="77777777" w:rsidR="005E17EF" w:rsidRPr="0069630A" w:rsidRDefault="005E17EF" w:rsidP="0069630A">
            <w:pPr>
              <w:keepLines/>
              <w:snapToGrid w:val="0"/>
              <w:spacing w:line="240" w:lineRule="exact"/>
              <w:rPr>
                <w:sz w:val="20"/>
                <w:szCs w:val="20"/>
              </w:rPr>
            </w:pPr>
            <w:r w:rsidRPr="0069630A">
              <w:rPr>
                <w:sz w:val="20"/>
                <w:szCs w:val="20"/>
              </w:rPr>
              <w:t>0.275</w:t>
            </w:r>
          </w:p>
        </w:tc>
        <w:tc>
          <w:tcPr>
            <w:tcW w:w="1938" w:type="dxa"/>
            <w:vAlign w:val="center"/>
          </w:tcPr>
          <w:p w14:paraId="79F997BC" w14:textId="77777777" w:rsidR="005E17EF" w:rsidRPr="0069630A" w:rsidRDefault="005E17EF" w:rsidP="0069630A">
            <w:pPr>
              <w:keepLines/>
              <w:snapToGrid w:val="0"/>
              <w:spacing w:line="240" w:lineRule="exact"/>
              <w:rPr>
                <w:sz w:val="20"/>
                <w:szCs w:val="20"/>
              </w:rPr>
            </w:pPr>
            <w:r w:rsidRPr="0069630A">
              <w:rPr>
                <w:sz w:val="20"/>
                <w:szCs w:val="20"/>
              </w:rPr>
              <w:t>0.324</w:t>
            </w:r>
          </w:p>
        </w:tc>
      </w:tr>
      <w:tr w:rsidR="005E17EF" w:rsidRPr="00353396" w14:paraId="4F838BBE" w14:textId="77777777" w:rsidTr="00F73AB2">
        <w:trPr>
          <w:cantSplit/>
          <w:tblHeader/>
        </w:trPr>
        <w:tc>
          <w:tcPr>
            <w:tcW w:w="1843" w:type="dxa"/>
            <w:vAlign w:val="center"/>
          </w:tcPr>
          <w:p w14:paraId="446F14F2" w14:textId="77777777" w:rsidR="005E17EF" w:rsidRPr="0069630A" w:rsidRDefault="005E17EF" w:rsidP="0069630A">
            <w:pPr>
              <w:keepLines/>
              <w:snapToGrid w:val="0"/>
              <w:spacing w:line="240" w:lineRule="exact"/>
              <w:rPr>
                <w:sz w:val="20"/>
                <w:szCs w:val="20"/>
              </w:rPr>
            </w:pPr>
          </w:p>
        </w:tc>
        <w:tc>
          <w:tcPr>
            <w:tcW w:w="2220" w:type="dxa"/>
            <w:vAlign w:val="center"/>
          </w:tcPr>
          <w:p w14:paraId="748355C3" w14:textId="77777777" w:rsidR="005E17EF" w:rsidRPr="0069630A" w:rsidRDefault="005E17EF" w:rsidP="0069630A">
            <w:pPr>
              <w:keepLines/>
              <w:snapToGrid w:val="0"/>
              <w:spacing w:line="240" w:lineRule="exact"/>
              <w:rPr>
                <w:sz w:val="20"/>
                <w:szCs w:val="20"/>
              </w:rPr>
            </w:pPr>
            <w:r w:rsidRPr="0069630A">
              <w:rPr>
                <w:sz w:val="20"/>
                <w:szCs w:val="20"/>
              </w:rPr>
              <w:t>(0.531)</w:t>
            </w:r>
          </w:p>
        </w:tc>
        <w:tc>
          <w:tcPr>
            <w:tcW w:w="2221" w:type="dxa"/>
            <w:vAlign w:val="center"/>
          </w:tcPr>
          <w:p w14:paraId="6D7E0F7A" w14:textId="77777777" w:rsidR="005E17EF" w:rsidRPr="0069630A" w:rsidRDefault="005E17EF" w:rsidP="0069630A">
            <w:pPr>
              <w:keepLines/>
              <w:snapToGrid w:val="0"/>
              <w:spacing w:line="240" w:lineRule="exact"/>
              <w:rPr>
                <w:sz w:val="20"/>
                <w:szCs w:val="20"/>
              </w:rPr>
            </w:pPr>
            <w:r w:rsidRPr="0069630A">
              <w:rPr>
                <w:sz w:val="20"/>
                <w:szCs w:val="20"/>
              </w:rPr>
              <w:t>(0.476)</w:t>
            </w:r>
          </w:p>
        </w:tc>
        <w:tc>
          <w:tcPr>
            <w:tcW w:w="1938" w:type="dxa"/>
            <w:vAlign w:val="center"/>
          </w:tcPr>
          <w:p w14:paraId="18249C0E" w14:textId="77777777" w:rsidR="005E17EF" w:rsidRPr="0069630A" w:rsidRDefault="005E17EF" w:rsidP="0069630A">
            <w:pPr>
              <w:keepLines/>
              <w:snapToGrid w:val="0"/>
              <w:spacing w:line="240" w:lineRule="exact"/>
              <w:rPr>
                <w:sz w:val="20"/>
                <w:szCs w:val="20"/>
              </w:rPr>
            </w:pPr>
            <w:r w:rsidRPr="0069630A">
              <w:rPr>
                <w:sz w:val="20"/>
                <w:szCs w:val="20"/>
              </w:rPr>
              <w:t>(0.407)</w:t>
            </w:r>
          </w:p>
        </w:tc>
      </w:tr>
      <w:tr w:rsidR="005E17EF" w:rsidRPr="00353396" w14:paraId="6EBF3A5D" w14:textId="77777777" w:rsidTr="00F73AB2">
        <w:trPr>
          <w:cantSplit/>
          <w:tblHeader/>
        </w:trPr>
        <w:tc>
          <w:tcPr>
            <w:tcW w:w="1843" w:type="dxa"/>
            <w:vAlign w:val="center"/>
          </w:tcPr>
          <w:p w14:paraId="0494DCE2" w14:textId="18ADC588" w:rsidR="005E17EF" w:rsidRPr="0069630A" w:rsidRDefault="00A95329" w:rsidP="0069630A">
            <w:pPr>
              <w:keepLines/>
              <w:snapToGrid w:val="0"/>
              <w:spacing w:line="240" w:lineRule="exact"/>
              <w:rPr>
                <w:sz w:val="20"/>
                <w:szCs w:val="20"/>
              </w:rPr>
            </w:pPr>
            <w:r w:rsidRPr="0069630A">
              <w:rPr>
                <w:sz w:val="20"/>
                <w:szCs w:val="20"/>
              </w:rPr>
              <w:t>DPR</w:t>
            </w:r>
          </w:p>
        </w:tc>
        <w:tc>
          <w:tcPr>
            <w:tcW w:w="2220" w:type="dxa"/>
            <w:vAlign w:val="center"/>
          </w:tcPr>
          <w:p w14:paraId="5DEA69F2" w14:textId="77777777" w:rsidR="005E17EF" w:rsidRPr="0069630A" w:rsidRDefault="005E17EF" w:rsidP="0069630A">
            <w:pPr>
              <w:keepLines/>
              <w:snapToGrid w:val="0"/>
              <w:spacing w:line="240" w:lineRule="exact"/>
              <w:rPr>
                <w:sz w:val="20"/>
                <w:szCs w:val="20"/>
              </w:rPr>
            </w:pPr>
            <w:r w:rsidRPr="0069630A">
              <w:rPr>
                <w:sz w:val="20"/>
                <w:szCs w:val="20"/>
              </w:rPr>
              <w:t>0.061</w:t>
            </w:r>
          </w:p>
        </w:tc>
        <w:tc>
          <w:tcPr>
            <w:tcW w:w="2221" w:type="dxa"/>
            <w:vAlign w:val="center"/>
          </w:tcPr>
          <w:p w14:paraId="04EF4A53" w14:textId="77777777" w:rsidR="005E17EF" w:rsidRPr="0069630A" w:rsidRDefault="005E17EF" w:rsidP="0069630A">
            <w:pPr>
              <w:keepLines/>
              <w:snapToGrid w:val="0"/>
              <w:spacing w:line="240" w:lineRule="exact"/>
              <w:rPr>
                <w:sz w:val="20"/>
                <w:szCs w:val="20"/>
              </w:rPr>
            </w:pPr>
            <w:r w:rsidRPr="0069630A">
              <w:rPr>
                <w:sz w:val="20"/>
                <w:szCs w:val="20"/>
              </w:rPr>
              <w:t>-0.010</w:t>
            </w:r>
          </w:p>
        </w:tc>
        <w:tc>
          <w:tcPr>
            <w:tcW w:w="1938" w:type="dxa"/>
            <w:vAlign w:val="center"/>
          </w:tcPr>
          <w:p w14:paraId="6B030AB9" w14:textId="77777777" w:rsidR="005E17EF" w:rsidRPr="0069630A" w:rsidRDefault="005E17EF" w:rsidP="0069630A">
            <w:pPr>
              <w:keepLines/>
              <w:snapToGrid w:val="0"/>
              <w:spacing w:line="240" w:lineRule="exact"/>
              <w:rPr>
                <w:sz w:val="20"/>
                <w:szCs w:val="20"/>
              </w:rPr>
            </w:pPr>
            <w:r w:rsidRPr="0069630A">
              <w:rPr>
                <w:sz w:val="20"/>
                <w:szCs w:val="20"/>
              </w:rPr>
              <w:t>-0.015</w:t>
            </w:r>
          </w:p>
        </w:tc>
      </w:tr>
      <w:tr w:rsidR="005E17EF" w:rsidRPr="00353396" w14:paraId="0E676E7E" w14:textId="77777777" w:rsidTr="00F73AB2">
        <w:trPr>
          <w:cantSplit/>
          <w:tblHeader/>
        </w:trPr>
        <w:tc>
          <w:tcPr>
            <w:tcW w:w="1843" w:type="dxa"/>
            <w:vAlign w:val="center"/>
          </w:tcPr>
          <w:p w14:paraId="392EF600" w14:textId="77777777" w:rsidR="005E17EF" w:rsidRPr="0069630A" w:rsidRDefault="005E17EF" w:rsidP="0069630A">
            <w:pPr>
              <w:keepLines/>
              <w:snapToGrid w:val="0"/>
              <w:spacing w:line="240" w:lineRule="exact"/>
              <w:rPr>
                <w:sz w:val="20"/>
                <w:szCs w:val="20"/>
              </w:rPr>
            </w:pPr>
          </w:p>
        </w:tc>
        <w:tc>
          <w:tcPr>
            <w:tcW w:w="2220" w:type="dxa"/>
            <w:vAlign w:val="center"/>
          </w:tcPr>
          <w:p w14:paraId="59A02D59" w14:textId="77777777" w:rsidR="005E17EF" w:rsidRPr="0069630A" w:rsidRDefault="005E17EF" w:rsidP="0069630A">
            <w:pPr>
              <w:keepLines/>
              <w:snapToGrid w:val="0"/>
              <w:spacing w:line="240" w:lineRule="exact"/>
              <w:rPr>
                <w:sz w:val="20"/>
                <w:szCs w:val="20"/>
              </w:rPr>
            </w:pPr>
            <w:r w:rsidRPr="0069630A">
              <w:rPr>
                <w:sz w:val="20"/>
                <w:szCs w:val="20"/>
              </w:rPr>
              <w:t>(0.646)</w:t>
            </w:r>
          </w:p>
        </w:tc>
        <w:tc>
          <w:tcPr>
            <w:tcW w:w="2221" w:type="dxa"/>
            <w:vAlign w:val="center"/>
          </w:tcPr>
          <w:p w14:paraId="70F896E1" w14:textId="77777777" w:rsidR="005E17EF" w:rsidRPr="0069630A" w:rsidRDefault="005E17EF" w:rsidP="0069630A">
            <w:pPr>
              <w:keepLines/>
              <w:snapToGrid w:val="0"/>
              <w:spacing w:line="240" w:lineRule="exact"/>
              <w:rPr>
                <w:sz w:val="20"/>
                <w:szCs w:val="20"/>
              </w:rPr>
            </w:pPr>
            <w:r w:rsidRPr="0069630A">
              <w:rPr>
                <w:sz w:val="20"/>
                <w:szCs w:val="20"/>
              </w:rPr>
              <w:t>(0.767)</w:t>
            </w:r>
          </w:p>
        </w:tc>
        <w:tc>
          <w:tcPr>
            <w:tcW w:w="1938" w:type="dxa"/>
            <w:vAlign w:val="center"/>
          </w:tcPr>
          <w:p w14:paraId="0BC136FE" w14:textId="77777777" w:rsidR="005E17EF" w:rsidRPr="0069630A" w:rsidRDefault="005E17EF" w:rsidP="0069630A">
            <w:pPr>
              <w:keepLines/>
              <w:snapToGrid w:val="0"/>
              <w:spacing w:line="240" w:lineRule="exact"/>
              <w:rPr>
                <w:sz w:val="20"/>
                <w:szCs w:val="20"/>
              </w:rPr>
            </w:pPr>
            <w:r w:rsidRPr="0069630A">
              <w:rPr>
                <w:sz w:val="20"/>
                <w:szCs w:val="20"/>
              </w:rPr>
              <w:t>(0.640)</w:t>
            </w:r>
          </w:p>
        </w:tc>
      </w:tr>
      <w:tr w:rsidR="005E17EF" w:rsidRPr="00353396" w14:paraId="6342E1D9" w14:textId="77777777" w:rsidTr="00F73AB2">
        <w:trPr>
          <w:cantSplit/>
          <w:tblHeader/>
        </w:trPr>
        <w:tc>
          <w:tcPr>
            <w:tcW w:w="1843" w:type="dxa"/>
            <w:vAlign w:val="center"/>
          </w:tcPr>
          <w:p w14:paraId="31067E70" w14:textId="375281B6" w:rsidR="005E17EF" w:rsidRPr="0069630A" w:rsidRDefault="00A95329" w:rsidP="0069630A">
            <w:pPr>
              <w:keepLines/>
              <w:snapToGrid w:val="0"/>
              <w:spacing w:line="240" w:lineRule="exact"/>
              <w:rPr>
                <w:sz w:val="20"/>
                <w:szCs w:val="20"/>
              </w:rPr>
            </w:pPr>
            <w:r w:rsidRPr="0069630A">
              <w:rPr>
                <w:sz w:val="20"/>
                <w:szCs w:val="20"/>
              </w:rPr>
              <w:t>L</w:t>
            </w:r>
            <w:r w:rsidR="005E17EF" w:rsidRPr="0069630A">
              <w:rPr>
                <w:sz w:val="20"/>
                <w:szCs w:val="20"/>
              </w:rPr>
              <w:t>iquid</w:t>
            </w:r>
          </w:p>
        </w:tc>
        <w:tc>
          <w:tcPr>
            <w:tcW w:w="2220" w:type="dxa"/>
            <w:vAlign w:val="center"/>
          </w:tcPr>
          <w:p w14:paraId="612D5E09" w14:textId="77777777" w:rsidR="005E17EF" w:rsidRPr="0069630A" w:rsidRDefault="005E17EF" w:rsidP="0069630A">
            <w:pPr>
              <w:keepLines/>
              <w:snapToGrid w:val="0"/>
              <w:spacing w:line="240" w:lineRule="exact"/>
              <w:rPr>
                <w:sz w:val="20"/>
                <w:szCs w:val="20"/>
              </w:rPr>
            </w:pPr>
            <w:r w:rsidRPr="0069630A">
              <w:rPr>
                <w:sz w:val="20"/>
                <w:szCs w:val="20"/>
              </w:rPr>
              <w:t>1.484***</w:t>
            </w:r>
          </w:p>
        </w:tc>
        <w:tc>
          <w:tcPr>
            <w:tcW w:w="2221" w:type="dxa"/>
            <w:vAlign w:val="center"/>
          </w:tcPr>
          <w:p w14:paraId="247D66D3" w14:textId="77777777" w:rsidR="005E17EF" w:rsidRPr="0069630A" w:rsidRDefault="005E17EF" w:rsidP="0069630A">
            <w:pPr>
              <w:keepLines/>
              <w:snapToGrid w:val="0"/>
              <w:spacing w:line="240" w:lineRule="exact"/>
              <w:rPr>
                <w:sz w:val="20"/>
                <w:szCs w:val="20"/>
              </w:rPr>
            </w:pPr>
            <w:r w:rsidRPr="0069630A">
              <w:rPr>
                <w:sz w:val="20"/>
                <w:szCs w:val="20"/>
              </w:rPr>
              <w:t>1.025***</w:t>
            </w:r>
          </w:p>
        </w:tc>
        <w:tc>
          <w:tcPr>
            <w:tcW w:w="1938" w:type="dxa"/>
            <w:vAlign w:val="center"/>
          </w:tcPr>
          <w:p w14:paraId="79DE612D" w14:textId="77777777" w:rsidR="005E17EF" w:rsidRPr="0069630A" w:rsidRDefault="005E17EF" w:rsidP="0069630A">
            <w:pPr>
              <w:keepLines/>
              <w:snapToGrid w:val="0"/>
              <w:spacing w:line="240" w:lineRule="exact"/>
              <w:rPr>
                <w:sz w:val="20"/>
                <w:szCs w:val="20"/>
              </w:rPr>
            </w:pPr>
            <w:r w:rsidRPr="0069630A">
              <w:rPr>
                <w:sz w:val="20"/>
                <w:szCs w:val="20"/>
              </w:rPr>
              <w:t>0.751**</w:t>
            </w:r>
          </w:p>
        </w:tc>
      </w:tr>
      <w:tr w:rsidR="005E17EF" w:rsidRPr="00353396" w14:paraId="38ECBDA2" w14:textId="77777777" w:rsidTr="00F73AB2">
        <w:trPr>
          <w:cantSplit/>
          <w:tblHeader/>
        </w:trPr>
        <w:tc>
          <w:tcPr>
            <w:tcW w:w="1843" w:type="dxa"/>
            <w:vAlign w:val="center"/>
          </w:tcPr>
          <w:p w14:paraId="17DF2E42" w14:textId="77777777" w:rsidR="005E17EF" w:rsidRPr="0069630A" w:rsidRDefault="005E17EF" w:rsidP="0069630A">
            <w:pPr>
              <w:keepLines/>
              <w:snapToGrid w:val="0"/>
              <w:spacing w:line="240" w:lineRule="exact"/>
              <w:rPr>
                <w:sz w:val="20"/>
                <w:szCs w:val="20"/>
              </w:rPr>
            </w:pPr>
          </w:p>
        </w:tc>
        <w:tc>
          <w:tcPr>
            <w:tcW w:w="2220" w:type="dxa"/>
            <w:vAlign w:val="center"/>
          </w:tcPr>
          <w:p w14:paraId="67FE4715" w14:textId="6619BC10" w:rsidR="005E17EF" w:rsidRPr="0069630A" w:rsidRDefault="005E17EF" w:rsidP="0069630A">
            <w:pPr>
              <w:keepLines/>
              <w:snapToGrid w:val="0"/>
              <w:spacing w:line="240" w:lineRule="exact"/>
              <w:rPr>
                <w:sz w:val="20"/>
                <w:szCs w:val="20"/>
              </w:rPr>
            </w:pPr>
            <w:r w:rsidRPr="0069630A">
              <w:rPr>
                <w:sz w:val="20"/>
                <w:szCs w:val="20"/>
              </w:rPr>
              <w:t>(</w:t>
            </w:r>
            <w:r w:rsidR="007476ED" w:rsidRPr="007476ED">
              <w:rPr>
                <w:sz w:val="20"/>
                <w:szCs w:val="20"/>
              </w:rPr>
              <w:t>&lt;0.001</w:t>
            </w:r>
            <w:r w:rsidRPr="0069630A">
              <w:rPr>
                <w:sz w:val="20"/>
                <w:szCs w:val="20"/>
              </w:rPr>
              <w:t>)</w:t>
            </w:r>
          </w:p>
        </w:tc>
        <w:tc>
          <w:tcPr>
            <w:tcW w:w="2221" w:type="dxa"/>
            <w:vAlign w:val="center"/>
          </w:tcPr>
          <w:p w14:paraId="20F9D7CF" w14:textId="77777777" w:rsidR="005E17EF" w:rsidRPr="0069630A" w:rsidRDefault="005E17EF" w:rsidP="0069630A">
            <w:pPr>
              <w:keepLines/>
              <w:snapToGrid w:val="0"/>
              <w:spacing w:line="240" w:lineRule="exact"/>
              <w:rPr>
                <w:sz w:val="20"/>
                <w:szCs w:val="20"/>
              </w:rPr>
            </w:pPr>
            <w:r w:rsidRPr="0069630A">
              <w:rPr>
                <w:sz w:val="20"/>
                <w:szCs w:val="20"/>
              </w:rPr>
              <w:t>(0.008)</w:t>
            </w:r>
          </w:p>
        </w:tc>
        <w:tc>
          <w:tcPr>
            <w:tcW w:w="1938" w:type="dxa"/>
            <w:vAlign w:val="center"/>
          </w:tcPr>
          <w:p w14:paraId="2BD8D83F" w14:textId="77777777" w:rsidR="005E17EF" w:rsidRPr="0069630A" w:rsidRDefault="005E17EF" w:rsidP="0069630A">
            <w:pPr>
              <w:keepLines/>
              <w:snapToGrid w:val="0"/>
              <w:spacing w:line="240" w:lineRule="exact"/>
              <w:rPr>
                <w:sz w:val="20"/>
                <w:szCs w:val="20"/>
              </w:rPr>
            </w:pPr>
            <w:r w:rsidRPr="0069630A">
              <w:rPr>
                <w:sz w:val="20"/>
                <w:szCs w:val="20"/>
              </w:rPr>
              <w:t>(0.044)</w:t>
            </w:r>
          </w:p>
        </w:tc>
      </w:tr>
      <w:tr w:rsidR="005E17EF" w:rsidRPr="00353396" w14:paraId="37185753" w14:textId="77777777" w:rsidTr="00F73AB2">
        <w:trPr>
          <w:cantSplit/>
          <w:tblHeader/>
        </w:trPr>
        <w:tc>
          <w:tcPr>
            <w:tcW w:w="1843" w:type="dxa"/>
            <w:vAlign w:val="center"/>
          </w:tcPr>
          <w:p w14:paraId="6D33B409" w14:textId="059E5D7B" w:rsidR="005E17EF" w:rsidRPr="0069630A" w:rsidRDefault="00A95329" w:rsidP="0069630A">
            <w:pPr>
              <w:keepLines/>
              <w:snapToGrid w:val="0"/>
              <w:spacing w:line="240" w:lineRule="exact"/>
              <w:rPr>
                <w:sz w:val="20"/>
                <w:szCs w:val="20"/>
              </w:rPr>
            </w:pPr>
            <w:r w:rsidRPr="0069630A">
              <w:rPr>
                <w:sz w:val="20"/>
                <w:szCs w:val="20"/>
              </w:rPr>
              <w:t>DR</w:t>
            </w:r>
          </w:p>
        </w:tc>
        <w:tc>
          <w:tcPr>
            <w:tcW w:w="2220" w:type="dxa"/>
            <w:vAlign w:val="center"/>
          </w:tcPr>
          <w:p w14:paraId="738EA258" w14:textId="77777777" w:rsidR="005E17EF" w:rsidRPr="0069630A" w:rsidRDefault="005E17EF" w:rsidP="0069630A">
            <w:pPr>
              <w:keepLines/>
              <w:snapToGrid w:val="0"/>
              <w:spacing w:line="240" w:lineRule="exact"/>
              <w:rPr>
                <w:sz w:val="20"/>
                <w:szCs w:val="20"/>
              </w:rPr>
            </w:pPr>
            <w:r w:rsidRPr="0069630A">
              <w:rPr>
                <w:sz w:val="20"/>
                <w:szCs w:val="20"/>
              </w:rPr>
              <w:t>0.284</w:t>
            </w:r>
          </w:p>
        </w:tc>
        <w:tc>
          <w:tcPr>
            <w:tcW w:w="2221" w:type="dxa"/>
            <w:vAlign w:val="center"/>
          </w:tcPr>
          <w:p w14:paraId="41F70B85" w14:textId="77777777" w:rsidR="005E17EF" w:rsidRPr="0069630A" w:rsidRDefault="005E17EF" w:rsidP="0069630A">
            <w:pPr>
              <w:keepLines/>
              <w:snapToGrid w:val="0"/>
              <w:spacing w:line="240" w:lineRule="exact"/>
              <w:rPr>
                <w:sz w:val="20"/>
                <w:szCs w:val="20"/>
              </w:rPr>
            </w:pPr>
            <w:r w:rsidRPr="0069630A">
              <w:rPr>
                <w:sz w:val="20"/>
                <w:szCs w:val="20"/>
              </w:rPr>
              <w:t>0.248</w:t>
            </w:r>
          </w:p>
        </w:tc>
        <w:tc>
          <w:tcPr>
            <w:tcW w:w="1938" w:type="dxa"/>
            <w:vAlign w:val="center"/>
          </w:tcPr>
          <w:p w14:paraId="3D81C967" w14:textId="77777777" w:rsidR="005E17EF" w:rsidRPr="0069630A" w:rsidRDefault="005E17EF" w:rsidP="0069630A">
            <w:pPr>
              <w:keepLines/>
              <w:snapToGrid w:val="0"/>
              <w:spacing w:line="240" w:lineRule="exact"/>
              <w:rPr>
                <w:sz w:val="20"/>
                <w:szCs w:val="20"/>
              </w:rPr>
            </w:pPr>
            <w:r w:rsidRPr="0069630A">
              <w:rPr>
                <w:sz w:val="20"/>
                <w:szCs w:val="20"/>
              </w:rPr>
              <w:t>0.307*</w:t>
            </w:r>
          </w:p>
        </w:tc>
      </w:tr>
      <w:tr w:rsidR="005E17EF" w:rsidRPr="00353396" w14:paraId="63867FC9" w14:textId="77777777" w:rsidTr="00F73AB2">
        <w:trPr>
          <w:cantSplit/>
          <w:tblHeader/>
        </w:trPr>
        <w:tc>
          <w:tcPr>
            <w:tcW w:w="1843" w:type="dxa"/>
            <w:vAlign w:val="center"/>
          </w:tcPr>
          <w:p w14:paraId="3BDADC00" w14:textId="77777777" w:rsidR="005E17EF" w:rsidRPr="0069630A" w:rsidRDefault="005E17EF" w:rsidP="0069630A">
            <w:pPr>
              <w:keepLines/>
              <w:snapToGrid w:val="0"/>
              <w:spacing w:line="240" w:lineRule="exact"/>
              <w:rPr>
                <w:sz w:val="20"/>
                <w:szCs w:val="20"/>
              </w:rPr>
            </w:pPr>
          </w:p>
        </w:tc>
        <w:tc>
          <w:tcPr>
            <w:tcW w:w="2220" w:type="dxa"/>
            <w:vAlign w:val="center"/>
          </w:tcPr>
          <w:p w14:paraId="5636C577" w14:textId="77777777" w:rsidR="005E17EF" w:rsidRPr="0069630A" w:rsidRDefault="005E17EF" w:rsidP="0069630A">
            <w:pPr>
              <w:keepLines/>
              <w:snapToGrid w:val="0"/>
              <w:spacing w:line="240" w:lineRule="exact"/>
              <w:rPr>
                <w:sz w:val="20"/>
                <w:szCs w:val="20"/>
              </w:rPr>
            </w:pPr>
            <w:r w:rsidRPr="0069630A">
              <w:rPr>
                <w:sz w:val="20"/>
                <w:szCs w:val="20"/>
              </w:rPr>
              <w:t>(0.200)</w:t>
            </w:r>
          </w:p>
        </w:tc>
        <w:tc>
          <w:tcPr>
            <w:tcW w:w="2221" w:type="dxa"/>
            <w:vAlign w:val="center"/>
          </w:tcPr>
          <w:p w14:paraId="0E423B6D" w14:textId="77777777" w:rsidR="005E17EF" w:rsidRPr="0069630A" w:rsidRDefault="005E17EF" w:rsidP="0069630A">
            <w:pPr>
              <w:keepLines/>
              <w:snapToGrid w:val="0"/>
              <w:spacing w:line="240" w:lineRule="exact"/>
              <w:rPr>
                <w:sz w:val="20"/>
                <w:szCs w:val="20"/>
              </w:rPr>
            </w:pPr>
            <w:r w:rsidRPr="0069630A">
              <w:rPr>
                <w:sz w:val="20"/>
                <w:szCs w:val="20"/>
              </w:rPr>
              <w:t>(0.205)</w:t>
            </w:r>
          </w:p>
        </w:tc>
        <w:tc>
          <w:tcPr>
            <w:tcW w:w="1938" w:type="dxa"/>
            <w:vAlign w:val="center"/>
          </w:tcPr>
          <w:p w14:paraId="1DEE8C3B" w14:textId="77777777" w:rsidR="005E17EF" w:rsidRPr="0069630A" w:rsidRDefault="005E17EF" w:rsidP="0069630A">
            <w:pPr>
              <w:keepLines/>
              <w:snapToGrid w:val="0"/>
              <w:spacing w:line="240" w:lineRule="exact"/>
              <w:rPr>
                <w:sz w:val="20"/>
                <w:szCs w:val="20"/>
              </w:rPr>
            </w:pPr>
            <w:r w:rsidRPr="0069630A">
              <w:rPr>
                <w:sz w:val="20"/>
                <w:szCs w:val="20"/>
              </w:rPr>
              <w:t>(0.089)</w:t>
            </w:r>
          </w:p>
        </w:tc>
      </w:tr>
      <w:tr w:rsidR="005E17EF" w:rsidRPr="00353396" w14:paraId="34591BA7" w14:textId="77777777" w:rsidTr="00F73AB2">
        <w:trPr>
          <w:cantSplit/>
          <w:tblHeader/>
        </w:trPr>
        <w:tc>
          <w:tcPr>
            <w:tcW w:w="1843" w:type="dxa"/>
            <w:vAlign w:val="center"/>
          </w:tcPr>
          <w:p w14:paraId="39E11F62" w14:textId="4DEF58BA" w:rsidR="005E17EF" w:rsidRPr="0069630A" w:rsidRDefault="00A95329" w:rsidP="0069630A">
            <w:pPr>
              <w:keepLines/>
              <w:snapToGrid w:val="0"/>
              <w:spacing w:line="240" w:lineRule="exact"/>
              <w:rPr>
                <w:sz w:val="20"/>
                <w:szCs w:val="20"/>
              </w:rPr>
            </w:pPr>
            <w:r w:rsidRPr="0069630A">
              <w:rPr>
                <w:sz w:val="20"/>
                <w:szCs w:val="20"/>
              </w:rPr>
              <w:t>R</w:t>
            </w:r>
            <w:r w:rsidR="005E17EF" w:rsidRPr="0069630A">
              <w:rPr>
                <w:sz w:val="20"/>
                <w:szCs w:val="20"/>
              </w:rPr>
              <w:t>unup</w:t>
            </w:r>
          </w:p>
        </w:tc>
        <w:tc>
          <w:tcPr>
            <w:tcW w:w="2220" w:type="dxa"/>
            <w:vAlign w:val="center"/>
          </w:tcPr>
          <w:p w14:paraId="0C7DB285" w14:textId="77777777" w:rsidR="005E17EF" w:rsidRPr="0069630A" w:rsidRDefault="005E17EF" w:rsidP="0069630A">
            <w:pPr>
              <w:keepLines/>
              <w:snapToGrid w:val="0"/>
              <w:spacing w:line="240" w:lineRule="exact"/>
              <w:rPr>
                <w:sz w:val="20"/>
                <w:szCs w:val="20"/>
              </w:rPr>
            </w:pPr>
            <w:r w:rsidRPr="0069630A">
              <w:rPr>
                <w:sz w:val="20"/>
                <w:szCs w:val="20"/>
              </w:rPr>
              <w:t>-0.343</w:t>
            </w:r>
          </w:p>
        </w:tc>
        <w:tc>
          <w:tcPr>
            <w:tcW w:w="2221" w:type="dxa"/>
            <w:vAlign w:val="center"/>
          </w:tcPr>
          <w:p w14:paraId="4D364978" w14:textId="77777777" w:rsidR="005E17EF" w:rsidRPr="0069630A" w:rsidRDefault="005E17EF" w:rsidP="0069630A">
            <w:pPr>
              <w:keepLines/>
              <w:snapToGrid w:val="0"/>
              <w:spacing w:line="240" w:lineRule="exact"/>
              <w:rPr>
                <w:sz w:val="20"/>
                <w:szCs w:val="20"/>
              </w:rPr>
            </w:pPr>
            <w:r w:rsidRPr="0069630A">
              <w:rPr>
                <w:sz w:val="20"/>
                <w:szCs w:val="20"/>
              </w:rPr>
              <w:t>-0.416*</w:t>
            </w:r>
          </w:p>
        </w:tc>
        <w:tc>
          <w:tcPr>
            <w:tcW w:w="1938" w:type="dxa"/>
            <w:vAlign w:val="center"/>
          </w:tcPr>
          <w:p w14:paraId="36AD606E" w14:textId="77777777" w:rsidR="005E17EF" w:rsidRPr="0069630A" w:rsidRDefault="005E17EF" w:rsidP="0069630A">
            <w:pPr>
              <w:keepLines/>
              <w:snapToGrid w:val="0"/>
              <w:spacing w:line="240" w:lineRule="exact"/>
              <w:rPr>
                <w:sz w:val="20"/>
                <w:szCs w:val="20"/>
              </w:rPr>
            </w:pPr>
            <w:r w:rsidRPr="0069630A">
              <w:rPr>
                <w:sz w:val="20"/>
                <w:szCs w:val="20"/>
              </w:rPr>
              <w:t>-0.485**</w:t>
            </w:r>
          </w:p>
        </w:tc>
      </w:tr>
      <w:tr w:rsidR="005E17EF" w:rsidRPr="00353396" w14:paraId="42621972" w14:textId="77777777" w:rsidTr="00F73AB2">
        <w:trPr>
          <w:cantSplit/>
          <w:tblHeader/>
        </w:trPr>
        <w:tc>
          <w:tcPr>
            <w:tcW w:w="1843" w:type="dxa"/>
            <w:vAlign w:val="center"/>
          </w:tcPr>
          <w:p w14:paraId="59869847" w14:textId="77777777" w:rsidR="005E17EF" w:rsidRPr="0069630A" w:rsidRDefault="005E17EF" w:rsidP="0069630A">
            <w:pPr>
              <w:keepLines/>
              <w:snapToGrid w:val="0"/>
              <w:spacing w:line="240" w:lineRule="exact"/>
              <w:rPr>
                <w:sz w:val="20"/>
                <w:szCs w:val="20"/>
              </w:rPr>
            </w:pPr>
          </w:p>
        </w:tc>
        <w:tc>
          <w:tcPr>
            <w:tcW w:w="2220" w:type="dxa"/>
            <w:vAlign w:val="center"/>
          </w:tcPr>
          <w:p w14:paraId="1B8CC7FE" w14:textId="77777777" w:rsidR="005E17EF" w:rsidRPr="0069630A" w:rsidRDefault="005E17EF" w:rsidP="0069630A">
            <w:pPr>
              <w:keepLines/>
              <w:snapToGrid w:val="0"/>
              <w:spacing w:line="240" w:lineRule="exact"/>
              <w:rPr>
                <w:sz w:val="20"/>
                <w:szCs w:val="20"/>
              </w:rPr>
            </w:pPr>
            <w:r w:rsidRPr="0069630A">
              <w:rPr>
                <w:sz w:val="20"/>
                <w:szCs w:val="20"/>
              </w:rPr>
              <w:t>(0.133)</w:t>
            </w:r>
          </w:p>
        </w:tc>
        <w:tc>
          <w:tcPr>
            <w:tcW w:w="2221" w:type="dxa"/>
            <w:vAlign w:val="center"/>
          </w:tcPr>
          <w:p w14:paraId="02E119D8" w14:textId="77777777" w:rsidR="005E17EF" w:rsidRPr="0069630A" w:rsidRDefault="005E17EF" w:rsidP="0069630A">
            <w:pPr>
              <w:keepLines/>
              <w:snapToGrid w:val="0"/>
              <w:spacing w:line="240" w:lineRule="exact"/>
              <w:rPr>
                <w:sz w:val="20"/>
                <w:szCs w:val="20"/>
              </w:rPr>
            </w:pPr>
            <w:r w:rsidRPr="0069630A">
              <w:rPr>
                <w:sz w:val="20"/>
                <w:szCs w:val="20"/>
              </w:rPr>
              <w:t>(0.057)</w:t>
            </w:r>
          </w:p>
        </w:tc>
        <w:tc>
          <w:tcPr>
            <w:tcW w:w="1938" w:type="dxa"/>
            <w:vAlign w:val="center"/>
          </w:tcPr>
          <w:p w14:paraId="10A91A49" w14:textId="77777777" w:rsidR="005E17EF" w:rsidRPr="0069630A" w:rsidRDefault="005E17EF" w:rsidP="0069630A">
            <w:pPr>
              <w:keepLines/>
              <w:snapToGrid w:val="0"/>
              <w:spacing w:line="240" w:lineRule="exact"/>
              <w:rPr>
                <w:sz w:val="20"/>
                <w:szCs w:val="20"/>
              </w:rPr>
            </w:pPr>
            <w:r w:rsidRPr="0069630A">
              <w:rPr>
                <w:sz w:val="20"/>
                <w:szCs w:val="20"/>
              </w:rPr>
              <w:t>(0.019)</w:t>
            </w:r>
          </w:p>
        </w:tc>
      </w:tr>
      <w:tr w:rsidR="005E17EF" w:rsidRPr="00353396" w14:paraId="01E5E210" w14:textId="77777777" w:rsidTr="00F73AB2">
        <w:trPr>
          <w:cantSplit/>
          <w:tblHeader/>
        </w:trPr>
        <w:tc>
          <w:tcPr>
            <w:tcW w:w="1843" w:type="dxa"/>
            <w:vAlign w:val="center"/>
          </w:tcPr>
          <w:p w14:paraId="4876FA5D" w14:textId="1172B89F" w:rsidR="005E17EF" w:rsidRPr="0069630A" w:rsidRDefault="00A95329" w:rsidP="0069630A">
            <w:pPr>
              <w:keepLines/>
              <w:snapToGrid w:val="0"/>
              <w:spacing w:line="240" w:lineRule="exact"/>
              <w:rPr>
                <w:sz w:val="20"/>
                <w:szCs w:val="20"/>
              </w:rPr>
            </w:pPr>
            <w:r w:rsidRPr="0069630A">
              <w:rPr>
                <w:sz w:val="20"/>
                <w:szCs w:val="20"/>
              </w:rPr>
              <w:t>H</w:t>
            </w:r>
            <w:r w:rsidR="005E17EF" w:rsidRPr="0069630A">
              <w:rPr>
                <w:sz w:val="20"/>
                <w:szCs w:val="20"/>
              </w:rPr>
              <w:t>orizon</w:t>
            </w:r>
          </w:p>
        </w:tc>
        <w:tc>
          <w:tcPr>
            <w:tcW w:w="2220" w:type="dxa"/>
            <w:vAlign w:val="center"/>
          </w:tcPr>
          <w:p w14:paraId="176F945C" w14:textId="77777777" w:rsidR="005E17EF" w:rsidRPr="0069630A" w:rsidRDefault="005E17EF" w:rsidP="0069630A">
            <w:pPr>
              <w:keepLines/>
              <w:snapToGrid w:val="0"/>
              <w:spacing w:line="240" w:lineRule="exact"/>
              <w:rPr>
                <w:sz w:val="20"/>
                <w:szCs w:val="20"/>
              </w:rPr>
            </w:pPr>
            <w:r w:rsidRPr="0069630A">
              <w:rPr>
                <w:sz w:val="20"/>
                <w:szCs w:val="20"/>
              </w:rPr>
              <w:t>-0.088</w:t>
            </w:r>
          </w:p>
        </w:tc>
        <w:tc>
          <w:tcPr>
            <w:tcW w:w="2221" w:type="dxa"/>
            <w:vAlign w:val="center"/>
          </w:tcPr>
          <w:p w14:paraId="2E9B4758" w14:textId="77777777" w:rsidR="005E17EF" w:rsidRPr="0069630A" w:rsidRDefault="005E17EF" w:rsidP="0069630A">
            <w:pPr>
              <w:keepLines/>
              <w:snapToGrid w:val="0"/>
              <w:spacing w:line="240" w:lineRule="exact"/>
              <w:rPr>
                <w:sz w:val="20"/>
                <w:szCs w:val="20"/>
              </w:rPr>
            </w:pPr>
            <w:r w:rsidRPr="0069630A">
              <w:rPr>
                <w:sz w:val="20"/>
                <w:szCs w:val="20"/>
              </w:rPr>
              <w:t>-0.086</w:t>
            </w:r>
          </w:p>
        </w:tc>
        <w:tc>
          <w:tcPr>
            <w:tcW w:w="1938" w:type="dxa"/>
            <w:vAlign w:val="center"/>
          </w:tcPr>
          <w:p w14:paraId="160CBE1B" w14:textId="77777777" w:rsidR="005E17EF" w:rsidRPr="0069630A" w:rsidRDefault="005E17EF" w:rsidP="0069630A">
            <w:pPr>
              <w:keepLines/>
              <w:snapToGrid w:val="0"/>
              <w:spacing w:line="240" w:lineRule="exact"/>
              <w:rPr>
                <w:sz w:val="20"/>
                <w:szCs w:val="20"/>
              </w:rPr>
            </w:pPr>
            <w:r w:rsidRPr="0069630A">
              <w:rPr>
                <w:sz w:val="20"/>
                <w:szCs w:val="20"/>
              </w:rPr>
              <w:t>-0.061</w:t>
            </w:r>
          </w:p>
        </w:tc>
      </w:tr>
      <w:tr w:rsidR="005E17EF" w:rsidRPr="00353396" w14:paraId="546B6DF7" w14:textId="77777777" w:rsidTr="00F73AB2">
        <w:trPr>
          <w:cantSplit/>
          <w:tblHeader/>
        </w:trPr>
        <w:tc>
          <w:tcPr>
            <w:tcW w:w="1843" w:type="dxa"/>
            <w:vAlign w:val="center"/>
          </w:tcPr>
          <w:p w14:paraId="6B1E2187" w14:textId="77777777" w:rsidR="005E17EF" w:rsidRPr="0069630A" w:rsidRDefault="005E17EF" w:rsidP="0069630A">
            <w:pPr>
              <w:keepLines/>
              <w:snapToGrid w:val="0"/>
              <w:spacing w:line="240" w:lineRule="exact"/>
              <w:rPr>
                <w:sz w:val="20"/>
                <w:szCs w:val="20"/>
              </w:rPr>
            </w:pPr>
          </w:p>
        </w:tc>
        <w:tc>
          <w:tcPr>
            <w:tcW w:w="2220" w:type="dxa"/>
            <w:vAlign w:val="center"/>
          </w:tcPr>
          <w:p w14:paraId="7DF92E34" w14:textId="77777777" w:rsidR="005E17EF" w:rsidRPr="0069630A" w:rsidRDefault="005E17EF" w:rsidP="0069630A">
            <w:pPr>
              <w:keepLines/>
              <w:snapToGrid w:val="0"/>
              <w:spacing w:line="240" w:lineRule="exact"/>
              <w:rPr>
                <w:sz w:val="20"/>
                <w:szCs w:val="20"/>
              </w:rPr>
            </w:pPr>
            <w:r w:rsidRPr="0069630A">
              <w:rPr>
                <w:sz w:val="20"/>
                <w:szCs w:val="20"/>
              </w:rPr>
              <w:t>(0.246)</w:t>
            </w:r>
          </w:p>
        </w:tc>
        <w:tc>
          <w:tcPr>
            <w:tcW w:w="2221" w:type="dxa"/>
            <w:vAlign w:val="center"/>
          </w:tcPr>
          <w:p w14:paraId="5B6E82E4" w14:textId="77777777" w:rsidR="005E17EF" w:rsidRPr="0069630A" w:rsidRDefault="005E17EF" w:rsidP="0069630A">
            <w:pPr>
              <w:keepLines/>
              <w:snapToGrid w:val="0"/>
              <w:spacing w:line="240" w:lineRule="exact"/>
              <w:rPr>
                <w:sz w:val="20"/>
                <w:szCs w:val="20"/>
              </w:rPr>
            </w:pPr>
            <w:r w:rsidRPr="0069630A">
              <w:rPr>
                <w:sz w:val="20"/>
                <w:szCs w:val="20"/>
              </w:rPr>
              <w:t>(0.193)</w:t>
            </w:r>
          </w:p>
        </w:tc>
        <w:tc>
          <w:tcPr>
            <w:tcW w:w="1938" w:type="dxa"/>
            <w:vAlign w:val="center"/>
          </w:tcPr>
          <w:p w14:paraId="39A0445D" w14:textId="77777777" w:rsidR="005E17EF" w:rsidRPr="0069630A" w:rsidRDefault="005E17EF" w:rsidP="0069630A">
            <w:pPr>
              <w:keepLines/>
              <w:snapToGrid w:val="0"/>
              <w:spacing w:line="240" w:lineRule="exact"/>
              <w:rPr>
                <w:sz w:val="20"/>
                <w:szCs w:val="20"/>
              </w:rPr>
            </w:pPr>
            <w:r w:rsidRPr="0069630A">
              <w:rPr>
                <w:sz w:val="20"/>
                <w:szCs w:val="20"/>
              </w:rPr>
              <w:t>(0.327)</w:t>
            </w:r>
          </w:p>
        </w:tc>
      </w:tr>
      <w:tr w:rsidR="005E17EF" w:rsidRPr="00353396" w14:paraId="5C6422AF" w14:textId="77777777" w:rsidTr="00F73AB2">
        <w:trPr>
          <w:cantSplit/>
          <w:tblHeader/>
        </w:trPr>
        <w:tc>
          <w:tcPr>
            <w:tcW w:w="1843" w:type="dxa"/>
            <w:vAlign w:val="center"/>
          </w:tcPr>
          <w:p w14:paraId="38666FD4" w14:textId="40CB02D6" w:rsidR="005E17EF" w:rsidRPr="0069630A" w:rsidRDefault="00AF4094" w:rsidP="0069630A">
            <w:pPr>
              <w:keepLines/>
              <w:snapToGrid w:val="0"/>
              <w:spacing w:line="240" w:lineRule="exact"/>
              <w:rPr>
                <w:sz w:val="20"/>
                <w:szCs w:val="20"/>
              </w:rPr>
            </w:pPr>
            <w:proofErr w:type="spellStart"/>
            <w:r w:rsidRPr="0069630A">
              <w:rPr>
                <w:sz w:val="20"/>
                <w:szCs w:val="20"/>
              </w:rPr>
              <w:t>D</w:t>
            </w:r>
            <w:r w:rsidRPr="0069630A">
              <w:rPr>
                <w:sz w:val="20"/>
                <w:szCs w:val="20"/>
                <w:vertAlign w:val="superscript"/>
              </w:rPr>
              <w:t>cash</w:t>
            </w:r>
            <w:proofErr w:type="spellEnd"/>
          </w:p>
        </w:tc>
        <w:tc>
          <w:tcPr>
            <w:tcW w:w="2220" w:type="dxa"/>
            <w:vAlign w:val="center"/>
          </w:tcPr>
          <w:p w14:paraId="4CDCDC5A" w14:textId="77777777" w:rsidR="005E17EF" w:rsidRPr="0069630A" w:rsidRDefault="005E17EF" w:rsidP="0069630A">
            <w:pPr>
              <w:keepLines/>
              <w:snapToGrid w:val="0"/>
              <w:spacing w:line="240" w:lineRule="exact"/>
              <w:rPr>
                <w:sz w:val="20"/>
                <w:szCs w:val="20"/>
              </w:rPr>
            </w:pPr>
            <w:r w:rsidRPr="0069630A">
              <w:rPr>
                <w:sz w:val="20"/>
                <w:szCs w:val="20"/>
              </w:rPr>
              <w:t>0.157*</w:t>
            </w:r>
          </w:p>
        </w:tc>
        <w:tc>
          <w:tcPr>
            <w:tcW w:w="2221" w:type="dxa"/>
            <w:vAlign w:val="center"/>
          </w:tcPr>
          <w:p w14:paraId="4FFE3559" w14:textId="77777777" w:rsidR="005E17EF" w:rsidRPr="0069630A" w:rsidRDefault="005E17EF" w:rsidP="0069630A">
            <w:pPr>
              <w:keepLines/>
              <w:snapToGrid w:val="0"/>
              <w:spacing w:line="240" w:lineRule="exact"/>
              <w:rPr>
                <w:sz w:val="20"/>
                <w:szCs w:val="20"/>
              </w:rPr>
            </w:pPr>
            <w:r w:rsidRPr="0069630A">
              <w:rPr>
                <w:sz w:val="20"/>
                <w:szCs w:val="20"/>
              </w:rPr>
              <w:t>0.162**</w:t>
            </w:r>
          </w:p>
        </w:tc>
        <w:tc>
          <w:tcPr>
            <w:tcW w:w="1938" w:type="dxa"/>
            <w:vAlign w:val="center"/>
          </w:tcPr>
          <w:p w14:paraId="66516A33" w14:textId="77777777" w:rsidR="005E17EF" w:rsidRPr="0069630A" w:rsidRDefault="005E17EF" w:rsidP="0069630A">
            <w:pPr>
              <w:keepLines/>
              <w:snapToGrid w:val="0"/>
              <w:spacing w:line="240" w:lineRule="exact"/>
              <w:rPr>
                <w:sz w:val="20"/>
                <w:szCs w:val="20"/>
              </w:rPr>
            </w:pPr>
            <w:r w:rsidRPr="0069630A">
              <w:rPr>
                <w:sz w:val="20"/>
                <w:szCs w:val="20"/>
              </w:rPr>
              <w:t>0.152**</w:t>
            </w:r>
          </w:p>
        </w:tc>
      </w:tr>
      <w:tr w:rsidR="005E17EF" w:rsidRPr="00353396" w14:paraId="7B0D072D" w14:textId="77777777" w:rsidTr="00F73AB2">
        <w:trPr>
          <w:cantSplit/>
          <w:tblHeader/>
        </w:trPr>
        <w:tc>
          <w:tcPr>
            <w:tcW w:w="1843" w:type="dxa"/>
            <w:vAlign w:val="center"/>
          </w:tcPr>
          <w:p w14:paraId="08936C98" w14:textId="77777777" w:rsidR="005E17EF" w:rsidRPr="0069630A" w:rsidRDefault="005E17EF" w:rsidP="0069630A">
            <w:pPr>
              <w:keepLines/>
              <w:snapToGrid w:val="0"/>
              <w:spacing w:line="240" w:lineRule="exact"/>
              <w:rPr>
                <w:sz w:val="20"/>
                <w:szCs w:val="20"/>
              </w:rPr>
            </w:pPr>
          </w:p>
        </w:tc>
        <w:tc>
          <w:tcPr>
            <w:tcW w:w="2220" w:type="dxa"/>
            <w:vAlign w:val="center"/>
          </w:tcPr>
          <w:p w14:paraId="1AB9AE9B" w14:textId="77777777" w:rsidR="005E17EF" w:rsidRPr="0069630A" w:rsidRDefault="005E17EF" w:rsidP="0069630A">
            <w:pPr>
              <w:keepLines/>
              <w:snapToGrid w:val="0"/>
              <w:spacing w:line="240" w:lineRule="exact"/>
              <w:rPr>
                <w:sz w:val="20"/>
                <w:szCs w:val="20"/>
              </w:rPr>
            </w:pPr>
            <w:r w:rsidRPr="0069630A">
              <w:rPr>
                <w:sz w:val="20"/>
                <w:szCs w:val="20"/>
              </w:rPr>
              <w:t>(0.095)</w:t>
            </w:r>
          </w:p>
        </w:tc>
        <w:tc>
          <w:tcPr>
            <w:tcW w:w="2221" w:type="dxa"/>
            <w:vAlign w:val="center"/>
          </w:tcPr>
          <w:p w14:paraId="606C2A4D" w14:textId="77777777" w:rsidR="005E17EF" w:rsidRPr="0069630A" w:rsidRDefault="005E17EF" w:rsidP="0069630A">
            <w:pPr>
              <w:keepLines/>
              <w:snapToGrid w:val="0"/>
              <w:spacing w:line="240" w:lineRule="exact"/>
              <w:rPr>
                <w:sz w:val="20"/>
                <w:szCs w:val="20"/>
              </w:rPr>
            </w:pPr>
            <w:r w:rsidRPr="0069630A">
              <w:rPr>
                <w:sz w:val="20"/>
                <w:szCs w:val="20"/>
              </w:rPr>
              <w:t>(0.042)</w:t>
            </w:r>
          </w:p>
        </w:tc>
        <w:tc>
          <w:tcPr>
            <w:tcW w:w="1938" w:type="dxa"/>
            <w:vAlign w:val="center"/>
          </w:tcPr>
          <w:p w14:paraId="309FBC71" w14:textId="77777777" w:rsidR="005E17EF" w:rsidRPr="0069630A" w:rsidRDefault="005E17EF" w:rsidP="0069630A">
            <w:pPr>
              <w:keepLines/>
              <w:snapToGrid w:val="0"/>
              <w:spacing w:line="240" w:lineRule="exact"/>
              <w:rPr>
                <w:sz w:val="20"/>
                <w:szCs w:val="20"/>
              </w:rPr>
            </w:pPr>
            <w:r w:rsidRPr="0069630A">
              <w:rPr>
                <w:sz w:val="20"/>
                <w:szCs w:val="20"/>
              </w:rPr>
              <w:t>(0.045)</w:t>
            </w:r>
          </w:p>
        </w:tc>
      </w:tr>
      <w:tr w:rsidR="005E17EF" w:rsidRPr="00353396" w14:paraId="3CFA3869" w14:textId="77777777" w:rsidTr="00F73AB2">
        <w:trPr>
          <w:cantSplit/>
          <w:tblHeader/>
        </w:trPr>
        <w:tc>
          <w:tcPr>
            <w:tcW w:w="1843" w:type="dxa"/>
            <w:vAlign w:val="center"/>
          </w:tcPr>
          <w:p w14:paraId="3DD9382B" w14:textId="0F22B157" w:rsidR="005E17EF" w:rsidRPr="0069630A" w:rsidRDefault="00AF4094" w:rsidP="0069630A">
            <w:pPr>
              <w:keepLines/>
              <w:snapToGrid w:val="0"/>
              <w:spacing w:line="240" w:lineRule="exact"/>
              <w:rPr>
                <w:sz w:val="20"/>
                <w:szCs w:val="20"/>
              </w:rPr>
            </w:pPr>
            <w:proofErr w:type="spellStart"/>
            <w:r w:rsidRPr="0069630A">
              <w:rPr>
                <w:sz w:val="20"/>
                <w:szCs w:val="20"/>
              </w:rPr>
              <w:t>D</w:t>
            </w:r>
            <w:r w:rsidRPr="0069630A">
              <w:rPr>
                <w:sz w:val="20"/>
                <w:szCs w:val="20"/>
                <w:vertAlign w:val="superscript"/>
              </w:rPr>
              <w:t>stock</w:t>
            </w:r>
            <w:proofErr w:type="spellEnd"/>
          </w:p>
        </w:tc>
        <w:tc>
          <w:tcPr>
            <w:tcW w:w="2220" w:type="dxa"/>
            <w:vAlign w:val="center"/>
          </w:tcPr>
          <w:p w14:paraId="514C95F9" w14:textId="77777777" w:rsidR="005E17EF" w:rsidRPr="0069630A" w:rsidRDefault="005E17EF" w:rsidP="0069630A">
            <w:pPr>
              <w:keepLines/>
              <w:snapToGrid w:val="0"/>
              <w:spacing w:line="240" w:lineRule="exact"/>
              <w:rPr>
                <w:sz w:val="20"/>
                <w:szCs w:val="20"/>
              </w:rPr>
            </w:pPr>
            <w:r w:rsidRPr="0069630A">
              <w:rPr>
                <w:sz w:val="20"/>
                <w:szCs w:val="20"/>
              </w:rPr>
              <w:t>-0.036</w:t>
            </w:r>
          </w:p>
        </w:tc>
        <w:tc>
          <w:tcPr>
            <w:tcW w:w="2221" w:type="dxa"/>
            <w:vAlign w:val="center"/>
          </w:tcPr>
          <w:p w14:paraId="02224ED2" w14:textId="77777777" w:rsidR="005E17EF" w:rsidRPr="0069630A" w:rsidRDefault="005E17EF" w:rsidP="0069630A">
            <w:pPr>
              <w:keepLines/>
              <w:snapToGrid w:val="0"/>
              <w:spacing w:line="240" w:lineRule="exact"/>
              <w:rPr>
                <w:sz w:val="20"/>
                <w:szCs w:val="20"/>
              </w:rPr>
            </w:pPr>
            <w:r w:rsidRPr="0069630A">
              <w:rPr>
                <w:sz w:val="20"/>
                <w:szCs w:val="20"/>
              </w:rPr>
              <w:t>-0.140</w:t>
            </w:r>
          </w:p>
        </w:tc>
        <w:tc>
          <w:tcPr>
            <w:tcW w:w="1938" w:type="dxa"/>
            <w:vAlign w:val="center"/>
          </w:tcPr>
          <w:p w14:paraId="79368E33" w14:textId="77777777" w:rsidR="005E17EF" w:rsidRPr="0069630A" w:rsidRDefault="005E17EF" w:rsidP="0069630A">
            <w:pPr>
              <w:keepLines/>
              <w:snapToGrid w:val="0"/>
              <w:spacing w:line="240" w:lineRule="exact"/>
              <w:rPr>
                <w:sz w:val="20"/>
                <w:szCs w:val="20"/>
              </w:rPr>
            </w:pPr>
            <w:r w:rsidRPr="0069630A">
              <w:rPr>
                <w:sz w:val="20"/>
                <w:szCs w:val="20"/>
              </w:rPr>
              <w:t>-0.189*</w:t>
            </w:r>
          </w:p>
        </w:tc>
      </w:tr>
      <w:tr w:rsidR="005E17EF" w:rsidRPr="00353396" w14:paraId="2F60ABAE" w14:textId="77777777" w:rsidTr="00F73AB2">
        <w:trPr>
          <w:cantSplit/>
          <w:tblHeader/>
        </w:trPr>
        <w:tc>
          <w:tcPr>
            <w:tcW w:w="1843" w:type="dxa"/>
            <w:vAlign w:val="center"/>
          </w:tcPr>
          <w:p w14:paraId="6652E4B1" w14:textId="77777777" w:rsidR="005E17EF" w:rsidRPr="0069630A" w:rsidRDefault="005E17EF" w:rsidP="0069630A">
            <w:pPr>
              <w:keepLines/>
              <w:snapToGrid w:val="0"/>
              <w:spacing w:line="240" w:lineRule="exact"/>
              <w:rPr>
                <w:sz w:val="20"/>
                <w:szCs w:val="20"/>
              </w:rPr>
            </w:pPr>
          </w:p>
        </w:tc>
        <w:tc>
          <w:tcPr>
            <w:tcW w:w="2220" w:type="dxa"/>
            <w:vAlign w:val="center"/>
          </w:tcPr>
          <w:p w14:paraId="151C3E42" w14:textId="77777777" w:rsidR="005E17EF" w:rsidRPr="0069630A" w:rsidRDefault="005E17EF" w:rsidP="0069630A">
            <w:pPr>
              <w:keepLines/>
              <w:snapToGrid w:val="0"/>
              <w:spacing w:line="240" w:lineRule="exact"/>
              <w:rPr>
                <w:sz w:val="20"/>
                <w:szCs w:val="20"/>
              </w:rPr>
            </w:pPr>
            <w:r w:rsidRPr="0069630A">
              <w:rPr>
                <w:sz w:val="20"/>
                <w:szCs w:val="20"/>
              </w:rPr>
              <w:t>(0.777)</w:t>
            </w:r>
          </w:p>
        </w:tc>
        <w:tc>
          <w:tcPr>
            <w:tcW w:w="2221" w:type="dxa"/>
            <w:vAlign w:val="center"/>
          </w:tcPr>
          <w:p w14:paraId="778D294A" w14:textId="77777777" w:rsidR="005E17EF" w:rsidRPr="0069630A" w:rsidRDefault="005E17EF" w:rsidP="0069630A">
            <w:pPr>
              <w:keepLines/>
              <w:snapToGrid w:val="0"/>
              <w:spacing w:line="240" w:lineRule="exact"/>
              <w:rPr>
                <w:sz w:val="20"/>
                <w:szCs w:val="20"/>
              </w:rPr>
            </w:pPr>
            <w:r w:rsidRPr="0069630A">
              <w:rPr>
                <w:sz w:val="20"/>
                <w:szCs w:val="20"/>
              </w:rPr>
              <w:t>(0.227)</w:t>
            </w:r>
          </w:p>
        </w:tc>
        <w:tc>
          <w:tcPr>
            <w:tcW w:w="1938" w:type="dxa"/>
            <w:vAlign w:val="center"/>
          </w:tcPr>
          <w:p w14:paraId="7D75E860" w14:textId="77777777" w:rsidR="005E17EF" w:rsidRPr="0069630A" w:rsidRDefault="005E17EF" w:rsidP="0069630A">
            <w:pPr>
              <w:keepLines/>
              <w:snapToGrid w:val="0"/>
              <w:spacing w:line="240" w:lineRule="exact"/>
              <w:rPr>
                <w:sz w:val="20"/>
                <w:szCs w:val="20"/>
              </w:rPr>
            </w:pPr>
            <w:r w:rsidRPr="0069630A">
              <w:rPr>
                <w:sz w:val="20"/>
                <w:szCs w:val="20"/>
              </w:rPr>
              <w:t>(0.081)</w:t>
            </w:r>
          </w:p>
        </w:tc>
      </w:tr>
      <w:tr w:rsidR="005E17EF" w:rsidRPr="00353396" w14:paraId="5CE7F524" w14:textId="77777777" w:rsidTr="00F73AB2">
        <w:trPr>
          <w:cantSplit/>
          <w:tblHeader/>
        </w:trPr>
        <w:tc>
          <w:tcPr>
            <w:tcW w:w="1843" w:type="dxa"/>
            <w:vAlign w:val="center"/>
          </w:tcPr>
          <w:p w14:paraId="2AA6EEFB" w14:textId="77777777" w:rsidR="005E17EF" w:rsidRPr="0069630A" w:rsidRDefault="005E17EF" w:rsidP="0069630A">
            <w:pPr>
              <w:keepLines/>
              <w:snapToGrid w:val="0"/>
              <w:spacing w:line="240" w:lineRule="exact"/>
              <w:rPr>
                <w:sz w:val="20"/>
                <w:szCs w:val="20"/>
              </w:rPr>
            </w:pPr>
            <w:r w:rsidRPr="0069630A">
              <w:rPr>
                <w:sz w:val="20"/>
                <w:szCs w:val="20"/>
              </w:rPr>
              <w:t>Constant</w:t>
            </w:r>
          </w:p>
        </w:tc>
        <w:tc>
          <w:tcPr>
            <w:tcW w:w="2220" w:type="dxa"/>
            <w:vAlign w:val="center"/>
          </w:tcPr>
          <w:p w14:paraId="612AD292" w14:textId="77777777" w:rsidR="005E17EF" w:rsidRPr="0069630A" w:rsidRDefault="005E17EF" w:rsidP="0069630A">
            <w:pPr>
              <w:keepLines/>
              <w:snapToGrid w:val="0"/>
              <w:spacing w:line="240" w:lineRule="exact"/>
              <w:rPr>
                <w:sz w:val="20"/>
                <w:szCs w:val="20"/>
              </w:rPr>
            </w:pPr>
            <w:r w:rsidRPr="0069630A">
              <w:rPr>
                <w:sz w:val="20"/>
                <w:szCs w:val="20"/>
              </w:rPr>
              <w:t>-1.823***</w:t>
            </w:r>
          </w:p>
        </w:tc>
        <w:tc>
          <w:tcPr>
            <w:tcW w:w="2221" w:type="dxa"/>
            <w:vAlign w:val="center"/>
          </w:tcPr>
          <w:p w14:paraId="42DD1E81" w14:textId="77777777" w:rsidR="005E17EF" w:rsidRPr="0069630A" w:rsidRDefault="005E17EF" w:rsidP="0069630A">
            <w:pPr>
              <w:keepLines/>
              <w:snapToGrid w:val="0"/>
              <w:spacing w:line="240" w:lineRule="exact"/>
              <w:rPr>
                <w:sz w:val="20"/>
                <w:szCs w:val="20"/>
              </w:rPr>
            </w:pPr>
            <w:r w:rsidRPr="0069630A">
              <w:rPr>
                <w:sz w:val="20"/>
                <w:szCs w:val="20"/>
              </w:rPr>
              <w:t>-1.506***</w:t>
            </w:r>
          </w:p>
        </w:tc>
        <w:tc>
          <w:tcPr>
            <w:tcW w:w="1938" w:type="dxa"/>
            <w:vAlign w:val="center"/>
          </w:tcPr>
          <w:p w14:paraId="37E8112E" w14:textId="77777777" w:rsidR="005E17EF" w:rsidRPr="0069630A" w:rsidRDefault="005E17EF" w:rsidP="0069630A">
            <w:pPr>
              <w:keepLines/>
              <w:snapToGrid w:val="0"/>
              <w:spacing w:line="240" w:lineRule="exact"/>
              <w:rPr>
                <w:sz w:val="20"/>
                <w:szCs w:val="20"/>
              </w:rPr>
            </w:pPr>
            <w:r w:rsidRPr="0069630A">
              <w:rPr>
                <w:sz w:val="20"/>
                <w:szCs w:val="20"/>
              </w:rPr>
              <w:t>-1.291***</w:t>
            </w:r>
          </w:p>
        </w:tc>
      </w:tr>
      <w:tr w:rsidR="005E17EF" w:rsidRPr="00353396" w14:paraId="4B040690" w14:textId="77777777" w:rsidTr="00F73AB2">
        <w:trPr>
          <w:cantSplit/>
          <w:tblHeader/>
        </w:trPr>
        <w:tc>
          <w:tcPr>
            <w:tcW w:w="1843" w:type="dxa"/>
            <w:tcBorders>
              <w:bottom w:val="single" w:sz="4" w:space="0" w:color="auto"/>
            </w:tcBorders>
            <w:vAlign w:val="center"/>
          </w:tcPr>
          <w:p w14:paraId="49B44157" w14:textId="77777777" w:rsidR="005E17EF" w:rsidRPr="0069630A" w:rsidRDefault="005E17EF" w:rsidP="0069630A">
            <w:pPr>
              <w:keepLines/>
              <w:snapToGrid w:val="0"/>
              <w:spacing w:line="240" w:lineRule="exact"/>
              <w:rPr>
                <w:sz w:val="20"/>
                <w:szCs w:val="20"/>
              </w:rPr>
            </w:pPr>
          </w:p>
        </w:tc>
        <w:tc>
          <w:tcPr>
            <w:tcW w:w="2220" w:type="dxa"/>
            <w:tcBorders>
              <w:bottom w:val="single" w:sz="4" w:space="0" w:color="auto"/>
            </w:tcBorders>
            <w:vAlign w:val="center"/>
          </w:tcPr>
          <w:p w14:paraId="233B8996" w14:textId="77777777" w:rsidR="005E17EF" w:rsidRPr="0069630A" w:rsidRDefault="005E17EF" w:rsidP="0069630A">
            <w:pPr>
              <w:keepLines/>
              <w:snapToGrid w:val="0"/>
              <w:spacing w:line="240" w:lineRule="exact"/>
              <w:rPr>
                <w:sz w:val="20"/>
                <w:szCs w:val="20"/>
              </w:rPr>
            </w:pPr>
            <w:r w:rsidRPr="0069630A">
              <w:rPr>
                <w:sz w:val="20"/>
                <w:szCs w:val="20"/>
              </w:rPr>
              <w:t>(0.001)</w:t>
            </w:r>
          </w:p>
        </w:tc>
        <w:tc>
          <w:tcPr>
            <w:tcW w:w="2221" w:type="dxa"/>
            <w:tcBorders>
              <w:bottom w:val="single" w:sz="4" w:space="0" w:color="auto"/>
            </w:tcBorders>
            <w:vAlign w:val="center"/>
          </w:tcPr>
          <w:p w14:paraId="3E1A174F" w14:textId="77777777" w:rsidR="005E17EF" w:rsidRPr="0069630A" w:rsidRDefault="005E17EF" w:rsidP="0069630A">
            <w:pPr>
              <w:keepLines/>
              <w:snapToGrid w:val="0"/>
              <w:spacing w:line="240" w:lineRule="exact"/>
              <w:rPr>
                <w:sz w:val="20"/>
                <w:szCs w:val="20"/>
              </w:rPr>
            </w:pPr>
            <w:r w:rsidRPr="0069630A">
              <w:rPr>
                <w:sz w:val="20"/>
                <w:szCs w:val="20"/>
              </w:rPr>
              <w:t>(0.002)</w:t>
            </w:r>
          </w:p>
        </w:tc>
        <w:tc>
          <w:tcPr>
            <w:tcW w:w="1938" w:type="dxa"/>
            <w:tcBorders>
              <w:bottom w:val="single" w:sz="4" w:space="0" w:color="auto"/>
            </w:tcBorders>
            <w:vAlign w:val="center"/>
          </w:tcPr>
          <w:p w14:paraId="09FD070C" w14:textId="77777777" w:rsidR="005E17EF" w:rsidRPr="0069630A" w:rsidRDefault="005E17EF" w:rsidP="0069630A">
            <w:pPr>
              <w:keepLines/>
              <w:snapToGrid w:val="0"/>
              <w:spacing w:line="240" w:lineRule="exact"/>
              <w:rPr>
                <w:sz w:val="20"/>
                <w:szCs w:val="20"/>
              </w:rPr>
            </w:pPr>
            <w:r w:rsidRPr="0069630A">
              <w:rPr>
                <w:sz w:val="20"/>
                <w:szCs w:val="20"/>
              </w:rPr>
              <w:t>(0.004)</w:t>
            </w:r>
          </w:p>
        </w:tc>
      </w:tr>
      <w:tr w:rsidR="005E17EF" w:rsidRPr="00353396" w14:paraId="5CC11F53" w14:textId="77777777" w:rsidTr="00F73AB2">
        <w:trPr>
          <w:cantSplit/>
          <w:tblHeader/>
        </w:trPr>
        <w:tc>
          <w:tcPr>
            <w:tcW w:w="1843" w:type="dxa"/>
            <w:tcBorders>
              <w:top w:val="single" w:sz="4" w:space="0" w:color="auto"/>
              <w:bottom w:val="single" w:sz="4" w:space="0" w:color="auto"/>
            </w:tcBorders>
            <w:vAlign w:val="center"/>
          </w:tcPr>
          <w:p w14:paraId="747CACC8" w14:textId="77777777" w:rsidR="005E17EF" w:rsidRPr="0069630A" w:rsidRDefault="005E17EF" w:rsidP="0069630A">
            <w:pPr>
              <w:keepLines/>
              <w:snapToGrid w:val="0"/>
              <w:spacing w:line="240" w:lineRule="exact"/>
              <w:rPr>
                <w:sz w:val="20"/>
                <w:szCs w:val="20"/>
              </w:rPr>
            </w:pPr>
            <w:r w:rsidRPr="0069630A">
              <w:rPr>
                <w:sz w:val="20"/>
                <w:szCs w:val="20"/>
              </w:rPr>
              <w:t>Adjusted R</w:t>
            </w:r>
            <w:r w:rsidRPr="0069630A">
              <w:rPr>
                <w:sz w:val="20"/>
                <w:szCs w:val="20"/>
                <w:vertAlign w:val="superscript"/>
              </w:rPr>
              <w:t>2</w:t>
            </w:r>
          </w:p>
        </w:tc>
        <w:tc>
          <w:tcPr>
            <w:tcW w:w="2220" w:type="dxa"/>
            <w:tcBorders>
              <w:top w:val="single" w:sz="4" w:space="0" w:color="auto"/>
              <w:bottom w:val="single" w:sz="4" w:space="0" w:color="auto"/>
            </w:tcBorders>
            <w:vAlign w:val="center"/>
          </w:tcPr>
          <w:p w14:paraId="6DFD7921" w14:textId="77777777" w:rsidR="005E17EF" w:rsidRPr="0069630A" w:rsidRDefault="005E17EF" w:rsidP="0069630A">
            <w:pPr>
              <w:keepLines/>
              <w:snapToGrid w:val="0"/>
              <w:spacing w:line="240" w:lineRule="exact"/>
              <w:rPr>
                <w:sz w:val="20"/>
                <w:szCs w:val="20"/>
              </w:rPr>
            </w:pPr>
            <w:r w:rsidRPr="0069630A">
              <w:rPr>
                <w:sz w:val="20"/>
                <w:szCs w:val="20"/>
              </w:rPr>
              <w:t>0.091</w:t>
            </w:r>
          </w:p>
        </w:tc>
        <w:tc>
          <w:tcPr>
            <w:tcW w:w="2221" w:type="dxa"/>
            <w:tcBorders>
              <w:top w:val="single" w:sz="4" w:space="0" w:color="auto"/>
              <w:bottom w:val="single" w:sz="4" w:space="0" w:color="auto"/>
            </w:tcBorders>
            <w:vAlign w:val="center"/>
          </w:tcPr>
          <w:p w14:paraId="301CC639" w14:textId="77777777" w:rsidR="005E17EF" w:rsidRPr="0069630A" w:rsidRDefault="005E17EF" w:rsidP="0069630A">
            <w:pPr>
              <w:keepLines/>
              <w:snapToGrid w:val="0"/>
              <w:spacing w:line="240" w:lineRule="exact"/>
              <w:rPr>
                <w:sz w:val="20"/>
                <w:szCs w:val="20"/>
              </w:rPr>
            </w:pPr>
            <w:r w:rsidRPr="0069630A">
              <w:rPr>
                <w:sz w:val="20"/>
                <w:szCs w:val="20"/>
              </w:rPr>
              <w:t>0.077</w:t>
            </w:r>
          </w:p>
        </w:tc>
        <w:tc>
          <w:tcPr>
            <w:tcW w:w="1938" w:type="dxa"/>
            <w:tcBorders>
              <w:top w:val="single" w:sz="4" w:space="0" w:color="auto"/>
              <w:bottom w:val="single" w:sz="4" w:space="0" w:color="auto"/>
            </w:tcBorders>
            <w:vAlign w:val="center"/>
          </w:tcPr>
          <w:p w14:paraId="5AED4D73" w14:textId="77777777" w:rsidR="005E17EF" w:rsidRPr="0069630A" w:rsidRDefault="005E17EF" w:rsidP="0069630A">
            <w:pPr>
              <w:keepLines/>
              <w:snapToGrid w:val="0"/>
              <w:spacing w:line="240" w:lineRule="exact"/>
              <w:rPr>
                <w:sz w:val="20"/>
                <w:szCs w:val="20"/>
              </w:rPr>
            </w:pPr>
            <w:r w:rsidRPr="0069630A">
              <w:rPr>
                <w:sz w:val="20"/>
                <w:szCs w:val="20"/>
              </w:rPr>
              <w:t>0.081</w:t>
            </w:r>
          </w:p>
        </w:tc>
      </w:tr>
    </w:tbl>
    <w:p w14:paraId="0BD17403" w14:textId="77777777" w:rsidR="00465E16" w:rsidRPr="00353396" w:rsidRDefault="00691162" w:rsidP="00BC3E3E">
      <w:pPr>
        <w:pStyle w:val="1"/>
      </w:pPr>
      <w:r w:rsidRPr="00353396">
        <w:t>Conclusions</w:t>
      </w:r>
    </w:p>
    <w:p w14:paraId="1BB9FD29" w14:textId="77777777" w:rsidR="00755DEC" w:rsidRDefault="00755DEC" w:rsidP="00324F2F">
      <w:pPr>
        <w:pStyle w:val="text"/>
      </w:pPr>
      <w:r>
        <w:t>This study examines the role of analysts' recommendations in mergers and acquisitions (M&amp;As), focusing on their impact on payment methods and acquirers' long-term performance. The findings contribute to understanding the information content and implications of analysts' recommendations in the M&amp;A context.</w:t>
      </w:r>
    </w:p>
    <w:p w14:paraId="1589430A" w14:textId="77777777" w:rsidR="00755DEC" w:rsidRDefault="00755DEC" w:rsidP="00324F2F">
      <w:pPr>
        <w:pStyle w:val="text"/>
      </w:pPr>
      <w:r>
        <w:lastRenderedPageBreak/>
        <w:t>First, we find that acquirers with strong buy or buy recommendations are more likely to use 100% stock payment, consistent with the overvaluation hypothesis. Conversely, acquirers with strong sell or sell recommendations tend to prefer cash payment, reflecting a reluctance to use undervalued equity. This evidence supports the first research hypothesis that analysts' recommendations influence the choice of payment method in M&amp;A transactions.</w:t>
      </w:r>
    </w:p>
    <w:p w14:paraId="484CF73B" w14:textId="77777777" w:rsidR="00755DEC" w:rsidRDefault="00755DEC" w:rsidP="00324F2F">
      <w:pPr>
        <w:pStyle w:val="text"/>
      </w:pPr>
      <w:r>
        <w:t>Second, our results reveal no significant difference in analysts' recommendations between horizontal and diversifying M&amp;As. While diversified deals receive slightly more buy recommendations on average, the differences are not statistically significant. Thus, we fail to find supportive evidence for the second research hypothesis, which posits that analysts' recommendations differ based on the deal's strategic focus (i.e., horizontal vs. diversifying).</w:t>
      </w:r>
    </w:p>
    <w:p w14:paraId="092A3510" w14:textId="77777777" w:rsidR="00755DEC" w:rsidRDefault="00755DEC" w:rsidP="00324F2F">
      <w:pPr>
        <w:pStyle w:val="text"/>
      </w:pPr>
      <w:r>
        <w:t xml:space="preserve">Third, we document </w:t>
      </w:r>
      <w:proofErr w:type="gramStart"/>
      <w:r>
        <w:t>that acquirers</w:t>
      </w:r>
      <w:proofErr w:type="gramEnd"/>
      <w:r>
        <w:t xml:space="preserve"> with higher recommendation scores exhibit better long-term market performance, as measured by buy-and-hold abnormal returns (BHARs) over two and three years after the deal. Interestingly, this finding suggests that analysts' recommendations before M&amp;A announcements do not fully incorporate the deal's potential impact on long-term performance. Instead, analysts' recommendations may be driven by short-term information or news, rather than a comprehensive assessment of the deal's strategic rationale and long-term value creation potential.</w:t>
      </w:r>
    </w:p>
    <w:p w14:paraId="150CE95B" w14:textId="77777777" w:rsidR="00755DEC" w:rsidRDefault="00755DEC" w:rsidP="00324F2F">
      <w:pPr>
        <w:pStyle w:val="text"/>
      </w:pPr>
      <w:r>
        <w:t>Multivariate analyses corroborate the significant negative impact of strong buy recommendations on cash payment and the positive impact on stock payment, reinforcing the overvaluation hypothesis. Furthermore, we find that acquirers with buy recommendations experience significantly lower three-year BHARs, highlighting the disconnect between analysts' recommendations and long-term performance.</w:t>
      </w:r>
    </w:p>
    <w:p w14:paraId="46A67A03" w14:textId="77777777" w:rsidR="00755DEC" w:rsidRDefault="00755DEC" w:rsidP="00324F2F">
      <w:pPr>
        <w:pStyle w:val="text"/>
      </w:pPr>
      <w:r>
        <w:t>Collectively, these findings have important implications for understanding the role of analysts in M&amp;A transactions. While analysts' recommendations influence the choice of payment method, they do not appear to reflect the long-term strategic implications of M&amp;As fully. This disconnect may arise from analysts' focus on short-term information or news, rather than a comprehensive evaluation of the deal's long-term value creation potential.</w:t>
      </w:r>
    </w:p>
    <w:p w14:paraId="02C011B3" w14:textId="5184A611" w:rsidR="00A56185" w:rsidRPr="00353396" w:rsidRDefault="00755DEC" w:rsidP="00324F2F">
      <w:pPr>
        <w:pStyle w:val="text"/>
      </w:pPr>
      <w:r>
        <w:t>Our study contributes to the literature by shedding light on the information content and limitations of analysts' recommendations in the M&amp;A context. It also raises questions about the potential agency problems associated with overvalued equity and their impact on long-term performance. Future research could further explore the underlying factors driving analysts' recommendations and their implications for various stakeholders in M&amp;A transactions.</w:t>
      </w:r>
      <w:r w:rsidR="00A56185" w:rsidRPr="00353396">
        <w:t xml:space="preserve">  </w:t>
      </w:r>
    </w:p>
    <w:p w14:paraId="7F47E596" w14:textId="77777777" w:rsidR="002E50C9" w:rsidRPr="007F2C41" w:rsidRDefault="002E50C9" w:rsidP="00F82681">
      <w:pPr>
        <w:pStyle w:val="1"/>
        <w:numPr>
          <w:ilvl w:val="0"/>
          <w:numId w:val="0"/>
        </w:numPr>
      </w:pPr>
      <w:r w:rsidRPr="007F2C41">
        <w:lastRenderedPageBreak/>
        <w:t>Reference</w:t>
      </w:r>
    </w:p>
    <w:p w14:paraId="4357BAEA" w14:textId="77777777" w:rsidR="00687107" w:rsidRPr="00687107" w:rsidRDefault="00CC3CBE" w:rsidP="00F82681">
      <w:pPr>
        <w:pStyle w:val="EndNoteBibliography"/>
        <w:ind w:left="426" w:hanging="426"/>
      </w:pPr>
      <w:r>
        <w:fldChar w:fldCharType="begin"/>
      </w:r>
      <w:r>
        <w:instrText xml:space="preserve"> ADDIN EN.REFLIST </w:instrText>
      </w:r>
      <w:r>
        <w:fldChar w:fldCharType="separate"/>
      </w:r>
      <w:r w:rsidR="00687107" w:rsidRPr="00687107">
        <w:t>1.</w:t>
      </w:r>
      <w:r w:rsidR="00687107" w:rsidRPr="00687107">
        <w:tab/>
        <w:t xml:space="preserve">Brown, D.T. and M.D. Ryngaert, </w:t>
      </w:r>
      <w:r w:rsidR="00687107" w:rsidRPr="00687107">
        <w:rPr>
          <w:i/>
        </w:rPr>
        <w:t>The mode of acquisition in takeovers: Taxes and asymmetric information.</w:t>
      </w:r>
      <w:r w:rsidR="00687107" w:rsidRPr="00687107">
        <w:t xml:space="preserve"> The Journal of Finance, 1991. </w:t>
      </w:r>
      <w:r w:rsidR="00687107" w:rsidRPr="00687107">
        <w:rPr>
          <w:b/>
        </w:rPr>
        <w:t>46</w:t>
      </w:r>
      <w:r w:rsidR="00687107" w:rsidRPr="00687107">
        <w:t>(2): p. 653-669.</w:t>
      </w:r>
    </w:p>
    <w:p w14:paraId="72AA20B0" w14:textId="77777777" w:rsidR="00687107" w:rsidRPr="00687107" w:rsidRDefault="00687107" w:rsidP="00F82681">
      <w:pPr>
        <w:pStyle w:val="EndNoteBibliography"/>
        <w:ind w:left="426" w:hanging="426"/>
      </w:pPr>
      <w:r w:rsidRPr="00687107">
        <w:t>2.</w:t>
      </w:r>
      <w:r w:rsidRPr="00687107">
        <w:tab/>
        <w:t xml:space="preserve">Litov, L.P., P. Moreton, and T.R. Zenger, </w:t>
      </w:r>
      <w:r w:rsidRPr="00687107">
        <w:rPr>
          <w:i/>
        </w:rPr>
        <w:t>Corporate strategy, analyst coverage, and the uniqueness paradox.</w:t>
      </w:r>
      <w:r w:rsidRPr="00687107">
        <w:t xml:space="preserve"> Management Science, 2012. </w:t>
      </w:r>
      <w:r w:rsidRPr="00687107">
        <w:rPr>
          <w:b/>
        </w:rPr>
        <w:t>58</w:t>
      </w:r>
      <w:r w:rsidRPr="00687107">
        <w:t>(10): p. 1797-1815.</w:t>
      </w:r>
    </w:p>
    <w:p w14:paraId="503B3271" w14:textId="77777777" w:rsidR="00687107" w:rsidRPr="00687107" w:rsidRDefault="00687107" w:rsidP="00F82681">
      <w:pPr>
        <w:pStyle w:val="EndNoteBibliography"/>
        <w:ind w:left="426" w:hanging="426"/>
      </w:pPr>
      <w:r w:rsidRPr="00687107">
        <w:t>3.</w:t>
      </w:r>
      <w:r w:rsidRPr="00687107">
        <w:tab/>
        <w:t xml:space="preserve">Becher, D.A., J.B. Cohn, and J.L. Juergens, </w:t>
      </w:r>
      <w:r w:rsidRPr="00687107">
        <w:rPr>
          <w:i/>
        </w:rPr>
        <w:t>Do stock analysts influence merger completion? An examination of postmerger announcement recommendations.</w:t>
      </w:r>
      <w:r w:rsidRPr="00687107">
        <w:t xml:space="preserve"> Management Science, 2015. </w:t>
      </w:r>
      <w:r w:rsidRPr="00687107">
        <w:rPr>
          <w:b/>
        </w:rPr>
        <w:t>61</w:t>
      </w:r>
      <w:r w:rsidRPr="00687107">
        <w:t>(10): p. 2430-2448.</w:t>
      </w:r>
    </w:p>
    <w:p w14:paraId="60852CF7" w14:textId="77777777" w:rsidR="00687107" w:rsidRPr="00687107" w:rsidRDefault="00687107" w:rsidP="00F82681">
      <w:pPr>
        <w:pStyle w:val="EndNoteBibliography"/>
        <w:ind w:left="426" w:hanging="426"/>
      </w:pPr>
      <w:r w:rsidRPr="00687107">
        <w:t>4.</w:t>
      </w:r>
      <w:r w:rsidRPr="00687107">
        <w:tab/>
        <w:t xml:space="preserve">Tehranian, H., M.X. Zhao, and J.L. Zhu, </w:t>
      </w:r>
      <w:r w:rsidRPr="00687107">
        <w:rPr>
          <w:i/>
        </w:rPr>
        <w:t>Can Analysts Analyze Mergers?</w:t>
      </w:r>
      <w:r w:rsidRPr="00687107">
        <w:t xml:space="preserve"> Management Science, 2014. </w:t>
      </w:r>
      <w:r w:rsidRPr="00687107">
        <w:rPr>
          <w:b/>
        </w:rPr>
        <w:t>60</w:t>
      </w:r>
      <w:r w:rsidRPr="00687107">
        <w:t>(4): p. 959-979.</w:t>
      </w:r>
    </w:p>
    <w:p w14:paraId="1E14468A" w14:textId="77777777" w:rsidR="00687107" w:rsidRPr="00687107" w:rsidRDefault="00687107" w:rsidP="00F82681">
      <w:pPr>
        <w:pStyle w:val="EndNoteBibliography"/>
        <w:ind w:left="426" w:hanging="426"/>
      </w:pPr>
      <w:r w:rsidRPr="00687107">
        <w:t>5.</w:t>
      </w:r>
      <w:r w:rsidRPr="00687107">
        <w:tab/>
        <w:t xml:space="preserve">Zuckerman, E.W., </w:t>
      </w:r>
      <w:r w:rsidRPr="00687107">
        <w:rPr>
          <w:i/>
        </w:rPr>
        <w:t>Focusing the corporate product: Securities analysts and de-diversification.</w:t>
      </w:r>
      <w:r w:rsidRPr="00687107">
        <w:t xml:space="preserve"> Administrative Science Quarterly, 2000. </w:t>
      </w:r>
      <w:r w:rsidRPr="00687107">
        <w:rPr>
          <w:b/>
        </w:rPr>
        <w:t>45</w:t>
      </w:r>
      <w:r w:rsidRPr="00687107">
        <w:t>(3): p. 591-619.</w:t>
      </w:r>
    </w:p>
    <w:p w14:paraId="3F314C92" w14:textId="77777777" w:rsidR="00687107" w:rsidRPr="00687107" w:rsidRDefault="00687107" w:rsidP="00F82681">
      <w:pPr>
        <w:pStyle w:val="EndNoteBibliography"/>
        <w:ind w:left="426" w:hanging="426"/>
      </w:pPr>
      <w:r w:rsidRPr="00687107">
        <w:t>6.</w:t>
      </w:r>
      <w:r w:rsidRPr="00687107">
        <w:tab/>
        <w:t xml:space="preserve">Zuckerman, E.W., </w:t>
      </w:r>
      <w:r w:rsidRPr="00687107">
        <w:rPr>
          <w:i/>
        </w:rPr>
        <w:t>The categorical imperative: Securities analysts and the illegitimacy discount.</w:t>
      </w:r>
      <w:r w:rsidRPr="00687107">
        <w:t xml:space="preserve"> American Journal of Sociology, 1999. </w:t>
      </w:r>
      <w:r w:rsidRPr="00687107">
        <w:rPr>
          <w:b/>
        </w:rPr>
        <w:t>104</w:t>
      </w:r>
      <w:r w:rsidRPr="00687107">
        <w:t>(5): p. 1398-1438.</w:t>
      </w:r>
    </w:p>
    <w:p w14:paraId="0458E40D" w14:textId="77777777" w:rsidR="00687107" w:rsidRPr="00687107" w:rsidRDefault="00687107" w:rsidP="00F82681">
      <w:pPr>
        <w:pStyle w:val="EndNoteBibliography"/>
        <w:ind w:left="426" w:hanging="426"/>
      </w:pPr>
      <w:r w:rsidRPr="00687107">
        <w:t>7.</w:t>
      </w:r>
      <w:r w:rsidRPr="00687107">
        <w:tab/>
        <w:t xml:space="preserve">Ahn, M., et al., </w:t>
      </w:r>
      <w:r w:rsidRPr="00687107">
        <w:rPr>
          <w:i/>
        </w:rPr>
        <w:t>The role of the business press in the pricing of analysts' recommendation revisions.</w:t>
      </w:r>
      <w:r w:rsidRPr="00687107">
        <w:t xml:space="preserve"> Review of Accounting Studies, 2019. </w:t>
      </w:r>
      <w:r w:rsidRPr="00687107">
        <w:rPr>
          <w:b/>
        </w:rPr>
        <w:t>24</w:t>
      </w:r>
      <w:r w:rsidRPr="00687107">
        <w:t>(1): p. 341-392.</w:t>
      </w:r>
    </w:p>
    <w:p w14:paraId="41499249" w14:textId="77777777" w:rsidR="00687107" w:rsidRPr="00687107" w:rsidRDefault="00687107" w:rsidP="00F82681">
      <w:pPr>
        <w:pStyle w:val="EndNoteBibliography"/>
        <w:ind w:left="426" w:hanging="426"/>
      </w:pPr>
      <w:r w:rsidRPr="00687107">
        <w:t>8.</w:t>
      </w:r>
      <w:r w:rsidRPr="00687107">
        <w:tab/>
        <w:t xml:space="preserve">Mikhail, M.B., B.R. Walther, and R.H. Willis, </w:t>
      </w:r>
      <w:r w:rsidRPr="00687107">
        <w:rPr>
          <w:i/>
        </w:rPr>
        <w:t>When security analysts talk, who listens?</w:t>
      </w:r>
      <w:r w:rsidRPr="00687107">
        <w:t xml:space="preserve"> The Accounting Review, 2007. </w:t>
      </w:r>
      <w:r w:rsidRPr="00687107">
        <w:rPr>
          <w:b/>
        </w:rPr>
        <w:t>82</w:t>
      </w:r>
      <w:r w:rsidRPr="00687107">
        <w:t>(5): p. 1227-1253.</w:t>
      </w:r>
    </w:p>
    <w:p w14:paraId="04C1F88F" w14:textId="77777777" w:rsidR="00687107" w:rsidRPr="00687107" w:rsidRDefault="00687107" w:rsidP="00350966">
      <w:pPr>
        <w:pStyle w:val="EndNoteBibliography"/>
        <w:ind w:left="426" w:right="0" w:hanging="426"/>
      </w:pPr>
      <w:r w:rsidRPr="00687107">
        <w:t>9.</w:t>
      </w:r>
      <w:r w:rsidRPr="00687107">
        <w:tab/>
        <w:t xml:space="preserve">Womack, K.L., </w:t>
      </w:r>
      <w:r w:rsidRPr="00687107">
        <w:rPr>
          <w:i/>
        </w:rPr>
        <w:t>Do brokerage analysts' recommendations have investment value?</w:t>
      </w:r>
      <w:r w:rsidRPr="00687107">
        <w:t xml:space="preserve"> Journal of Finance, 1996. </w:t>
      </w:r>
      <w:r w:rsidRPr="00687107">
        <w:rPr>
          <w:b/>
        </w:rPr>
        <w:t>51</w:t>
      </w:r>
      <w:r w:rsidRPr="00687107">
        <w:t>(1): p. 137-167.</w:t>
      </w:r>
    </w:p>
    <w:p w14:paraId="6BB4AA7A" w14:textId="77777777" w:rsidR="00687107" w:rsidRPr="00687107" w:rsidRDefault="00687107" w:rsidP="00F82681">
      <w:pPr>
        <w:pStyle w:val="EndNoteBibliography"/>
        <w:ind w:left="426" w:hanging="426"/>
      </w:pPr>
      <w:r w:rsidRPr="00687107">
        <w:t>10.</w:t>
      </w:r>
      <w:r w:rsidRPr="00687107">
        <w:tab/>
        <w:t xml:space="preserve">Feldman, E.R., </w:t>
      </w:r>
      <w:r w:rsidRPr="00687107">
        <w:rPr>
          <w:i/>
        </w:rPr>
        <w:t>Corporate spinoffs and analysts' coverage decisions: The implications for diversified firms.</w:t>
      </w:r>
      <w:r w:rsidRPr="00687107">
        <w:t xml:space="preserve"> Strategic Management Journal, 2016. </w:t>
      </w:r>
      <w:r w:rsidRPr="00687107">
        <w:rPr>
          <w:b/>
        </w:rPr>
        <w:t>37</w:t>
      </w:r>
      <w:r w:rsidRPr="00687107">
        <w:t>(7): p. 1196-1219.</w:t>
      </w:r>
    </w:p>
    <w:p w14:paraId="5EF1B1CF" w14:textId="77777777" w:rsidR="00687107" w:rsidRPr="00687107" w:rsidRDefault="00687107" w:rsidP="00F82681">
      <w:pPr>
        <w:pStyle w:val="EndNoteBibliography"/>
        <w:ind w:left="426" w:hanging="426"/>
      </w:pPr>
      <w:r w:rsidRPr="00687107">
        <w:t>11.</w:t>
      </w:r>
      <w:r w:rsidRPr="00687107">
        <w:tab/>
        <w:t xml:space="preserve">Nicolai, A.T., A.C. Schulz, and T.W. Thomas, </w:t>
      </w:r>
      <w:r w:rsidRPr="00687107">
        <w:rPr>
          <w:i/>
        </w:rPr>
        <w:t>What Wall Street Wants - Exploring the Role of Security Analysts in the Evolution and Spread of Management Concepts.</w:t>
      </w:r>
      <w:r w:rsidRPr="00687107">
        <w:t xml:space="preserve"> Journal of Management Studies, 2010. </w:t>
      </w:r>
      <w:r w:rsidRPr="00687107">
        <w:rPr>
          <w:b/>
        </w:rPr>
        <w:t>47</w:t>
      </w:r>
      <w:r w:rsidRPr="00687107">
        <w:t>(1): p. 162-189.</w:t>
      </w:r>
    </w:p>
    <w:p w14:paraId="6824EA4B" w14:textId="77777777" w:rsidR="00687107" w:rsidRPr="00687107" w:rsidRDefault="00687107" w:rsidP="00F82681">
      <w:pPr>
        <w:pStyle w:val="EndNoteBibliography"/>
        <w:ind w:left="426" w:hanging="426"/>
      </w:pPr>
      <w:r w:rsidRPr="00687107">
        <w:t>12.</w:t>
      </w:r>
      <w:r w:rsidRPr="00687107">
        <w:tab/>
        <w:t xml:space="preserve">Fogarty, T.J. and R.K. Rogers, </w:t>
      </w:r>
      <w:r w:rsidRPr="00687107">
        <w:rPr>
          <w:i/>
        </w:rPr>
        <w:t>Financial analysts' reports: an extended institutional theory evaluation.</w:t>
      </w:r>
      <w:r w:rsidRPr="00687107">
        <w:t xml:space="preserve"> Accounting Organizations and Society, 2005. </w:t>
      </w:r>
      <w:r w:rsidRPr="00687107">
        <w:rPr>
          <w:b/>
        </w:rPr>
        <w:t>30</w:t>
      </w:r>
      <w:r w:rsidRPr="00687107">
        <w:t>(4): p. 331-356.</w:t>
      </w:r>
    </w:p>
    <w:p w14:paraId="64BA4D6F" w14:textId="77777777" w:rsidR="00687107" w:rsidRPr="00687107" w:rsidRDefault="00687107" w:rsidP="00F82681">
      <w:pPr>
        <w:pStyle w:val="EndNoteBibliography"/>
        <w:ind w:left="426" w:hanging="426"/>
      </w:pPr>
      <w:r w:rsidRPr="00687107">
        <w:t>13.</w:t>
      </w:r>
      <w:r w:rsidRPr="00687107">
        <w:tab/>
        <w:t xml:space="preserve">Groysberg, B. and L.E. Lee, </w:t>
      </w:r>
      <w:r w:rsidRPr="00687107">
        <w:rPr>
          <w:i/>
        </w:rPr>
        <w:t>The effect of colleague quality on top performance: the case of security analysts.</w:t>
      </w:r>
      <w:r w:rsidRPr="00687107">
        <w:t xml:space="preserve"> Journal of Organizational Behavior, 2008. </w:t>
      </w:r>
      <w:r w:rsidRPr="00687107">
        <w:rPr>
          <w:b/>
        </w:rPr>
        <w:t>29</w:t>
      </w:r>
      <w:r w:rsidRPr="00687107">
        <w:t>(8): p. 1123-1144.</w:t>
      </w:r>
    </w:p>
    <w:p w14:paraId="6E780291" w14:textId="77777777" w:rsidR="00687107" w:rsidRPr="00687107" w:rsidRDefault="00687107" w:rsidP="00F82681">
      <w:pPr>
        <w:pStyle w:val="EndNoteBibliography"/>
        <w:ind w:left="426" w:hanging="426"/>
      </w:pPr>
      <w:r w:rsidRPr="00687107">
        <w:t>14.</w:t>
      </w:r>
      <w:r w:rsidRPr="00687107">
        <w:tab/>
        <w:t xml:space="preserve">Michaely, R. and K.L. Womack, </w:t>
      </w:r>
      <w:r w:rsidRPr="00687107">
        <w:rPr>
          <w:i/>
        </w:rPr>
        <w:t>Conflict of interest and the credibility of underwriter analyst recommendations.</w:t>
      </w:r>
      <w:r w:rsidRPr="00687107">
        <w:t xml:space="preserve"> Review of Financial Studies, 1999. </w:t>
      </w:r>
      <w:r w:rsidRPr="00687107">
        <w:rPr>
          <w:b/>
        </w:rPr>
        <w:t>12</w:t>
      </w:r>
      <w:r w:rsidRPr="00687107">
        <w:t>(4): p. 653-686.</w:t>
      </w:r>
    </w:p>
    <w:p w14:paraId="7403025A" w14:textId="77777777" w:rsidR="00687107" w:rsidRPr="00687107" w:rsidRDefault="00687107" w:rsidP="00F82681">
      <w:pPr>
        <w:pStyle w:val="EndNoteBibliography"/>
        <w:ind w:left="426" w:hanging="426"/>
      </w:pPr>
      <w:r w:rsidRPr="00687107">
        <w:t>15.</w:t>
      </w:r>
      <w:r w:rsidRPr="00687107">
        <w:tab/>
        <w:t xml:space="preserve">Shen, R., Y. Tang, and G.L. Chen, </w:t>
      </w:r>
      <w:r w:rsidRPr="00687107">
        <w:rPr>
          <w:i/>
        </w:rPr>
        <w:t>When the role fits: how firm status differentials affect corporate takeovers.</w:t>
      </w:r>
      <w:r w:rsidRPr="00687107">
        <w:t xml:space="preserve"> Strategic Management Journal, 2014. </w:t>
      </w:r>
      <w:r w:rsidRPr="00687107">
        <w:rPr>
          <w:b/>
        </w:rPr>
        <w:t>35</w:t>
      </w:r>
      <w:r w:rsidRPr="00687107">
        <w:t>(13): p. 2012-2030.</w:t>
      </w:r>
    </w:p>
    <w:p w14:paraId="3C797F35" w14:textId="77777777" w:rsidR="00687107" w:rsidRPr="00687107" w:rsidRDefault="00687107" w:rsidP="00F82681">
      <w:pPr>
        <w:pStyle w:val="EndNoteBibliography"/>
        <w:ind w:left="426" w:hanging="426"/>
      </w:pPr>
      <w:r w:rsidRPr="00687107">
        <w:t>16.</w:t>
      </w:r>
      <w:r w:rsidRPr="00687107">
        <w:tab/>
        <w:t xml:space="preserve">Uysal, V.B., S. Kedia, and V. Panchapagesan, </w:t>
      </w:r>
      <w:r w:rsidRPr="00687107">
        <w:rPr>
          <w:i/>
        </w:rPr>
        <w:t>Geography and acquirer returns.</w:t>
      </w:r>
      <w:r w:rsidRPr="00687107">
        <w:t xml:space="preserve"> </w:t>
      </w:r>
      <w:r w:rsidRPr="00687107">
        <w:lastRenderedPageBreak/>
        <w:t xml:space="preserve">Journal of Financial Intermediation, 2008. </w:t>
      </w:r>
      <w:r w:rsidRPr="00687107">
        <w:rPr>
          <w:b/>
        </w:rPr>
        <w:t>17</w:t>
      </w:r>
      <w:r w:rsidRPr="00687107">
        <w:t>(2): p. 256-275.</w:t>
      </w:r>
    </w:p>
    <w:p w14:paraId="77B11756" w14:textId="77777777" w:rsidR="00687107" w:rsidRPr="00687107" w:rsidRDefault="00687107" w:rsidP="00F82681">
      <w:pPr>
        <w:pStyle w:val="EndNoteBibliography"/>
        <w:ind w:left="426" w:hanging="426"/>
      </w:pPr>
      <w:r w:rsidRPr="00687107">
        <w:t>17.</w:t>
      </w:r>
      <w:r w:rsidRPr="00687107">
        <w:tab/>
        <w:t xml:space="preserve">Gompers, P.A. and J. Lerner, </w:t>
      </w:r>
      <w:r w:rsidRPr="00687107">
        <w:rPr>
          <w:i/>
        </w:rPr>
        <w:t>The really long-run performance of initial public offerings: The pre-Nasdaq evidence.</w:t>
      </w:r>
      <w:r w:rsidRPr="00687107">
        <w:t xml:space="preserve"> Journal of Finance, 2003. </w:t>
      </w:r>
      <w:r w:rsidRPr="00687107">
        <w:rPr>
          <w:b/>
        </w:rPr>
        <w:t>58</w:t>
      </w:r>
      <w:r w:rsidRPr="00687107">
        <w:t>(4): p. 1355-1392.</w:t>
      </w:r>
    </w:p>
    <w:p w14:paraId="20C11BFF" w14:textId="77777777" w:rsidR="00687107" w:rsidRPr="00687107" w:rsidRDefault="00687107" w:rsidP="00F82681">
      <w:pPr>
        <w:pStyle w:val="EndNoteBibliography"/>
        <w:ind w:left="426" w:hanging="426"/>
      </w:pPr>
      <w:r w:rsidRPr="00687107">
        <w:t>18.</w:t>
      </w:r>
      <w:r w:rsidRPr="00687107">
        <w:tab/>
        <w:t xml:space="preserve">Schultz, P., </w:t>
      </w:r>
      <w:r w:rsidRPr="00687107">
        <w:rPr>
          <w:i/>
        </w:rPr>
        <w:t>Pseudo market timing and the long-run underperformance of IPOs.</w:t>
      </w:r>
      <w:r w:rsidRPr="00687107">
        <w:t xml:space="preserve"> Journal of Finance, 2003. </w:t>
      </w:r>
      <w:r w:rsidRPr="00687107">
        <w:rPr>
          <w:b/>
        </w:rPr>
        <w:t>58</w:t>
      </w:r>
      <w:r w:rsidRPr="00687107">
        <w:t>(2): p. 483-517.</w:t>
      </w:r>
    </w:p>
    <w:p w14:paraId="7877A39A" w14:textId="77777777" w:rsidR="00687107" w:rsidRPr="00687107" w:rsidRDefault="00687107" w:rsidP="00F82681">
      <w:pPr>
        <w:pStyle w:val="EndNoteBibliography"/>
        <w:ind w:left="426" w:hanging="426"/>
      </w:pPr>
      <w:r w:rsidRPr="00687107">
        <w:t>19.</w:t>
      </w:r>
      <w:r w:rsidRPr="00687107">
        <w:tab/>
        <w:t xml:space="preserve">Fama, E.F. and K.R. French, </w:t>
      </w:r>
      <w:r w:rsidRPr="00687107">
        <w:rPr>
          <w:i/>
        </w:rPr>
        <w:t>Common risk factors in the returns on stocks and bonds.</w:t>
      </w:r>
      <w:r w:rsidRPr="00687107">
        <w:t xml:space="preserve"> Journal of Financial Economics, 1993. </w:t>
      </w:r>
      <w:r w:rsidRPr="00687107">
        <w:rPr>
          <w:b/>
        </w:rPr>
        <w:t>33</w:t>
      </w:r>
      <w:r w:rsidRPr="00687107">
        <w:t>(1): p. 3-56.</w:t>
      </w:r>
    </w:p>
    <w:p w14:paraId="76775FB2" w14:textId="77777777" w:rsidR="00687107" w:rsidRPr="00687107" w:rsidRDefault="00687107" w:rsidP="00F82681">
      <w:pPr>
        <w:pStyle w:val="EndNoteBibliography"/>
        <w:ind w:left="426" w:hanging="426"/>
      </w:pPr>
      <w:r w:rsidRPr="00687107">
        <w:t>20.</w:t>
      </w:r>
      <w:r w:rsidRPr="00687107">
        <w:tab/>
        <w:t xml:space="preserve">Jensen, M.C., </w:t>
      </w:r>
      <w:r w:rsidRPr="00687107">
        <w:rPr>
          <w:i/>
        </w:rPr>
        <w:t>Agency costs of overvalued equity.</w:t>
      </w:r>
      <w:r w:rsidRPr="00687107">
        <w:t xml:space="preserve"> Financial Management, 2005. </w:t>
      </w:r>
      <w:r w:rsidRPr="00687107">
        <w:rPr>
          <w:b/>
        </w:rPr>
        <w:t>34</w:t>
      </w:r>
      <w:r w:rsidRPr="00687107">
        <w:t>(1): p. 5-19.</w:t>
      </w:r>
    </w:p>
    <w:p w14:paraId="1D3E61F6" w14:textId="565ADA59" w:rsidR="002E50C9" w:rsidRDefault="00CC3CBE" w:rsidP="00553CD6">
      <w:pPr>
        <w:ind w:left="566" w:hangingChars="236" w:hanging="566"/>
      </w:pPr>
      <w:r>
        <w:fldChar w:fldCharType="end"/>
      </w:r>
    </w:p>
    <w:sectPr w:rsidR="002E50C9" w:rsidSect="00033EAC">
      <w:footerReference w:type="default" r:id="rId9"/>
      <w:pgSz w:w="11906" w:h="16838"/>
      <w:pgMar w:top="1440" w:right="1800" w:bottom="1440" w:left="1800" w:header="851" w:footer="85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C2140" w14:textId="77777777" w:rsidR="007B4A8E" w:rsidRDefault="007B4A8E" w:rsidP="001D255E">
      <w:r>
        <w:separator/>
      </w:r>
    </w:p>
  </w:endnote>
  <w:endnote w:type="continuationSeparator" w:id="0">
    <w:p w14:paraId="5C6462A0" w14:textId="77777777" w:rsidR="007B4A8E" w:rsidRDefault="007B4A8E" w:rsidP="001D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CED4" w14:textId="29B442F4" w:rsidR="00033EAC" w:rsidRDefault="00033EAC" w:rsidP="00033EAC">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900454"/>
      <w:docPartObj>
        <w:docPartGallery w:val="Page Numbers (Bottom of Page)"/>
        <w:docPartUnique/>
      </w:docPartObj>
    </w:sdtPr>
    <w:sdtEndPr/>
    <w:sdtContent>
      <w:p w14:paraId="0E220750" w14:textId="77777777" w:rsidR="00033EAC" w:rsidRDefault="00033EAC" w:rsidP="00033EAC">
        <w:pPr>
          <w:pStyle w:val="ab"/>
          <w:jc w:val="cente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0DA6D" w14:textId="77777777" w:rsidR="007B4A8E" w:rsidRDefault="007B4A8E" w:rsidP="001D255E">
      <w:r>
        <w:separator/>
      </w:r>
    </w:p>
  </w:footnote>
  <w:footnote w:type="continuationSeparator" w:id="0">
    <w:p w14:paraId="3C08936A" w14:textId="77777777" w:rsidR="007B4A8E" w:rsidRDefault="007B4A8E" w:rsidP="001D255E">
      <w:r>
        <w:continuationSeparator/>
      </w:r>
    </w:p>
  </w:footnote>
  <w:footnote w:id="1">
    <w:p w14:paraId="3D25C051" w14:textId="13D7FDFF" w:rsidR="004823EE" w:rsidRDefault="004823EE" w:rsidP="004823EE">
      <w:pPr>
        <w:pStyle w:val="a6"/>
        <w:snapToGrid w:val="0"/>
        <w:spacing w:line="240" w:lineRule="auto"/>
      </w:pPr>
      <w:r>
        <w:rPr>
          <w:rStyle w:val="a5"/>
        </w:rPr>
        <w:footnoteRef/>
      </w:r>
      <w:r>
        <w:t xml:space="preserve"> </w:t>
      </w:r>
      <w:r w:rsidRPr="004823EE">
        <w:t>Bachelor's Program of Business, Feng Chia University, Taiwan</w:t>
      </w:r>
    </w:p>
  </w:footnote>
  <w:footnote w:id="2">
    <w:p w14:paraId="5B1D7503" w14:textId="01C65AD9" w:rsidR="004823EE" w:rsidRDefault="004823EE" w:rsidP="004823EE">
      <w:pPr>
        <w:pStyle w:val="a6"/>
        <w:snapToGrid w:val="0"/>
        <w:spacing w:line="240" w:lineRule="auto"/>
      </w:pPr>
      <w:r>
        <w:rPr>
          <w:rStyle w:val="a5"/>
        </w:rPr>
        <w:footnoteRef/>
      </w:r>
      <w:r>
        <w:t xml:space="preserve"> </w:t>
      </w:r>
      <w:r w:rsidRPr="004823EE">
        <w:t>Department of Finance, National Chung-</w:t>
      </w:r>
      <w:proofErr w:type="spellStart"/>
      <w:r w:rsidRPr="004823EE">
        <w:t>Hsing</w:t>
      </w:r>
      <w:proofErr w:type="spellEnd"/>
      <w:r w:rsidRPr="004823EE">
        <w:t xml:space="preserve"> University, Taiwan</w:t>
      </w:r>
    </w:p>
    <w:p w14:paraId="3197E8A9" w14:textId="72603D93" w:rsidR="004823EE" w:rsidRDefault="004823EE" w:rsidP="001C5BF4">
      <w:pPr>
        <w:pStyle w:val="a6"/>
        <w:snapToGrid w:val="0"/>
        <w:spacing w:line="240" w:lineRule="auto"/>
        <w:ind w:left="170" w:right="0" w:hangingChars="85" w:hanging="170"/>
      </w:pPr>
      <w:r>
        <w:rPr>
          <w:rFonts w:hint="eastAsia"/>
        </w:rPr>
        <w:t>*</w:t>
      </w:r>
      <w:r w:rsidRPr="001C5BF4">
        <w:rPr>
          <w:rFonts w:hint="eastAsia"/>
          <w:sz w:val="34"/>
          <w:szCs w:val="34"/>
        </w:rPr>
        <w:t xml:space="preserve"> </w:t>
      </w:r>
      <w:r w:rsidR="001C5BF4" w:rsidRPr="001C5BF4">
        <w:t xml:space="preserve">Correspondence to: Bachelor's Program of Business, Feng Chia University, Taiwan, 100, </w:t>
      </w:r>
      <w:proofErr w:type="spellStart"/>
      <w:r w:rsidR="001C5BF4" w:rsidRPr="001C5BF4">
        <w:t>Wenhua</w:t>
      </w:r>
      <w:proofErr w:type="spellEnd"/>
      <w:r w:rsidR="001C5BF4" w:rsidRPr="001C5BF4">
        <w:t xml:space="preserve"> Rd, </w:t>
      </w:r>
      <w:proofErr w:type="spellStart"/>
      <w:r w:rsidR="001C5BF4" w:rsidRPr="001C5BF4">
        <w:t>Xitun</w:t>
      </w:r>
      <w:proofErr w:type="spellEnd"/>
      <w:r w:rsidR="001C5BF4" w:rsidRPr="001C5BF4">
        <w:t xml:space="preserve"> Dist., Taichung City 407102, Taiwan. Email: cchihwu@fcu.edu.tw.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79D1"/>
    <w:multiLevelType w:val="multilevel"/>
    <w:tmpl w:val="21A62834"/>
    <w:lvl w:ilvl="0">
      <w:start w:val="1"/>
      <w:numFmt w:val="decimal"/>
      <w:pStyle w:val="1"/>
      <w:lvlText w:val="%1."/>
      <w:lvlJc w:val="left"/>
      <w:pPr>
        <w:ind w:left="720" w:hanging="720"/>
      </w:pPr>
      <w:rPr>
        <w:rFonts w:hint="default"/>
      </w:rPr>
    </w:lvl>
    <w:lvl w:ilvl="1">
      <w:start w:val="1"/>
      <w:numFmt w:val="decimal"/>
      <w:pStyle w:val="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F184D3C"/>
    <w:multiLevelType w:val="hybridMultilevel"/>
    <w:tmpl w:val="9AD09E5E"/>
    <w:lvl w:ilvl="0" w:tplc="3480A222">
      <w:start w:val="3"/>
      <w:numFmt w:val="upperRoman"/>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2C01116"/>
    <w:multiLevelType w:val="hybridMultilevel"/>
    <w:tmpl w:val="D8AA8648"/>
    <w:lvl w:ilvl="0" w:tplc="A074E8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57555ED"/>
    <w:multiLevelType w:val="multilevel"/>
    <w:tmpl w:val="2A5219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EC34567"/>
    <w:multiLevelType w:val="hybridMultilevel"/>
    <w:tmpl w:val="44FCF688"/>
    <w:lvl w:ilvl="0" w:tplc="7D129F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183111A"/>
    <w:multiLevelType w:val="hybridMultilevel"/>
    <w:tmpl w:val="3CCA69F4"/>
    <w:lvl w:ilvl="0" w:tplc="46FA5E46">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6C41422"/>
    <w:multiLevelType w:val="hybridMultilevel"/>
    <w:tmpl w:val="3D64775A"/>
    <w:lvl w:ilvl="0" w:tplc="E132BD3C">
      <w:start w:val="1"/>
      <w:numFmt w:val="decimal"/>
      <w:lvlText w:val="(%1)"/>
      <w:lvlJc w:val="left"/>
      <w:pPr>
        <w:ind w:left="855" w:hanging="360"/>
      </w:pPr>
      <w:rPr>
        <w:rFonts w:hint="default"/>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7" w15:restartNumberingAfterBreak="0">
    <w:nsid w:val="7A5E328C"/>
    <w:multiLevelType w:val="hybridMultilevel"/>
    <w:tmpl w:val="FE769222"/>
    <w:lvl w:ilvl="0" w:tplc="32428766">
      <w:start w:val="3"/>
      <w:numFmt w:val="upperRoman"/>
      <w:lvlText w:val="%1&gt;"/>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6"/>
  </w:num>
  <w:num w:numId="4">
    <w:abstractNumId w:val="4"/>
  </w:num>
  <w:num w:numId="5">
    <w:abstractNumId w:val="7"/>
  </w:num>
  <w:num w:numId="6">
    <w:abstractNumId w:val="1"/>
  </w:num>
  <w:num w:numId="7">
    <w:abstractNumId w:val="3"/>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pew05t5ffv2zxewvpbvwv20pvaweratdv5e&quot;&gt;EndNote Library_CCWu&lt;record-ids&gt;&lt;item&gt;515&lt;/item&gt;&lt;item&gt;518&lt;/item&gt;&lt;item&gt;870&lt;/item&gt;&lt;item&gt;1041&lt;/item&gt;&lt;item&gt;1568&lt;/item&gt;&lt;item&gt;2506&lt;/item&gt;&lt;item&gt;3754&lt;/item&gt;&lt;item&gt;5850&lt;/item&gt;&lt;item&gt;5851&lt;/item&gt;&lt;item&gt;5854&lt;/item&gt;&lt;item&gt;5855&lt;/item&gt;&lt;item&gt;5856&lt;/item&gt;&lt;item&gt;5857&lt;/item&gt;&lt;item&gt;5858&lt;/item&gt;&lt;item&gt;5859&lt;/item&gt;&lt;item&gt;5862&lt;/item&gt;&lt;item&gt;5866&lt;/item&gt;&lt;item&gt;5869&lt;/item&gt;&lt;item&gt;5870&lt;/item&gt;&lt;item&gt;5871&lt;/item&gt;&lt;/record-ids&gt;&lt;/item&gt;&lt;/Libraries&gt;"/>
  </w:docVars>
  <w:rsids>
    <w:rsidRoot w:val="007E5B8B"/>
    <w:rsid w:val="000121B0"/>
    <w:rsid w:val="00033EAC"/>
    <w:rsid w:val="00035DE7"/>
    <w:rsid w:val="00037A04"/>
    <w:rsid w:val="00055F34"/>
    <w:rsid w:val="00057EC2"/>
    <w:rsid w:val="0006340C"/>
    <w:rsid w:val="00063C48"/>
    <w:rsid w:val="00064E03"/>
    <w:rsid w:val="00070CAC"/>
    <w:rsid w:val="000714CE"/>
    <w:rsid w:val="000740DF"/>
    <w:rsid w:val="000777BA"/>
    <w:rsid w:val="0008122F"/>
    <w:rsid w:val="000824B0"/>
    <w:rsid w:val="0008612F"/>
    <w:rsid w:val="000A09BD"/>
    <w:rsid w:val="000A1A73"/>
    <w:rsid w:val="000A21F6"/>
    <w:rsid w:val="000A2DCB"/>
    <w:rsid w:val="000A4C96"/>
    <w:rsid w:val="000B2E5F"/>
    <w:rsid w:val="000C12DE"/>
    <w:rsid w:val="000C2CF3"/>
    <w:rsid w:val="000C3DD7"/>
    <w:rsid w:val="000D499D"/>
    <w:rsid w:val="000E0A6C"/>
    <w:rsid w:val="000F042B"/>
    <w:rsid w:val="000F4879"/>
    <w:rsid w:val="000F4B07"/>
    <w:rsid w:val="000F7325"/>
    <w:rsid w:val="00101595"/>
    <w:rsid w:val="001043B6"/>
    <w:rsid w:val="00106E4F"/>
    <w:rsid w:val="00107C57"/>
    <w:rsid w:val="001114B0"/>
    <w:rsid w:val="00112691"/>
    <w:rsid w:val="001147B9"/>
    <w:rsid w:val="00143BD1"/>
    <w:rsid w:val="00145F52"/>
    <w:rsid w:val="001553C5"/>
    <w:rsid w:val="00156818"/>
    <w:rsid w:val="00170199"/>
    <w:rsid w:val="001758B3"/>
    <w:rsid w:val="00177B08"/>
    <w:rsid w:val="001843FC"/>
    <w:rsid w:val="001A54E6"/>
    <w:rsid w:val="001A6FFB"/>
    <w:rsid w:val="001B46CB"/>
    <w:rsid w:val="001C5BF4"/>
    <w:rsid w:val="001D255E"/>
    <w:rsid w:val="001E28CA"/>
    <w:rsid w:val="001F7B82"/>
    <w:rsid w:val="00202BBE"/>
    <w:rsid w:val="0020767C"/>
    <w:rsid w:val="00207793"/>
    <w:rsid w:val="002139C6"/>
    <w:rsid w:val="00233E5D"/>
    <w:rsid w:val="00234543"/>
    <w:rsid w:val="00242A9F"/>
    <w:rsid w:val="002630B4"/>
    <w:rsid w:val="00276E33"/>
    <w:rsid w:val="00283409"/>
    <w:rsid w:val="002A27FA"/>
    <w:rsid w:val="002A4DF2"/>
    <w:rsid w:val="002B3C92"/>
    <w:rsid w:val="002B42BA"/>
    <w:rsid w:val="002B6382"/>
    <w:rsid w:val="002C446D"/>
    <w:rsid w:val="002C53B1"/>
    <w:rsid w:val="002E129E"/>
    <w:rsid w:val="002E3264"/>
    <w:rsid w:val="002E50C9"/>
    <w:rsid w:val="002F3D47"/>
    <w:rsid w:val="00301FCF"/>
    <w:rsid w:val="00303CA5"/>
    <w:rsid w:val="00305E51"/>
    <w:rsid w:val="003100F6"/>
    <w:rsid w:val="00324F2F"/>
    <w:rsid w:val="003313BF"/>
    <w:rsid w:val="00336293"/>
    <w:rsid w:val="00341FBC"/>
    <w:rsid w:val="0034303C"/>
    <w:rsid w:val="00350966"/>
    <w:rsid w:val="00353396"/>
    <w:rsid w:val="00356E6E"/>
    <w:rsid w:val="003607FD"/>
    <w:rsid w:val="00384BE6"/>
    <w:rsid w:val="003877C9"/>
    <w:rsid w:val="0038782B"/>
    <w:rsid w:val="0039064A"/>
    <w:rsid w:val="00395305"/>
    <w:rsid w:val="003A6B68"/>
    <w:rsid w:val="003C575D"/>
    <w:rsid w:val="003C6BAF"/>
    <w:rsid w:val="003C70BD"/>
    <w:rsid w:val="003D1F2A"/>
    <w:rsid w:val="003D4569"/>
    <w:rsid w:val="003F3EB3"/>
    <w:rsid w:val="003F525F"/>
    <w:rsid w:val="003F6258"/>
    <w:rsid w:val="003F7F82"/>
    <w:rsid w:val="00402ACC"/>
    <w:rsid w:val="004065B6"/>
    <w:rsid w:val="00415BA8"/>
    <w:rsid w:val="00417D71"/>
    <w:rsid w:val="00420A91"/>
    <w:rsid w:val="004215C9"/>
    <w:rsid w:val="00436E1A"/>
    <w:rsid w:val="00437C93"/>
    <w:rsid w:val="00443F6C"/>
    <w:rsid w:val="004463FB"/>
    <w:rsid w:val="00451BD0"/>
    <w:rsid w:val="00453D87"/>
    <w:rsid w:val="00463AEB"/>
    <w:rsid w:val="00465E16"/>
    <w:rsid w:val="004813CC"/>
    <w:rsid w:val="004823EE"/>
    <w:rsid w:val="004835E8"/>
    <w:rsid w:val="00490DEA"/>
    <w:rsid w:val="004B2AD7"/>
    <w:rsid w:val="004C7377"/>
    <w:rsid w:val="004E0AF6"/>
    <w:rsid w:val="004E1225"/>
    <w:rsid w:val="004E2B1C"/>
    <w:rsid w:val="004E597E"/>
    <w:rsid w:val="004F36AD"/>
    <w:rsid w:val="00500D38"/>
    <w:rsid w:val="005037DE"/>
    <w:rsid w:val="00507409"/>
    <w:rsid w:val="00507976"/>
    <w:rsid w:val="005164BD"/>
    <w:rsid w:val="00516ED7"/>
    <w:rsid w:val="005346E1"/>
    <w:rsid w:val="0053797A"/>
    <w:rsid w:val="005425D8"/>
    <w:rsid w:val="00552D1E"/>
    <w:rsid w:val="00553CD6"/>
    <w:rsid w:val="00563A3B"/>
    <w:rsid w:val="00567A43"/>
    <w:rsid w:val="00571AB8"/>
    <w:rsid w:val="005736BB"/>
    <w:rsid w:val="005868A4"/>
    <w:rsid w:val="005B0EE4"/>
    <w:rsid w:val="005B5FCA"/>
    <w:rsid w:val="005B6816"/>
    <w:rsid w:val="005C235A"/>
    <w:rsid w:val="005D02BC"/>
    <w:rsid w:val="005E17EF"/>
    <w:rsid w:val="005E24FC"/>
    <w:rsid w:val="005E624D"/>
    <w:rsid w:val="006313B8"/>
    <w:rsid w:val="00631BC8"/>
    <w:rsid w:val="0063219D"/>
    <w:rsid w:val="00640F47"/>
    <w:rsid w:val="00642EAB"/>
    <w:rsid w:val="0065328C"/>
    <w:rsid w:val="00683650"/>
    <w:rsid w:val="00685B02"/>
    <w:rsid w:val="00686DE6"/>
    <w:rsid w:val="00687107"/>
    <w:rsid w:val="00691162"/>
    <w:rsid w:val="0069630A"/>
    <w:rsid w:val="006B05BE"/>
    <w:rsid w:val="006B3283"/>
    <w:rsid w:val="006B4E12"/>
    <w:rsid w:val="006B7D97"/>
    <w:rsid w:val="006C612A"/>
    <w:rsid w:val="006D3A54"/>
    <w:rsid w:val="006D5D64"/>
    <w:rsid w:val="006E18AF"/>
    <w:rsid w:val="006E7053"/>
    <w:rsid w:val="006F32AD"/>
    <w:rsid w:val="00702EAF"/>
    <w:rsid w:val="00704F7C"/>
    <w:rsid w:val="00705032"/>
    <w:rsid w:val="00707136"/>
    <w:rsid w:val="0070717C"/>
    <w:rsid w:val="00714621"/>
    <w:rsid w:val="00720ADE"/>
    <w:rsid w:val="00726AFA"/>
    <w:rsid w:val="0073275C"/>
    <w:rsid w:val="00742BFA"/>
    <w:rsid w:val="007476ED"/>
    <w:rsid w:val="00755DD5"/>
    <w:rsid w:val="00755DEC"/>
    <w:rsid w:val="007640DC"/>
    <w:rsid w:val="007768B8"/>
    <w:rsid w:val="007869A8"/>
    <w:rsid w:val="00787C72"/>
    <w:rsid w:val="00787DDE"/>
    <w:rsid w:val="007B4A8E"/>
    <w:rsid w:val="007D227D"/>
    <w:rsid w:val="007D6152"/>
    <w:rsid w:val="007E0B0B"/>
    <w:rsid w:val="007E5B8B"/>
    <w:rsid w:val="007F137C"/>
    <w:rsid w:val="007F2C41"/>
    <w:rsid w:val="00801AEF"/>
    <w:rsid w:val="0080476A"/>
    <w:rsid w:val="008156D2"/>
    <w:rsid w:val="008239D7"/>
    <w:rsid w:val="00825E9D"/>
    <w:rsid w:val="00831377"/>
    <w:rsid w:val="008342C6"/>
    <w:rsid w:val="00835215"/>
    <w:rsid w:val="008402A3"/>
    <w:rsid w:val="00861501"/>
    <w:rsid w:val="0087267E"/>
    <w:rsid w:val="00874C2C"/>
    <w:rsid w:val="008919F2"/>
    <w:rsid w:val="008964F4"/>
    <w:rsid w:val="008A1C7A"/>
    <w:rsid w:val="008B0E08"/>
    <w:rsid w:val="008B2E94"/>
    <w:rsid w:val="008D4531"/>
    <w:rsid w:val="008D54E5"/>
    <w:rsid w:val="008D64AC"/>
    <w:rsid w:val="008E7033"/>
    <w:rsid w:val="008E7382"/>
    <w:rsid w:val="008F2897"/>
    <w:rsid w:val="008F4E0D"/>
    <w:rsid w:val="008F5A21"/>
    <w:rsid w:val="009008F0"/>
    <w:rsid w:val="009040AE"/>
    <w:rsid w:val="00905E99"/>
    <w:rsid w:val="009108E8"/>
    <w:rsid w:val="00921EE0"/>
    <w:rsid w:val="0092340E"/>
    <w:rsid w:val="00935C93"/>
    <w:rsid w:val="009408D7"/>
    <w:rsid w:val="009477CB"/>
    <w:rsid w:val="00965C93"/>
    <w:rsid w:val="00995B26"/>
    <w:rsid w:val="009A751C"/>
    <w:rsid w:val="009C3F31"/>
    <w:rsid w:val="009D6EEA"/>
    <w:rsid w:val="00A12675"/>
    <w:rsid w:val="00A21ABF"/>
    <w:rsid w:val="00A4206F"/>
    <w:rsid w:val="00A42624"/>
    <w:rsid w:val="00A5182C"/>
    <w:rsid w:val="00A53794"/>
    <w:rsid w:val="00A56185"/>
    <w:rsid w:val="00A71E2E"/>
    <w:rsid w:val="00A921D0"/>
    <w:rsid w:val="00A95329"/>
    <w:rsid w:val="00AA2D0E"/>
    <w:rsid w:val="00AA4301"/>
    <w:rsid w:val="00AD3CFC"/>
    <w:rsid w:val="00AF33B6"/>
    <w:rsid w:val="00AF4094"/>
    <w:rsid w:val="00AF59D1"/>
    <w:rsid w:val="00B02061"/>
    <w:rsid w:val="00B07251"/>
    <w:rsid w:val="00B11DB6"/>
    <w:rsid w:val="00B143E2"/>
    <w:rsid w:val="00B21DFE"/>
    <w:rsid w:val="00B24C87"/>
    <w:rsid w:val="00B27CCB"/>
    <w:rsid w:val="00B43313"/>
    <w:rsid w:val="00B74D19"/>
    <w:rsid w:val="00B808F9"/>
    <w:rsid w:val="00B94FB5"/>
    <w:rsid w:val="00BB03D2"/>
    <w:rsid w:val="00BB441B"/>
    <w:rsid w:val="00BB4F83"/>
    <w:rsid w:val="00BB6B42"/>
    <w:rsid w:val="00BC3E3E"/>
    <w:rsid w:val="00BD597F"/>
    <w:rsid w:val="00BE2C80"/>
    <w:rsid w:val="00BE597D"/>
    <w:rsid w:val="00BF5619"/>
    <w:rsid w:val="00C000D9"/>
    <w:rsid w:val="00C05B7E"/>
    <w:rsid w:val="00C108EE"/>
    <w:rsid w:val="00C145E8"/>
    <w:rsid w:val="00C2082E"/>
    <w:rsid w:val="00C223FD"/>
    <w:rsid w:val="00C225BA"/>
    <w:rsid w:val="00C234BA"/>
    <w:rsid w:val="00C23E58"/>
    <w:rsid w:val="00C31C9F"/>
    <w:rsid w:val="00C3335D"/>
    <w:rsid w:val="00C365A6"/>
    <w:rsid w:val="00C5198D"/>
    <w:rsid w:val="00C51B1B"/>
    <w:rsid w:val="00C51C8B"/>
    <w:rsid w:val="00C57F52"/>
    <w:rsid w:val="00C6357B"/>
    <w:rsid w:val="00C864E7"/>
    <w:rsid w:val="00C867AF"/>
    <w:rsid w:val="00CA24F1"/>
    <w:rsid w:val="00CB7D3C"/>
    <w:rsid w:val="00CC2F20"/>
    <w:rsid w:val="00CC3CBE"/>
    <w:rsid w:val="00CC531F"/>
    <w:rsid w:val="00CE41A5"/>
    <w:rsid w:val="00D007CF"/>
    <w:rsid w:val="00D00CC9"/>
    <w:rsid w:val="00D05759"/>
    <w:rsid w:val="00D12339"/>
    <w:rsid w:val="00D14DCF"/>
    <w:rsid w:val="00D169EF"/>
    <w:rsid w:val="00D176BC"/>
    <w:rsid w:val="00D215EC"/>
    <w:rsid w:val="00D32066"/>
    <w:rsid w:val="00D34D7E"/>
    <w:rsid w:val="00D42360"/>
    <w:rsid w:val="00D43EB3"/>
    <w:rsid w:val="00D5160F"/>
    <w:rsid w:val="00D543E8"/>
    <w:rsid w:val="00D5752D"/>
    <w:rsid w:val="00D61981"/>
    <w:rsid w:val="00D63999"/>
    <w:rsid w:val="00D830DE"/>
    <w:rsid w:val="00D953C4"/>
    <w:rsid w:val="00DA22DB"/>
    <w:rsid w:val="00DE4A13"/>
    <w:rsid w:val="00DF52ED"/>
    <w:rsid w:val="00E14268"/>
    <w:rsid w:val="00E31A43"/>
    <w:rsid w:val="00E33E68"/>
    <w:rsid w:val="00E40CFC"/>
    <w:rsid w:val="00E43D49"/>
    <w:rsid w:val="00E472D4"/>
    <w:rsid w:val="00E63B90"/>
    <w:rsid w:val="00E8532D"/>
    <w:rsid w:val="00E87E14"/>
    <w:rsid w:val="00E942EC"/>
    <w:rsid w:val="00EA163D"/>
    <w:rsid w:val="00EA356C"/>
    <w:rsid w:val="00EB166A"/>
    <w:rsid w:val="00EC37C3"/>
    <w:rsid w:val="00EC44AA"/>
    <w:rsid w:val="00EE79A1"/>
    <w:rsid w:val="00EF0E0D"/>
    <w:rsid w:val="00EF136E"/>
    <w:rsid w:val="00EF4A4D"/>
    <w:rsid w:val="00F14D7B"/>
    <w:rsid w:val="00F213C0"/>
    <w:rsid w:val="00F27D10"/>
    <w:rsid w:val="00F32476"/>
    <w:rsid w:val="00F35034"/>
    <w:rsid w:val="00F4324B"/>
    <w:rsid w:val="00F6275A"/>
    <w:rsid w:val="00F73AB2"/>
    <w:rsid w:val="00F753CA"/>
    <w:rsid w:val="00F82681"/>
    <w:rsid w:val="00F87FE5"/>
    <w:rsid w:val="00F935AF"/>
    <w:rsid w:val="00F95F4A"/>
    <w:rsid w:val="00FA5CD2"/>
    <w:rsid w:val="00FB28BE"/>
    <w:rsid w:val="00FD5B1C"/>
    <w:rsid w:val="00FE55B1"/>
    <w:rsid w:val="00FF2911"/>
    <w:rsid w:val="00FF7F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4224934"/>
  <w15:chartTrackingRefBased/>
  <w15:docId w15:val="{C212EAC5-A96E-481B-81CB-37C6CE36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255E"/>
    <w:pPr>
      <w:widowControl w:val="0"/>
      <w:spacing w:line="480" w:lineRule="atLeast"/>
      <w:ind w:right="-57"/>
      <w:jc w:val="both"/>
    </w:pPr>
    <w:rPr>
      <w:rFonts w:ascii="Times New Roman" w:hAnsi="Times New Roman" w:cs="Times New Roman"/>
      <w:szCs w:val="24"/>
    </w:rPr>
  </w:style>
  <w:style w:type="paragraph" w:styleId="1">
    <w:name w:val="heading 1"/>
    <w:basedOn w:val="a0"/>
    <w:next w:val="a"/>
    <w:link w:val="10"/>
    <w:uiPriority w:val="9"/>
    <w:qFormat/>
    <w:rsid w:val="00BC3E3E"/>
    <w:pPr>
      <w:numPr>
        <w:numId w:val="2"/>
      </w:numPr>
      <w:spacing w:beforeLines="100" w:before="360" w:afterLines="50" w:after="180"/>
      <w:ind w:leftChars="0" w:left="284" w:right="0" w:hanging="284"/>
      <w:outlineLvl w:val="0"/>
    </w:pPr>
    <w:rPr>
      <w:b/>
      <w:sz w:val="28"/>
    </w:rPr>
  </w:style>
  <w:style w:type="paragraph" w:styleId="2">
    <w:name w:val="heading 2"/>
    <w:basedOn w:val="1"/>
    <w:next w:val="a"/>
    <w:link w:val="20"/>
    <w:uiPriority w:val="9"/>
    <w:unhideWhenUsed/>
    <w:qFormat/>
    <w:rsid w:val="002E3264"/>
    <w:pPr>
      <w:numPr>
        <w:ilvl w:val="1"/>
      </w:numPr>
      <w:spacing w:beforeLines="50" w:before="180"/>
      <w:ind w:left="357" w:hanging="357"/>
      <w:outlineLvl w:val="1"/>
    </w:pPr>
    <w:rPr>
      <w:sz w:val="24"/>
    </w:rPr>
  </w:style>
  <w:style w:type="paragraph" w:styleId="3">
    <w:name w:val="heading 3"/>
    <w:basedOn w:val="a1"/>
    <w:next w:val="a"/>
    <w:link w:val="30"/>
    <w:uiPriority w:val="9"/>
    <w:unhideWhenUsed/>
    <w:qFormat/>
    <w:rsid w:val="00C3335D"/>
    <w:pPr>
      <w:keepNext/>
      <w:spacing w:beforeLines="50" w:before="180" w:line="240" w:lineRule="auto"/>
      <w:outlineLvl w:val="2"/>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List Paragraph"/>
    <w:basedOn w:val="a"/>
    <w:uiPriority w:val="34"/>
    <w:qFormat/>
    <w:rsid w:val="00D00CC9"/>
    <w:pPr>
      <w:ind w:leftChars="200" w:left="480"/>
    </w:pPr>
  </w:style>
  <w:style w:type="character" w:styleId="a5">
    <w:name w:val="footnote reference"/>
    <w:basedOn w:val="a2"/>
    <w:semiHidden/>
    <w:rsid w:val="00F935AF"/>
    <w:rPr>
      <w:rFonts w:ascii="Times New Roman"/>
      <w:noProof w:val="0"/>
      <w:position w:val="6"/>
      <w:sz w:val="16"/>
      <w:szCs w:val="16"/>
    </w:rPr>
  </w:style>
  <w:style w:type="paragraph" w:styleId="a6">
    <w:name w:val="footnote text"/>
    <w:basedOn w:val="a"/>
    <w:link w:val="a7"/>
    <w:semiHidden/>
    <w:rsid w:val="00F935AF"/>
    <w:pPr>
      <w:autoSpaceDE w:val="0"/>
      <w:autoSpaceDN w:val="0"/>
      <w:adjustRightInd w:val="0"/>
    </w:pPr>
    <w:rPr>
      <w:rFonts w:eastAsia="細明體"/>
      <w:kern w:val="0"/>
      <w:sz w:val="20"/>
      <w:szCs w:val="20"/>
    </w:rPr>
  </w:style>
  <w:style w:type="character" w:customStyle="1" w:styleId="a7">
    <w:name w:val="註腳文字 字元"/>
    <w:basedOn w:val="a2"/>
    <w:link w:val="a6"/>
    <w:semiHidden/>
    <w:rsid w:val="00F935AF"/>
    <w:rPr>
      <w:rFonts w:ascii="Times New Roman" w:eastAsia="細明體" w:hAnsi="Times New Roman" w:cs="Times New Roman"/>
      <w:kern w:val="0"/>
      <w:sz w:val="20"/>
      <w:szCs w:val="20"/>
    </w:rPr>
  </w:style>
  <w:style w:type="character" w:styleId="a8">
    <w:name w:val="Hyperlink"/>
    <w:basedOn w:val="a2"/>
    <w:rsid w:val="00F935AF"/>
    <w:rPr>
      <w:strike w:val="0"/>
      <w:dstrike w:val="0"/>
      <w:color w:val="026E0B"/>
      <w:u w:val="none"/>
      <w:effect w:val="none"/>
    </w:rPr>
  </w:style>
  <w:style w:type="paragraph" w:styleId="a9">
    <w:name w:val="header"/>
    <w:basedOn w:val="a"/>
    <w:link w:val="aa"/>
    <w:uiPriority w:val="99"/>
    <w:unhideWhenUsed/>
    <w:rsid w:val="006F32AD"/>
    <w:pPr>
      <w:tabs>
        <w:tab w:val="center" w:pos="4153"/>
        <w:tab w:val="right" w:pos="8306"/>
      </w:tabs>
      <w:snapToGrid w:val="0"/>
    </w:pPr>
    <w:rPr>
      <w:sz w:val="20"/>
      <w:szCs w:val="20"/>
    </w:rPr>
  </w:style>
  <w:style w:type="character" w:customStyle="1" w:styleId="aa">
    <w:name w:val="頁首 字元"/>
    <w:basedOn w:val="a2"/>
    <w:link w:val="a9"/>
    <w:uiPriority w:val="99"/>
    <w:rsid w:val="006F32AD"/>
    <w:rPr>
      <w:sz w:val="20"/>
      <w:szCs w:val="20"/>
    </w:rPr>
  </w:style>
  <w:style w:type="paragraph" w:styleId="ab">
    <w:name w:val="footer"/>
    <w:basedOn w:val="a"/>
    <w:link w:val="ac"/>
    <w:uiPriority w:val="99"/>
    <w:unhideWhenUsed/>
    <w:rsid w:val="006F32AD"/>
    <w:pPr>
      <w:tabs>
        <w:tab w:val="center" w:pos="4153"/>
        <w:tab w:val="right" w:pos="8306"/>
      </w:tabs>
      <w:snapToGrid w:val="0"/>
    </w:pPr>
    <w:rPr>
      <w:sz w:val="20"/>
      <w:szCs w:val="20"/>
    </w:rPr>
  </w:style>
  <w:style w:type="character" w:customStyle="1" w:styleId="ac">
    <w:name w:val="頁尾 字元"/>
    <w:basedOn w:val="a2"/>
    <w:link w:val="ab"/>
    <w:uiPriority w:val="99"/>
    <w:rsid w:val="006F32AD"/>
    <w:rPr>
      <w:sz w:val="20"/>
      <w:szCs w:val="20"/>
    </w:rPr>
  </w:style>
  <w:style w:type="character" w:customStyle="1" w:styleId="10">
    <w:name w:val="標題 1 字元"/>
    <w:basedOn w:val="a2"/>
    <w:link w:val="1"/>
    <w:uiPriority w:val="9"/>
    <w:rsid w:val="00BC3E3E"/>
    <w:rPr>
      <w:rFonts w:ascii="Times New Roman" w:hAnsi="Times New Roman" w:cs="Times New Roman"/>
      <w:b/>
      <w:sz w:val="28"/>
      <w:szCs w:val="24"/>
    </w:rPr>
  </w:style>
  <w:style w:type="paragraph" w:customStyle="1" w:styleId="text">
    <w:name w:val="text"/>
    <w:basedOn w:val="a"/>
    <w:link w:val="text0"/>
    <w:qFormat/>
    <w:rsid w:val="00324F2F"/>
    <w:pPr>
      <w:widowControl/>
      <w:spacing w:line="240" w:lineRule="auto"/>
      <w:ind w:right="0" w:firstLine="482"/>
    </w:pPr>
  </w:style>
  <w:style w:type="character" w:customStyle="1" w:styleId="20">
    <w:name w:val="標題 2 字元"/>
    <w:basedOn w:val="a2"/>
    <w:link w:val="2"/>
    <w:uiPriority w:val="9"/>
    <w:rsid w:val="002E3264"/>
    <w:rPr>
      <w:rFonts w:ascii="Times New Roman" w:hAnsi="Times New Roman" w:cs="Times New Roman"/>
      <w:b/>
      <w:szCs w:val="24"/>
    </w:rPr>
  </w:style>
  <w:style w:type="character" w:customStyle="1" w:styleId="text0">
    <w:name w:val="text 字元"/>
    <w:basedOn w:val="a2"/>
    <w:link w:val="text"/>
    <w:rsid w:val="00324F2F"/>
    <w:rPr>
      <w:rFonts w:ascii="Times New Roman" w:hAnsi="Times New Roman" w:cs="Times New Roman"/>
      <w:szCs w:val="24"/>
    </w:rPr>
  </w:style>
  <w:style w:type="paragraph" w:customStyle="1" w:styleId="table-note">
    <w:name w:val="table-note"/>
    <w:basedOn w:val="a"/>
    <w:qFormat/>
    <w:rsid w:val="00C3335D"/>
    <w:pPr>
      <w:keepNext/>
      <w:keepLines/>
      <w:widowControl/>
      <w:spacing w:before="120" w:after="120" w:line="240" w:lineRule="exact"/>
      <w:ind w:right="0"/>
    </w:pPr>
    <w:rPr>
      <w:sz w:val="20"/>
      <w:szCs w:val="20"/>
    </w:rPr>
  </w:style>
  <w:style w:type="paragraph" w:styleId="a1">
    <w:name w:val="caption"/>
    <w:basedOn w:val="a"/>
    <w:next w:val="a"/>
    <w:uiPriority w:val="35"/>
    <w:unhideWhenUsed/>
    <w:qFormat/>
    <w:rsid w:val="00C6357B"/>
    <w:rPr>
      <w:sz w:val="20"/>
      <w:szCs w:val="20"/>
    </w:rPr>
  </w:style>
  <w:style w:type="character" w:customStyle="1" w:styleId="30">
    <w:name w:val="標題 3 字元"/>
    <w:basedOn w:val="a2"/>
    <w:link w:val="3"/>
    <w:uiPriority w:val="9"/>
    <w:rsid w:val="00C3335D"/>
    <w:rPr>
      <w:rFonts w:ascii="Times New Roman" w:hAnsi="Times New Roman" w:cs="Times New Roman"/>
      <w:b/>
      <w:bCs/>
      <w:szCs w:val="24"/>
    </w:rPr>
  </w:style>
  <w:style w:type="paragraph" w:customStyle="1" w:styleId="equ">
    <w:name w:val="equ右"/>
    <w:basedOn w:val="a"/>
    <w:next w:val="a"/>
    <w:link w:val="equ0"/>
    <w:uiPriority w:val="1"/>
    <w:qFormat/>
    <w:rsid w:val="00707136"/>
    <w:pPr>
      <w:tabs>
        <w:tab w:val="right" w:pos="7866"/>
        <w:tab w:val="right" w:pos="8436"/>
      </w:tabs>
      <w:snapToGrid w:val="0"/>
      <w:spacing w:line="240" w:lineRule="auto"/>
      <w:ind w:leftChars="342" w:left="821" w:right="0"/>
      <w:jc w:val="left"/>
    </w:pPr>
    <w:rPr>
      <w:rFonts w:eastAsia="標楷體"/>
      <w:iCs/>
      <w:color w:val="232323"/>
      <w:kern w:val="0"/>
      <w:sz w:val="20"/>
      <w:szCs w:val="20"/>
    </w:rPr>
  </w:style>
  <w:style w:type="character" w:customStyle="1" w:styleId="equ0">
    <w:name w:val="equ右 字元"/>
    <w:basedOn w:val="a2"/>
    <w:link w:val="equ"/>
    <w:uiPriority w:val="1"/>
    <w:rsid w:val="00707136"/>
    <w:rPr>
      <w:rFonts w:ascii="Times New Roman" w:eastAsia="標楷體" w:hAnsi="Times New Roman" w:cs="Times New Roman"/>
      <w:iCs/>
      <w:color w:val="232323"/>
      <w:kern w:val="0"/>
      <w:sz w:val="20"/>
      <w:szCs w:val="20"/>
    </w:rPr>
  </w:style>
  <w:style w:type="table" w:styleId="ad">
    <w:name w:val="Table Grid"/>
    <w:basedOn w:val="a3"/>
    <w:uiPriority w:val="39"/>
    <w:rsid w:val="00E14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0"/>
    <w:rsid w:val="00CC3CBE"/>
    <w:pPr>
      <w:jc w:val="center"/>
    </w:pPr>
    <w:rPr>
      <w:noProof/>
    </w:rPr>
  </w:style>
  <w:style w:type="character" w:customStyle="1" w:styleId="EndNoteBibliographyTitle0">
    <w:name w:val="EndNote Bibliography Title 字元"/>
    <w:basedOn w:val="text0"/>
    <w:link w:val="EndNoteBibliographyTitle"/>
    <w:rsid w:val="00CC3CBE"/>
    <w:rPr>
      <w:rFonts w:ascii="Times New Roman" w:hAnsi="Times New Roman" w:cs="Times New Roman"/>
      <w:noProof/>
      <w:szCs w:val="24"/>
    </w:rPr>
  </w:style>
  <w:style w:type="paragraph" w:customStyle="1" w:styleId="EndNoteBibliography">
    <w:name w:val="EndNote Bibliography"/>
    <w:basedOn w:val="a"/>
    <w:link w:val="EndNoteBibliography0"/>
    <w:rsid w:val="00CC3CBE"/>
    <w:pPr>
      <w:spacing w:line="240" w:lineRule="atLeast"/>
    </w:pPr>
    <w:rPr>
      <w:noProof/>
    </w:rPr>
  </w:style>
  <w:style w:type="character" w:customStyle="1" w:styleId="EndNoteBibliography0">
    <w:name w:val="EndNote Bibliography 字元"/>
    <w:basedOn w:val="text0"/>
    <w:link w:val="EndNoteBibliography"/>
    <w:rsid w:val="00CC3CBE"/>
    <w:rPr>
      <w:rFonts w:ascii="Times New Roman" w:hAnsi="Times New Roman" w:cs="Times New Roman"/>
      <w:noProof/>
      <w:szCs w:val="24"/>
    </w:rPr>
  </w:style>
  <w:style w:type="character" w:styleId="ae">
    <w:name w:val="Unresolved Mention"/>
    <w:basedOn w:val="a2"/>
    <w:uiPriority w:val="99"/>
    <w:semiHidden/>
    <w:unhideWhenUsed/>
    <w:rsid w:val="00687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148106">
      <w:bodyDiv w:val="1"/>
      <w:marLeft w:val="0"/>
      <w:marRight w:val="0"/>
      <w:marTop w:val="0"/>
      <w:marBottom w:val="0"/>
      <w:divBdr>
        <w:top w:val="none" w:sz="0" w:space="0" w:color="auto"/>
        <w:left w:val="none" w:sz="0" w:space="0" w:color="auto"/>
        <w:bottom w:val="none" w:sz="0" w:space="0" w:color="auto"/>
        <w:right w:val="none" w:sz="0" w:space="0" w:color="auto"/>
      </w:divBdr>
    </w:div>
    <w:div w:id="574171697">
      <w:bodyDiv w:val="1"/>
      <w:marLeft w:val="0"/>
      <w:marRight w:val="0"/>
      <w:marTop w:val="0"/>
      <w:marBottom w:val="0"/>
      <w:divBdr>
        <w:top w:val="none" w:sz="0" w:space="0" w:color="auto"/>
        <w:left w:val="none" w:sz="0" w:space="0" w:color="auto"/>
        <w:bottom w:val="none" w:sz="0" w:space="0" w:color="auto"/>
        <w:right w:val="none" w:sz="0" w:space="0" w:color="auto"/>
      </w:divBdr>
    </w:div>
    <w:div w:id="633564580">
      <w:bodyDiv w:val="1"/>
      <w:marLeft w:val="0"/>
      <w:marRight w:val="0"/>
      <w:marTop w:val="0"/>
      <w:marBottom w:val="0"/>
      <w:divBdr>
        <w:top w:val="none" w:sz="0" w:space="0" w:color="auto"/>
        <w:left w:val="none" w:sz="0" w:space="0" w:color="auto"/>
        <w:bottom w:val="none" w:sz="0" w:space="0" w:color="auto"/>
        <w:right w:val="none" w:sz="0" w:space="0" w:color="auto"/>
      </w:divBdr>
    </w:div>
    <w:div w:id="1062098171">
      <w:bodyDiv w:val="1"/>
      <w:marLeft w:val="0"/>
      <w:marRight w:val="0"/>
      <w:marTop w:val="0"/>
      <w:marBottom w:val="0"/>
      <w:divBdr>
        <w:top w:val="none" w:sz="0" w:space="0" w:color="auto"/>
        <w:left w:val="none" w:sz="0" w:space="0" w:color="auto"/>
        <w:bottom w:val="none" w:sz="0" w:space="0" w:color="auto"/>
        <w:right w:val="none" w:sz="0" w:space="0" w:color="auto"/>
      </w:divBdr>
    </w:div>
    <w:div w:id="1197160018">
      <w:bodyDiv w:val="1"/>
      <w:marLeft w:val="0"/>
      <w:marRight w:val="0"/>
      <w:marTop w:val="0"/>
      <w:marBottom w:val="0"/>
      <w:divBdr>
        <w:top w:val="none" w:sz="0" w:space="0" w:color="auto"/>
        <w:left w:val="none" w:sz="0" w:space="0" w:color="auto"/>
        <w:bottom w:val="none" w:sz="0" w:space="0" w:color="auto"/>
        <w:right w:val="none" w:sz="0" w:space="0" w:color="auto"/>
      </w:divBdr>
    </w:div>
    <w:div w:id="1286887562">
      <w:bodyDiv w:val="1"/>
      <w:marLeft w:val="0"/>
      <w:marRight w:val="0"/>
      <w:marTop w:val="0"/>
      <w:marBottom w:val="0"/>
      <w:divBdr>
        <w:top w:val="none" w:sz="0" w:space="0" w:color="auto"/>
        <w:left w:val="none" w:sz="0" w:space="0" w:color="auto"/>
        <w:bottom w:val="none" w:sz="0" w:space="0" w:color="auto"/>
        <w:right w:val="none" w:sz="0" w:space="0" w:color="auto"/>
      </w:divBdr>
    </w:div>
    <w:div w:id="1397895241">
      <w:bodyDiv w:val="1"/>
      <w:marLeft w:val="0"/>
      <w:marRight w:val="0"/>
      <w:marTop w:val="0"/>
      <w:marBottom w:val="0"/>
      <w:divBdr>
        <w:top w:val="none" w:sz="0" w:space="0" w:color="auto"/>
        <w:left w:val="none" w:sz="0" w:space="0" w:color="auto"/>
        <w:bottom w:val="none" w:sz="0" w:space="0" w:color="auto"/>
        <w:right w:val="none" w:sz="0" w:space="0" w:color="auto"/>
      </w:divBdr>
    </w:div>
    <w:div w:id="1415668500">
      <w:bodyDiv w:val="1"/>
      <w:marLeft w:val="0"/>
      <w:marRight w:val="0"/>
      <w:marTop w:val="0"/>
      <w:marBottom w:val="0"/>
      <w:divBdr>
        <w:top w:val="none" w:sz="0" w:space="0" w:color="auto"/>
        <w:left w:val="none" w:sz="0" w:space="0" w:color="auto"/>
        <w:bottom w:val="none" w:sz="0" w:space="0" w:color="auto"/>
        <w:right w:val="none" w:sz="0" w:space="0" w:color="auto"/>
      </w:divBdr>
    </w:div>
    <w:div w:id="166739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6D50C-4A11-4EA7-89C9-E363976A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27</Pages>
  <Words>11459</Words>
  <Characters>67499</Characters>
  <Application>Microsoft Office Word</Application>
  <DocSecurity>0</DocSecurity>
  <Lines>2410</Lines>
  <Paragraphs>1611</Paragraphs>
  <ScaleCrop>false</ScaleCrop>
  <Company/>
  <LinksUpToDate>false</LinksUpToDate>
  <CharactersWithSpaces>77347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吳清池</cp:lastModifiedBy>
  <cp:revision>48</cp:revision>
  <cp:lastPrinted>2024-03-07T04:09:00Z</cp:lastPrinted>
  <dcterms:created xsi:type="dcterms:W3CDTF">2024-03-06T14:06:00Z</dcterms:created>
  <dcterms:modified xsi:type="dcterms:W3CDTF">2024-03-07T04:10:00Z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2659fde495a63270099e56a8a3b0f6583262a4fc16a65e099c0edd0289a7d5eb</vt:lpwstr>
  </property>
</Properties>
</file>