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9674" w14:textId="77777777" w:rsidR="00CA787C" w:rsidRPr="00F81C28" w:rsidRDefault="00CA787C" w:rsidP="00CA787C">
      <w:pPr>
        <w:pStyle w:val="CommentText"/>
        <w:spacing w:line="276" w:lineRule="auto"/>
        <w:rPr>
          <w:b/>
          <w:color w:val="auto"/>
          <w:lang w:val="en-US"/>
        </w:rPr>
      </w:pPr>
      <w:r w:rsidRPr="00F81C28">
        <w:rPr>
          <w:rFonts w:eastAsia="Segoe UI"/>
          <w:b/>
          <w:bCs/>
          <w:color w:val="auto"/>
          <w:lang w:val="en-GB"/>
        </w:rPr>
        <w:t>An evaluation of personal health plans in occupational health check-ups</w:t>
      </w:r>
    </w:p>
    <w:p w14:paraId="2B96A18E" w14:textId="77777777" w:rsidR="00CA787C" w:rsidRPr="00F81C28" w:rsidRDefault="00CA787C" w:rsidP="00CA787C">
      <w:pPr>
        <w:spacing w:line="276" w:lineRule="auto"/>
        <w:rPr>
          <w:rFonts w:cs="Segoe UI"/>
          <w:color w:val="auto"/>
          <w:szCs w:val="21"/>
          <w:lang w:val="en-US"/>
        </w:rPr>
      </w:pPr>
    </w:p>
    <w:p w14:paraId="4CC08E04" w14:textId="626B61DA" w:rsidR="00CA787C" w:rsidRPr="00F81C28" w:rsidRDefault="00CA787C" w:rsidP="00CA787C">
      <w:pPr>
        <w:spacing w:line="276" w:lineRule="auto"/>
        <w:rPr>
          <w:rFonts w:cs="Segoe UI"/>
          <w:color w:val="auto"/>
          <w:szCs w:val="21"/>
        </w:rPr>
      </w:pPr>
      <w:r w:rsidRPr="00F81C28">
        <w:rPr>
          <w:rFonts w:eastAsia="Segoe UI" w:cs="Segoe UI"/>
          <w:color w:val="auto"/>
          <w:szCs w:val="21"/>
        </w:rPr>
        <w:t>Kirsi Lappalainen</w:t>
      </w:r>
      <w:r w:rsidR="00BE23CF" w:rsidRPr="00F81C28">
        <w:rPr>
          <w:rFonts w:eastAsia="Segoe UI" w:cs="Segoe UI"/>
          <w:color w:val="auto"/>
          <w:szCs w:val="21"/>
        </w:rPr>
        <w:t xml:space="preserve">, </w:t>
      </w:r>
      <w:r w:rsidRPr="00F81C28">
        <w:rPr>
          <w:rFonts w:eastAsia="Segoe UI" w:cs="Segoe UI"/>
          <w:color w:val="auto"/>
          <w:szCs w:val="21"/>
        </w:rPr>
        <w:t>Timo Leino, Maria Rautio, Sari Nissinen</w:t>
      </w:r>
    </w:p>
    <w:p w14:paraId="12150998" w14:textId="77777777" w:rsidR="00CA787C" w:rsidRPr="00F81C28" w:rsidRDefault="00CA787C" w:rsidP="00CA787C">
      <w:pPr>
        <w:spacing w:line="276" w:lineRule="auto"/>
        <w:rPr>
          <w:rFonts w:cs="Segoe UI"/>
          <w:b/>
          <w:color w:val="auto"/>
          <w:szCs w:val="21"/>
        </w:rPr>
      </w:pPr>
    </w:p>
    <w:p w14:paraId="4C1DD366" w14:textId="77777777" w:rsidR="00CA787C" w:rsidRPr="00F81C28" w:rsidRDefault="00CA787C" w:rsidP="00CA787C">
      <w:pPr>
        <w:spacing w:line="276" w:lineRule="auto"/>
        <w:rPr>
          <w:rFonts w:cs="Segoe UI"/>
          <w:b/>
          <w:color w:val="auto"/>
          <w:szCs w:val="21"/>
          <w:lang w:val="en-US"/>
        </w:rPr>
      </w:pPr>
      <w:r w:rsidRPr="00F81C28">
        <w:rPr>
          <w:rFonts w:eastAsia="Segoe UI" w:cs="Segoe UI"/>
          <w:b/>
          <w:bCs/>
          <w:color w:val="auto"/>
          <w:szCs w:val="21"/>
          <w:lang w:val="en-GB"/>
        </w:rPr>
        <w:t>Introduction</w:t>
      </w:r>
    </w:p>
    <w:p w14:paraId="2F43DF53" w14:textId="287E023A" w:rsidR="00CA787C" w:rsidRPr="00F81C28" w:rsidRDefault="00CA787C" w:rsidP="00CA787C">
      <w:pPr>
        <w:spacing w:line="276" w:lineRule="auto"/>
        <w:rPr>
          <w:rFonts w:cs="Segoe UI"/>
          <w:color w:val="auto"/>
          <w:szCs w:val="21"/>
          <w:lang w:val="en-US"/>
        </w:rPr>
      </w:pPr>
      <w:r w:rsidRPr="00F81C28">
        <w:rPr>
          <w:rFonts w:eastAsia="Segoe UI" w:cs="Segoe UI"/>
          <w:color w:val="auto"/>
          <w:szCs w:val="21"/>
          <w:lang w:val="en-GB"/>
        </w:rPr>
        <w:t>Health care legislation requires patient records to include necessary and sufficient information on the client's health and the planning, implementation and follow-up of their care [1,2]. This information is documented in a health and care plan drawn up in co-operation between the client and the professional, one aim of which is to commit the patient to their own care. The benefits are the continuity of care and improved flow of information. [3.]</w:t>
      </w:r>
    </w:p>
    <w:p w14:paraId="59DB42E0" w14:textId="6CAF7785" w:rsidR="00CA787C" w:rsidRPr="00F81C28" w:rsidRDefault="00CA787C" w:rsidP="00CA787C">
      <w:pPr>
        <w:pStyle w:val="NormalWeb"/>
        <w:shd w:val="clear" w:color="auto" w:fill="FFFFFF"/>
        <w:spacing w:before="0" w:beforeAutospacing="0" w:after="150" w:afterAutospacing="0" w:line="276" w:lineRule="auto"/>
        <w:jc w:val="both"/>
        <w:rPr>
          <w:rFonts w:ascii="Segoe UI" w:hAnsi="Segoe UI" w:cs="Segoe UI"/>
          <w:sz w:val="21"/>
          <w:szCs w:val="21"/>
          <w:lang w:val="en-US"/>
        </w:rPr>
      </w:pPr>
      <w:r w:rsidRPr="00F81C28">
        <w:rPr>
          <w:rFonts w:ascii="Segoe UI" w:eastAsia="Segoe UI" w:hAnsi="Segoe UI" w:cs="Segoe UI"/>
          <w:sz w:val="21"/>
          <w:szCs w:val="21"/>
          <w:lang w:val="en-GB"/>
        </w:rPr>
        <w:t xml:space="preserve">The health and care plan </w:t>
      </w:r>
      <w:proofErr w:type="gramStart"/>
      <w:r w:rsidRPr="00F81C28">
        <w:rPr>
          <w:rFonts w:ascii="Segoe UI" w:eastAsia="Segoe UI" w:hAnsi="Segoe UI" w:cs="Segoe UI"/>
          <w:sz w:val="21"/>
          <w:szCs w:val="21"/>
          <w:lang w:val="en-GB"/>
        </w:rPr>
        <w:t>is</w:t>
      </w:r>
      <w:proofErr w:type="gramEnd"/>
      <w:r w:rsidRPr="00F81C28">
        <w:rPr>
          <w:rFonts w:ascii="Segoe UI" w:eastAsia="Segoe UI" w:hAnsi="Segoe UI" w:cs="Segoe UI"/>
          <w:sz w:val="21"/>
          <w:szCs w:val="21"/>
          <w:lang w:val="en-GB"/>
        </w:rPr>
        <w:t xml:space="preserve"> a patient-specific document that must be maintained. Its content in Finland is defined by a nationally uniform structure. The plan includes the headings Need for care, Structure of care, Delivery and means of care, as well as Support, Monitoring, and Evaluation. It is stored in the national Patient Data Repository</w:t>
      </w:r>
      <w:r w:rsidR="00BE23CF" w:rsidRPr="00F81C28">
        <w:rPr>
          <w:rFonts w:ascii="Segoe UI" w:eastAsia="Segoe UI" w:hAnsi="Segoe UI" w:cs="Segoe UI"/>
          <w:sz w:val="21"/>
          <w:szCs w:val="21"/>
          <w:lang w:val="en-GB"/>
        </w:rPr>
        <w:t xml:space="preserve">. </w:t>
      </w:r>
      <w:r w:rsidRPr="00F81C28">
        <w:rPr>
          <w:rFonts w:ascii="Segoe UI" w:eastAsia="Segoe UI" w:hAnsi="Segoe UI" w:cs="Segoe UI"/>
          <w:sz w:val="21"/>
          <w:szCs w:val="21"/>
          <w:shd w:val="clear" w:color="auto" w:fill="FFFFFF"/>
          <w:lang w:val="en-GB"/>
        </w:rPr>
        <w:t xml:space="preserve">This repository </w:t>
      </w:r>
      <w:r w:rsidRPr="00F81C28">
        <w:rPr>
          <w:rFonts w:ascii="Segoe UI" w:eastAsia="Segoe UI" w:hAnsi="Segoe UI" w:cs="Segoe UI"/>
          <w:sz w:val="21"/>
          <w:szCs w:val="21"/>
          <w:lang w:val="en-GB"/>
        </w:rPr>
        <w:t xml:space="preserve">is a joint information system for Finnish health care operators, which enables patient data to be accessed with the consent of the patient by all health care professionals involved in their care. A uniform health and care plan in the electronic health record facilitates the exchange of information between those involved in the patient’s care, as it is available regardless of which electronic health record the professional uses. [3,4,5.] The professionals’ established use of health and care plans improves the quality of care and reduces the time needed by professionals to document the patient data [6,7]. Although the legislation guides the content of the plan by making it uniform, there are still major differences in the way the plan is drawn up between professionals [8]. The views of the client and the professional on the content of the plan may also differ [9]. </w:t>
      </w:r>
    </w:p>
    <w:p w14:paraId="4BA16F67" w14:textId="4E360D99" w:rsidR="00CA787C" w:rsidRPr="00F81C28" w:rsidRDefault="00CA787C" w:rsidP="00CA787C">
      <w:pPr>
        <w:spacing w:line="276" w:lineRule="auto"/>
        <w:rPr>
          <w:rFonts w:cs="Segoe UI"/>
          <w:color w:val="auto"/>
          <w:szCs w:val="21"/>
          <w:lang w:val="en-US"/>
        </w:rPr>
      </w:pPr>
      <w:r w:rsidRPr="00F81C28">
        <w:rPr>
          <w:rFonts w:eastAsia="Segoe UI" w:cs="Segoe UI"/>
          <w:color w:val="auto"/>
          <w:szCs w:val="21"/>
          <w:lang w:val="en-GB"/>
        </w:rPr>
        <w:t>In addition to the general legislation governing health care, occupational health services are also governed by legislation that requires the drawing up of a personal health plan in co-operation with the client during health check-ups, to support health and work ability [10,11,12]</w:t>
      </w:r>
      <w:bookmarkStart w:id="0" w:name="_Hlk22110633"/>
      <w:r w:rsidRPr="00F81C28">
        <w:rPr>
          <w:rFonts w:eastAsia="Segoe UI" w:cs="Segoe UI"/>
          <w:color w:val="auto"/>
          <w:szCs w:val="21"/>
          <w:lang w:val="en-GB"/>
        </w:rPr>
        <w:t xml:space="preserve">. The </w:t>
      </w:r>
      <w:r w:rsidRPr="00F81C28">
        <w:rPr>
          <w:rFonts w:eastAsia="Segoe UI"/>
          <w:color w:val="auto"/>
          <w:szCs w:val="21"/>
          <w:lang w:val="en-GB"/>
        </w:rPr>
        <w:t xml:space="preserve">SMART principle can be used as a tool for setting targets in the plan, according to which </w:t>
      </w:r>
      <w:r w:rsidRPr="00F81C28">
        <w:rPr>
          <w:rFonts w:eastAsia="Segoe UI" w:cs="Segoe UI"/>
          <w:color w:val="auto"/>
          <w:szCs w:val="21"/>
          <w:lang w:val="en-GB"/>
        </w:rPr>
        <w:t xml:space="preserve">targets must be specific, measurable, achievable, realistic/relevant to the customer, and timed. </w:t>
      </w:r>
      <w:bookmarkEnd w:id="0"/>
      <w:r w:rsidRPr="00F81C28">
        <w:rPr>
          <w:rFonts w:eastAsia="Segoe UI" w:cs="Segoe UI"/>
          <w:color w:val="auto"/>
          <w:szCs w:val="21"/>
          <w:lang w:val="en-GB"/>
        </w:rPr>
        <w:t xml:space="preserve">[13.] A clear plan and support </w:t>
      </w:r>
      <w:r w:rsidRPr="00F81C28">
        <w:rPr>
          <w:rFonts w:eastAsia="Segoe UI"/>
          <w:color w:val="auto"/>
          <w:szCs w:val="21"/>
          <w:lang w:val="en-GB"/>
        </w:rPr>
        <w:t>help clients achieve their goals</w:t>
      </w:r>
      <w:r w:rsidR="00BE23CF" w:rsidRPr="00F81C28">
        <w:rPr>
          <w:rFonts w:eastAsia="Segoe UI"/>
          <w:color w:val="auto"/>
          <w:szCs w:val="21"/>
          <w:lang w:val="en-GB"/>
        </w:rPr>
        <w:t xml:space="preserve"> </w:t>
      </w:r>
      <w:r w:rsidRPr="00F81C28">
        <w:rPr>
          <w:rFonts w:eastAsia="Segoe UI" w:cs="Segoe UI"/>
          <w:color w:val="auto"/>
          <w:szCs w:val="21"/>
          <w:lang w:val="en-GB"/>
        </w:rPr>
        <w:t xml:space="preserve">[14.15]. </w:t>
      </w:r>
    </w:p>
    <w:p w14:paraId="0B3BAF11" w14:textId="0AB486CB" w:rsidR="00CA787C" w:rsidRPr="00F81C28" w:rsidRDefault="00CA787C" w:rsidP="00CA787C">
      <w:pPr>
        <w:spacing w:line="276" w:lineRule="auto"/>
        <w:rPr>
          <w:rFonts w:cs="Segoe UI"/>
          <w:color w:val="auto"/>
          <w:szCs w:val="21"/>
          <w:lang w:val="en-US"/>
        </w:rPr>
      </w:pPr>
      <w:r w:rsidRPr="00F81C28">
        <w:rPr>
          <w:rFonts w:eastAsia="Segoe UI" w:cs="Segoe UI"/>
          <w:color w:val="auto"/>
          <w:szCs w:val="21"/>
          <w:lang w:val="en-GB"/>
        </w:rPr>
        <w:t xml:space="preserve">Many factors influence the personal health plan. The plan aims to provide long-term and target-based support for the client's health and work ability, but in practice, it may often remain poorly documented [12,16]. However, the personal health plan is one of the most important pieces of information that occupational health professionals believe should be exchanged between patients and other health professionals [16]. </w:t>
      </w:r>
    </w:p>
    <w:p w14:paraId="0BB7E131" w14:textId="77777777" w:rsidR="00CA787C" w:rsidRPr="00F81C28" w:rsidRDefault="00CA787C" w:rsidP="00CA787C">
      <w:pPr>
        <w:spacing w:line="276" w:lineRule="auto"/>
        <w:rPr>
          <w:rFonts w:cs="Segoe UI"/>
          <w:color w:val="auto"/>
          <w:szCs w:val="21"/>
          <w:lang w:val="en-US"/>
        </w:rPr>
      </w:pPr>
      <w:r w:rsidRPr="00F81C28">
        <w:rPr>
          <w:rFonts w:eastAsia="Segoe UI" w:cs="Segoe UI"/>
          <w:color w:val="auto"/>
          <w:szCs w:val="21"/>
          <w:lang w:val="en-GB"/>
        </w:rPr>
        <w:t xml:space="preserve">This study uses the concept of motivational counselling to describe the interaction between occupational health nurses and clients. One part of this is a motivational interview, which several studies have shown to be influential in, for example, lifestyle counselling [17,18,19]. The most important aspect of motivational counselling is finding the client’s own motivation in terms of work ability, health and work. Motivational counselling also involves observing and recognizing the customer's willingness to change. The role of the occupational health nurse is to identify the client’s needs for change and to reinforce “change talk” </w:t>
      </w:r>
      <w:r w:rsidRPr="00F81C28">
        <w:rPr>
          <w:rFonts w:eastAsia="Segoe UI" w:cs="Segoe UI"/>
          <w:color w:val="auto"/>
          <w:szCs w:val="21"/>
          <w:lang w:val="en-GB"/>
        </w:rPr>
        <w:lastRenderedPageBreak/>
        <w:t>through reflective listening, open-ended questions, supportive feedback, and summaries [20]. An expert role should be avoided as this usually makes the client passive [21].</w:t>
      </w:r>
      <w:r w:rsidRPr="00F81C28">
        <w:rPr>
          <w:rFonts w:eastAsia="Segoe UI"/>
          <w:color w:val="auto"/>
          <w:szCs w:val="21"/>
          <w:lang w:val="en-GB"/>
        </w:rPr>
        <w:t xml:space="preserve">  </w:t>
      </w:r>
      <w:proofErr w:type="spellStart"/>
      <w:r w:rsidRPr="00F81C28">
        <w:rPr>
          <w:rFonts w:eastAsia="Segoe UI" w:cs="Segoe UI"/>
          <w:color w:val="auto"/>
          <w:szCs w:val="21"/>
          <w:lang w:val="en-GB"/>
        </w:rPr>
        <w:t>Weiste</w:t>
      </w:r>
      <w:proofErr w:type="spellEnd"/>
      <w:r w:rsidRPr="00F81C28">
        <w:rPr>
          <w:rFonts w:eastAsia="Segoe UI" w:cs="Segoe UI"/>
          <w:color w:val="auto"/>
          <w:szCs w:val="21"/>
          <w:lang w:val="en-GB"/>
        </w:rPr>
        <w:t xml:space="preserve"> et al. (2018) have investigated </w:t>
      </w:r>
      <w:r w:rsidRPr="00F81C28">
        <w:rPr>
          <w:rFonts w:eastAsia="Segoe UI"/>
          <w:color w:val="auto"/>
          <w:szCs w:val="21"/>
          <w:lang w:val="en-GB"/>
        </w:rPr>
        <w:t>interaction practices in health check-ups performed by occupational health nurses,</w:t>
      </w:r>
      <w:r w:rsidRPr="00F81C28">
        <w:rPr>
          <w:rFonts w:eastAsia="Segoe UI" w:cs="Segoe UI"/>
          <w:color w:val="auto"/>
          <w:szCs w:val="21"/>
          <w:lang w:val="en-GB"/>
        </w:rPr>
        <w:t xml:space="preserve"> and according to them, after training in motivational counselling skills, the nurses took better note of the problem areas that the clients themselves identified. In a way, developing a health plan started a new phase in the health check-up, and was not a natural part of the client meeting. [22.]</w:t>
      </w:r>
    </w:p>
    <w:p w14:paraId="2846C941" w14:textId="77777777" w:rsidR="00CA787C" w:rsidRPr="00F81C28" w:rsidRDefault="00CA787C" w:rsidP="00CA787C">
      <w:pPr>
        <w:spacing w:line="276" w:lineRule="auto"/>
        <w:rPr>
          <w:color w:val="auto"/>
          <w:lang w:val="en-US"/>
        </w:rPr>
      </w:pPr>
      <w:r w:rsidRPr="00F81C28">
        <w:rPr>
          <w:rFonts w:eastAsia="Segoe UI"/>
          <w:color w:val="auto"/>
          <w:szCs w:val="21"/>
          <w:lang w:val="en-GB"/>
        </w:rPr>
        <w:t xml:space="preserve">The Finnish Institute of Occupational Health (FIOH) carried out a study with the support of the Finnish Work Environment Fund in 2016-2019 in the Helsinki, Oulu and Tampere regions. All the occupational nurses and patients who participated in the study gave their written consent and the study was approved by the Ethics Committee of the Helsinki University Hospital. </w:t>
      </w:r>
    </w:p>
    <w:p w14:paraId="3EA37BC9" w14:textId="4AA3D5EA" w:rsidR="00CA787C" w:rsidRPr="00F81C28" w:rsidRDefault="00CA787C" w:rsidP="00CA787C">
      <w:pPr>
        <w:spacing w:line="276" w:lineRule="auto"/>
        <w:rPr>
          <w:strike/>
          <w:color w:val="auto"/>
          <w:lang w:val="en-US"/>
        </w:rPr>
      </w:pPr>
      <w:r w:rsidRPr="00F81C28">
        <w:rPr>
          <w:rFonts w:eastAsia="Segoe UI"/>
          <w:color w:val="auto"/>
          <w:szCs w:val="21"/>
          <w:lang w:val="en-GB"/>
        </w:rPr>
        <w:t xml:space="preserve">The main goal of the study was to investigate the impact of motivational counselling and a written personal health plan on the work ability and work ability literacy of those who attended occupational health check-ups. In this sub-study, we wanted to determine the structure of the electronic personal health plans drawn up during the health check-ups and the content of the patient records made during the check-up and follow-up appointments; what was documented in the plan, the issues for which counselling was given, and the follow-up measures suggested to support work ability and health during the follow-up. We also wanted to determine how the clients who attended these check-ups experienced them. </w:t>
      </w:r>
    </w:p>
    <w:p w14:paraId="20D09833" w14:textId="77777777" w:rsidR="00CA787C" w:rsidRPr="00F81C28" w:rsidRDefault="00CA787C" w:rsidP="00CA787C">
      <w:pPr>
        <w:spacing w:line="276" w:lineRule="auto"/>
        <w:rPr>
          <w:color w:val="auto"/>
          <w:lang w:val="en-US"/>
        </w:rPr>
      </w:pPr>
    </w:p>
    <w:p w14:paraId="7D6BAF9F" w14:textId="77777777" w:rsidR="00CA787C" w:rsidRPr="00F81C28" w:rsidRDefault="00CA787C" w:rsidP="00CA787C">
      <w:pPr>
        <w:spacing w:line="276" w:lineRule="auto"/>
        <w:rPr>
          <w:rFonts w:cs="Segoe UI"/>
          <w:b/>
          <w:color w:val="auto"/>
          <w:szCs w:val="21"/>
          <w:lang w:val="en-US"/>
        </w:rPr>
      </w:pPr>
      <w:r w:rsidRPr="00F81C28">
        <w:rPr>
          <w:rFonts w:eastAsia="Segoe UI" w:cs="Segoe UI"/>
          <w:b/>
          <w:bCs/>
          <w:color w:val="auto"/>
          <w:szCs w:val="21"/>
          <w:lang w:val="en-GB"/>
        </w:rPr>
        <w:t>Materials and methods</w:t>
      </w:r>
    </w:p>
    <w:p w14:paraId="273D5176" w14:textId="77777777" w:rsidR="00CA787C" w:rsidRPr="00F81C28" w:rsidRDefault="00CA787C" w:rsidP="00CA787C">
      <w:pPr>
        <w:spacing w:line="276" w:lineRule="auto"/>
        <w:rPr>
          <w:rFonts w:cs="Segoe UI"/>
          <w:color w:val="auto"/>
          <w:szCs w:val="21"/>
          <w:lang w:val="en-US"/>
        </w:rPr>
      </w:pPr>
      <w:r w:rsidRPr="00F81C28">
        <w:rPr>
          <w:rFonts w:eastAsia="Segoe UI" w:cs="Segoe UI"/>
          <w:color w:val="auto"/>
          <w:szCs w:val="21"/>
          <w:lang w:val="en-GB"/>
        </w:rPr>
        <w:t xml:space="preserve">A total of 52 occupational health nurses participated in the study. The nurses first performed their health check-ups as usual. After this, they participated in an intervention of two half-day contact sessions and e-learning training which reinforced the occupational health nurses’ motivational counselling skills and their ability to draw up a personal health plan to promote the patient's work ability. The clients who attended the health check-up before the intervention formed the control group (n = 742) and those who had check-ups after the training intervention formed the intervention group (n = 541). After the health check-up, the clients responded to a questionnaire that elicited their experiences of the health check-up they had just undergone. With the written consent of the clients, we were able to analyse the personal health plans of 410 clients from the intervention group and 99 patients from the control group, which the occupational nurse had entered into the existing personal health plan information system. At the start of the study, the occupational health nurses had just taken an electronic personal health plan system into use. </w:t>
      </w:r>
    </w:p>
    <w:p w14:paraId="766AE884" w14:textId="77777777" w:rsidR="00CA787C" w:rsidRPr="00F81C28" w:rsidRDefault="00CA787C" w:rsidP="00CA787C">
      <w:pPr>
        <w:spacing w:line="276" w:lineRule="auto"/>
        <w:rPr>
          <w:rFonts w:cs="Segoe UI"/>
          <w:color w:val="auto"/>
          <w:szCs w:val="21"/>
          <w:lang w:val="en-US"/>
        </w:rPr>
      </w:pPr>
      <w:r w:rsidRPr="00F81C28">
        <w:rPr>
          <w:rFonts w:eastAsia="Segoe UI" w:cs="Segoe UI"/>
          <w:color w:val="auto"/>
          <w:szCs w:val="21"/>
          <w:lang w:val="en-GB"/>
        </w:rPr>
        <w:t>The study also used data from occupational health services’ patient record entries for 2016–2019. In November 2018, we sent 200 randomly selected clients who had attended a health check-up a request for consent to access their health check-up record entries as well as those of possible follow-up appointments.  The final data consisted of 74 people’s patient record entries.</w:t>
      </w:r>
    </w:p>
    <w:p w14:paraId="7E67092F" w14:textId="7C16C0E7" w:rsidR="00CA787C" w:rsidRPr="00F81C28" w:rsidRDefault="00CA787C" w:rsidP="00CA787C">
      <w:pPr>
        <w:spacing w:line="276" w:lineRule="auto"/>
        <w:rPr>
          <w:rFonts w:cs="Segoe UI"/>
          <w:b/>
          <w:color w:val="auto"/>
          <w:szCs w:val="21"/>
          <w:lang w:val="en-US"/>
        </w:rPr>
      </w:pPr>
      <w:r w:rsidRPr="00F81C28">
        <w:rPr>
          <w:rFonts w:eastAsia="Segoe UI" w:cs="Segoe UI"/>
          <w:color w:val="auto"/>
          <w:szCs w:val="21"/>
          <w:lang w:val="en-GB"/>
        </w:rPr>
        <w:t xml:space="preserve">The personal health plan data were examined using qualitative content analysis. The data were first classed under the titles of the personal health plan: Need, Aims, Implementation and methods, and Follow-up and assessment, after which they were further classified into the following categories: Health, </w:t>
      </w:r>
      <w:r w:rsidR="00345BC4" w:rsidRPr="00F81C28">
        <w:rPr>
          <w:rFonts w:eastAsia="Segoe UI" w:cs="Segoe UI"/>
          <w:color w:val="auto"/>
          <w:szCs w:val="21"/>
          <w:lang w:val="en-GB"/>
        </w:rPr>
        <w:t>work ability</w:t>
      </w:r>
      <w:r w:rsidRPr="00F81C28">
        <w:rPr>
          <w:rFonts w:eastAsia="Segoe UI" w:cs="Segoe UI"/>
          <w:color w:val="auto"/>
          <w:szCs w:val="21"/>
          <w:lang w:val="en-GB"/>
        </w:rPr>
        <w:t xml:space="preserve"> and lifestyle; and Work and management.</w:t>
      </w:r>
      <w:r w:rsidRPr="00F81C28">
        <w:rPr>
          <w:rFonts w:eastAsia="Segoe UI"/>
          <w:color w:val="auto"/>
          <w:szCs w:val="21"/>
          <w:lang w:val="en-GB"/>
        </w:rPr>
        <w:t xml:space="preserve"> </w:t>
      </w:r>
      <w:r w:rsidRPr="00F81C28">
        <w:rPr>
          <w:rFonts w:eastAsia="Segoe UI" w:cs="Segoe UI"/>
          <w:color w:val="auto"/>
          <w:szCs w:val="21"/>
          <w:lang w:val="en-GB"/>
        </w:rPr>
        <w:t xml:space="preserve">After this, the data were grouped according to </w:t>
      </w:r>
      <w:r w:rsidRPr="00F81C28">
        <w:rPr>
          <w:rFonts w:eastAsia="Segoe UI" w:cs="Segoe UI"/>
          <w:color w:val="auto"/>
          <w:szCs w:val="21"/>
          <w:lang w:val="en-GB"/>
        </w:rPr>
        <w:lastRenderedPageBreak/>
        <w:t xml:space="preserve">similarity of topics into sub-categories using descriptive names and eventually, from the perspective of the study, relevant main categories. In the results, we show the main categories and the number of mentions they received. We calculated frequency distributions in the study’s questionnaire data. </w:t>
      </w:r>
    </w:p>
    <w:p w14:paraId="51D84C61" w14:textId="77777777" w:rsidR="00CA787C" w:rsidRPr="00F81C28" w:rsidRDefault="00CA787C" w:rsidP="00CA787C">
      <w:pPr>
        <w:spacing w:line="276" w:lineRule="auto"/>
        <w:rPr>
          <w:rFonts w:eastAsia="Segoe UI" w:cs="Segoe UI"/>
          <w:color w:val="auto"/>
          <w:szCs w:val="21"/>
          <w:lang w:val="en-GB"/>
        </w:rPr>
      </w:pPr>
      <w:r w:rsidRPr="00F81C28">
        <w:rPr>
          <w:rFonts w:eastAsia="Segoe UI" w:cs="Segoe UI"/>
          <w:color w:val="auto"/>
          <w:szCs w:val="21"/>
          <w:lang w:val="en-GB"/>
        </w:rPr>
        <w:t xml:space="preserve">The follow-up of the clients who had attended the health check-ups was determined using further referrals and follow-up procedures </w:t>
      </w:r>
      <w:proofErr w:type="gramStart"/>
      <w:r w:rsidRPr="00F81C28">
        <w:rPr>
          <w:rFonts w:eastAsia="Segoe UI" w:cs="Segoe UI"/>
          <w:color w:val="auto"/>
          <w:szCs w:val="21"/>
          <w:lang w:val="en-GB"/>
        </w:rPr>
        <w:t>entered into</w:t>
      </w:r>
      <w:proofErr w:type="gramEnd"/>
      <w:r w:rsidRPr="00F81C28">
        <w:rPr>
          <w:rFonts w:eastAsia="Segoe UI" w:cs="Segoe UI"/>
          <w:color w:val="auto"/>
          <w:szCs w:val="21"/>
          <w:lang w:val="en-GB"/>
        </w:rPr>
        <w:t xml:space="preserve"> the patient documents by classifying their quality and counting their numbers. In addition to the follow-up measures planned by occupational health nurses, the analysis also </w:t>
      </w:r>
      <w:proofErr w:type="gramStart"/>
      <w:r w:rsidRPr="00F81C28">
        <w:rPr>
          <w:rFonts w:eastAsia="Segoe UI" w:cs="Segoe UI"/>
          <w:color w:val="auto"/>
          <w:szCs w:val="21"/>
          <w:lang w:val="en-GB"/>
        </w:rPr>
        <w:t>took into account</w:t>
      </w:r>
      <w:proofErr w:type="gramEnd"/>
      <w:r w:rsidRPr="00F81C28">
        <w:rPr>
          <w:rFonts w:eastAsia="Segoe UI" w:cs="Segoe UI"/>
          <w:color w:val="auto"/>
          <w:szCs w:val="21"/>
          <w:lang w:val="en-GB"/>
        </w:rPr>
        <w:t xml:space="preserve"> those planned by occupational health physicians.  Table 1 shows the data and methods of the study.</w:t>
      </w:r>
    </w:p>
    <w:p w14:paraId="71F70C43" w14:textId="77777777" w:rsidR="00CA787C" w:rsidRPr="00F81C28" w:rsidRDefault="00CA787C" w:rsidP="00CA787C">
      <w:pPr>
        <w:spacing w:line="276" w:lineRule="auto"/>
        <w:rPr>
          <w:rFonts w:cs="Segoe UI"/>
          <w:color w:val="auto"/>
          <w:szCs w:val="21"/>
          <w:lang w:val="en-US"/>
        </w:rPr>
      </w:pPr>
    </w:p>
    <w:p w14:paraId="2D9E5D2D" w14:textId="77777777" w:rsidR="00CA787C" w:rsidRPr="00F81C28" w:rsidRDefault="00CA787C" w:rsidP="00CA787C">
      <w:pPr>
        <w:spacing w:line="276" w:lineRule="auto"/>
        <w:rPr>
          <w:color w:val="auto"/>
        </w:rPr>
      </w:pPr>
      <w:r w:rsidRPr="00F81C28">
        <w:rPr>
          <w:rFonts w:eastAsia="Segoe UI"/>
          <w:color w:val="auto"/>
          <w:szCs w:val="21"/>
          <w:lang w:val="en-GB"/>
        </w:rPr>
        <w:t xml:space="preserve"> Table 1. Materials and methods</w:t>
      </w:r>
    </w:p>
    <w:tbl>
      <w:tblPr>
        <w:tblStyle w:val="TableGrid1"/>
        <w:tblW w:w="0" w:type="auto"/>
        <w:tblLook w:val="04A0" w:firstRow="1" w:lastRow="0" w:firstColumn="1" w:lastColumn="0" w:noHBand="0" w:noVBand="1"/>
      </w:tblPr>
      <w:tblGrid>
        <w:gridCol w:w="4673"/>
        <w:gridCol w:w="4343"/>
      </w:tblGrid>
      <w:tr w:rsidR="00F81C28" w:rsidRPr="00F81C28" w14:paraId="433C7EC0" w14:textId="77777777" w:rsidTr="00B14BA3">
        <w:tc>
          <w:tcPr>
            <w:tcW w:w="4673" w:type="dxa"/>
          </w:tcPr>
          <w:p w14:paraId="2F69647C" w14:textId="77777777" w:rsidR="00CA787C" w:rsidRPr="00F81C28" w:rsidRDefault="00CA787C" w:rsidP="00B14BA3">
            <w:pPr>
              <w:spacing w:after="0" w:line="240" w:lineRule="auto"/>
              <w:jc w:val="left"/>
              <w:rPr>
                <w:rFonts w:asciiTheme="minorHAnsi" w:eastAsiaTheme="minorHAnsi" w:hAnsiTheme="minorHAnsi" w:cstheme="minorBidi"/>
                <w:b/>
                <w:color w:val="auto"/>
                <w:spacing w:val="0"/>
                <w:sz w:val="22"/>
                <w:szCs w:val="22"/>
              </w:rPr>
            </w:pPr>
            <w:r w:rsidRPr="00F81C28">
              <w:rPr>
                <w:rFonts w:ascii="Calibri" w:eastAsia="Calibri" w:hAnsi="Calibri"/>
                <w:b/>
                <w:bCs/>
                <w:color w:val="auto"/>
                <w:spacing w:val="0"/>
                <w:sz w:val="22"/>
                <w:szCs w:val="22"/>
                <w:lang w:val="en-GB"/>
              </w:rPr>
              <w:t>Data</w:t>
            </w:r>
          </w:p>
        </w:tc>
        <w:tc>
          <w:tcPr>
            <w:tcW w:w="4343" w:type="dxa"/>
          </w:tcPr>
          <w:p w14:paraId="7940BA6A" w14:textId="77777777" w:rsidR="00CA787C" w:rsidRPr="00F81C28" w:rsidRDefault="00CA787C" w:rsidP="00B14BA3">
            <w:pPr>
              <w:spacing w:after="0" w:line="240" w:lineRule="auto"/>
              <w:jc w:val="left"/>
              <w:rPr>
                <w:rFonts w:asciiTheme="minorHAnsi" w:eastAsiaTheme="minorHAnsi" w:hAnsiTheme="minorHAnsi" w:cstheme="minorBidi"/>
                <w:b/>
                <w:color w:val="auto"/>
                <w:spacing w:val="0"/>
                <w:sz w:val="22"/>
                <w:szCs w:val="22"/>
              </w:rPr>
            </w:pPr>
            <w:r w:rsidRPr="00F81C28">
              <w:rPr>
                <w:rFonts w:ascii="Calibri" w:eastAsia="Calibri" w:hAnsi="Calibri"/>
                <w:b/>
                <w:bCs/>
                <w:color w:val="auto"/>
                <w:spacing w:val="0"/>
                <w:sz w:val="22"/>
                <w:szCs w:val="22"/>
                <w:lang w:val="en-GB"/>
              </w:rPr>
              <w:t>Method</w:t>
            </w:r>
          </w:p>
        </w:tc>
      </w:tr>
      <w:tr w:rsidR="00F81C28" w:rsidRPr="00F81C28" w14:paraId="40B75C83" w14:textId="77777777" w:rsidTr="00B14BA3">
        <w:tc>
          <w:tcPr>
            <w:tcW w:w="4673" w:type="dxa"/>
          </w:tcPr>
          <w:p w14:paraId="02D76A8A"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lang w:val="en-US"/>
              </w:rPr>
            </w:pPr>
            <w:r w:rsidRPr="00F81C28">
              <w:rPr>
                <w:rFonts w:ascii="Calibri" w:eastAsia="Calibri" w:hAnsi="Calibri"/>
                <w:color w:val="auto"/>
                <w:spacing w:val="0"/>
                <w:sz w:val="22"/>
                <w:szCs w:val="22"/>
                <w:lang w:val="en-GB"/>
              </w:rPr>
              <w:t>Personal health plans</w:t>
            </w:r>
          </w:p>
          <w:p w14:paraId="1D1EDAFF"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lang w:val="en-US"/>
              </w:rPr>
            </w:pPr>
            <w:r w:rsidRPr="00F81C28">
              <w:rPr>
                <w:rFonts w:ascii="Calibri" w:eastAsia="Calibri" w:hAnsi="Calibri"/>
                <w:color w:val="auto"/>
                <w:spacing w:val="0"/>
                <w:sz w:val="22"/>
                <w:szCs w:val="22"/>
                <w:lang w:val="en-GB"/>
              </w:rPr>
              <w:t>Intervention group (n = 410)</w:t>
            </w:r>
          </w:p>
          <w:p w14:paraId="43C41838"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rPr>
            </w:pPr>
            <w:r w:rsidRPr="00F81C28">
              <w:rPr>
                <w:rFonts w:ascii="Calibri" w:eastAsia="Calibri" w:hAnsi="Calibri"/>
                <w:color w:val="auto"/>
                <w:spacing w:val="0"/>
                <w:sz w:val="22"/>
                <w:szCs w:val="22"/>
                <w:lang w:val="en-GB"/>
              </w:rPr>
              <w:t>Control group (n = 99)</w:t>
            </w:r>
          </w:p>
        </w:tc>
        <w:tc>
          <w:tcPr>
            <w:tcW w:w="4343" w:type="dxa"/>
          </w:tcPr>
          <w:p w14:paraId="54E1F3EF"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rPr>
            </w:pPr>
            <w:r w:rsidRPr="00F81C28">
              <w:rPr>
                <w:rFonts w:ascii="Calibri" w:eastAsia="Calibri" w:hAnsi="Calibri"/>
                <w:color w:val="auto"/>
                <w:spacing w:val="0"/>
                <w:sz w:val="22"/>
                <w:szCs w:val="22"/>
                <w:lang w:val="en-GB"/>
              </w:rPr>
              <w:t>Content analysis</w:t>
            </w:r>
          </w:p>
          <w:p w14:paraId="7B57FE9F"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rPr>
            </w:pPr>
            <w:r w:rsidRPr="00F81C28">
              <w:rPr>
                <w:rFonts w:ascii="Calibri" w:eastAsia="Calibri" w:hAnsi="Calibri"/>
                <w:color w:val="auto"/>
                <w:spacing w:val="0"/>
                <w:sz w:val="22"/>
                <w:szCs w:val="22"/>
                <w:lang w:val="en-GB"/>
              </w:rPr>
              <w:t>Frequency distributions</w:t>
            </w:r>
          </w:p>
          <w:p w14:paraId="79D0220E"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rPr>
            </w:pPr>
          </w:p>
        </w:tc>
      </w:tr>
      <w:tr w:rsidR="00F81C28" w:rsidRPr="00F81C28" w14:paraId="089D7E6D" w14:textId="77777777" w:rsidTr="00B14BA3">
        <w:tc>
          <w:tcPr>
            <w:tcW w:w="4673" w:type="dxa"/>
          </w:tcPr>
          <w:p w14:paraId="5564D6F2"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lang w:val="en-US"/>
              </w:rPr>
            </w:pPr>
            <w:r w:rsidRPr="00F81C28">
              <w:rPr>
                <w:rFonts w:ascii="Calibri" w:eastAsia="Calibri" w:hAnsi="Calibri"/>
                <w:color w:val="auto"/>
                <w:spacing w:val="0"/>
                <w:sz w:val="22"/>
                <w:szCs w:val="22"/>
                <w:lang w:val="en-GB"/>
              </w:rPr>
              <w:t>Patient record entries (supplemented data)</w:t>
            </w:r>
          </w:p>
          <w:p w14:paraId="1896D516"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lang w:val="en-US"/>
              </w:rPr>
            </w:pPr>
            <w:r w:rsidRPr="00F81C28">
              <w:rPr>
                <w:rFonts w:ascii="Calibri" w:eastAsia="Calibri" w:hAnsi="Calibri"/>
                <w:color w:val="auto"/>
                <w:spacing w:val="0"/>
                <w:sz w:val="22"/>
                <w:szCs w:val="22"/>
                <w:lang w:val="en-GB"/>
              </w:rPr>
              <w:t>Intervention group (n = 41)</w:t>
            </w:r>
          </w:p>
          <w:p w14:paraId="6D79784B"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lang w:val="en-US"/>
              </w:rPr>
            </w:pPr>
            <w:r w:rsidRPr="00F81C28">
              <w:rPr>
                <w:rFonts w:ascii="Calibri" w:eastAsia="Calibri" w:hAnsi="Calibri"/>
                <w:color w:val="auto"/>
                <w:spacing w:val="0"/>
                <w:sz w:val="22"/>
                <w:szCs w:val="22"/>
                <w:lang w:val="en-GB"/>
              </w:rPr>
              <w:t>Control group (n = 33)</w:t>
            </w:r>
          </w:p>
        </w:tc>
        <w:tc>
          <w:tcPr>
            <w:tcW w:w="4343" w:type="dxa"/>
          </w:tcPr>
          <w:p w14:paraId="6808C423"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rPr>
            </w:pPr>
            <w:r w:rsidRPr="00F81C28">
              <w:rPr>
                <w:rFonts w:ascii="Calibri" w:eastAsia="Calibri" w:hAnsi="Calibri"/>
                <w:color w:val="auto"/>
                <w:spacing w:val="0"/>
                <w:sz w:val="22"/>
                <w:szCs w:val="22"/>
                <w:lang w:val="en-GB"/>
              </w:rPr>
              <w:t>Frequency distributions</w:t>
            </w:r>
          </w:p>
          <w:p w14:paraId="33596C53"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rPr>
            </w:pPr>
          </w:p>
        </w:tc>
      </w:tr>
      <w:tr w:rsidR="00CA787C" w:rsidRPr="00F81C28" w14:paraId="1D2DA516" w14:textId="77777777" w:rsidTr="00B14BA3">
        <w:tc>
          <w:tcPr>
            <w:tcW w:w="4673" w:type="dxa"/>
          </w:tcPr>
          <w:p w14:paraId="1D07E002"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lang w:val="en-US"/>
              </w:rPr>
            </w:pPr>
            <w:r w:rsidRPr="00F81C28">
              <w:rPr>
                <w:rFonts w:ascii="Calibri" w:eastAsia="Calibri" w:hAnsi="Calibri"/>
                <w:color w:val="auto"/>
                <w:spacing w:val="0"/>
                <w:sz w:val="22"/>
                <w:szCs w:val="22"/>
                <w:lang w:val="en-GB"/>
              </w:rPr>
              <w:t>Survey data of clients who attended health check-up (n = 1283)</w:t>
            </w:r>
          </w:p>
        </w:tc>
        <w:tc>
          <w:tcPr>
            <w:tcW w:w="4343" w:type="dxa"/>
          </w:tcPr>
          <w:p w14:paraId="52298059" w14:textId="77777777" w:rsidR="00CA787C" w:rsidRPr="00F81C28" w:rsidRDefault="00CA787C" w:rsidP="00B14BA3">
            <w:pPr>
              <w:spacing w:after="0" w:line="240" w:lineRule="auto"/>
              <w:jc w:val="left"/>
              <w:rPr>
                <w:rFonts w:asciiTheme="minorHAnsi" w:eastAsiaTheme="minorHAnsi" w:hAnsiTheme="minorHAnsi" w:cstheme="minorBidi"/>
                <w:color w:val="auto"/>
                <w:spacing w:val="0"/>
                <w:sz w:val="22"/>
                <w:szCs w:val="22"/>
              </w:rPr>
            </w:pPr>
            <w:r w:rsidRPr="00F81C28">
              <w:rPr>
                <w:rFonts w:ascii="Calibri" w:eastAsia="Calibri" w:hAnsi="Calibri"/>
                <w:color w:val="auto"/>
                <w:spacing w:val="0"/>
                <w:sz w:val="22"/>
                <w:szCs w:val="22"/>
                <w:lang w:val="en-GB"/>
              </w:rPr>
              <w:t>Frequency distributions</w:t>
            </w:r>
          </w:p>
        </w:tc>
      </w:tr>
    </w:tbl>
    <w:p w14:paraId="7B22ECCB" w14:textId="77777777" w:rsidR="00CA787C" w:rsidRPr="00F81C28" w:rsidRDefault="00CA787C" w:rsidP="00CA787C">
      <w:pPr>
        <w:spacing w:line="276" w:lineRule="auto"/>
        <w:rPr>
          <w:rFonts w:cs="Segoe UI"/>
          <w:color w:val="auto"/>
          <w:szCs w:val="21"/>
        </w:rPr>
      </w:pPr>
    </w:p>
    <w:p w14:paraId="05E3239B" w14:textId="77777777" w:rsidR="00CA787C" w:rsidRPr="00F81C28" w:rsidRDefault="00CA787C" w:rsidP="00CA787C">
      <w:pPr>
        <w:spacing w:line="276" w:lineRule="auto"/>
        <w:rPr>
          <w:rFonts w:cs="Segoe UI"/>
          <w:b/>
          <w:color w:val="auto"/>
          <w:szCs w:val="21"/>
        </w:rPr>
      </w:pPr>
      <w:r w:rsidRPr="00F81C28">
        <w:rPr>
          <w:rFonts w:eastAsia="Segoe UI" w:cs="Segoe UI"/>
          <w:b/>
          <w:bCs/>
          <w:color w:val="auto"/>
          <w:szCs w:val="21"/>
          <w:lang w:val="en-GB"/>
        </w:rPr>
        <w:t>Results</w:t>
      </w:r>
    </w:p>
    <w:p w14:paraId="75D9AE86" w14:textId="043AF4C1" w:rsidR="00CA787C" w:rsidRPr="00F81C28" w:rsidRDefault="00CA787C" w:rsidP="00CA787C">
      <w:pPr>
        <w:spacing w:line="276" w:lineRule="auto"/>
        <w:rPr>
          <w:rFonts w:eastAsia="Segoe UI"/>
          <w:color w:val="auto"/>
          <w:szCs w:val="21"/>
          <w:lang w:val="en-GB"/>
        </w:rPr>
      </w:pPr>
      <w:r w:rsidRPr="00F81C28">
        <w:rPr>
          <w:rFonts w:eastAsia="Segoe UI"/>
          <w:color w:val="auto"/>
          <w:szCs w:val="21"/>
          <w:lang w:val="en-GB"/>
        </w:rPr>
        <w:t>Examination of the personal health plans shows that the focus, in terms of needs, objectives and implementation, was on public health issues. In general, factors related to health, functional capacity and lifestyle were documented more often in the plans than those related to work and management. In the plans, follow-up and assessment clearly had the least entries in both the intervention and control groups.  In terms of numbers, objectives had the most entries. In relation to the size of the groups, the intervention group had more personal health plan entries than the control group. The intervention group also had more work and management-related entries.  Factors related to monitoring and evaluation were hardly documented at all in terms of work and management. (Table 2).</w:t>
      </w:r>
    </w:p>
    <w:p w14:paraId="3B0933E1" w14:textId="77777777" w:rsidR="00CA787C" w:rsidRPr="00F81C28" w:rsidRDefault="00CA787C" w:rsidP="00CA787C">
      <w:pPr>
        <w:spacing w:line="276" w:lineRule="auto"/>
        <w:rPr>
          <w:rFonts w:cs="Segoe UI"/>
          <w:b/>
          <w:color w:val="auto"/>
          <w:szCs w:val="21"/>
          <w:lang w:val="en-US"/>
        </w:rPr>
      </w:pPr>
    </w:p>
    <w:p w14:paraId="766B3C64" w14:textId="77777777" w:rsidR="0068294F" w:rsidRPr="00F81C28" w:rsidRDefault="0068294F" w:rsidP="00CA787C">
      <w:pPr>
        <w:spacing w:line="276" w:lineRule="auto"/>
        <w:rPr>
          <w:rFonts w:eastAsia="Segoe UI" w:cs="Segoe UI"/>
          <w:color w:val="auto"/>
          <w:szCs w:val="21"/>
          <w:lang w:val="en-GB"/>
        </w:rPr>
      </w:pPr>
    </w:p>
    <w:p w14:paraId="044BE581" w14:textId="77777777" w:rsidR="0068294F" w:rsidRPr="00F81C28" w:rsidRDefault="0068294F" w:rsidP="00CA787C">
      <w:pPr>
        <w:spacing w:line="276" w:lineRule="auto"/>
        <w:rPr>
          <w:rFonts w:eastAsia="Segoe UI" w:cs="Segoe UI"/>
          <w:color w:val="auto"/>
          <w:szCs w:val="21"/>
          <w:lang w:val="en-GB"/>
        </w:rPr>
      </w:pPr>
    </w:p>
    <w:p w14:paraId="7838BFEC" w14:textId="77777777" w:rsidR="0068294F" w:rsidRPr="00F81C28" w:rsidRDefault="0068294F" w:rsidP="00CA787C">
      <w:pPr>
        <w:spacing w:line="276" w:lineRule="auto"/>
        <w:rPr>
          <w:rFonts w:eastAsia="Segoe UI" w:cs="Segoe UI"/>
          <w:color w:val="auto"/>
          <w:szCs w:val="21"/>
          <w:lang w:val="en-GB"/>
        </w:rPr>
      </w:pPr>
    </w:p>
    <w:p w14:paraId="741049B5" w14:textId="77777777" w:rsidR="0068294F" w:rsidRPr="00F81C28" w:rsidRDefault="0068294F" w:rsidP="00CA787C">
      <w:pPr>
        <w:spacing w:line="276" w:lineRule="auto"/>
        <w:rPr>
          <w:rFonts w:eastAsia="Segoe UI" w:cs="Segoe UI"/>
          <w:color w:val="auto"/>
          <w:szCs w:val="21"/>
          <w:lang w:val="en-GB"/>
        </w:rPr>
      </w:pPr>
    </w:p>
    <w:p w14:paraId="09FC08F7" w14:textId="77777777" w:rsidR="0068294F" w:rsidRPr="00F81C28" w:rsidRDefault="0068294F" w:rsidP="00CA787C">
      <w:pPr>
        <w:spacing w:line="276" w:lineRule="auto"/>
        <w:rPr>
          <w:rFonts w:eastAsia="Segoe UI" w:cs="Segoe UI"/>
          <w:color w:val="auto"/>
          <w:szCs w:val="21"/>
          <w:lang w:val="en-GB"/>
        </w:rPr>
      </w:pPr>
    </w:p>
    <w:p w14:paraId="3F35191F" w14:textId="77777777" w:rsidR="0068294F" w:rsidRPr="00F81C28" w:rsidRDefault="0068294F" w:rsidP="00CA787C">
      <w:pPr>
        <w:spacing w:line="276" w:lineRule="auto"/>
        <w:rPr>
          <w:rFonts w:eastAsia="Segoe UI" w:cs="Segoe UI"/>
          <w:color w:val="auto"/>
          <w:szCs w:val="21"/>
          <w:lang w:val="en-GB"/>
        </w:rPr>
      </w:pPr>
    </w:p>
    <w:p w14:paraId="0673C3B7" w14:textId="77777777" w:rsidR="0068294F" w:rsidRPr="00F81C28" w:rsidRDefault="0068294F" w:rsidP="00CA787C">
      <w:pPr>
        <w:spacing w:line="276" w:lineRule="auto"/>
        <w:rPr>
          <w:rFonts w:eastAsia="Segoe UI" w:cs="Segoe UI"/>
          <w:color w:val="auto"/>
          <w:szCs w:val="21"/>
          <w:lang w:val="en-GB"/>
        </w:rPr>
      </w:pPr>
    </w:p>
    <w:p w14:paraId="6F9F04AD" w14:textId="77777777" w:rsidR="0068294F" w:rsidRPr="00F81C28" w:rsidRDefault="0068294F" w:rsidP="00CA787C">
      <w:pPr>
        <w:spacing w:line="276" w:lineRule="auto"/>
        <w:rPr>
          <w:rFonts w:eastAsia="Segoe UI" w:cs="Segoe UI"/>
          <w:color w:val="auto"/>
          <w:szCs w:val="21"/>
          <w:lang w:val="en-GB"/>
        </w:rPr>
      </w:pPr>
    </w:p>
    <w:p w14:paraId="6B181979" w14:textId="2227E593" w:rsidR="00CA787C" w:rsidRPr="00F81C28" w:rsidRDefault="00CA787C" w:rsidP="00CA787C">
      <w:pPr>
        <w:spacing w:line="276" w:lineRule="auto"/>
        <w:rPr>
          <w:rFonts w:cs="Segoe UI"/>
          <w:bCs/>
          <w:color w:val="auto"/>
          <w:szCs w:val="21"/>
          <w:lang w:val="en-US"/>
        </w:rPr>
      </w:pPr>
      <w:r w:rsidRPr="00F81C28">
        <w:rPr>
          <w:rFonts w:eastAsia="Segoe UI" w:cs="Segoe UI"/>
          <w:color w:val="auto"/>
          <w:szCs w:val="21"/>
          <w:lang w:val="en-GB"/>
        </w:rPr>
        <w:lastRenderedPageBreak/>
        <w:t xml:space="preserve">Table 2. Content of personal health plans in the health check-up intervention and control groups </w:t>
      </w:r>
    </w:p>
    <w:p w14:paraId="169635E3" w14:textId="1BE13B15" w:rsidR="00CA787C" w:rsidRPr="00F81C28" w:rsidRDefault="0068294F" w:rsidP="00CA787C">
      <w:pPr>
        <w:spacing w:line="276" w:lineRule="auto"/>
        <w:rPr>
          <w:rFonts w:cs="Segoe UI"/>
          <w:b/>
          <w:color w:val="auto"/>
          <w:szCs w:val="21"/>
          <w:lang w:val="en-US"/>
        </w:rPr>
      </w:pPr>
      <w:r w:rsidRPr="00F81C28">
        <w:rPr>
          <w:noProof/>
          <w:color w:val="auto"/>
        </w:rPr>
        <w:drawing>
          <wp:inline distT="0" distB="0" distL="0" distR="0" wp14:anchorId="1B762368" wp14:editId="2CB40381">
            <wp:extent cx="5731510" cy="32040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04043"/>
                    </a:xfrm>
                    <a:prstGeom prst="rect">
                      <a:avLst/>
                    </a:prstGeom>
                    <a:noFill/>
                    <a:ln>
                      <a:noFill/>
                    </a:ln>
                  </pic:spPr>
                </pic:pic>
              </a:graphicData>
            </a:graphic>
          </wp:inline>
        </w:drawing>
      </w:r>
      <w:r w:rsidR="00CA787C" w:rsidRPr="00F81C28">
        <w:rPr>
          <w:rFonts w:cs="Segoe UI"/>
          <w:b/>
          <w:color w:val="auto"/>
          <w:szCs w:val="21"/>
          <w:lang w:val="en-US"/>
        </w:rPr>
        <w:tab/>
      </w:r>
    </w:p>
    <w:p w14:paraId="1B9E13EB" w14:textId="1162BEF3" w:rsidR="00CA787C" w:rsidRPr="00F81C28" w:rsidRDefault="00CA787C" w:rsidP="00CA787C">
      <w:pPr>
        <w:spacing w:line="276" w:lineRule="auto"/>
        <w:rPr>
          <w:color w:val="auto"/>
          <w:lang w:val="en-US"/>
        </w:rPr>
      </w:pPr>
      <w:r w:rsidRPr="00F81C28">
        <w:rPr>
          <w:rFonts w:eastAsia="Segoe UI"/>
          <w:color w:val="auto"/>
          <w:szCs w:val="21"/>
          <w:lang w:val="en-GB"/>
        </w:rPr>
        <w:t>Numerically, most health checks were conducted based on age, for those aged 50–60.  Those belonging to the intervention group had more health check-ups due to the high health risks of their work. The intervention group had a total of 239 sick leave days and the control group 406 days</w:t>
      </w:r>
      <w:r w:rsidRPr="00F81C28">
        <w:rPr>
          <w:rFonts w:eastAsia="Segoe UI" w:cs="Segoe UI"/>
          <w:color w:val="auto"/>
          <w:szCs w:val="21"/>
          <w:lang w:val="en-GB"/>
        </w:rPr>
        <w:t xml:space="preserve">. </w:t>
      </w:r>
      <w:r w:rsidRPr="00F81C28">
        <w:rPr>
          <w:rFonts w:eastAsia="Segoe UI"/>
          <w:color w:val="auto"/>
          <w:szCs w:val="21"/>
          <w:lang w:val="en-GB"/>
        </w:rPr>
        <w:t xml:space="preserve"> (Table 3).</w:t>
      </w:r>
    </w:p>
    <w:p w14:paraId="1A6ED8AB" w14:textId="77777777" w:rsidR="00CA787C" w:rsidRPr="00F81C28" w:rsidRDefault="00CA787C" w:rsidP="00CA787C">
      <w:pPr>
        <w:spacing w:line="276" w:lineRule="auto"/>
        <w:rPr>
          <w:color w:val="auto"/>
          <w:lang w:val="en-US"/>
        </w:rPr>
      </w:pPr>
    </w:p>
    <w:p w14:paraId="297AD7BD" w14:textId="77777777" w:rsidR="00CA787C" w:rsidRPr="00F81C28" w:rsidRDefault="00CA787C" w:rsidP="00CA787C">
      <w:pPr>
        <w:spacing w:line="276" w:lineRule="auto"/>
        <w:rPr>
          <w:color w:val="auto"/>
          <w:lang w:val="en-US"/>
        </w:rPr>
      </w:pPr>
      <w:r w:rsidRPr="00F81C28">
        <w:rPr>
          <w:rFonts w:eastAsia="Segoe UI"/>
          <w:color w:val="auto"/>
          <w:szCs w:val="21"/>
          <w:lang w:val="en-GB"/>
        </w:rPr>
        <w:t>Table 3. Occupational health nurse’s health check-ups in supplemented data</w:t>
      </w:r>
    </w:p>
    <w:tbl>
      <w:tblPr>
        <w:tblStyle w:val="TableGrid"/>
        <w:tblW w:w="0" w:type="auto"/>
        <w:tblLook w:val="04A0" w:firstRow="1" w:lastRow="0" w:firstColumn="1" w:lastColumn="0" w:noHBand="0" w:noVBand="1"/>
      </w:tblPr>
      <w:tblGrid>
        <w:gridCol w:w="3008"/>
        <w:gridCol w:w="3009"/>
        <w:gridCol w:w="3009"/>
      </w:tblGrid>
      <w:tr w:rsidR="00F81C28" w:rsidRPr="00F81C28" w14:paraId="2EE75F63" w14:textId="77777777" w:rsidTr="00B14BA3">
        <w:trPr>
          <w:cnfStyle w:val="100000000000" w:firstRow="1" w:lastRow="0" w:firstColumn="0" w:lastColumn="0" w:oddVBand="0" w:evenVBand="0" w:oddHBand="0" w:evenHBand="0" w:firstRowFirstColumn="0" w:firstRowLastColumn="0" w:lastRowFirstColumn="0" w:lastRowLastColumn="0"/>
        </w:trPr>
        <w:tc>
          <w:tcPr>
            <w:tcW w:w="3008" w:type="dxa"/>
          </w:tcPr>
          <w:p w14:paraId="68B3294D" w14:textId="77777777" w:rsidR="00CA787C" w:rsidRPr="00F81C28" w:rsidRDefault="00CA787C" w:rsidP="00B14BA3">
            <w:pPr>
              <w:rPr>
                <w:b w:val="0"/>
                <w:color w:val="auto"/>
                <w:lang w:val="en-US"/>
              </w:rPr>
            </w:pPr>
            <w:bookmarkStart w:id="1" w:name="_Hlk8806394"/>
            <w:r w:rsidRPr="00F81C28">
              <w:rPr>
                <w:rFonts w:eastAsia="Segoe UI"/>
                <w:bCs/>
                <w:color w:val="auto"/>
                <w:szCs w:val="21"/>
                <w:lang w:val="en-GB"/>
              </w:rPr>
              <w:t>Type of health check-up</w:t>
            </w:r>
          </w:p>
        </w:tc>
        <w:tc>
          <w:tcPr>
            <w:tcW w:w="3009" w:type="dxa"/>
          </w:tcPr>
          <w:p w14:paraId="3C445F4A" w14:textId="77777777" w:rsidR="00CA787C" w:rsidRPr="00F81C28" w:rsidRDefault="00CA787C" w:rsidP="00B14BA3">
            <w:pPr>
              <w:rPr>
                <w:b w:val="0"/>
                <w:color w:val="auto"/>
              </w:rPr>
            </w:pPr>
            <w:r w:rsidRPr="00F81C28">
              <w:rPr>
                <w:rFonts w:eastAsia="Segoe UI"/>
                <w:bCs/>
                <w:color w:val="auto"/>
                <w:szCs w:val="21"/>
                <w:lang w:val="en-GB"/>
              </w:rPr>
              <w:t>Intervention group (n = 41)</w:t>
            </w:r>
          </w:p>
        </w:tc>
        <w:tc>
          <w:tcPr>
            <w:tcW w:w="3009" w:type="dxa"/>
          </w:tcPr>
          <w:p w14:paraId="26087E70" w14:textId="77777777" w:rsidR="00CA787C" w:rsidRPr="00F81C28" w:rsidRDefault="00CA787C" w:rsidP="00B14BA3">
            <w:pPr>
              <w:rPr>
                <w:b w:val="0"/>
                <w:color w:val="auto"/>
              </w:rPr>
            </w:pPr>
            <w:r w:rsidRPr="00F81C28">
              <w:rPr>
                <w:rFonts w:eastAsia="Segoe UI"/>
                <w:bCs/>
                <w:color w:val="auto"/>
                <w:szCs w:val="21"/>
                <w:lang w:val="en-GB"/>
              </w:rPr>
              <w:t>Control group (n = 33)</w:t>
            </w:r>
          </w:p>
        </w:tc>
      </w:tr>
      <w:tr w:rsidR="00F81C28" w:rsidRPr="00F81C28" w14:paraId="5A0B32C4" w14:textId="77777777" w:rsidTr="00B14BA3">
        <w:tc>
          <w:tcPr>
            <w:tcW w:w="3008" w:type="dxa"/>
          </w:tcPr>
          <w:p w14:paraId="7D43247D" w14:textId="77777777" w:rsidR="00CA787C" w:rsidRPr="00F81C28" w:rsidRDefault="00CA787C" w:rsidP="00B14BA3">
            <w:pPr>
              <w:jc w:val="left"/>
              <w:rPr>
                <w:color w:val="auto"/>
                <w:lang w:val="en-US"/>
              </w:rPr>
            </w:pPr>
            <w:r w:rsidRPr="00F81C28">
              <w:rPr>
                <w:rFonts w:eastAsia="Segoe UI"/>
                <w:color w:val="auto"/>
                <w:szCs w:val="21"/>
                <w:lang w:val="en-GB"/>
              </w:rPr>
              <w:t>Health check-up due to high health risk of work</w:t>
            </w:r>
          </w:p>
        </w:tc>
        <w:tc>
          <w:tcPr>
            <w:tcW w:w="3009" w:type="dxa"/>
          </w:tcPr>
          <w:p w14:paraId="13DBD336" w14:textId="77777777" w:rsidR="00CA787C" w:rsidRPr="00F81C28" w:rsidRDefault="00CA787C" w:rsidP="00B14BA3">
            <w:pPr>
              <w:rPr>
                <w:color w:val="auto"/>
              </w:rPr>
            </w:pPr>
            <w:r w:rsidRPr="00F81C28">
              <w:rPr>
                <w:rFonts w:eastAsia="Segoe UI"/>
                <w:color w:val="auto"/>
                <w:szCs w:val="21"/>
                <w:lang w:val="en-GB"/>
              </w:rPr>
              <w:t xml:space="preserve">               12</w:t>
            </w:r>
          </w:p>
        </w:tc>
        <w:tc>
          <w:tcPr>
            <w:tcW w:w="3009" w:type="dxa"/>
          </w:tcPr>
          <w:p w14:paraId="73428592" w14:textId="77777777" w:rsidR="00CA787C" w:rsidRPr="00F81C28" w:rsidRDefault="00CA787C" w:rsidP="00B14BA3">
            <w:pPr>
              <w:rPr>
                <w:color w:val="auto"/>
              </w:rPr>
            </w:pPr>
            <w:r w:rsidRPr="00F81C28">
              <w:rPr>
                <w:rFonts w:eastAsia="Segoe UI"/>
                <w:color w:val="auto"/>
                <w:szCs w:val="21"/>
                <w:lang w:val="en-GB"/>
              </w:rPr>
              <w:t>6</w:t>
            </w:r>
          </w:p>
        </w:tc>
      </w:tr>
      <w:tr w:rsidR="00F81C28" w:rsidRPr="00F81C28" w14:paraId="1073890D" w14:textId="77777777" w:rsidTr="00B14BA3">
        <w:tc>
          <w:tcPr>
            <w:tcW w:w="3008" w:type="dxa"/>
          </w:tcPr>
          <w:p w14:paraId="7AA76570" w14:textId="77777777" w:rsidR="00CA787C" w:rsidRPr="00F81C28" w:rsidRDefault="00CA787C" w:rsidP="00B14BA3">
            <w:pPr>
              <w:jc w:val="left"/>
              <w:rPr>
                <w:color w:val="auto"/>
                <w:lang w:val="en-US"/>
              </w:rPr>
            </w:pPr>
            <w:r w:rsidRPr="00F81C28">
              <w:rPr>
                <w:rFonts w:eastAsia="Segoe UI"/>
                <w:color w:val="auto"/>
                <w:szCs w:val="21"/>
                <w:lang w:val="en-GB"/>
              </w:rPr>
              <w:t>Check-up when starting work, returning to work and at termination of employment</w:t>
            </w:r>
          </w:p>
        </w:tc>
        <w:tc>
          <w:tcPr>
            <w:tcW w:w="3009" w:type="dxa"/>
          </w:tcPr>
          <w:p w14:paraId="02EB6A89" w14:textId="77777777" w:rsidR="00CA787C" w:rsidRPr="00F81C28" w:rsidRDefault="00CA787C" w:rsidP="00B14BA3">
            <w:pPr>
              <w:rPr>
                <w:color w:val="auto"/>
              </w:rPr>
            </w:pPr>
            <w:r w:rsidRPr="00F81C28">
              <w:rPr>
                <w:rFonts w:eastAsia="Segoe UI"/>
                <w:b/>
                <w:bCs/>
                <w:color w:val="auto"/>
                <w:szCs w:val="21"/>
                <w:lang w:val="en-GB"/>
              </w:rPr>
              <w:t xml:space="preserve">                </w:t>
            </w:r>
            <w:r w:rsidRPr="00F81C28">
              <w:rPr>
                <w:rFonts w:eastAsia="Segoe UI"/>
                <w:color w:val="auto"/>
                <w:szCs w:val="21"/>
                <w:lang w:val="en-GB"/>
              </w:rPr>
              <w:t>6</w:t>
            </w:r>
          </w:p>
        </w:tc>
        <w:tc>
          <w:tcPr>
            <w:tcW w:w="3009" w:type="dxa"/>
          </w:tcPr>
          <w:p w14:paraId="1C62AC2A" w14:textId="77777777" w:rsidR="00CA787C" w:rsidRPr="00F81C28" w:rsidRDefault="00CA787C" w:rsidP="00B14BA3">
            <w:pPr>
              <w:rPr>
                <w:color w:val="auto"/>
              </w:rPr>
            </w:pPr>
            <w:r w:rsidRPr="00F81C28">
              <w:rPr>
                <w:rFonts w:eastAsia="Segoe UI"/>
                <w:color w:val="auto"/>
                <w:szCs w:val="21"/>
                <w:lang w:val="en-GB"/>
              </w:rPr>
              <w:t>4</w:t>
            </w:r>
          </w:p>
        </w:tc>
      </w:tr>
      <w:tr w:rsidR="00F81C28" w:rsidRPr="00F81C28" w14:paraId="6ADDB68E" w14:textId="77777777" w:rsidTr="00B14BA3">
        <w:tc>
          <w:tcPr>
            <w:tcW w:w="3008" w:type="dxa"/>
          </w:tcPr>
          <w:p w14:paraId="3B5D6E45" w14:textId="77777777" w:rsidR="00CA787C" w:rsidRPr="00F81C28" w:rsidRDefault="00CA787C" w:rsidP="00B14BA3">
            <w:pPr>
              <w:jc w:val="left"/>
              <w:rPr>
                <w:color w:val="auto"/>
                <w:lang w:val="en-US"/>
              </w:rPr>
            </w:pPr>
            <w:r w:rsidRPr="00F81C28">
              <w:rPr>
                <w:rFonts w:eastAsia="Segoe UI"/>
                <w:color w:val="auto"/>
                <w:szCs w:val="21"/>
                <w:lang w:val="en-GB"/>
              </w:rPr>
              <w:t xml:space="preserve">Check-up due to age                        </w:t>
            </w:r>
          </w:p>
          <w:p w14:paraId="0A5C2FE7" w14:textId="77777777" w:rsidR="00CA787C" w:rsidRPr="00F81C28" w:rsidRDefault="00CA787C" w:rsidP="00B14BA3">
            <w:pPr>
              <w:jc w:val="left"/>
              <w:rPr>
                <w:color w:val="auto"/>
                <w:lang w:val="en-US"/>
              </w:rPr>
            </w:pPr>
            <w:r w:rsidRPr="00F81C28">
              <w:rPr>
                <w:rFonts w:eastAsia="Segoe UI"/>
                <w:color w:val="auto"/>
                <w:szCs w:val="21"/>
                <w:lang w:val="en-GB"/>
              </w:rPr>
              <w:t xml:space="preserve">Check-up for other reason                  </w:t>
            </w:r>
          </w:p>
        </w:tc>
        <w:tc>
          <w:tcPr>
            <w:tcW w:w="3009" w:type="dxa"/>
          </w:tcPr>
          <w:p w14:paraId="0DA65470" w14:textId="77777777" w:rsidR="00CA787C" w:rsidRPr="00F81C28" w:rsidRDefault="00CA787C" w:rsidP="00B14BA3">
            <w:pPr>
              <w:rPr>
                <w:color w:val="auto"/>
              </w:rPr>
            </w:pPr>
            <w:r w:rsidRPr="00F81C28">
              <w:rPr>
                <w:rFonts w:eastAsia="Segoe UI"/>
                <w:b/>
                <w:bCs/>
                <w:color w:val="auto"/>
                <w:szCs w:val="21"/>
                <w:lang w:val="en-GB"/>
              </w:rPr>
              <w:t xml:space="preserve">               </w:t>
            </w:r>
            <w:r w:rsidRPr="00F81C28">
              <w:rPr>
                <w:rFonts w:eastAsia="Segoe UI"/>
                <w:color w:val="auto"/>
                <w:szCs w:val="21"/>
                <w:lang w:val="en-GB"/>
              </w:rPr>
              <w:t>16</w:t>
            </w:r>
          </w:p>
          <w:p w14:paraId="410203E9" w14:textId="77777777" w:rsidR="00CA787C" w:rsidRPr="00F81C28" w:rsidRDefault="00CA787C" w:rsidP="00B14BA3">
            <w:pPr>
              <w:tabs>
                <w:tab w:val="left" w:pos="896"/>
                <w:tab w:val="right" w:pos="2953"/>
              </w:tabs>
              <w:jc w:val="left"/>
              <w:rPr>
                <w:color w:val="auto"/>
              </w:rPr>
            </w:pPr>
            <w:r w:rsidRPr="00F81C28">
              <w:rPr>
                <w:rFonts w:eastAsia="Segoe UI"/>
                <w:color w:val="auto"/>
                <w:szCs w:val="21"/>
                <w:lang w:val="en-GB"/>
              </w:rPr>
              <w:tab/>
              <w:t>3</w:t>
            </w:r>
            <w:r w:rsidRPr="00F81C28">
              <w:rPr>
                <w:rFonts w:eastAsia="Segoe UI"/>
                <w:color w:val="auto"/>
                <w:szCs w:val="21"/>
                <w:lang w:val="en-GB"/>
              </w:rPr>
              <w:tab/>
              <w:t xml:space="preserve">       </w:t>
            </w:r>
          </w:p>
        </w:tc>
        <w:tc>
          <w:tcPr>
            <w:tcW w:w="3009" w:type="dxa"/>
          </w:tcPr>
          <w:p w14:paraId="055CD678" w14:textId="77777777" w:rsidR="00CA787C" w:rsidRPr="00F81C28" w:rsidRDefault="00CA787C" w:rsidP="00B14BA3">
            <w:pPr>
              <w:rPr>
                <w:color w:val="auto"/>
              </w:rPr>
            </w:pPr>
            <w:r w:rsidRPr="00F81C28">
              <w:rPr>
                <w:rFonts w:eastAsia="Segoe UI"/>
                <w:color w:val="auto"/>
                <w:szCs w:val="21"/>
                <w:lang w:val="en-GB"/>
              </w:rPr>
              <w:t>16</w:t>
            </w:r>
          </w:p>
          <w:p w14:paraId="559C5E62" w14:textId="77777777" w:rsidR="00CA787C" w:rsidRPr="00F81C28" w:rsidRDefault="00CA787C" w:rsidP="00B14BA3">
            <w:pPr>
              <w:rPr>
                <w:color w:val="auto"/>
              </w:rPr>
            </w:pPr>
            <w:r w:rsidRPr="00F81C28">
              <w:rPr>
                <w:rFonts w:eastAsia="Segoe UI"/>
                <w:color w:val="auto"/>
                <w:szCs w:val="21"/>
                <w:lang w:val="en-GB"/>
              </w:rPr>
              <w:t>1</w:t>
            </w:r>
          </w:p>
        </w:tc>
      </w:tr>
      <w:tr w:rsidR="00F81C28" w:rsidRPr="00F81C28" w14:paraId="337D56E6" w14:textId="77777777" w:rsidTr="00B14BA3">
        <w:tc>
          <w:tcPr>
            <w:tcW w:w="3008" w:type="dxa"/>
          </w:tcPr>
          <w:p w14:paraId="56B16770" w14:textId="77777777" w:rsidR="00CA787C" w:rsidRPr="00F81C28" w:rsidRDefault="00CA787C" w:rsidP="00B14BA3">
            <w:pPr>
              <w:rPr>
                <w:color w:val="auto"/>
              </w:rPr>
            </w:pPr>
            <w:r w:rsidRPr="00F81C28">
              <w:rPr>
                <w:rFonts w:eastAsia="Segoe UI"/>
                <w:color w:val="auto"/>
                <w:szCs w:val="21"/>
                <w:lang w:val="en-GB"/>
              </w:rPr>
              <w:t>Missing data</w:t>
            </w:r>
          </w:p>
        </w:tc>
        <w:tc>
          <w:tcPr>
            <w:tcW w:w="3009" w:type="dxa"/>
          </w:tcPr>
          <w:p w14:paraId="6EDA0548" w14:textId="77777777" w:rsidR="00CA787C" w:rsidRPr="00F81C28" w:rsidRDefault="00CA787C" w:rsidP="00B14BA3">
            <w:pPr>
              <w:rPr>
                <w:color w:val="auto"/>
              </w:rPr>
            </w:pPr>
            <w:r w:rsidRPr="00F81C28">
              <w:rPr>
                <w:rFonts w:eastAsia="Segoe UI"/>
                <w:b/>
                <w:bCs/>
                <w:color w:val="auto"/>
                <w:szCs w:val="21"/>
                <w:lang w:val="en-GB"/>
              </w:rPr>
              <w:t xml:space="preserve">                 </w:t>
            </w:r>
            <w:r w:rsidRPr="00F81C28">
              <w:rPr>
                <w:rFonts w:eastAsia="Segoe UI"/>
                <w:color w:val="auto"/>
                <w:szCs w:val="21"/>
                <w:lang w:val="en-GB"/>
              </w:rPr>
              <w:t>4</w:t>
            </w:r>
          </w:p>
        </w:tc>
        <w:tc>
          <w:tcPr>
            <w:tcW w:w="3009" w:type="dxa"/>
          </w:tcPr>
          <w:p w14:paraId="3D0993F1" w14:textId="77777777" w:rsidR="00CA787C" w:rsidRPr="00F81C28" w:rsidRDefault="00CA787C" w:rsidP="00B14BA3">
            <w:pPr>
              <w:rPr>
                <w:color w:val="auto"/>
              </w:rPr>
            </w:pPr>
            <w:r w:rsidRPr="00F81C28">
              <w:rPr>
                <w:rFonts w:eastAsia="Segoe UI"/>
                <w:color w:val="auto"/>
                <w:szCs w:val="21"/>
                <w:lang w:val="en-GB"/>
              </w:rPr>
              <w:t>6</w:t>
            </w:r>
          </w:p>
        </w:tc>
      </w:tr>
      <w:bookmarkEnd w:id="1"/>
    </w:tbl>
    <w:p w14:paraId="6A7B80EE" w14:textId="77777777" w:rsidR="00CA787C" w:rsidRPr="00F81C28" w:rsidRDefault="00CA787C" w:rsidP="00CA787C">
      <w:pPr>
        <w:spacing w:line="276" w:lineRule="auto"/>
        <w:rPr>
          <w:b/>
          <w:color w:val="auto"/>
        </w:rPr>
      </w:pPr>
    </w:p>
    <w:p w14:paraId="1F0E2053" w14:textId="77777777" w:rsidR="00CA787C" w:rsidRPr="00F81C28" w:rsidRDefault="00CA787C" w:rsidP="00CA787C">
      <w:pPr>
        <w:spacing w:line="276" w:lineRule="auto"/>
        <w:rPr>
          <w:color w:val="auto"/>
          <w:lang w:val="en-US"/>
        </w:rPr>
      </w:pPr>
      <w:r w:rsidRPr="00F81C28">
        <w:rPr>
          <w:rFonts w:eastAsia="Segoe UI"/>
          <w:color w:val="auto"/>
          <w:szCs w:val="21"/>
          <w:lang w:val="en-GB"/>
        </w:rPr>
        <w:t>Mostly, the occupational nurses referred clients to an occupational health physician. There were clearly fewer referrals to other specialists. In addition to occupational psychologists and occupational physiotherapists, referrals were made to diabetes nurses and opticians. (Table 4).</w:t>
      </w:r>
    </w:p>
    <w:p w14:paraId="7BFADF46" w14:textId="77777777" w:rsidR="00CA787C" w:rsidRPr="00F81C28" w:rsidRDefault="00CA787C" w:rsidP="00CA787C">
      <w:pPr>
        <w:spacing w:line="276" w:lineRule="auto"/>
        <w:rPr>
          <w:b/>
          <w:color w:val="auto"/>
          <w:lang w:val="en-US"/>
        </w:rPr>
      </w:pPr>
    </w:p>
    <w:p w14:paraId="62547970" w14:textId="77777777" w:rsidR="00CA787C" w:rsidRPr="00F81C28" w:rsidRDefault="00CA787C" w:rsidP="00CA787C">
      <w:pPr>
        <w:spacing w:line="276" w:lineRule="auto"/>
        <w:rPr>
          <w:b/>
          <w:color w:val="auto"/>
          <w:lang w:val="en-US"/>
        </w:rPr>
      </w:pPr>
    </w:p>
    <w:p w14:paraId="5DC3A503" w14:textId="77777777" w:rsidR="00CA787C" w:rsidRPr="00F81C28" w:rsidRDefault="00CA787C" w:rsidP="00CA787C">
      <w:pPr>
        <w:spacing w:line="276" w:lineRule="auto"/>
        <w:rPr>
          <w:b/>
          <w:color w:val="auto"/>
          <w:lang w:val="en-US"/>
        </w:rPr>
      </w:pPr>
      <w:r w:rsidRPr="00F81C28">
        <w:rPr>
          <w:rFonts w:eastAsia="Segoe UI"/>
          <w:color w:val="auto"/>
          <w:szCs w:val="21"/>
          <w:lang w:val="en-GB"/>
        </w:rPr>
        <w:lastRenderedPageBreak/>
        <w:t xml:space="preserve">Table 4. Further referral after check-up by occupational health nurse </w:t>
      </w:r>
    </w:p>
    <w:tbl>
      <w:tblPr>
        <w:tblStyle w:val="TableGrid"/>
        <w:tblW w:w="9088" w:type="dxa"/>
        <w:tblLook w:val="04A0" w:firstRow="1" w:lastRow="0" w:firstColumn="1" w:lastColumn="0" w:noHBand="0" w:noVBand="1"/>
      </w:tblPr>
      <w:tblGrid>
        <w:gridCol w:w="3008"/>
        <w:gridCol w:w="3009"/>
        <w:gridCol w:w="3009"/>
        <w:gridCol w:w="62"/>
      </w:tblGrid>
      <w:tr w:rsidR="00F81C28" w:rsidRPr="00F81C28" w14:paraId="6471C354" w14:textId="77777777" w:rsidTr="00B14BA3">
        <w:trPr>
          <w:gridAfter w:val="1"/>
          <w:cnfStyle w:val="100000000000" w:firstRow="1" w:lastRow="0" w:firstColumn="0" w:lastColumn="0" w:oddVBand="0" w:evenVBand="0" w:oddHBand="0" w:evenHBand="0" w:firstRowFirstColumn="0" w:firstRowLastColumn="0" w:lastRowFirstColumn="0" w:lastRowLastColumn="0"/>
          <w:wAfter w:w="62" w:type="dxa"/>
        </w:trPr>
        <w:tc>
          <w:tcPr>
            <w:tcW w:w="3008" w:type="dxa"/>
          </w:tcPr>
          <w:p w14:paraId="359E5070" w14:textId="77777777" w:rsidR="00CA787C" w:rsidRPr="00F81C28" w:rsidRDefault="00CA787C" w:rsidP="00B14BA3">
            <w:pPr>
              <w:rPr>
                <w:b w:val="0"/>
                <w:color w:val="auto"/>
                <w:lang w:val="en-US"/>
              </w:rPr>
            </w:pPr>
          </w:p>
        </w:tc>
        <w:tc>
          <w:tcPr>
            <w:tcW w:w="3009" w:type="dxa"/>
          </w:tcPr>
          <w:p w14:paraId="1580A531" w14:textId="77777777" w:rsidR="00CA787C" w:rsidRPr="00F81C28" w:rsidRDefault="00CA787C" w:rsidP="00B14BA3">
            <w:pPr>
              <w:rPr>
                <w:b w:val="0"/>
                <w:color w:val="auto"/>
              </w:rPr>
            </w:pPr>
            <w:r w:rsidRPr="00F81C28">
              <w:rPr>
                <w:rFonts w:eastAsia="Segoe UI"/>
                <w:bCs/>
                <w:color w:val="auto"/>
                <w:szCs w:val="21"/>
                <w:lang w:val="en-GB"/>
              </w:rPr>
              <w:t>Intervention group (n = 41)</w:t>
            </w:r>
          </w:p>
        </w:tc>
        <w:tc>
          <w:tcPr>
            <w:tcW w:w="3009" w:type="dxa"/>
          </w:tcPr>
          <w:p w14:paraId="034E0DBD" w14:textId="77777777" w:rsidR="00CA787C" w:rsidRPr="00F81C28" w:rsidRDefault="00CA787C" w:rsidP="00B14BA3">
            <w:pPr>
              <w:rPr>
                <w:b w:val="0"/>
                <w:color w:val="auto"/>
              </w:rPr>
            </w:pPr>
            <w:r w:rsidRPr="00F81C28">
              <w:rPr>
                <w:rFonts w:eastAsia="Segoe UI"/>
                <w:bCs/>
                <w:color w:val="auto"/>
                <w:szCs w:val="21"/>
                <w:lang w:val="en-GB"/>
              </w:rPr>
              <w:t>Control group (n = 33)</w:t>
            </w:r>
          </w:p>
        </w:tc>
      </w:tr>
      <w:tr w:rsidR="00F81C28" w:rsidRPr="00F81C28" w14:paraId="7AB46D6A" w14:textId="77777777" w:rsidTr="00B14BA3">
        <w:trPr>
          <w:trHeight w:val="300"/>
        </w:trPr>
        <w:tc>
          <w:tcPr>
            <w:tcW w:w="3008" w:type="dxa"/>
            <w:noWrap/>
          </w:tcPr>
          <w:p w14:paraId="7B5F6C25" w14:textId="77777777" w:rsidR="00CA787C" w:rsidRPr="00F81C28" w:rsidRDefault="00CA787C" w:rsidP="00B14BA3">
            <w:pPr>
              <w:spacing w:after="0" w:line="240" w:lineRule="auto"/>
              <w:jc w:val="left"/>
              <w:rPr>
                <w:rFonts w:ascii="Calibri" w:eastAsia="Calibri" w:hAnsi="Calibri" w:cs="Calibri"/>
                <w:color w:val="auto"/>
                <w:spacing w:val="0"/>
                <w:sz w:val="22"/>
                <w:szCs w:val="22"/>
                <w:lang w:val="en-US"/>
              </w:rPr>
            </w:pPr>
            <w:r w:rsidRPr="00F81C28">
              <w:rPr>
                <w:rFonts w:ascii="Calibri" w:eastAsia="Calibri" w:hAnsi="Calibri" w:cs="Calibri"/>
                <w:color w:val="auto"/>
                <w:spacing w:val="0"/>
                <w:sz w:val="22"/>
                <w:szCs w:val="22"/>
                <w:lang w:val="en-GB"/>
              </w:rPr>
              <w:t>Occupational nurse’s referral to occupational health physician</w:t>
            </w:r>
          </w:p>
        </w:tc>
        <w:tc>
          <w:tcPr>
            <w:tcW w:w="3009" w:type="dxa"/>
            <w:noWrap/>
          </w:tcPr>
          <w:p w14:paraId="16C4B73D" w14:textId="77777777" w:rsidR="00CA787C" w:rsidRPr="00F81C28" w:rsidRDefault="00CA787C" w:rsidP="00B14BA3">
            <w:pPr>
              <w:spacing w:after="0" w:line="240" w:lineRule="auto"/>
              <w:jc w:val="center"/>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24</w:t>
            </w:r>
          </w:p>
        </w:tc>
        <w:tc>
          <w:tcPr>
            <w:tcW w:w="3009" w:type="dxa"/>
            <w:noWrap/>
          </w:tcPr>
          <w:p w14:paraId="13B652F0" w14:textId="77777777" w:rsidR="00CA787C" w:rsidRPr="00F81C28" w:rsidRDefault="00CA787C" w:rsidP="00B14BA3">
            <w:pPr>
              <w:spacing w:after="0" w:line="240" w:lineRule="auto"/>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30</w:t>
            </w:r>
          </w:p>
        </w:tc>
        <w:tc>
          <w:tcPr>
            <w:tcW w:w="62" w:type="dxa"/>
            <w:noWrap/>
          </w:tcPr>
          <w:p w14:paraId="5498885E"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val="en-US"/>
              </w:rPr>
            </w:pPr>
          </w:p>
        </w:tc>
      </w:tr>
      <w:tr w:rsidR="00F81C28" w:rsidRPr="00F81C28" w14:paraId="426A5F5C" w14:textId="77777777" w:rsidTr="00B14BA3">
        <w:trPr>
          <w:trHeight w:val="300"/>
        </w:trPr>
        <w:tc>
          <w:tcPr>
            <w:tcW w:w="3008" w:type="dxa"/>
            <w:noWrap/>
          </w:tcPr>
          <w:p w14:paraId="76D67197" w14:textId="77777777" w:rsidR="00CA787C" w:rsidRPr="00F81C28" w:rsidRDefault="00CA787C" w:rsidP="00B14BA3">
            <w:pPr>
              <w:spacing w:after="0" w:line="240" w:lineRule="auto"/>
              <w:jc w:val="left"/>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Referral to occupational psychologist</w:t>
            </w:r>
          </w:p>
        </w:tc>
        <w:tc>
          <w:tcPr>
            <w:tcW w:w="3009" w:type="dxa"/>
            <w:noWrap/>
          </w:tcPr>
          <w:p w14:paraId="1BD0B840" w14:textId="77777777" w:rsidR="00CA787C" w:rsidRPr="00F81C28" w:rsidRDefault="00CA787C" w:rsidP="00B14BA3">
            <w:pPr>
              <w:spacing w:after="0" w:line="240" w:lineRule="auto"/>
              <w:jc w:val="center"/>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3</w:t>
            </w:r>
          </w:p>
        </w:tc>
        <w:tc>
          <w:tcPr>
            <w:tcW w:w="3009" w:type="dxa"/>
            <w:noWrap/>
          </w:tcPr>
          <w:p w14:paraId="3139359C" w14:textId="77777777" w:rsidR="00CA787C" w:rsidRPr="00F81C28" w:rsidRDefault="00CA787C" w:rsidP="00B14BA3">
            <w:pPr>
              <w:spacing w:after="0" w:line="240" w:lineRule="auto"/>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1</w:t>
            </w:r>
          </w:p>
        </w:tc>
        <w:tc>
          <w:tcPr>
            <w:tcW w:w="62" w:type="dxa"/>
            <w:noWrap/>
          </w:tcPr>
          <w:p w14:paraId="7ACA6AA6"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val="en-US"/>
              </w:rPr>
            </w:pPr>
          </w:p>
        </w:tc>
      </w:tr>
      <w:tr w:rsidR="00F81C28" w:rsidRPr="00F81C28" w14:paraId="16695C9A" w14:textId="77777777" w:rsidTr="00B14BA3">
        <w:trPr>
          <w:trHeight w:val="300"/>
        </w:trPr>
        <w:tc>
          <w:tcPr>
            <w:tcW w:w="3008" w:type="dxa"/>
            <w:noWrap/>
          </w:tcPr>
          <w:p w14:paraId="05D92C69" w14:textId="77777777" w:rsidR="00CA787C" w:rsidRPr="00F81C28" w:rsidRDefault="00CA787C" w:rsidP="00B14BA3">
            <w:pPr>
              <w:spacing w:after="0" w:line="240" w:lineRule="auto"/>
              <w:jc w:val="left"/>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Referral to occupational physiotherapist</w:t>
            </w:r>
          </w:p>
        </w:tc>
        <w:tc>
          <w:tcPr>
            <w:tcW w:w="3009" w:type="dxa"/>
            <w:noWrap/>
          </w:tcPr>
          <w:p w14:paraId="77895F67" w14:textId="77777777" w:rsidR="00CA787C" w:rsidRPr="00F81C28" w:rsidRDefault="00CA787C" w:rsidP="00B14BA3">
            <w:pPr>
              <w:spacing w:after="0" w:line="240" w:lineRule="auto"/>
              <w:jc w:val="center"/>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4</w:t>
            </w:r>
          </w:p>
        </w:tc>
        <w:tc>
          <w:tcPr>
            <w:tcW w:w="3009" w:type="dxa"/>
            <w:noWrap/>
          </w:tcPr>
          <w:p w14:paraId="6C1DF983" w14:textId="77777777" w:rsidR="00CA787C" w:rsidRPr="00F81C28" w:rsidRDefault="00CA787C" w:rsidP="00B14BA3">
            <w:pPr>
              <w:spacing w:after="0" w:line="240" w:lineRule="auto"/>
              <w:rPr>
                <w:rFonts w:ascii="Calibri" w:eastAsia="Calibri" w:hAnsi="Calibri" w:cs="Calibri"/>
                <w:color w:val="auto"/>
                <w:spacing w:val="0"/>
                <w:sz w:val="22"/>
                <w:szCs w:val="22"/>
                <w:lang w:val="en-GB"/>
              </w:rPr>
            </w:pPr>
            <w:r w:rsidRPr="00F81C28">
              <w:rPr>
                <w:rFonts w:ascii="Calibri" w:eastAsia="Calibri" w:hAnsi="Calibri" w:cs="Calibri"/>
                <w:color w:val="auto"/>
                <w:spacing w:val="0"/>
                <w:sz w:val="22"/>
                <w:szCs w:val="22"/>
                <w:lang w:val="en-GB"/>
              </w:rPr>
              <w:t>3</w:t>
            </w:r>
          </w:p>
        </w:tc>
        <w:tc>
          <w:tcPr>
            <w:tcW w:w="62" w:type="dxa"/>
            <w:noWrap/>
          </w:tcPr>
          <w:p w14:paraId="54FA039C"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val="en-US"/>
              </w:rPr>
            </w:pPr>
          </w:p>
        </w:tc>
      </w:tr>
    </w:tbl>
    <w:p w14:paraId="63124D1F" w14:textId="77777777" w:rsidR="00CA787C" w:rsidRPr="00F81C28" w:rsidRDefault="00CA787C" w:rsidP="00CA787C">
      <w:pPr>
        <w:spacing w:line="276" w:lineRule="auto"/>
        <w:rPr>
          <w:b/>
          <w:color w:val="auto"/>
          <w:lang w:val="en-US"/>
        </w:rPr>
      </w:pPr>
    </w:p>
    <w:p w14:paraId="50257B8C" w14:textId="77777777" w:rsidR="00CA787C" w:rsidRPr="00F81C28" w:rsidRDefault="00CA787C" w:rsidP="00CA787C">
      <w:pPr>
        <w:spacing w:line="276" w:lineRule="auto"/>
        <w:rPr>
          <w:color w:val="auto"/>
          <w:lang w:val="en-US"/>
        </w:rPr>
      </w:pPr>
      <w:r w:rsidRPr="00F81C28">
        <w:rPr>
          <w:rFonts w:eastAsia="Segoe UI"/>
          <w:color w:val="auto"/>
          <w:szCs w:val="21"/>
          <w:lang w:val="en-GB"/>
        </w:rPr>
        <w:t xml:space="preserve">Most of the follow-up measures planned for the intervention group focused on treatment enhancement (34), followed by advice on a known health problem (31), and referral to a physician (20). Most of the follow-up measures planned for the control group focused on referral to a physician (31), followed by advice on a known health problem (23), and treatment enhancement (22).  </w:t>
      </w:r>
    </w:p>
    <w:p w14:paraId="4901892B" w14:textId="2BF6E48E" w:rsidR="00CA787C" w:rsidRPr="00F81C28" w:rsidRDefault="00CA787C" w:rsidP="00CA787C">
      <w:pPr>
        <w:spacing w:line="276" w:lineRule="auto"/>
        <w:rPr>
          <w:color w:val="auto"/>
          <w:lang w:val="en-US"/>
        </w:rPr>
      </w:pPr>
      <w:r w:rsidRPr="00F81C28">
        <w:rPr>
          <w:rFonts w:eastAsia="Segoe UI"/>
          <w:color w:val="auto"/>
          <w:szCs w:val="21"/>
          <w:lang w:val="en-GB"/>
        </w:rPr>
        <w:t>Fewer follow-up measures related to work ability were documented</w:t>
      </w:r>
      <w:r w:rsidR="00BE23CF" w:rsidRPr="00F81C28">
        <w:rPr>
          <w:rFonts w:eastAsia="Segoe UI"/>
          <w:color w:val="auto"/>
          <w:szCs w:val="21"/>
          <w:lang w:val="en-GB"/>
        </w:rPr>
        <w:t xml:space="preserve">. </w:t>
      </w:r>
      <w:r w:rsidRPr="00F81C28">
        <w:rPr>
          <w:rFonts w:eastAsia="Segoe UI"/>
          <w:color w:val="auto"/>
          <w:szCs w:val="21"/>
          <w:lang w:val="en-GB"/>
        </w:rPr>
        <w:t xml:space="preserve">Occupational health counselling and guidance was documented as a follow-up measure for nine subjects in the intervention group, compared with three in the control group. As a follow-up measure, occupational health negotiations (joint negotiations with the employee and supervisor and the OH expert on the work adjustments) had been documented for almost as many in the intervention group (4) as in the control group (5). </w:t>
      </w:r>
    </w:p>
    <w:p w14:paraId="5AF81242" w14:textId="77777777" w:rsidR="00CA787C" w:rsidRPr="00F81C28" w:rsidRDefault="00CA787C" w:rsidP="00CA787C">
      <w:pPr>
        <w:spacing w:line="276" w:lineRule="auto"/>
        <w:rPr>
          <w:color w:val="auto"/>
          <w:lang w:val="en-US"/>
        </w:rPr>
      </w:pPr>
    </w:p>
    <w:p w14:paraId="79E14D6F" w14:textId="77777777" w:rsidR="00CA787C" w:rsidRPr="00F81C28" w:rsidRDefault="00CA787C" w:rsidP="00CA787C">
      <w:pPr>
        <w:spacing w:line="276" w:lineRule="auto"/>
        <w:rPr>
          <w:color w:val="auto"/>
          <w:lang w:val="en-US"/>
        </w:rPr>
      </w:pPr>
    </w:p>
    <w:p w14:paraId="536484E6" w14:textId="77777777" w:rsidR="00CA787C" w:rsidRPr="00F81C28" w:rsidRDefault="00CA787C" w:rsidP="00CA787C">
      <w:pPr>
        <w:spacing w:line="276" w:lineRule="auto"/>
        <w:rPr>
          <w:color w:val="auto"/>
          <w:lang w:val="en-US"/>
        </w:rPr>
      </w:pPr>
    </w:p>
    <w:p w14:paraId="524B42D8" w14:textId="77777777" w:rsidR="00CA787C" w:rsidRPr="00F81C28" w:rsidRDefault="00CA787C" w:rsidP="00CA787C">
      <w:pPr>
        <w:spacing w:line="276" w:lineRule="auto"/>
        <w:rPr>
          <w:color w:val="auto"/>
          <w:lang w:val="en-US"/>
        </w:rPr>
      </w:pPr>
    </w:p>
    <w:p w14:paraId="2C5049C3" w14:textId="77777777" w:rsidR="00CA787C" w:rsidRPr="00F81C28" w:rsidRDefault="00CA787C" w:rsidP="00CA787C">
      <w:pPr>
        <w:spacing w:line="276" w:lineRule="auto"/>
        <w:rPr>
          <w:color w:val="auto"/>
          <w:lang w:val="en-US"/>
        </w:rPr>
      </w:pPr>
    </w:p>
    <w:p w14:paraId="1F2A89E5" w14:textId="77777777" w:rsidR="00CA787C" w:rsidRPr="00F81C28" w:rsidRDefault="00CA787C" w:rsidP="00CA787C">
      <w:pPr>
        <w:spacing w:line="276" w:lineRule="auto"/>
        <w:rPr>
          <w:color w:val="auto"/>
          <w:lang w:val="en-US"/>
        </w:rPr>
      </w:pPr>
    </w:p>
    <w:p w14:paraId="3DF8D7AE" w14:textId="77777777" w:rsidR="00CA787C" w:rsidRPr="00F81C28" w:rsidRDefault="00CA787C" w:rsidP="00CA787C">
      <w:pPr>
        <w:spacing w:line="276" w:lineRule="auto"/>
        <w:rPr>
          <w:color w:val="auto"/>
          <w:lang w:val="en-US"/>
        </w:rPr>
      </w:pPr>
    </w:p>
    <w:p w14:paraId="0E76FE9D" w14:textId="77777777" w:rsidR="00CA787C" w:rsidRPr="00F81C28" w:rsidRDefault="00CA787C" w:rsidP="00CA787C">
      <w:pPr>
        <w:spacing w:line="276" w:lineRule="auto"/>
        <w:rPr>
          <w:color w:val="auto"/>
          <w:lang w:val="en-US"/>
        </w:rPr>
      </w:pPr>
    </w:p>
    <w:p w14:paraId="06127CB2" w14:textId="77777777" w:rsidR="00CA787C" w:rsidRPr="00F81C28" w:rsidRDefault="00CA787C" w:rsidP="00CA787C">
      <w:pPr>
        <w:spacing w:line="276" w:lineRule="auto"/>
        <w:rPr>
          <w:color w:val="auto"/>
          <w:lang w:val="en-US"/>
        </w:rPr>
      </w:pPr>
    </w:p>
    <w:p w14:paraId="0E4659DC" w14:textId="77777777" w:rsidR="00CA787C" w:rsidRPr="00F81C28" w:rsidRDefault="00CA787C" w:rsidP="00CA787C">
      <w:pPr>
        <w:spacing w:line="276" w:lineRule="auto"/>
        <w:rPr>
          <w:color w:val="auto"/>
          <w:lang w:val="en-US"/>
        </w:rPr>
      </w:pPr>
    </w:p>
    <w:p w14:paraId="3BF2124E" w14:textId="77777777" w:rsidR="00CA787C" w:rsidRPr="00F81C28" w:rsidRDefault="00CA787C" w:rsidP="00CA787C">
      <w:pPr>
        <w:spacing w:line="276" w:lineRule="auto"/>
        <w:rPr>
          <w:color w:val="auto"/>
          <w:lang w:val="en-US"/>
        </w:rPr>
      </w:pPr>
    </w:p>
    <w:p w14:paraId="50B51BD1" w14:textId="77777777" w:rsidR="00CA787C" w:rsidRPr="00F81C28" w:rsidRDefault="00CA787C" w:rsidP="00CA787C">
      <w:pPr>
        <w:spacing w:line="276" w:lineRule="auto"/>
        <w:rPr>
          <w:color w:val="auto"/>
          <w:lang w:val="en-US"/>
        </w:rPr>
      </w:pPr>
    </w:p>
    <w:p w14:paraId="4EF906D4" w14:textId="77777777" w:rsidR="00CA787C" w:rsidRPr="00F81C28" w:rsidRDefault="00CA787C" w:rsidP="00CA787C">
      <w:pPr>
        <w:spacing w:line="276" w:lineRule="auto"/>
        <w:rPr>
          <w:color w:val="auto"/>
          <w:lang w:val="en-US"/>
        </w:rPr>
      </w:pPr>
    </w:p>
    <w:p w14:paraId="4287CE0E" w14:textId="77777777" w:rsidR="00CA787C" w:rsidRPr="00F81C28" w:rsidRDefault="00CA787C" w:rsidP="00CA787C">
      <w:pPr>
        <w:spacing w:line="276" w:lineRule="auto"/>
        <w:rPr>
          <w:color w:val="auto"/>
          <w:lang w:val="en-US"/>
        </w:rPr>
      </w:pPr>
    </w:p>
    <w:p w14:paraId="6EF8BD29" w14:textId="77777777" w:rsidR="00CA787C" w:rsidRPr="00F81C28" w:rsidRDefault="00CA787C" w:rsidP="00CA787C">
      <w:pPr>
        <w:spacing w:line="276" w:lineRule="auto"/>
        <w:rPr>
          <w:color w:val="auto"/>
          <w:lang w:val="en-US"/>
        </w:rPr>
      </w:pPr>
    </w:p>
    <w:p w14:paraId="577DB213" w14:textId="77777777" w:rsidR="00CA787C" w:rsidRPr="00F81C28" w:rsidRDefault="00CA787C" w:rsidP="00CA787C">
      <w:pPr>
        <w:spacing w:line="276" w:lineRule="auto"/>
        <w:rPr>
          <w:color w:val="auto"/>
          <w:lang w:val="en-US"/>
        </w:rPr>
      </w:pPr>
    </w:p>
    <w:p w14:paraId="0C255733" w14:textId="77777777" w:rsidR="00CA787C" w:rsidRPr="00F81C28" w:rsidRDefault="00CA787C" w:rsidP="00CA787C">
      <w:pPr>
        <w:spacing w:line="276" w:lineRule="auto"/>
        <w:rPr>
          <w:color w:val="auto"/>
          <w:lang w:val="en-US"/>
        </w:rPr>
      </w:pPr>
    </w:p>
    <w:p w14:paraId="0F8F0045" w14:textId="77777777" w:rsidR="00CA787C" w:rsidRPr="00F81C28" w:rsidRDefault="00CA787C" w:rsidP="00CA787C">
      <w:pPr>
        <w:spacing w:line="276" w:lineRule="auto"/>
        <w:rPr>
          <w:color w:val="auto"/>
          <w:lang w:val="en-US"/>
        </w:rPr>
      </w:pPr>
    </w:p>
    <w:p w14:paraId="7C0A0824" w14:textId="77777777" w:rsidR="00CA787C" w:rsidRPr="00F81C28" w:rsidRDefault="00CA787C" w:rsidP="00CA787C">
      <w:pPr>
        <w:spacing w:line="276" w:lineRule="auto"/>
        <w:rPr>
          <w:color w:val="auto"/>
          <w:lang w:val="en-US"/>
        </w:rPr>
      </w:pPr>
      <w:r w:rsidRPr="00F81C28">
        <w:rPr>
          <w:rFonts w:eastAsia="Segoe UI"/>
          <w:color w:val="auto"/>
          <w:szCs w:val="21"/>
          <w:lang w:val="en-GB"/>
        </w:rPr>
        <w:lastRenderedPageBreak/>
        <w:t>Table 5. Follow-up measures and referral after health check-up</w:t>
      </w:r>
    </w:p>
    <w:tbl>
      <w:tblPr>
        <w:tblStyle w:val="TableGrid"/>
        <w:tblW w:w="0" w:type="auto"/>
        <w:tblLook w:val="04A0" w:firstRow="1" w:lastRow="0" w:firstColumn="1" w:lastColumn="0" w:noHBand="0" w:noVBand="1"/>
      </w:tblPr>
      <w:tblGrid>
        <w:gridCol w:w="8964"/>
        <w:gridCol w:w="62"/>
      </w:tblGrid>
      <w:tr w:rsidR="00F81C28" w:rsidRPr="00D33083" w14:paraId="65A8C191" w14:textId="77777777" w:rsidTr="00B14BA3">
        <w:trPr>
          <w:cnfStyle w:val="100000000000" w:firstRow="1" w:lastRow="0" w:firstColumn="0" w:lastColumn="0" w:oddVBand="0" w:evenVBand="0" w:oddHBand="0" w:evenHBand="0" w:firstRowFirstColumn="0" w:firstRowLastColumn="0" w:lastRowFirstColumn="0" w:lastRowLastColumn="0"/>
        </w:trPr>
        <w:tc>
          <w:tcPr>
            <w:tcW w:w="8964" w:type="dxa"/>
          </w:tcPr>
          <w:p w14:paraId="27E74C4F" w14:textId="77777777" w:rsidR="00CA787C" w:rsidRPr="00F81C28" w:rsidRDefault="00CA787C" w:rsidP="00B14BA3">
            <w:pPr>
              <w:spacing w:line="276" w:lineRule="auto"/>
              <w:rPr>
                <w:rFonts w:cs="Segoe UI"/>
                <w:color w:val="auto"/>
                <w:szCs w:val="21"/>
                <w:lang w:val="en-US"/>
              </w:rPr>
            </w:pPr>
            <w:r w:rsidRPr="00F81C28">
              <w:rPr>
                <w:rFonts w:eastAsia="Segoe UI" w:cs="Segoe UI"/>
                <w:bCs/>
                <w:color w:val="auto"/>
                <w:szCs w:val="21"/>
                <w:lang w:val="en-GB"/>
              </w:rPr>
              <w:t>Follow-up measures and referral</w:t>
            </w:r>
          </w:p>
        </w:tc>
        <w:tc>
          <w:tcPr>
            <w:tcW w:w="62" w:type="dxa"/>
          </w:tcPr>
          <w:p w14:paraId="6F6736A8" w14:textId="77777777" w:rsidR="00CA787C" w:rsidRPr="00F81C28" w:rsidRDefault="00CA787C" w:rsidP="00B14BA3">
            <w:pPr>
              <w:spacing w:line="276" w:lineRule="auto"/>
              <w:rPr>
                <w:rFonts w:cs="Segoe UI"/>
                <w:color w:val="auto"/>
                <w:szCs w:val="21"/>
                <w:lang w:val="en-US"/>
              </w:rPr>
            </w:pPr>
          </w:p>
        </w:tc>
        <w:bookmarkStart w:id="2" w:name="_GoBack"/>
        <w:bookmarkEnd w:id="2"/>
      </w:tr>
      <w:tr w:rsidR="00F81C28" w:rsidRPr="00F81C28" w14:paraId="0D714AC0" w14:textId="77777777" w:rsidTr="00B14BA3">
        <w:tc>
          <w:tcPr>
            <w:tcW w:w="8964" w:type="dxa"/>
          </w:tcPr>
          <w:tbl>
            <w:tblPr>
              <w:tblW w:w="8908" w:type="dxa"/>
              <w:tblCellMar>
                <w:left w:w="70" w:type="dxa"/>
                <w:right w:w="70" w:type="dxa"/>
              </w:tblCellMar>
              <w:tblLook w:val="04A0" w:firstRow="1" w:lastRow="0" w:firstColumn="1" w:lastColumn="0" w:noHBand="0" w:noVBand="1"/>
            </w:tblPr>
            <w:tblGrid>
              <w:gridCol w:w="4558"/>
              <w:gridCol w:w="2700"/>
              <w:gridCol w:w="87"/>
              <w:gridCol w:w="73"/>
              <w:gridCol w:w="1490"/>
            </w:tblGrid>
            <w:tr w:rsidR="00F81C28" w:rsidRPr="00F81C28" w14:paraId="6334B6FD" w14:textId="77777777" w:rsidTr="00B14BA3">
              <w:trPr>
                <w:trHeight w:val="300"/>
              </w:trPr>
              <w:tc>
                <w:tcPr>
                  <w:tcW w:w="4558" w:type="dxa"/>
                  <w:tcBorders>
                    <w:top w:val="nil"/>
                    <w:left w:val="nil"/>
                    <w:bottom w:val="nil"/>
                    <w:right w:val="nil"/>
                  </w:tcBorders>
                  <w:shd w:val="clear" w:color="auto" w:fill="auto"/>
                  <w:noWrap/>
                  <w:vAlign w:val="bottom"/>
                  <w:hideMark/>
                </w:tcPr>
                <w:p w14:paraId="1616BF4E" w14:textId="77777777" w:rsidR="00CA787C" w:rsidRPr="00F81C28" w:rsidRDefault="00CA787C" w:rsidP="00B14BA3">
                  <w:pPr>
                    <w:spacing w:after="0" w:line="240" w:lineRule="auto"/>
                    <w:jc w:val="left"/>
                    <w:rPr>
                      <w:rFonts w:ascii="Calibri" w:eastAsia="Times New Roman" w:hAnsi="Calibri" w:cs="Calibri"/>
                      <w:b/>
                      <w:bCs/>
                      <w:color w:val="auto"/>
                      <w:spacing w:val="0"/>
                      <w:sz w:val="22"/>
                      <w:szCs w:val="22"/>
                      <w:lang w:val="en-US" w:eastAsia="fi-FI"/>
                    </w:rPr>
                  </w:pPr>
                </w:p>
              </w:tc>
              <w:tc>
                <w:tcPr>
                  <w:tcW w:w="2787" w:type="dxa"/>
                  <w:gridSpan w:val="2"/>
                  <w:tcBorders>
                    <w:top w:val="nil"/>
                    <w:left w:val="nil"/>
                    <w:bottom w:val="nil"/>
                    <w:right w:val="nil"/>
                  </w:tcBorders>
                  <w:shd w:val="clear" w:color="auto" w:fill="auto"/>
                  <w:noWrap/>
                  <w:vAlign w:val="bottom"/>
                  <w:hideMark/>
                </w:tcPr>
                <w:p w14:paraId="36CC7D66" w14:textId="7B798E30" w:rsidR="00CA787C" w:rsidRPr="00F81C28" w:rsidRDefault="00CA787C" w:rsidP="00B14BA3">
                  <w:pPr>
                    <w:spacing w:after="0" w:line="240" w:lineRule="auto"/>
                    <w:jc w:val="left"/>
                    <w:rPr>
                      <w:rFonts w:ascii="Calibri" w:eastAsia="Times New Roman" w:hAnsi="Calibri" w:cs="Calibri"/>
                      <w:b/>
                      <w:bCs/>
                      <w:color w:val="auto"/>
                      <w:spacing w:val="0"/>
                      <w:sz w:val="22"/>
                      <w:szCs w:val="22"/>
                      <w:lang w:eastAsia="fi-FI"/>
                    </w:rPr>
                  </w:pPr>
                  <w:r w:rsidRPr="00F81C28">
                    <w:rPr>
                      <w:rFonts w:ascii="Calibri" w:eastAsia="Calibri" w:hAnsi="Calibri" w:cs="Calibri"/>
                      <w:b/>
                      <w:bCs/>
                      <w:color w:val="auto"/>
                      <w:spacing w:val="0"/>
                      <w:sz w:val="22"/>
                      <w:szCs w:val="22"/>
                      <w:lang w:val="en-GB" w:eastAsia="fi-FI"/>
                    </w:rPr>
                    <w:t xml:space="preserve">Intervention group </w:t>
                  </w:r>
                </w:p>
                <w:p w14:paraId="5DF3787D" w14:textId="0150AFF7" w:rsidR="00CA787C" w:rsidRPr="00F81C28" w:rsidRDefault="00D33083" w:rsidP="00B14BA3">
                  <w:pPr>
                    <w:spacing w:after="0" w:line="240" w:lineRule="auto"/>
                    <w:jc w:val="left"/>
                    <w:rPr>
                      <w:rFonts w:ascii="Calibri" w:eastAsia="Times New Roman" w:hAnsi="Calibri" w:cs="Calibri"/>
                      <w:b/>
                      <w:bCs/>
                      <w:color w:val="auto"/>
                      <w:spacing w:val="0"/>
                      <w:sz w:val="22"/>
                      <w:szCs w:val="22"/>
                      <w:lang w:eastAsia="fi-FI"/>
                    </w:rPr>
                  </w:pPr>
                  <w:r w:rsidRPr="00F81C28">
                    <w:rPr>
                      <w:rFonts w:ascii="Calibri" w:eastAsia="Calibri" w:hAnsi="Calibri" w:cs="Calibri"/>
                      <w:b/>
                      <w:bCs/>
                      <w:color w:val="auto"/>
                      <w:spacing w:val="0"/>
                      <w:sz w:val="22"/>
                      <w:szCs w:val="22"/>
                      <w:lang w:val="en-GB" w:eastAsia="fi-FI"/>
                    </w:rPr>
                    <w:t>(n = 41)</w:t>
                  </w:r>
                </w:p>
              </w:tc>
              <w:tc>
                <w:tcPr>
                  <w:tcW w:w="1563" w:type="dxa"/>
                  <w:gridSpan w:val="2"/>
                  <w:tcBorders>
                    <w:top w:val="nil"/>
                    <w:left w:val="nil"/>
                    <w:bottom w:val="nil"/>
                    <w:right w:val="nil"/>
                  </w:tcBorders>
                  <w:shd w:val="clear" w:color="auto" w:fill="auto"/>
                  <w:noWrap/>
                  <w:vAlign w:val="bottom"/>
                  <w:hideMark/>
                </w:tcPr>
                <w:p w14:paraId="60623A5C" w14:textId="77777777" w:rsidR="00CA787C" w:rsidRPr="00F81C28" w:rsidRDefault="00CA787C" w:rsidP="00B14BA3">
                  <w:pPr>
                    <w:spacing w:after="0" w:line="240" w:lineRule="auto"/>
                    <w:jc w:val="left"/>
                    <w:rPr>
                      <w:rFonts w:ascii="Calibri" w:eastAsia="Times New Roman" w:hAnsi="Calibri" w:cs="Calibri"/>
                      <w:b/>
                      <w:bCs/>
                      <w:color w:val="auto"/>
                      <w:spacing w:val="0"/>
                      <w:sz w:val="22"/>
                      <w:szCs w:val="22"/>
                      <w:lang w:eastAsia="fi-FI"/>
                    </w:rPr>
                  </w:pPr>
                </w:p>
                <w:p w14:paraId="3365CB4A" w14:textId="77777777" w:rsidR="00CA787C" w:rsidRPr="00F81C28" w:rsidRDefault="00CA787C" w:rsidP="00B14BA3">
                  <w:pPr>
                    <w:spacing w:after="0" w:line="240" w:lineRule="auto"/>
                    <w:jc w:val="left"/>
                    <w:rPr>
                      <w:rFonts w:ascii="Calibri" w:eastAsia="Times New Roman" w:hAnsi="Calibri" w:cs="Calibri"/>
                      <w:b/>
                      <w:bCs/>
                      <w:color w:val="auto"/>
                      <w:spacing w:val="0"/>
                      <w:sz w:val="22"/>
                      <w:szCs w:val="22"/>
                      <w:lang w:eastAsia="fi-FI"/>
                    </w:rPr>
                  </w:pPr>
                  <w:r w:rsidRPr="00F81C28">
                    <w:rPr>
                      <w:rFonts w:ascii="Calibri" w:eastAsia="Calibri" w:hAnsi="Calibri" w:cs="Calibri"/>
                      <w:b/>
                      <w:bCs/>
                      <w:color w:val="auto"/>
                      <w:spacing w:val="0"/>
                      <w:sz w:val="22"/>
                      <w:szCs w:val="22"/>
                      <w:lang w:val="en-GB" w:eastAsia="fi-FI"/>
                    </w:rPr>
                    <w:t>Control group (n = 33)</w:t>
                  </w:r>
                </w:p>
              </w:tc>
            </w:tr>
            <w:tr w:rsidR="00F81C28" w:rsidRPr="00F81C28" w14:paraId="1A38ACFC" w14:textId="77777777" w:rsidTr="00B14BA3">
              <w:trPr>
                <w:trHeight w:val="300"/>
              </w:trPr>
              <w:tc>
                <w:tcPr>
                  <w:tcW w:w="4558" w:type="dxa"/>
                  <w:tcBorders>
                    <w:top w:val="nil"/>
                    <w:left w:val="nil"/>
                    <w:bottom w:val="nil"/>
                    <w:right w:val="nil"/>
                  </w:tcBorders>
                  <w:shd w:val="clear" w:color="auto" w:fill="auto"/>
                  <w:noWrap/>
                  <w:vAlign w:val="bottom"/>
                  <w:hideMark/>
                </w:tcPr>
                <w:p w14:paraId="785CF155"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Vocational rehabilitation recommendation</w:t>
                  </w:r>
                </w:p>
              </w:tc>
              <w:tc>
                <w:tcPr>
                  <w:tcW w:w="2700" w:type="dxa"/>
                  <w:tcBorders>
                    <w:top w:val="nil"/>
                    <w:left w:val="nil"/>
                    <w:bottom w:val="nil"/>
                    <w:right w:val="nil"/>
                  </w:tcBorders>
                  <w:shd w:val="clear" w:color="auto" w:fill="auto"/>
                  <w:noWrap/>
                  <w:vAlign w:val="bottom"/>
                  <w:hideMark/>
                </w:tcPr>
                <w:p w14:paraId="20A33986"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c>
                <w:tcPr>
                  <w:tcW w:w="160" w:type="dxa"/>
                  <w:gridSpan w:val="2"/>
                  <w:tcBorders>
                    <w:top w:val="nil"/>
                    <w:left w:val="nil"/>
                    <w:bottom w:val="nil"/>
                    <w:right w:val="nil"/>
                  </w:tcBorders>
                  <w:shd w:val="clear" w:color="auto" w:fill="auto"/>
                  <w:noWrap/>
                  <w:vAlign w:val="bottom"/>
                  <w:hideMark/>
                </w:tcPr>
                <w:p w14:paraId="30E29608"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7FA28E43" w14:textId="77777777" w:rsidR="00CA787C" w:rsidRPr="00F81C28" w:rsidRDefault="00CA787C" w:rsidP="00B14BA3">
                  <w:pPr>
                    <w:spacing w:after="0" w:line="240" w:lineRule="auto"/>
                    <w:jc w:val="left"/>
                    <w:rPr>
                      <w:rFonts w:ascii="Times New Roman" w:eastAsia="Times New Roman" w:hAnsi="Times New Roman"/>
                      <w:color w:val="auto"/>
                      <w:spacing w:val="0"/>
                      <w:sz w:val="20"/>
                      <w:szCs w:val="20"/>
                      <w:lang w:eastAsia="fi-FI"/>
                    </w:rPr>
                  </w:pPr>
                </w:p>
              </w:tc>
            </w:tr>
            <w:tr w:rsidR="00F81C28" w:rsidRPr="00F81C28" w14:paraId="1C18E3AE" w14:textId="77777777" w:rsidTr="00B14BA3">
              <w:trPr>
                <w:trHeight w:val="300"/>
              </w:trPr>
              <w:tc>
                <w:tcPr>
                  <w:tcW w:w="4558" w:type="dxa"/>
                  <w:tcBorders>
                    <w:top w:val="nil"/>
                    <w:left w:val="nil"/>
                    <w:bottom w:val="nil"/>
                    <w:right w:val="nil"/>
                  </w:tcBorders>
                  <w:shd w:val="clear" w:color="auto" w:fill="auto"/>
                  <w:noWrap/>
                  <w:vAlign w:val="bottom"/>
                  <w:hideMark/>
                </w:tcPr>
                <w:p w14:paraId="0B50F0C7"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Further diagnostic examinations</w:t>
                  </w:r>
                </w:p>
              </w:tc>
              <w:tc>
                <w:tcPr>
                  <w:tcW w:w="2700" w:type="dxa"/>
                  <w:tcBorders>
                    <w:top w:val="nil"/>
                    <w:left w:val="nil"/>
                    <w:bottom w:val="nil"/>
                    <w:right w:val="nil"/>
                  </w:tcBorders>
                  <w:shd w:val="clear" w:color="auto" w:fill="auto"/>
                  <w:noWrap/>
                  <w:vAlign w:val="bottom"/>
                  <w:hideMark/>
                </w:tcPr>
                <w:p w14:paraId="3B31C2BB"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c>
                <w:tcPr>
                  <w:tcW w:w="160" w:type="dxa"/>
                  <w:gridSpan w:val="2"/>
                  <w:tcBorders>
                    <w:top w:val="nil"/>
                    <w:left w:val="nil"/>
                    <w:bottom w:val="nil"/>
                    <w:right w:val="nil"/>
                  </w:tcBorders>
                  <w:shd w:val="clear" w:color="auto" w:fill="auto"/>
                  <w:noWrap/>
                  <w:vAlign w:val="bottom"/>
                  <w:hideMark/>
                </w:tcPr>
                <w:p w14:paraId="7F0861DD"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7F9F44A1"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w:t>
                  </w:r>
                </w:p>
              </w:tc>
            </w:tr>
            <w:tr w:rsidR="00F81C28" w:rsidRPr="00F81C28" w14:paraId="37D011D0" w14:textId="77777777" w:rsidTr="00B14BA3">
              <w:trPr>
                <w:trHeight w:val="300"/>
              </w:trPr>
              <w:tc>
                <w:tcPr>
                  <w:tcW w:w="4558" w:type="dxa"/>
                  <w:tcBorders>
                    <w:top w:val="nil"/>
                    <w:left w:val="nil"/>
                    <w:bottom w:val="nil"/>
                    <w:right w:val="nil"/>
                  </w:tcBorders>
                  <w:shd w:val="clear" w:color="auto" w:fill="auto"/>
                  <w:noWrap/>
                  <w:vAlign w:val="bottom"/>
                  <w:hideMark/>
                </w:tcPr>
                <w:p w14:paraId="01E34230"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Treatment enhancement (Medicines, care instructions)</w:t>
                  </w:r>
                </w:p>
              </w:tc>
              <w:tc>
                <w:tcPr>
                  <w:tcW w:w="2700" w:type="dxa"/>
                  <w:tcBorders>
                    <w:top w:val="nil"/>
                    <w:left w:val="nil"/>
                    <w:bottom w:val="nil"/>
                    <w:right w:val="nil"/>
                  </w:tcBorders>
                  <w:shd w:val="clear" w:color="auto" w:fill="auto"/>
                  <w:noWrap/>
                  <w:vAlign w:val="bottom"/>
                  <w:hideMark/>
                </w:tcPr>
                <w:p w14:paraId="066ED2DB"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34</w:t>
                  </w:r>
                </w:p>
              </w:tc>
              <w:tc>
                <w:tcPr>
                  <w:tcW w:w="160" w:type="dxa"/>
                  <w:gridSpan w:val="2"/>
                  <w:tcBorders>
                    <w:top w:val="nil"/>
                    <w:left w:val="nil"/>
                    <w:bottom w:val="nil"/>
                    <w:right w:val="nil"/>
                  </w:tcBorders>
                  <w:shd w:val="clear" w:color="auto" w:fill="auto"/>
                  <w:noWrap/>
                  <w:vAlign w:val="bottom"/>
                  <w:hideMark/>
                </w:tcPr>
                <w:p w14:paraId="649BBD80"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45C1D332"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22</w:t>
                  </w:r>
                </w:p>
              </w:tc>
            </w:tr>
            <w:tr w:rsidR="00F81C28" w:rsidRPr="00F81C28" w14:paraId="58215E72" w14:textId="77777777" w:rsidTr="00B14BA3">
              <w:trPr>
                <w:trHeight w:val="300"/>
              </w:trPr>
              <w:tc>
                <w:tcPr>
                  <w:tcW w:w="4558" w:type="dxa"/>
                  <w:tcBorders>
                    <w:top w:val="nil"/>
                    <w:left w:val="nil"/>
                    <w:bottom w:val="nil"/>
                    <w:right w:val="nil"/>
                  </w:tcBorders>
                  <w:shd w:val="clear" w:color="auto" w:fill="auto"/>
                  <w:noWrap/>
                  <w:vAlign w:val="bottom"/>
                  <w:hideMark/>
                </w:tcPr>
                <w:p w14:paraId="44481A93"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Certificate of work ability</w:t>
                  </w:r>
                </w:p>
              </w:tc>
              <w:tc>
                <w:tcPr>
                  <w:tcW w:w="2700" w:type="dxa"/>
                  <w:tcBorders>
                    <w:top w:val="nil"/>
                    <w:left w:val="nil"/>
                    <w:bottom w:val="nil"/>
                    <w:right w:val="nil"/>
                  </w:tcBorders>
                  <w:shd w:val="clear" w:color="auto" w:fill="auto"/>
                  <w:noWrap/>
                  <w:vAlign w:val="bottom"/>
                  <w:hideMark/>
                </w:tcPr>
                <w:p w14:paraId="1D305438"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c>
                <w:tcPr>
                  <w:tcW w:w="160" w:type="dxa"/>
                  <w:gridSpan w:val="2"/>
                  <w:tcBorders>
                    <w:top w:val="nil"/>
                    <w:left w:val="nil"/>
                    <w:bottom w:val="nil"/>
                    <w:right w:val="nil"/>
                  </w:tcBorders>
                  <w:shd w:val="clear" w:color="auto" w:fill="auto"/>
                  <w:noWrap/>
                  <w:vAlign w:val="bottom"/>
                  <w:hideMark/>
                </w:tcPr>
                <w:p w14:paraId="621BA183"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59100F22"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w:t>
                  </w:r>
                </w:p>
              </w:tc>
            </w:tr>
            <w:tr w:rsidR="00F81C28" w:rsidRPr="00F81C28" w14:paraId="3EF119CA" w14:textId="77777777" w:rsidTr="00B14BA3">
              <w:trPr>
                <w:trHeight w:val="300"/>
              </w:trPr>
              <w:tc>
                <w:tcPr>
                  <w:tcW w:w="4558" w:type="dxa"/>
                  <w:tcBorders>
                    <w:top w:val="nil"/>
                    <w:left w:val="nil"/>
                    <w:bottom w:val="nil"/>
                    <w:right w:val="nil"/>
                  </w:tcBorders>
                  <w:shd w:val="clear" w:color="auto" w:fill="auto"/>
                  <w:noWrap/>
                  <w:vAlign w:val="bottom"/>
                  <w:hideMark/>
                </w:tcPr>
                <w:p w14:paraId="1331261D"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Referral to specialist health care</w:t>
                  </w:r>
                </w:p>
              </w:tc>
              <w:tc>
                <w:tcPr>
                  <w:tcW w:w="2700" w:type="dxa"/>
                  <w:tcBorders>
                    <w:top w:val="nil"/>
                    <w:left w:val="nil"/>
                    <w:bottom w:val="nil"/>
                    <w:right w:val="nil"/>
                  </w:tcBorders>
                  <w:shd w:val="clear" w:color="auto" w:fill="auto"/>
                  <w:noWrap/>
                  <w:vAlign w:val="bottom"/>
                  <w:hideMark/>
                </w:tcPr>
                <w:p w14:paraId="5F8FF32F"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4</w:t>
                  </w:r>
                </w:p>
              </w:tc>
              <w:tc>
                <w:tcPr>
                  <w:tcW w:w="160" w:type="dxa"/>
                  <w:gridSpan w:val="2"/>
                  <w:tcBorders>
                    <w:top w:val="nil"/>
                    <w:left w:val="nil"/>
                    <w:bottom w:val="nil"/>
                    <w:right w:val="nil"/>
                  </w:tcBorders>
                  <w:shd w:val="clear" w:color="auto" w:fill="auto"/>
                  <w:noWrap/>
                  <w:vAlign w:val="bottom"/>
                  <w:hideMark/>
                </w:tcPr>
                <w:p w14:paraId="30714B4F"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0562EB7F"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w:t>
                  </w:r>
                </w:p>
              </w:tc>
            </w:tr>
            <w:tr w:rsidR="00F81C28" w:rsidRPr="00F81C28" w14:paraId="0970E441" w14:textId="77777777" w:rsidTr="00B14BA3">
              <w:trPr>
                <w:trHeight w:val="300"/>
              </w:trPr>
              <w:tc>
                <w:tcPr>
                  <w:tcW w:w="4558" w:type="dxa"/>
                  <w:tcBorders>
                    <w:top w:val="nil"/>
                    <w:left w:val="nil"/>
                    <w:bottom w:val="nil"/>
                    <w:right w:val="nil"/>
                  </w:tcBorders>
                  <w:shd w:val="clear" w:color="auto" w:fill="auto"/>
                  <w:noWrap/>
                  <w:vAlign w:val="bottom"/>
                  <w:hideMark/>
                </w:tcPr>
                <w:p w14:paraId="42772C21"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Medical rehabilitation recommendation</w:t>
                  </w:r>
                </w:p>
              </w:tc>
              <w:tc>
                <w:tcPr>
                  <w:tcW w:w="2700" w:type="dxa"/>
                  <w:tcBorders>
                    <w:top w:val="nil"/>
                    <w:left w:val="nil"/>
                    <w:bottom w:val="nil"/>
                    <w:right w:val="nil"/>
                  </w:tcBorders>
                  <w:shd w:val="clear" w:color="auto" w:fill="auto"/>
                  <w:noWrap/>
                  <w:vAlign w:val="bottom"/>
                  <w:hideMark/>
                </w:tcPr>
                <w:p w14:paraId="70E4CE58"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c>
                <w:tcPr>
                  <w:tcW w:w="160" w:type="dxa"/>
                  <w:gridSpan w:val="2"/>
                  <w:tcBorders>
                    <w:top w:val="nil"/>
                    <w:left w:val="nil"/>
                    <w:bottom w:val="nil"/>
                    <w:right w:val="nil"/>
                  </w:tcBorders>
                  <w:shd w:val="clear" w:color="auto" w:fill="auto"/>
                  <w:noWrap/>
                  <w:vAlign w:val="bottom"/>
                  <w:hideMark/>
                </w:tcPr>
                <w:p w14:paraId="14CCF670"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1616F2E4"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r>
            <w:tr w:rsidR="00F81C28" w:rsidRPr="00F81C28" w14:paraId="5DE22951" w14:textId="77777777" w:rsidTr="00B14BA3">
              <w:trPr>
                <w:trHeight w:val="300"/>
              </w:trPr>
              <w:tc>
                <w:tcPr>
                  <w:tcW w:w="4558" w:type="dxa"/>
                  <w:tcBorders>
                    <w:top w:val="nil"/>
                    <w:left w:val="nil"/>
                    <w:bottom w:val="nil"/>
                    <w:right w:val="nil"/>
                  </w:tcBorders>
                  <w:shd w:val="clear" w:color="auto" w:fill="auto"/>
                  <w:noWrap/>
                  <w:vAlign w:val="bottom"/>
                  <w:hideMark/>
                </w:tcPr>
                <w:p w14:paraId="4AF159C5"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Referral to professional other than physician</w:t>
                  </w:r>
                </w:p>
              </w:tc>
              <w:tc>
                <w:tcPr>
                  <w:tcW w:w="2700" w:type="dxa"/>
                  <w:tcBorders>
                    <w:top w:val="nil"/>
                    <w:left w:val="nil"/>
                    <w:bottom w:val="nil"/>
                    <w:right w:val="nil"/>
                  </w:tcBorders>
                  <w:shd w:val="clear" w:color="auto" w:fill="auto"/>
                  <w:noWrap/>
                  <w:vAlign w:val="bottom"/>
                  <w:hideMark/>
                </w:tcPr>
                <w:p w14:paraId="280DB156"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9</w:t>
                  </w:r>
                </w:p>
              </w:tc>
              <w:tc>
                <w:tcPr>
                  <w:tcW w:w="160" w:type="dxa"/>
                  <w:gridSpan w:val="2"/>
                  <w:tcBorders>
                    <w:top w:val="nil"/>
                    <w:left w:val="nil"/>
                    <w:bottom w:val="nil"/>
                    <w:right w:val="nil"/>
                  </w:tcBorders>
                  <w:shd w:val="clear" w:color="auto" w:fill="auto"/>
                  <w:noWrap/>
                  <w:vAlign w:val="bottom"/>
                  <w:hideMark/>
                </w:tcPr>
                <w:p w14:paraId="3058F0C2"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5F190503"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17</w:t>
                  </w:r>
                </w:p>
              </w:tc>
            </w:tr>
            <w:tr w:rsidR="00F81C28" w:rsidRPr="00F81C28" w14:paraId="18282C1F" w14:textId="77777777" w:rsidTr="00B14BA3">
              <w:trPr>
                <w:trHeight w:val="300"/>
              </w:trPr>
              <w:tc>
                <w:tcPr>
                  <w:tcW w:w="4558" w:type="dxa"/>
                  <w:tcBorders>
                    <w:top w:val="nil"/>
                    <w:left w:val="nil"/>
                    <w:bottom w:val="nil"/>
                    <w:right w:val="nil"/>
                  </w:tcBorders>
                  <w:shd w:val="clear" w:color="auto" w:fill="auto"/>
                  <w:noWrap/>
                  <w:vAlign w:val="bottom"/>
                  <w:hideMark/>
                </w:tcPr>
                <w:p w14:paraId="4857F17A"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Referral to basic health care</w:t>
                  </w:r>
                </w:p>
              </w:tc>
              <w:tc>
                <w:tcPr>
                  <w:tcW w:w="2700" w:type="dxa"/>
                  <w:tcBorders>
                    <w:top w:val="nil"/>
                    <w:left w:val="nil"/>
                    <w:bottom w:val="nil"/>
                    <w:right w:val="nil"/>
                  </w:tcBorders>
                  <w:shd w:val="clear" w:color="auto" w:fill="auto"/>
                  <w:noWrap/>
                  <w:vAlign w:val="bottom"/>
                  <w:hideMark/>
                </w:tcPr>
                <w:p w14:paraId="70D7A21F"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c>
                <w:tcPr>
                  <w:tcW w:w="160" w:type="dxa"/>
                  <w:gridSpan w:val="2"/>
                  <w:tcBorders>
                    <w:top w:val="nil"/>
                    <w:left w:val="nil"/>
                    <w:bottom w:val="nil"/>
                    <w:right w:val="nil"/>
                  </w:tcBorders>
                  <w:shd w:val="clear" w:color="auto" w:fill="auto"/>
                  <w:noWrap/>
                  <w:vAlign w:val="bottom"/>
                  <w:hideMark/>
                </w:tcPr>
                <w:p w14:paraId="1B736012"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34396017" w14:textId="77777777" w:rsidR="00CA787C" w:rsidRPr="00F81C28" w:rsidRDefault="00CA787C" w:rsidP="00B14BA3">
                  <w:pPr>
                    <w:spacing w:after="0" w:line="240" w:lineRule="auto"/>
                    <w:jc w:val="left"/>
                    <w:rPr>
                      <w:rFonts w:ascii="Times New Roman" w:eastAsia="Times New Roman" w:hAnsi="Times New Roman"/>
                      <w:color w:val="auto"/>
                      <w:spacing w:val="0"/>
                      <w:sz w:val="20"/>
                      <w:szCs w:val="20"/>
                      <w:lang w:eastAsia="fi-FI"/>
                    </w:rPr>
                  </w:pPr>
                </w:p>
              </w:tc>
            </w:tr>
            <w:tr w:rsidR="00F81C28" w:rsidRPr="00F81C28" w14:paraId="2E9A3456" w14:textId="77777777" w:rsidTr="00B14BA3">
              <w:trPr>
                <w:trHeight w:val="300"/>
              </w:trPr>
              <w:tc>
                <w:tcPr>
                  <w:tcW w:w="4558" w:type="dxa"/>
                  <w:tcBorders>
                    <w:top w:val="nil"/>
                    <w:left w:val="nil"/>
                    <w:bottom w:val="nil"/>
                    <w:right w:val="nil"/>
                  </w:tcBorders>
                  <w:shd w:val="clear" w:color="auto" w:fill="auto"/>
                  <w:noWrap/>
                  <w:vAlign w:val="bottom"/>
                  <w:hideMark/>
                </w:tcPr>
                <w:p w14:paraId="58316BF7"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Referral to work ability assessment</w:t>
                  </w:r>
                </w:p>
              </w:tc>
              <w:tc>
                <w:tcPr>
                  <w:tcW w:w="2700" w:type="dxa"/>
                  <w:tcBorders>
                    <w:top w:val="nil"/>
                    <w:left w:val="nil"/>
                    <w:bottom w:val="nil"/>
                    <w:right w:val="nil"/>
                  </w:tcBorders>
                  <w:shd w:val="clear" w:color="auto" w:fill="auto"/>
                  <w:noWrap/>
                  <w:vAlign w:val="bottom"/>
                  <w:hideMark/>
                </w:tcPr>
                <w:p w14:paraId="7B07C03D"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p>
              </w:tc>
              <w:tc>
                <w:tcPr>
                  <w:tcW w:w="160" w:type="dxa"/>
                  <w:gridSpan w:val="2"/>
                  <w:tcBorders>
                    <w:top w:val="nil"/>
                    <w:left w:val="nil"/>
                    <w:bottom w:val="nil"/>
                    <w:right w:val="nil"/>
                  </w:tcBorders>
                  <w:shd w:val="clear" w:color="auto" w:fill="auto"/>
                  <w:noWrap/>
                  <w:vAlign w:val="bottom"/>
                  <w:hideMark/>
                </w:tcPr>
                <w:p w14:paraId="7366D85F" w14:textId="77777777" w:rsidR="00CA787C" w:rsidRPr="00F81C28" w:rsidRDefault="00CA787C" w:rsidP="00B14BA3">
                  <w:pPr>
                    <w:spacing w:after="0" w:line="240" w:lineRule="auto"/>
                    <w:jc w:val="left"/>
                    <w:rPr>
                      <w:rFonts w:ascii="Times New Roman" w:eastAsia="Times New Roman" w:hAnsi="Times New Roman"/>
                      <w:color w:val="auto"/>
                      <w:spacing w:val="0"/>
                      <w:sz w:val="20"/>
                      <w:szCs w:val="20"/>
                      <w:lang w:val="en-US" w:eastAsia="fi-FI"/>
                    </w:rPr>
                  </w:pPr>
                </w:p>
              </w:tc>
              <w:tc>
                <w:tcPr>
                  <w:tcW w:w="1490" w:type="dxa"/>
                  <w:tcBorders>
                    <w:top w:val="nil"/>
                    <w:left w:val="nil"/>
                    <w:bottom w:val="nil"/>
                    <w:right w:val="nil"/>
                  </w:tcBorders>
                  <w:shd w:val="clear" w:color="auto" w:fill="auto"/>
                  <w:noWrap/>
                  <w:vAlign w:val="bottom"/>
                  <w:hideMark/>
                </w:tcPr>
                <w:p w14:paraId="4B87AA39"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2</w:t>
                  </w:r>
                </w:p>
              </w:tc>
            </w:tr>
            <w:tr w:rsidR="00F81C28" w:rsidRPr="00F81C28" w14:paraId="6D51D528" w14:textId="77777777" w:rsidTr="00B14BA3">
              <w:trPr>
                <w:trHeight w:val="300"/>
              </w:trPr>
              <w:tc>
                <w:tcPr>
                  <w:tcW w:w="4558" w:type="dxa"/>
                  <w:tcBorders>
                    <w:top w:val="nil"/>
                    <w:left w:val="nil"/>
                    <w:bottom w:val="nil"/>
                    <w:right w:val="nil"/>
                  </w:tcBorders>
                  <w:shd w:val="clear" w:color="auto" w:fill="auto"/>
                  <w:noWrap/>
                  <w:vAlign w:val="bottom"/>
                  <w:hideMark/>
                </w:tcPr>
                <w:p w14:paraId="6CD682BC"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New appointment with occupational health nurse</w:t>
                  </w:r>
                </w:p>
              </w:tc>
              <w:tc>
                <w:tcPr>
                  <w:tcW w:w="2700" w:type="dxa"/>
                  <w:tcBorders>
                    <w:top w:val="nil"/>
                    <w:left w:val="nil"/>
                    <w:bottom w:val="nil"/>
                    <w:right w:val="nil"/>
                  </w:tcBorders>
                  <w:shd w:val="clear" w:color="auto" w:fill="auto"/>
                  <w:noWrap/>
                  <w:vAlign w:val="bottom"/>
                  <w:hideMark/>
                </w:tcPr>
                <w:p w14:paraId="7C6248AD"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c>
                <w:tcPr>
                  <w:tcW w:w="160" w:type="dxa"/>
                  <w:gridSpan w:val="2"/>
                  <w:tcBorders>
                    <w:top w:val="nil"/>
                    <w:left w:val="nil"/>
                    <w:bottom w:val="nil"/>
                    <w:right w:val="nil"/>
                  </w:tcBorders>
                  <w:shd w:val="clear" w:color="auto" w:fill="auto"/>
                  <w:noWrap/>
                  <w:vAlign w:val="bottom"/>
                  <w:hideMark/>
                </w:tcPr>
                <w:p w14:paraId="618B01B7"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2CCDC6D6"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w:t>
                  </w:r>
                </w:p>
              </w:tc>
            </w:tr>
            <w:tr w:rsidR="00F81C28" w:rsidRPr="00F81C28" w14:paraId="2835FE82" w14:textId="77777777" w:rsidTr="00B14BA3">
              <w:trPr>
                <w:trHeight w:val="300"/>
              </w:trPr>
              <w:tc>
                <w:tcPr>
                  <w:tcW w:w="4558" w:type="dxa"/>
                  <w:tcBorders>
                    <w:top w:val="nil"/>
                    <w:left w:val="nil"/>
                    <w:bottom w:val="nil"/>
                    <w:right w:val="nil"/>
                  </w:tcBorders>
                  <w:shd w:val="clear" w:color="auto" w:fill="auto"/>
                  <w:noWrap/>
                  <w:vAlign w:val="bottom"/>
                  <w:hideMark/>
                </w:tcPr>
                <w:p w14:paraId="776B626E"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Necessary work ability support measures already under way</w:t>
                  </w:r>
                </w:p>
              </w:tc>
              <w:tc>
                <w:tcPr>
                  <w:tcW w:w="2700" w:type="dxa"/>
                  <w:tcBorders>
                    <w:top w:val="nil"/>
                    <w:left w:val="nil"/>
                    <w:bottom w:val="nil"/>
                    <w:right w:val="nil"/>
                  </w:tcBorders>
                  <w:shd w:val="clear" w:color="auto" w:fill="auto"/>
                  <w:noWrap/>
                  <w:vAlign w:val="bottom"/>
                  <w:hideMark/>
                </w:tcPr>
                <w:p w14:paraId="6DABFC63"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7</w:t>
                  </w:r>
                </w:p>
              </w:tc>
              <w:tc>
                <w:tcPr>
                  <w:tcW w:w="160" w:type="dxa"/>
                  <w:gridSpan w:val="2"/>
                  <w:tcBorders>
                    <w:top w:val="nil"/>
                    <w:left w:val="nil"/>
                    <w:bottom w:val="nil"/>
                    <w:right w:val="nil"/>
                  </w:tcBorders>
                  <w:shd w:val="clear" w:color="auto" w:fill="auto"/>
                  <w:noWrap/>
                  <w:vAlign w:val="bottom"/>
                  <w:hideMark/>
                </w:tcPr>
                <w:p w14:paraId="79FE477D"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2B098B69"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6</w:t>
                  </w:r>
                </w:p>
              </w:tc>
            </w:tr>
            <w:tr w:rsidR="00F81C28" w:rsidRPr="00F81C28" w14:paraId="36480A5F" w14:textId="77777777" w:rsidTr="00B14BA3">
              <w:trPr>
                <w:trHeight w:val="300"/>
              </w:trPr>
              <w:tc>
                <w:tcPr>
                  <w:tcW w:w="4558" w:type="dxa"/>
                  <w:tcBorders>
                    <w:top w:val="nil"/>
                    <w:left w:val="nil"/>
                    <w:bottom w:val="nil"/>
                    <w:right w:val="nil"/>
                  </w:tcBorders>
                  <w:shd w:val="clear" w:color="auto" w:fill="auto"/>
                  <w:noWrap/>
                  <w:vAlign w:val="bottom"/>
                  <w:hideMark/>
                </w:tcPr>
                <w:p w14:paraId="3A718004"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Advice on a known health problem (e.g. lifestyle counselling)</w:t>
                  </w:r>
                </w:p>
              </w:tc>
              <w:tc>
                <w:tcPr>
                  <w:tcW w:w="2700" w:type="dxa"/>
                  <w:tcBorders>
                    <w:top w:val="nil"/>
                    <w:left w:val="nil"/>
                    <w:bottom w:val="nil"/>
                    <w:right w:val="nil"/>
                  </w:tcBorders>
                  <w:shd w:val="clear" w:color="auto" w:fill="auto"/>
                  <w:noWrap/>
                  <w:vAlign w:val="bottom"/>
                  <w:hideMark/>
                </w:tcPr>
                <w:p w14:paraId="2F48FB89"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31</w:t>
                  </w:r>
                </w:p>
              </w:tc>
              <w:tc>
                <w:tcPr>
                  <w:tcW w:w="160" w:type="dxa"/>
                  <w:gridSpan w:val="2"/>
                  <w:tcBorders>
                    <w:top w:val="nil"/>
                    <w:left w:val="nil"/>
                    <w:bottom w:val="nil"/>
                    <w:right w:val="nil"/>
                  </w:tcBorders>
                  <w:shd w:val="clear" w:color="auto" w:fill="auto"/>
                  <w:noWrap/>
                  <w:vAlign w:val="bottom"/>
                  <w:hideMark/>
                </w:tcPr>
                <w:p w14:paraId="1DE687B2"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2FF071BC"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23</w:t>
                  </w:r>
                </w:p>
              </w:tc>
            </w:tr>
            <w:tr w:rsidR="00F81C28" w:rsidRPr="00D33083" w14:paraId="5A30CC5A" w14:textId="77777777" w:rsidTr="00B14BA3">
              <w:trPr>
                <w:trHeight w:val="300"/>
              </w:trPr>
              <w:tc>
                <w:tcPr>
                  <w:tcW w:w="4558" w:type="dxa"/>
                  <w:tcBorders>
                    <w:top w:val="nil"/>
                    <w:left w:val="nil"/>
                    <w:bottom w:val="nil"/>
                    <w:right w:val="nil"/>
                  </w:tcBorders>
                  <w:shd w:val="clear" w:color="auto" w:fill="auto"/>
                  <w:noWrap/>
                  <w:vAlign w:val="bottom"/>
                  <w:hideMark/>
                </w:tcPr>
                <w:p w14:paraId="04C2A686"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Investigations of a suspected occupational disease</w:t>
                  </w:r>
                </w:p>
              </w:tc>
              <w:tc>
                <w:tcPr>
                  <w:tcW w:w="2700" w:type="dxa"/>
                  <w:tcBorders>
                    <w:top w:val="nil"/>
                    <w:left w:val="nil"/>
                    <w:bottom w:val="nil"/>
                    <w:right w:val="nil"/>
                  </w:tcBorders>
                  <w:shd w:val="clear" w:color="auto" w:fill="auto"/>
                  <w:noWrap/>
                  <w:vAlign w:val="bottom"/>
                  <w:hideMark/>
                </w:tcPr>
                <w:p w14:paraId="3A7B0526"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p>
              </w:tc>
              <w:tc>
                <w:tcPr>
                  <w:tcW w:w="160" w:type="dxa"/>
                  <w:gridSpan w:val="2"/>
                  <w:tcBorders>
                    <w:top w:val="nil"/>
                    <w:left w:val="nil"/>
                    <w:bottom w:val="nil"/>
                    <w:right w:val="nil"/>
                  </w:tcBorders>
                  <w:shd w:val="clear" w:color="auto" w:fill="auto"/>
                  <w:noWrap/>
                  <w:vAlign w:val="bottom"/>
                  <w:hideMark/>
                </w:tcPr>
                <w:p w14:paraId="1C814B90" w14:textId="77777777" w:rsidR="00CA787C" w:rsidRPr="00F81C28" w:rsidRDefault="00CA787C" w:rsidP="00B14BA3">
                  <w:pPr>
                    <w:spacing w:after="0" w:line="240" w:lineRule="auto"/>
                    <w:jc w:val="left"/>
                    <w:rPr>
                      <w:rFonts w:ascii="Times New Roman" w:eastAsia="Times New Roman" w:hAnsi="Times New Roman"/>
                      <w:color w:val="auto"/>
                      <w:spacing w:val="0"/>
                      <w:sz w:val="20"/>
                      <w:szCs w:val="20"/>
                      <w:lang w:val="en-US" w:eastAsia="fi-FI"/>
                    </w:rPr>
                  </w:pPr>
                </w:p>
              </w:tc>
              <w:tc>
                <w:tcPr>
                  <w:tcW w:w="1490" w:type="dxa"/>
                  <w:tcBorders>
                    <w:top w:val="nil"/>
                    <w:left w:val="nil"/>
                    <w:bottom w:val="nil"/>
                    <w:right w:val="nil"/>
                  </w:tcBorders>
                  <w:shd w:val="clear" w:color="auto" w:fill="auto"/>
                  <w:noWrap/>
                  <w:vAlign w:val="bottom"/>
                  <w:hideMark/>
                </w:tcPr>
                <w:p w14:paraId="273C951A" w14:textId="77777777" w:rsidR="00CA787C" w:rsidRPr="00F81C28" w:rsidRDefault="00CA787C" w:rsidP="00B14BA3">
                  <w:pPr>
                    <w:spacing w:after="0" w:line="240" w:lineRule="auto"/>
                    <w:jc w:val="left"/>
                    <w:rPr>
                      <w:rFonts w:ascii="Times New Roman" w:eastAsia="Times New Roman" w:hAnsi="Times New Roman"/>
                      <w:color w:val="auto"/>
                      <w:spacing w:val="0"/>
                      <w:sz w:val="20"/>
                      <w:szCs w:val="20"/>
                      <w:lang w:val="en-US" w:eastAsia="fi-FI"/>
                    </w:rPr>
                  </w:pPr>
                </w:p>
              </w:tc>
            </w:tr>
            <w:tr w:rsidR="00F81C28" w:rsidRPr="00F81C28" w14:paraId="01ADAF7A" w14:textId="77777777" w:rsidTr="00B14BA3">
              <w:trPr>
                <w:trHeight w:val="300"/>
              </w:trPr>
              <w:tc>
                <w:tcPr>
                  <w:tcW w:w="4558" w:type="dxa"/>
                  <w:tcBorders>
                    <w:top w:val="nil"/>
                    <w:left w:val="nil"/>
                    <w:bottom w:val="nil"/>
                    <w:right w:val="nil"/>
                  </w:tcBorders>
                  <w:shd w:val="clear" w:color="auto" w:fill="auto"/>
                  <w:noWrap/>
                  <w:vAlign w:val="bottom"/>
                  <w:hideMark/>
                </w:tcPr>
                <w:p w14:paraId="1D1C8498"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 xml:space="preserve">Occupational health negotiation </w:t>
                  </w:r>
                </w:p>
              </w:tc>
              <w:tc>
                <w:tcPr>
                  <w:tcW w:w="2700" w:type="dxa"/>
                  <w:tcBorders>
                    <w:top w:val="nil"/>
                    <w:left w:val="nil"/>
                    <w:bottom w:val="nil"/>
                    <w:right w:val="nil"/>
                  </w:tcBorders>
                  <w:shd w:val="clear" w:color="auto" w:fill="auto"/>
                  <w:noWrap/>
                  <w:vAlign w:val="bottom"/>
                  <w:hideMark/>
                </w:tcPr>
                <w:p w14:paraId="6A178446"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4</w:t>
                  </w:r>
                </w:p>
              </w:tc>
              <w:tc>
                <w:tcPr>
                  <w:tcW w:w="160" w:type="dxa"/>
                  <w:gridSpan w:val="2"/>
                  <w:tcBorders>
                    <w:top w:val="nil"/>
                    <w:left w:val="nil"/>
                    <w:bottom w:val="nil"/>
                    <w:right w:val="nil"/>
                  </w:tcBorders>
                  <w:shd w:val="clear" w:color="auto" w:fill="auto"/>
                  <w:noWrap/>
                  <w:vAlign w:val="bottom"/>
                  <w:hideMark/>
                </w:tcPr>
                <w:p w14:paraId="233A4F18"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0EF90125"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5</w:t>
                  </w:r>
                </w:p>
              </w:tc>
            </w:tr>
            <w:tr w:rsidR="00F81C28" w:rsidRPr="00F81C28" w14:paraId="0B497E79" w14:textId="77777777" w:rsidTr="00B14BA3">
              <w:trPr>
                <w:trHeight w:val="300"/>
              </w:trPr>
              <w:tc>
                <w:tcPr>
                  <w:tcW w:w="4558" w:type="dxa"/>
                  <w:tcBorders>
                    <w:top w:val="nil"/>
                    <w:left w:val="nil"/>
                    <w:bottom w:val="nil"/>
                    <w:right w:val="nil"/>
                  </w:tcBorders>
                  <w:shd w:val="clear" w:color="auto" w:fill="auto"/>
                  <w:noWrap/>
                  <w:vAlign w:val="bottom"/>
                  <w:hideMark/>
                </w:tcPr>
                <w:p w14:paraId="7F319649"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Occupational health-related counselling and guidance</w:t>
                  </w:r>
                </w:p>
              </w:tc>
              <w:tc>
                <w:tcPr>
                  <w:tcW w:w="2700" w:type="dxa"/>
                  <w:tcBorders>
                    <w:top w:val="nil"/>
                    <w:left w:val="nil"/>
                    <w:bottom w:val="nil"/>
                    <w:right w:val="nil"/>
                  </w:tcBorders>
                  <w:shd w:val="clear" w:color="auto" w:fill="auto"/>
                  <w:noWrap/>
                  <w:vAlign w:val="bottom"/>
                  <w:hideMark/>
                </w:tcPr>
                <w:p w14:paraId="2C5F6CDA"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9</w:t>
                  </w:r>
                </w:p>
              </w:tc>
              <w:tc>
                <w:tcPr>
                  <w:tcW w:w="160" w:type="dxa"/>
                  <w:gridSpan w:val="2"/>
                  <w:tcBorders>
                    <w:top w:val="nil"/>
                    <w:left w:val="nil"/>
                    <w:bottom w:val="nil"/>
                    <w:right w:val="nil"/>
                  </w:tcBorders>
                  <w:shd w:val="clear" w:color="auto" w:fill="auto"/>
                  <w:noWrap/>
                  <w:vAlign w:val="bottom"/>
                  <w:hideMark/>
                </w:tcPr>
                <w:p w14:paraId="63DFBB30"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191D1208"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w:t>
                  </w:r>
                </w:p>
              </w:tc>
            </w:tr>
            <w:tr w:rsidR="00F81C28" w:rsidRPr="00F81C28" w14:paraId="2E961A25" w14:textId="77777777" w:rsidTr="00B14BA3">
              <w:trPr>
                <w:trHeight w:val="300"/>
              </w:trPr>
              <w:tc>
                <w:tcPr>
                  <w:tcW w:w="4558" w:type="dxa"/>
                  <w:tcBorders>
                    <w:top w:val="nil"/>
                    <w:left w:val="nil"/>
                    <w:bottom w:val="nil"/>
                    <w:right w:val="nil"/>
                  </w:tcBorders>
                  <w:shd w:val="clear" w:color="auto" w:fill="auto"/>
                  <w:noWrap/>
                  <w:vAlign w:val="bottom"/>
                  <w:hideMark/>
                </w:tcPr>
                <w:p w14:paraId="1D8598F6"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Referral to physician</w:t>
                  </w:r>
                </w:p>
              </w:tc>
              <w:tc>
                <w:tcPr>
                  <w:tcW w:w="2700" w:type="dxa"/>
                  <w:tcBorders>
                    <w:top w:val="nil"/>
                    <w:left w:val="nil"/>
                    <w:bottom w:val="nil"/>
                    <w:right w:val="nil"/>
                  </w:tcBorders>
                  <w:shd w:val="clear" w:color="auto" w:fill="auto"/>
                  <w:noWrap/>
                  <w:vAlign w:val="bottom"/>
                  <w:hideMark/>
                </w:tcPr>
                <w:p w14:paraId="2949E744"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25</w:t>
                  </w:r>
                </w:p>
              </w:tc>
              <w:tc>
                <w:tcPr>
                  <w:tcW w:w="160" w:type="dxa"/>
                  <w:gridSpan w:val="2"/>
                  <w:tcBorders>
                    <w:top w:val="nil"/>
                    <w:left w:val="nil"/>
                    <w:bottom w:val="nil"/>
                    <w:right w:val="nil"/>
                  </w:tcBorders>
                  <w:shd w:val="clear" w:color="auto" w:fill="auto"/>
                  <w:noWrap/>
                  <w:vAlign w:val="bottom"/>
                  <w:hideMark/>
                </w:tcPr>
                <w:p w14:paraId="1339E3A3"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2EDEA614"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31</w:t>
                  </w:r>
                </w:p>
              </w:tc>
            </w:tr>
            <w:tr w:rsidR="00F81C28" w:rsidRPr="00F81C28" w14:paraId="4557A60F" w14:textId="77777777" w:rsidTr="00B14BA3">
              <w:trPr>
                <w:trHeight w:val="300"/>
              </w:trPr>
              <w:tc>
                <w:tcPr>
                  <w:tcW w:w="4558" w:type="dxa"/>
                  <w:tcBorders>
                    <w:top w:val="nil"/>
                    <w:left w:val="nil"/>
                    <w:bottom w:val="nil"/>
                    <w:right w:val="nil"/>
                  </w:tcBorders>
                  <w:shd w:val="clear" w:color="auto" w:fill="auto"/>
                  <w:noWrap/>
                  <w:vAlign w:val="bottom"/>
                  <w:hideMark/>
                </w:tcPr>
                <w:p w14:paraId="4F75BEDA"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Sick leave periods</w:t>
                  </w:r>
                </w:p>
              </w:tc>
              <w:tc>
                <w:tcPr>
                  <w:tcW w:w="2700" w:type="dxa"/>
                  <w:tcBorders>
                    <w:top w:val="nil"/>
                    <w:left w:val="nil"/>
                    <w:bottom w:val="nil"/>
                    <w:right w:val="nil"/>
                  </w:tcBorders>
                  <w:shd w:val="clear" w:color="auto" w:fill="auto"/>
                  <w:noWrap/>
                  <w:vAlign w:val="bottom"/>
                  <w:hideMark/>
                </w:tcPr>
                <w:p w14:paraId="7327A0FC"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20</w:t>
                  </w:r>
                </w:p>
              </w:tc>
              <w:tc>
                <w:tcPr>
                  <w:tcW w:w="160" w:type="dxa"/>
                  <w:gridSpan w:val="2"/>
                  <w:tcBorders>
                    <w:top w:val="nil"/>
                    <w:left w:val="nil"/>
                    <w:bottom w:val="nil"/>
                    <w:right w:val="nil"/>
                  </w:tcBorders>
                  <w:shd w:val="clear" w:color="auto" w:fill="auto"/>
                  <w:noWrap/>
                  <w:vAlign w:val="bottom"/>
                  <w:hideMark/>
                </w:tcPr>
                <w:p w14:paraId="5257E40C"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10D48DFC"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14</w:t>
                  </w:r>
                </w:p>
              </w:tc>
            </w:tr>
            <w:tr w:rsidR="00F81C28" w:rsidRPr="00F81C28" w14:paraId="01C19002" w14:textId="77777777" w:rsidTr="00B14BA3">
              <w:trPr>
                <w:trHeight w:val="300"/>
              </w:trPr>
              <w:tc>
                <w:tcPr>
                  <w:tcW w:w="4558" w:type="dxa"/>
                  <w:tcBorders>
                    <w:top w:val="nil"/>
                    <w:left w:val="nil"/>
                    <w:bottom w:val="nil"/>
                    <w:right w:val="nil"/>
                  </w:tcBorders>
                  <w:shd w:val="clear" w:color="auto" w:fill="auto"/>
                  <w:noWrap/>
                  <w:vAlign w:val="bottom"/>
                  <w:hideMark/>
                </w:tcPr>
                <w:p w14:paraId="4E8A590D"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Persons on sick leave</w:t>
                  </w:r>
                </w:p>
              </w:tc>
              <w:tc>
                <w:tcPr>
                  <w:tcW w:w="2700" w:type="dxa"/>
                  <w:tcBorders>
                    <w:top w:val="nil"/>
                    <w:left w:val="nil"/>
                    <w:bottom w:val="nil"/>
                    <w:right w:val="nil"/>
                  </w:tcBorders>
                  <w:shd w:val="clear" w:color="auto" w:fill="auto"/>
                  <w:noWrap/>
                  <w:vAlign w:val="bottom"/>
                  <w:hideMark/>
                </w:tcPr>
                <w:p w14:paraId="2C872C21"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13</w:t>
                  </w:r>
                </w:p>
              </w:tc>
              <w:tc>
                <w:tcPr>
                  <w:tcW w:w="160" w:type="dxa"/>
                  <w:gridSpan w:val="2"/>
                  <w:tcBorders>
                    <w:top w:val="nil"/>
                    <w:left w:val="nil"/>
                    <w:bottom w:val="nil"/>
                    <w:right w:val="nil"/>
                  </w:tcBorders>
                  <w:shd w:val="clear" w:color="auto" w:fill="auto"/>
                  <w:noWrap/>
                  <w:vAlign w:val="bottom"/>
                  <w:hideMark/>
                </w:tcPr>
                <w:p w14:paraId="58B4B0C0"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26ED8986"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4</w:t>
                  </w:r>
                </w:p>
              </w:tc>
            </w:tr>
            <w:tr w:rsidR="00F81C28" w:rsidRPr="00F81C28" w14:paraId="3803EDEA" w14:textId="77777777" w:rsidTr="00B14BA3">
              <w:trPr>
                <w:trHeight w:val="300"/>
              </w:trPr>
              <w:tc>
                <w:tcPr>
                  <w:tcW w:w="4558" w:type="dxa"/>
                  <w:tcBorders>
                    <w:top w:val="nil"/>
                    <w:left w:val="nil"/>
                    <w:bottom w:val="nil"/>
                    <w:right w:val="nil"/>
                  </w:tcBorders>
                  <w:shd w:val="clear" w:color="auto" w:fill="auto"/>
                  <w:noWrap/>
                  <w:vAlign w:val="bottom"/>
                  <w:hideMark/>
                </w:tcPr>
                <w:p w14:paraId="79BE4449"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val="en-US" w:eastAsia="fi-FI"/>
                    </w:rPr>
                  </w:pPr>
                  <w:r w:rsidRPr="00F81C28">
                    <w:rPr>
                      <w:rFonts w:ascii="Calibri" w:eastAsia="Calibri" w:hAnsi="Calibri" w:cs="Calibri"/>
                      <w:color w:val="auto"/>
                      <w:spacing w:val="0"/>
                      <w:sz w:val="22"/>
                      <w:szCs w:val="22"/>
                      <w:lang w:val="en-GB" w:eastAsia="fi-FI"/>
                    </w:rPr>
                    <w:t>Disability or partial disability pension application</w:t>
                  </w:r>
                </w:p>
              </w:tc>
              <w:tc>
                <w:tcPr>
                  <w:tcW w:w="2700" w:type="dxa"/>
                  <w:tcBorders>
                    <w:top w:val="nil"/>
                    <w:left w:val="nil"/>
                    <w:bottom w:val="nil"/>
                    <w:right w:val="nil"/>
                  </w:tcBorders>
                  <w:shd w:val="clear" w:color="auto" w:fill="auto"/>
                  <w:noWrap/>
                  <w:vAlign w:val="bottom"/>
                  <w:hideMark/>
                </w:tcPr>
                <w:p w14:paraId="134EA121"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2</w:t>
                  </w:r>
                </w:p>
              </w:tc>
              <w:tc>
                <w:tcPr>
                  <w:tcW w:w="160" w:type="dxa"/>
                  <w:gridSpan w:val="2"/>
                  <w:tcBorders>
                    <w:top w:val="nil"/>
                    <w:left w:val="nil"/>
                    <w:bottom w:val="nil"/>
                    <w:right w:val="nil"/>
                  </w:tcBorders>
                  <w:shd w:val="clear" w:color="auto" w:fill="auto"/>
                  <w:noWrap/>
                  <w:vAlign w:val="bottom"/>
                  <w:hideMark/>
                </w:tcPr>
                <w:p w14:paraId="4A883C17"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hideMark/>
                </w:tcPr>
                <w:p w14:paraId="677614AC"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4</w:t>
                  </w:r>
                </w:p>
              </w:tc>
            </w:tr>
            <w:tr w:rsidR="00F81C28" w:rsidRPr="00F81C28" w14:paraId="0B2EBDDF" w14:textId="77777777" w:rsidTr="00B14BA3">
              <w:trPr>
                <w:trHeight w:val="300"/>
              </w:trPr>
              <w:tc>
                <w:tcPr>
                  <w:tcW w:w="4558" w:type="dxa"/>
                  <w:tcBorders>
                    <w:top w:val="nil"/>
                    <w:left w:val="nil"/>
                    <w:bottom w:val="nil"/>
                    <w:right w:val="nil"/>
                  </w:tcBorders>
                  <w:shd w:val="clear" w:color="auto" w:fill="auto"/>
                  <w:noWrap/>
                  <w:vAlign w:val="bottom"/>
                </w:tcPr>
                <w:p w14:paraId="09CB0546" w14:textId="77777777" w:rsidR="00CA787C" w:rsidRPr="00F81C28" w:rsidRDefault="00CA787C" w:rsidP="00B14BA3">
                  <w:pPr>
                    <w:spacing w:after="0" w:line="240" w:lineRule="auto"/>
                    <w:jc w:val="lef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 xml:space="preserve">Other measures </w:t>
                  </w:r>
                </w:p>
              </w:tc>
              <w:tc>
                <w:tcPr>
                  <w:tcW w:w="2700" w:type="dxa"/>
                  <w:tcBorders>
                    <w:top w:val="nil"/>
                    <w:left w:val="nil"/>
                    <w:bottom w:val="nil"/>
                    <w:right w:val="nil"/>
                  </w:tcBorders>
                  <w:shd w:val="clear" w:color="auto" w:fill="auto"/>
                  <w:noWrap/>
                  <w:vAlign w:val="bottom"/>
                </w:tcPr>
                <w:p w14:paraId="4C960B0C" w14:textId="77777777" w:rsidR="00CA787C" w:rsidRPr="00F81C28" w:rsidRDefault="00CA787C" w:rsidP="00B14BA3">
                  <w:pPr>
                    <w:spacing w:after="0" w:line="240" w:lineRule="auto"/>
                    <w:jc w:val="center"/>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3</w:t>
                  </w:r>
                </w:p>
              </w:tc>
              <w:tc>
                <w:tcPr>
                  <w:tcW w:w="160" w:type="dxa"/>
                  <w:gridSpan w:val="2"/>
                  <w:tcBorders>
                    <w:top w:val="nil"/>
                    <w:left w:val="nil"/>
                    <w:bottom w:val="nil"/>
                    <w:right w:val="nil"/>
                  </w:tcBorders>
                  <w:shd w:val="clear" w:color="auto" w:fill="auto"/>
                  <w:noWrap/>
                  <w:vAlign w:val="bottom"/>
                </w:tcPr>
                <w:p w14:paraId="3332A32D"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p>
              </w:tc>
              <w:tc>
                <w:tcPr>
                  <w:tcW w:w="1490" w:type="dxa"/>
                  <w:tcBorders>
                    <w:top w:val="nil"/>
                    <w:left w:val="nil"/>
                    <w:bottom w:val="nil"/>
                    <w:right w:val="nil"/>
                  </w:tcBorders>
                  <w:shd w:val="clear" w:color="auto" w:fill="auto"/>
                  <w:noWrap/>
                  <w:vAlign w:val="bottom"/>
                </w:tcPr>
                <w:p w14:paraId="38AACAB1" w14:textId="77777777" w:rsidR="00CA787C" w:rsidRPr="00F81C28" w:rsidRDefault="00CA787C" w:rsidP="00B14BA3">
                  <w:pPr>
                    <w:spacing w:after="0" w:line="240" w:lineRule="auto"/>
                    <w:jc w:val="right"/>
                    <w:rPr>
                      <w:rFonts w:ascii="Calibri" w:eastAsia="Times New Roman" w:hAnsi="Calibri" w:cs="Calibri"/>
                      <w:color w:val="auto"/>
                      <w:spacing w:val="0"/>
                      <w:sz w:val="22"/>
                      <w:szCs w:val="22"/>
                      <w:lang w:eastAsia="fi-FI"/>
                    </w:rPr>
                  </w:pPr>
                  <w:r w:rsidRPr="00F81C28">
                    <w:rPr>
                      <w:rFonts w:ascii="Calibri" w:eastAsia="Calibri" w:hAnsi="Calibri" w:cs="Calibri"/>
                      <w:color w:val="auto"/>
                      <w:spacing w:val="0"/>
                      <w:sz w:val="22"/>
                      <w:szCs w:val="22"/>
                      <w:lang w:val="en-GB" w:eastAsia="fi-FI"/>
                    </w:rPr>
                    <w:t>1</w:t>
                  </w:r>
                </w:p>
              </w:tc>
            </w:tr>
          </w:tbl>
          <w:p w14:paraId="1B36D820" w14:textId="77777777" w:rsidR="00CA787C" w:rsidRPr="00F81C28" w:rsidRDefault="00CA787C" w:rsidP="00B14BA3">
            <w:pPr>
              <w:spacing w:line="276" w:lineRule="auto"/>
              <w:rPr>
                <w:rFonts w:cs="Segoe UI"/>
                <w:color w:val="auto"/>
                <w:szCs w:val="21"/>
              </w:rPr>
            </w:pPr>
          </w:p>
        </w:tc>
        <w:tc>
          <w:tcPr>
            <w:tcW w:w="62" w:type="dxa"/>
          </w:tcPr>
          <w:p w14:paraId="220DFB60" w14:textId="77777777" w:rsidR="00CA787C" w:rsidRPr="00F81C28" w:rsidRDefault="00CA787C" w:rsidP="00B14BA3">
            <w:pPr>
              <w:spacing w:line="276" w:lineRule="auto"/>
              <w:rPr>
                <w:rFonts w:cs="Segoe UI"/>
                <w:color w:val="auto"/>
                <w:szCs w:val="21"/>
              </w:rPr>
            </w:pPr>
          </w:p>
        </w:tc>
      </w:tr>
    </w:tbl>
    <w:p w14:paraId="4E4D560E" w14:textId="77777777" w:rsidR="00CA787C" w:rsidRPr="00F81C28" w:rsidRDefault="00CA787C" w:rsidP="00CA787C">
      <w:pPr>
        <w:spacing w:line="276" w:lineRule="auto"/>
        <w:rPr>
          <w:rFonts w:eastAsia="Segoe UI"/>
          <w:color w:val="auto"/>
          <w:szCs w:val="21"/>
          <w:lang w:val="en-GB"/>
        </w:rPr>
      </w:pPr>
    </w:p>
    <w:p w14:paraId="07EB3AAB" w14:textId="77777777" w:rsidR="00CA787C" w:rsidRPr="00F81C28" w:rsidRDefault="00CA787C" w:rsidP="00CA787C">
      <w:pPr>
        <w:spacing w:line="276" w:lineRule="auto"/>
        <w:rPr>
          <w:color w:val="auto"/>
          <w:lang w:val="en-US"/>
        </w:rPr>
      </w:pPr>
      <w:r w:rsidRPr="00F81C28">
        <w:rPr>
          <w:rFonts w:eastAsia="Segoe UI"/>
          <w:color w:val="auto"/>
          <w:szCs w:val="21"/>
          <w:lang w:val="en-GB"/>
        </w:rPr>
        <w:t xml:space="preserve">A total of 1283 clients attended health check-ups, of which 683 responded to the questionnaire. The response rate was 53%.  Almost all the questionnaire respondents agreed that the health check-up addressed issues relevant to their health and work ability (99%, n = 678). Almost all the respondents also felt that after the check-up that they had a clear idea of the goals set for promoting their health and work ability (96%, n = 676) and how and when the agreed issues would be followed up (99%, n = 676). In addition, slightly fewer (87%, n = 670) reported that after the check-up they had a clear idea of the measures they themselves could take to influence their own health and work ability. </w:t>
      </w:r>
    </w:p>
    <w:p w14:paraId="663674F5" w14:textId="77777777" w:rsidR="00CA787C" w:rsidRPr="00F81C28" w:rsidRDefault="00CA787C" w:rsidP="00CA787C">
      <w:pPr>
        <w:spacing w:line="276" w:lineRule="auto"/>
        <w:rPr>
          <w:b/>
          <w:color w:val="auto"/>
          <w:lang w:val="en-US"/>
        </w:rPr>
      </w:pPr>
    </w:p>
    <w:p w14:paraId="5231B5BE" w14:textId="77777777" w:rsidR="00CA787C" w:rsidRPr="00F81C28" w:rsidRDefault="00CA787C" w:rsidP="00CA787C">
      <w:pPr>
        <w:spacing w:line="276" w:lineRule="auto"/>
        <w:rPr>
          <w:b/>
          <w:color w:val="auto"/>
          <w:lang w:val="en-US"/>
        </w:rPr>
      </w:pPr>
      <w:r w:rsidRPr="00F81C28">
        <w:rPr>
          <w:rFonts w:eastAsia="Segoe UI"/>
          <w:b/>
          <w:bCs/>
          <w:color w:val="auto"/>
          <w:szCs w:val="21"/>
          <w:lang w:val="en-GB"/>
        </w:rPr>
        <w:t>Discussion</w:t>
      </w:r>
    </w:p>
    <w:p w14:paraId="58161296" w14:textId="77777777" w:rsidR="00CA787C" w:rsidRPr="00F81C28" w:rsidRDefault="00CA787C" w:rsidP="00CA787C">
      <w:pPr>
        <w:spacing w:line="276" w:lineRule="auto"/>
        <w:rPr>
          <w:b/>
          <w:color w:val="auto"/>
          <w:lang w:val="en-US"/>
        </w:rPr>
      </w:pPr>
    </w:p>
    <w:p w14:paraId="61D3F927" w14:textId="7C286289" w:rsidR="00CA787C" w:rsidRPr="00F81C28" w:rsidRDefault="00CA787C" w:rsidP="00CA787C">
      <w:pPr>
        <w:spacing w:line="276" w:lineRule="auto"/>
        <w:rPr>
          <w:color w:val="auto"/>
          <w:lang w:val="en-US"/>
        </w:rPr>
      </w:pPr>
      <w:r w:rsidRPr="00F81C28">
        <w:rPr>
          <w:rFonts w:eastAsia="Segoe UI"/>
          <w:color w:val="auto"/>
          <w:szCs w:val="21"/>
          <w:lang w:val="en-GB"/>
        </w:rPr>
        <w:t xml:space="preserve">According to Good Occupational Health Practice (2014), developing personal health plans has been part of the work of occupational health professionals since 1997. In addition, a Government Decree (2014) has </w:t>
      </w:r>
      <w:r w:rsidRPr="00F81C28">
        <w:rPr>
          <w:rFonts w:eastAsia="Segoe UI"/>
          <w:color w:val="auto"/>
          <w:szCs w:val="21"/>
          <w:lang w:val="en-GB"/>
        </w:rPr>
        <w:lastRenderedPageBreak/>
        <w:t>required that they be drawn up since 2013.  [24, 25] There was a great deal of variation in how the occupational health nurses draw up the health plans. In most cases, the entries did not cover the whole structure of the health plan.</w:t>
      </w:r>
      <w:r w:rsidRPr="00F81C28">
        <w:rPr>
          <w:rFonts w:eastAsia="Segoe UI" w:cs="Segoe UI"/>
          <w:color w:val="auto"/>
          <w:szCs w:val="21"/>
          <w:lang w:val="en-GB"/>
        </w:rPr>
        <w:t xml:space="preserve"> Health and work ability needs, and the follow-up and assessment of the plan’s implementation were often not </w:t>
      </w:r>
      <w:r w:rsidR="00BB3096" w:rsidRPr="00F81C28">
        <w:rPr>
          <w:rFonts w:eastAsia="Segoe UI" w:cs="Segoe UI"/>
          <w:color w:val="auto"/>
          <w:szCs w:val="21"/>
          <w:lang w:val="en-GB"/>
        </w:rPr>
        <w:t>entered</w:t>
      </w:r>
      <w:r w:rsidRPr="00F81C28">
        <w:rPr>
          <w:rFonts w:eastAsia="Segoe UI" w:cs="Segoe UI"/>
          <w:color w:val="auto"/>
          <w:szCs w:val="21"/>
          <w:lang w:val="en-GB"/>
        </w:rPr>
        <w:t xml:space="preserve"> the plans. However, follow-up had been discussed with the client, as almost everyone had some idea of how and when the issues agreed upon during the health check-up would be followed-up. In </w:t>
      </w:r>
      <w:r w:rsidRPr="00F81C28">
        <w:rPr>
          <w:rFonts w:eastAsia="Segoe UI"/>
          <w:color w:val="auto"/>
          <w:szCs w:val="21"/>
          <w:lang w:val="en-GB"/>
        </w:rPr>
        <w:t xml:space="preserve">contrast, goals, planned implementation and methods were most often documented in the health plan. </w:t>
      </w:r>
    </w:p>
    <w:p w14:paraId="1C0A4641" w14:textId="5CFCC513" w:rsidR="00CA787C" w:rsidRPr="00F81C28" w:rsidRDefault="00CA787C" w:rsidP="00CA787C">
      <w:pPr>
        <w:spacing w:line="276" w:lineRule="auto"/>
        <w:rPr>
          <w:color w:val="auto"/>
          <w:lang w:val="en-US"/>
        </w:rPr>
      </w:pPr>
      <w:r w:rsidRPr="00F81C28">
        <w:rPr>
          <w:rFonts w:eastAsia="Segoe UI"/>
          <w:color w:val="auto"/>
          <w:szCs w:val="21"/>
          <w:lang w:val="en-GB"/>
        </w:rPr>
        <w:t xml:space="preserve">In this study, the occupational health nurses were trained to draw up personal health plans that promote work ability, but the impact of the short training on the content of the health plans, especially in work- and management-related matters, remained limited. Needs were identified but no entries were found of their follow-up and assessment. A similar result was obtained in a previous study which found that work- and workplace-related issues were not documented, even though they are discussed in the health check and were even implemented [22].  Based on the patient history data, the health check-ups found people with health problems and sick leaves. The entries were mostly related to lifestyle and examinations, and care measures and their follow-up, rather than to work or work ability support. Although a broad concept of work ability has long been emphasized in Finland, the medical concept of work ability seems to continue to prevail in practice [26]. </w:t>
      </w:r>
    </w:p>
    <w:p w14:paraId="5135F378" w14:textId="77777777" w:rsidR="00CA787C" w:rsidRPr="00F81C28" w:rsidRDefault="00CA787C" w:rsidP="00CA787C">
      <w:pPr>
        <w:spacing w:line="276" w:lineRule="auto"/>
        <w:rPr>
          <w:color w:val="auto"/>
          <w:lang w:val="en-US"/>
        </w:rPr>
      </w:pPr>
      <w:r w:rsidRPr="00F81C28">
        <w:rPr>
          <w:rFonts w:eastAsia="Segoe UI"/>
          <w:color w:val="auto"/>
          <w:szCs w:val="21"/>
          <w:lang w:val="en-GB"/>
        </w:rPr>
        <w:t xml:space="preserve">The occupational health nurses were using an electronic personal health plan system. Significantly fewer electronic personal health plans were made in the control group, apparently </w:t>
      </w:r>
      <w:proofErr w:type="gramStart"/>
      <w:r w:rsidRPr="00F81C28">
        <w:rPr>
          <w:rFonts w:eastAsia="Segoe UI"/>
          <w:color w:val="auto"/>
          <w:szCs w:val="21"/>
          <w:lang w:val="en-GB"/>
        </w:rPr>
        <w:t>due to the fact that</w:t>
      </w:r>
      <w:proofErr w:type="gramEnd"/>
      <w:r w:rsidRPr="00F81C28">
        <w:rPr>
          <w:rFonts w:eastAsia="Segoe UI"/>
          <w:color w:val="auto"/>
          <w:szCs w:val="21"/>
          <w:lang w:val="en-GB"/>
        </w:rPr>
        <w:t xml:space="preserve"> when they were drawn up, the occupational health nurses had only just begun to use the electronic health plan system. The low use of the new system may have been due to its poor design and complexity, or because it was too time consuming to use [27]. The willingness of professionals to use these systems is thus also affected by their experience of the system’s usefulness and ease of use [28] and whether the new method or technology helps in patient work [29]. </w:t>
      </w:r>
    </w:p>
    <w:p w14:paraId="1DCA23DA" w14:textId="6013B77A" w:rsidR="00CA787C" w:rsidRPr="00F81C28" w:rsidRDefault="00CA787C" w:rsidP="00CA787C">
      <w:pPr>
        <w:spacing w:line="276" w:lineRule="auto"/>
        <w:rPr>
          <w:rFonts w:cs="Segoe UI"/>
          <w:color w:val="auto"/>
          <w:lang w:val="en-US"/>
        </w:rPr>
      </w:pPr>
      <w:r w:rsidRPr="00F81C28">
        <w:rPr>
          <w:rFonts w:eastAsia="Segoe UI"/>
          <w:color w:val="auto"/>
          <w:szCs w:val="21"/>
          <w:lang w:val="en-GB"/>
        </w:rPr>
        <w:t xml:space="preserve">It is important for the monitoring of work ability that all health and work ability data is carried by the person themselves. </w:t>
      </w:r>
      <w:r w:rsidRPr="00F81C28">
        <w:rPr>
          <w:rFonts w:eastAsia="Segoe UI" w:cs="Segoe UI"/>
          <w:color w:val="auto"/>
          <w:szCs w:val="21"/>
          <w:lang w:val="en-GB"/>
        </w:rPr>
        <w:t xml:space="preserve">The structure of the OHS personal health plan is in line with the national health and care plan on the level of its titles and therefore fits in well as part of it. Thus, it is also possible to gain a work ability perspective to support the planning and coordination of overall patient care in health care everywhere. However, the platform for documenting health plans should be developed so that they also support the documenting of work ability data in occupational health services’ information systems. </w:t>
      </w:r>
    </w:p>
    <w:p w14:paraId="6ECE3331" w14:textId="3B01C5FB" w:rsidR="00CA787C" w:rsidRPr="00F81C28" w:rsidRDefault="00CA787C" w:rsidP="00CA787C">
      <w:pPr>
        <w:spacing w:line="276" w:lineRule="auto"/>
        <w:rPr>
          <w:strike/>
          <w:color w:val="auto"/>
          <w:lang w:val="en-US"/>
        </w:rPr>
      </w:pPr>
      <w:r w:rsidRPr="00F81C28">
        <w:rPr>
          <w:rFonts w:eastAsia="Segoe UI"/>
          <w:color w:val="auto"/>
          <w:szCs w:val="21"/>
          <w:lang w:val="en-GB"/>
        </w:rPr>
        <w:t xml:space="preserve">The study produced new information on health check-ups and personal health plans. In summary, occupational health nurses’ documentation of health check-ups and personal health plans has little work and work ability-related content, although these issues are discussed at appointments. The study is useful for the development of occupational health nurses’ work. It highlighted </w:t>
      </w:r>
      <w:r w:rsidRPr="00F81C28">
        <w:rPr>
          <w:rFonts w:ascii="Segoe UI Symbol" w:eastAsia="Calibri" w:hAnsi="Segoe UI Symbol"/>
          <w:color w:val="auto"/>
          <w:lang w:val="en-GB"/>
        </w:rPr>
        <w:t>the need for better documentation of work ability and supporting actions in the</w:t>
      </w:r>
      <w:r w:rsidRPr="00F81C28">
        <w:rPr>
          <w:rFonts w:ascii="Segoe UI Symbol" w:eastAsia="Segoe UI" w:hAnsi="Segoe UI Symbol"/>
          <w:color w:val="auto"/>
          <w:szCs w:val="21"/>
          <w:lang w:val="en-GB"/>
        </w:rPr>
        <w:t xml:space="preserve"> personal health plans</w:t>
      </w:r>
      <w:r w:rsidR="002277D4" w:rsidRPr="00F81C28">
        <w:rPr>
          <w:rFonts w:ascii="Segoe UI Symbol" w:eastAsia="Segoe UI" w:hAnsi="Segoe UI Symbol"/>
          <w:color w:val="auto"/>
          <w:szCs w:val="21"/>
          <w:lang w:val="en-GB"/>
        </w:rPr>
        <w:t xml:space="preserve"> and </w:t>
      </w:r>
      <w:r w:rsidR="002277D4" w:rsidRPr="00F81C28">
        <w:rPr>
          <w:color w:val="auto"/>
          <w:lang w:val="en"/>
        </w:rPr>
        <w:t>strengthening of O</w:t>
      </w:r>
      <w:r w:rsidR="00843B5B" w:rsidRPr="00F81C28">
        <w:rPr>
          <w:color w:val="auto"/>
          <w:lang w:val="en"/>
        </w:rPr>
        <w:t>ccupational Health Nurses</w:t>
      </w:r>
      <w:r w:rsidR="002277D4" w:rsidRPr="00F81C28">
        <w:rPr>
          <w:color w:val="auto"/>
          <w:lang w:val="en"/>
        </w:rPr>
        <w:t xml:space="preserve"> expertise</w:t>
      </w:r>
      <w:r w:rsidR="002277D4" w:rsidRPr="00F81C28">
        <w:rPr>
          <w:rFonts w:ascii="Segoe UI Symbol" w:eastAsia="Segoe UI" w:hAnsi="Segoe UI Symbol"/>
          <w:color w:val="auto"/>
          <w:szCs w:val="21"/>
          <w:lang w:val="en-GB"/>
        </w:rPr>
        <w:t>.</w:t>
      </w:r>
      <w:r w:rsidRPr="00F81C28">
        <w:rPr>
          <w:rFonts w:ascii="Segoe UI Symbol" w:eastAsia="Segoe UI" w:hAnsi="Segoe UI Symbol"/>
          <w:color w:val="auto"/>
          <w:szCs w:val="21"/>
          <w:lang w:val="en-GB"/>
        </w:rPr>
        <w:t xml:space="preserve"> The</w:t>
      </w:r>
      <w:r w:rsidRPr="00F81C28">
        <w:rPr>
          <w:rFonts w:eastAsia="Segoe UI"/>
          <w:color w:val="auto"/>
          <w:szCs w:val="21"/>
          <w:lang w:val="en-GB"/>
        </w:rPr>
        <w:t xml:space="preserve"> study also provided additional information for developers of occupational health services’ information systems and digital services. In the future, it will be important to investigate factors related to electronic personal health plans that influence the willingness of occupational health service professionals to use them, as well as persons’ commitment to perform and maintain changes to improve health and work ability. </w:t>
      </w:r>
    </w:p>
    <w:p w14:paraId="778EC633" w14:textId="77777777" w:rsidR="00CA787C" w:rsidRPr="00F81C28" w:rsidRDefault="00CA787C" w:rsidP="00CA787C">
      <w:pPr>
        <w:spacing w:line="276" w:lineRule="auto"/>
        <w:rPr>
          <w:b/>
          <w:color w:val="auto"/>
          <w:lang w:val="en-US"/>
        </w:rPr>
      </w:pPr>
    </w:p>
    <w:p w14:paraId="015977EE" w14:textId="77777777" w:rsidR="00CA787C" w:rsidRPr="00F81C28" w:rsidRDefault="00CA787C" w:rsidP="00CA787C">
      <w:pPr>
        <w:spacing w:line="276" w:lineRule="auto"/>
        <w:rPr>
          <w:b/>
          <w:color w:val="auto"/>
          <w:lang w:val="en-US"/>
        </w:rPr>
      </w:pPr>
      <w:r w:rsidRPr="00F81C28">
        <w:rPr>
          <w:rFonts w:eastAsia="Segoe UI"/>
          <w:b/>
          <w:bCs/>
          <w:color w:val="auto"/>
          <w:szCs w:val="21"/>
          <w:lang w:val="en-GB"/>
        </w:rPr>
        <w:lastRenderedPageBreak/>
        <w:t>Sources</w:t>
      </w:r>
    </w:p>
    <w:p w14:paraId="605A8B5F"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[1] health Care Act 30.12.2010/1326 </w:t>
      </w:r>
      <w:hyperlink r:id="rId7" w:history="1">
        <w:r w:rsidRPr="00F81C28">
          <w:rPr>
            <w:rFonts w:eastAsia="Segoe UI"/>
            <w:color w:val="auto"/>
            <w:szCs w:val="21"/>
            <w:u w:val="single"/>
            <w:lang w:val="en-GB"/>
          </w:rPr>
          <w:t>https://www.finlex.fi/fi/laki/ajantasa/2010/20101326</w:t>
        </w:r>
      </w:hyperlink>
    </w:p>
    <w:p w14:paraId="0CA1B846" w14:textId="77777777" w:rsidR="00CA787C" w:rsidRPr="00F81C28" w:rsidRDefault="00CA787C" w:rsidP="00CA787C">
      <w:pPr>
        <w:spacing w:line="276" w:lineRule="auto"/>
        <w:jc w:val="left"/>
        <w:rPr>
          <w:color w:val="auto"/>
        </w:rPr>
      </w:pPr>
      <w:r w:rsidRPr="00F81C28">
        <w:rPr>
          <w:rFonts w:eastAsia="Segoe UI"/>
          <w:color w:val="auto"/>
          <w:szCs w:val="21"/>
          <w:lang w:val="en-GB"/>
        </w:rPr>
        <w:t xml:space="preserve">[2] Decree 298/2009 of the Ministry of Social Affairs and Health on patient documents. </w:t>
      </w:r>
      <w:hyperlink r:id="rId8" w:history="1">
        <w:r w:rsidRPr="00F81C28">
          <w:rPr>
            <w:rFonts w:eastAsia="Segoe UI"/>
            <w:color w:val="auto"/>
            <w:szCs w:val="21"/>
            <w:u w:val="single"/>
          </w:rPr>
          <w:t>https://www.finlex.fi/fi/laki/alkup/2009/20090298</w:t>
        </w:r>
      </w:hyperlink>
    </w:p>
    <w:p w14:paraId="3326FE91" w14:textId="77777777" w:rsidR="00CA787C" w:rsidRPr="00F81C28" w:rsidRDefault="00CA787C" w:rsidP="00CA787C">
      <w:pPr>
        <w:spacing w:line="276" w:lineRule="auto"/>
        <w:jc w:val="left"/>
        <w:rPr>
          <w:color w:val="auto"/>
        </w:rPr>
      </w:pPr>
      <w:r w:rsidRPr="00F81C28">
        <w:rPr>
          <w:rFonts w:eastAsia="Segoe UI"/>
          <w:color w:val="auto"/>
          <w:szCs w:val="21"/>
        </w:rPr>
        <w:t xml:space="preserve">[3] Komulainen J, Vuokko R. &amp; Mäkelä M. Rakenteinen terveys- ja hoitosuunnitelma. </w:t>
      </w:r>
      <w:r w:rsidRPr="00F81C28">
        <w:rPr>
          <w:rFonts w:eastAsia="Segoe UI"/>
          <w:color w:val="auto"/>
          <w:szCs w:val="21"/>
          <w:lang w:val="en-GB"/>
        </w:rPr>
        <w:t xml:space="preserve">[Structured health and care plan] </w:t>
      </w:r>
      <w:proofErr w:type="spellStart"/>
      <w:r w:rsidRPr="00F81C28">
        <w:rPr>
          <w:rFonts w:eastAsia="Segoe UI"/>
          <w:color w:val="auto"/>
          <w:szCs w:val="21"/>
          <w:lang w:val="en-GB"/>
        </w:rPr>
        <w:t>Juvenes</w:t>
      </w:r>
      <w:proofErr w:type="spellEnd"/>
      <w:r w:rsidRPr="00F81C28">
        <w:rPr>
          <w:rFonts w:eastAsia="Segoe UI"/>
          <w:color w:val="auto"/>
          <w:szCs w:val="21"/>
          <w:lang w:val="en-GB"/>
        </w:rPr>
        <w:t xml:space="preserve"> Print – </w:t>
      </w:r>
      <w:proofErr w:type="spellStart"/>
      <w:r w:rsidRPr="00F81C28">
        <w:rPr>
          <w:rFonts w:eastAsia="Segoe UI"/>
          <w:color w:val="auto"/>
          <w:szCs w:val="21"/>
          <w:lang w:val="en-GB"/>
        </w:rPr>
        <w:t>Tampereen</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Yliopistopaino</w:t>
      </w:r>
      <w:proofErr w:type="spellEnd"/>
      <w:r w:rsidRPr="00F81C28">
        <w:rPr>
          <w:rFonts w:eastAsia="Segoe UI"/>
          <w:color w:val="auto"/>
          <w:szCs w:val="21"/>
          <w:lang w:val="en-GB"/>
        </w:rPr>
        <w:t xml:space="preserve"> Oy. </w:t>
      </w:r>
      <w:r w:rsidRPr="00F81C28">
        <w:rPr>
          <w:rFonts w:eastAsia="Segoe UI"/>
          <w:color w:val="auto"/>
          <w:szCs w:val="21"/>
        </w:rPr>
        <w:t>Tampere, 2011.</w:t>
      </w:r>
    </w:p>
    <w:p w14:paraId="7A00CFCC" w14:textId="77777777" w:rsidR="00CA787C" w:rsidRPr="00F81C28" w:rsidRDefault="00CA787C" w:rsidP="00CA787C">
      <w:pPr>
        <w:spacing w:line="276" w:lineRule="auto"/>
        <w:jc w:val="left"/>
        <w:rPr>
          <w:rStyle w:val="Hyperlink"/>
          <w:color w:val="auto"/>
          <w:lang w:val="en-US"/>
        </w:rPr>
      </w:pPr>
      <w:r w:rsidRPr="00F81C28">
        <w:rPr>
          <w:rFonts w:eastAsia="Segoe UI"/>
          <w:color w:val="auto"/>
          <w:szCs w:val="21"/>
        </w:rPr>
        <w:t xml:space="preserve">[4] Korhonen M. Terveys- ja hoitosuunnitelman toiminnalliset vaatimukset liittyville järjestelmille. </w:t>
      </w:r>
      <w:r w:rsidRPr="00F81C28">
        <w:rPr>
          <w:rFonts w:eastAsia="Segoe UI"/>
          <w:color w:val="auto"/>
          <w:szCs w:val="21"/>
          <w:lang w:val="en-GB"/>
        </w:rPr>
        <w:t xml:space="preserve">[Functional requirements of health and care plan for related systems] Version 1.2, 23.03.2018. </w:t>
      </w:r>
      <w:proofErr w:type="spellStart"/>
      <w:r w:rsidRPr="00F81C28">
        <w:rPr>
          <w:rFonts w:eastAsia="Segoe UI"/>
          <w:color w:val="auto"/>
          <w:szCs w:val="21"/>
        </w:rPr>
        <w:t>Finnish</w:t>
      </w:r>
      <w:proofErr w:type="spellEnd"/>
      <w:r w:rsidRPr="00F81C28">
        <w:rPr>
          <w:rFonts w:eastAsia="Segoe UI"/>
          <w:color w:val="auto"/>
          <w:szCs w:val="21"/>
        </w:rPr>
        <w:t xml:space="preserve"> Institute for Health and </w:t>
      </w:r>
      <w:proofErr w:type="spellStart"/>
      <w:r w:rsidRPr="00F81C28">
        <w:rPr>
          <w:rFonts w:eastAsia="Segoe UI"/>
          <w:color w:val="auto"/>
          <w:szCs w:val="21"/>
        </w:rPr>
        <w:t>Welfare</w:t>
      </w:r>
      <w:proofErr w:type="spellEnd"/>
      <w:r w:rsidRPr="00F81C28">
        <w:rPr>
          <w:rFonts w:eastAsia="Segoe UI"/>
          <w:color w:val="auto"/>
          <w:szCs w:val="21"/>
        </w:rPr>
        <w:t xml:space="preserve">. </w:t>
      </w:r>
      <w:proofErr w:type="spellStart"/>
      <w:r w:rsidRPr="00F81C28">
        <w:rPr>
          <w:rFonts w:eastAsia="Segoe UI"/>
          <w:color w:val="auto"/>
          <w:szCs w:val="21"/>
        </w:rPr>
        <w:t>Sosiaali</w:t>
      </w:r>
      <w:proofErr w:type="spellEnd"/>
      <w:r w:rsidRPr="00F81C28">
        <w:rPr>
          <w:rFonts w:eastAsia="Segoe UI"/>
          <w:color w:val="auto"/>
          <w:szCs w:val="21"/>
        </w:rPr>
        <w:t xml:space="preserve">- ja terveydenhuollon tietohallinnon operatiivisen ohjauksen yksikkö OPER. </w:t>
      </w:r>
      <w:r w:rsidRPr="00F81C28">
        <w:rPr>
          <w:rFonts w:eastAsia="Segoe UI"/>
          <w:color w:val="auto"/>
          <w:szCs w:val="21"/>
          <w:lang w:val="en-GB"/>
        </w:rPr>
        <w:t xml:space="preserve">Management Unit, Information management in social and health care, 2018.  </w:t>
      </w:r>
      <w:hyperlink r:id="rId9" w:history="1">
        <w:r w:rsidRPr="00F81C28">
          <w:rPr>
            <w:rFonts w:eastAsia="Segoe UI"/>
            <w:color w:val="auto"/>
            <w:szCs w:val="21"/>
            <w:u w:val="single"/>
            <w:lang w:val="en-GB"/>
          </w:rPr>
          <w:t>https://thl.fi/documents/920442/3850406/THS_toiminnalliset+ vaatimukset_V1.2.pdf/84da605d-dcc5-43bb-8de1-c95388a60576</w:t>
        </w:r>
      </w:hyperlink>
    </w:p>
    <w:p w14:paraId="0C30BE1F" w14:textId="77777777" w:rsidR="00CA787C" w:rsidRPr="00F81C28" w:rsidRDefault="00CA787C" w:rsidP="00CA787C">
      <w:pPr>
        <w:spacing w:line="276" w:lineRule="auto"/>
        <w:jc w:val="left"/>
        <w:rPr>
          <w:color w:val="auto"/>
        </w:rPr>
      </w:pPr>
      <w:r w:rsidRPr="00F81C28">
        <w:rPr>
          <w:rFonts w:eastAsia="Segoe UI"/>
          <w:color w:val="auto"/>
          <w:szCs w:val="21"/>
        </w:rPr>
        <w:t xml:space="preserve">[5] Koivisto, J, Pohjola, P, Lyytikäinen, M, </w:t>
      </w:r>
      <w:proofErr w:type="spellStart"/>
      <w:r w:rsidRPr="00F81C28">
        <w:rPr>
          <w:rFonts w:eastAsia="Segoe UI"/>
          <w:color w:val="auto"/>
          <w:szCs w:val="21"/>
        </w:rPr>
        <w:t>Liukko</w:t>
      </w:r>
      <w:proofErr w:type="spellEnd"/>
      <w:r w:rsidRPr="00F81C28">
        <w:rPr>
          <w:rFonts w:eastAsia="Segoe UI"/>
          <w:color w:val="auto"/>
          <w:szCs w:val="21"/>
        </w:rPr>
        <w:t xml:space="preserve">, E &amp; Luoto, E.  </w:t>
      </w:r>
      <w:proofErr w:type="spellStart"/>
      <w:r w:rsidRPr="00F81C28">
        <w:rPr>
          <w:rFonts w:eastAsia="Segoe UI"/>
          <w:color w:val="auto"/>
          <w:szCs w:val="21"/>
          <w:lang w:val="en-GB"/>
        </w:rPr>
        <w:t>Ratkaisuja</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palveluiden</w:t>
      </w:r>
      <w:proofErr w:type="spellEnd"/>
      <w:r w:rsidRPr="00F81C28">
        <w:rPr>
          <w:rFonts w:eastAsia="Segoe UI"/>
          <w:color w:val="auto"/>
          <w:szCs w:val="21"/>
          <w:lang w:val="en-GB"/>
        </w:rPr>
        <w:t xml:space="preserve"> </w:t>
      </w:r>
      <w:proofErr w:type="spellStart"/>
      <w:proofErr w:type="gramStart"/>
      <w:r w:rsidRPr="00F81C28">
        <w:rPr>
          <w:rFonts w:eastAsia="Segoe UI"/>
          <w:color w:val="auto"/>
          <w:szCs w:val="21"/>
          <w:lang w:val="en-GB"/>
        </w:rPr>
        <w:t>yhteensovittamiseen</w:t>
      </w:r>
      <w:proofErr w:type="spellEnd"/>
      <w:r w:rsidRPr="00F81C28">
        <w:rPr>
          <w:rFonts w:eastAsia="Segoe UI"/>
          <w:color w:val="auto"/>
          <w:szCs w:val="21"/>
          <w:lang w:val="en-GB"/>
        </w:rPr>
        <w:t>.[</w:t>
      </w:r>
      <w:proofErr w:type="gramEnd"/>
      <w:r w:rsidRPr="00F81C28">
        <w:rPr>
          <w:rFonts w:eastAsia="Segoe UI"/>
          <w:color w:val="auto"/>
          <w:szCs w:val="21"/>
          <w:lang w:val="en-GB"/>
        </w:rPr>
        <w:t xml:space="preserve">Solutions for co-ordinating services] Finnish Institute for Health and Welfare. </w:t>
      </w:r>
      <w:proofErr w:type="spellStart"/>
      <w:r w:rsidRPr="00F81C28">
        <w:rPr>
          <w:rFonts w:eastAsia="Segoe UI"/>
          <w:color w:val="auto"/>
          <w:szCs w:val="21"/>
        </w:rPr>
        <w:t>Working</w:t>
      </w:r>
      <w:proofErr w:type="spellEnd"/>
      <w:r w:rsidRPr="00F81C28">
        <w:rPr>
          <w:rFonts w:eastAsia="Segoe UI"/>
          <w:color w:val="auto"/>
          <w:szCs w:val="21"/>
        </w:rPr>
        <w:t xml:space="preserve"> </w:t>
      </w:r>
      <w:proofErr w:type="spellStart"/>
      <w:r w:rsidRPr="00F81C28">
        <w:rPr>
          <w:rFonts w:eastAsia="Segoe UI"/>
          <w:color w:val="auto"/>
          <w:szCs w:val="21"/>
        </w:rPr>
        <w:t>paper</w:t>
      </w:r>
      <w:proofErr w:type="spellEnd"/>
      <w:r w:rsidRPr="00F81C28">
        <w:rPr>
          <w:rFonts w:eastAsia="Segoe UI"/>
          <w:color w:val="auto"/>
          <w:szCs w:val="21"/>
        </w:rPr>
        <w:t xml:space="preserve"> 32/2016. ISBN 978-952-302-769-5 </w:t>
      </w:r>
      <w:hyperlink r:id="rId10" w:history="1">
        <w:r w:rsidRPr="00F81C28">
          <w:rPr>
            <w:rFonts w:eastAsia="Segoe UI"/>
            <w:color w:val="auto"/>
            <w:szCs w:val="21"/>
            <w:u w:val="single"/>
          </w:rPr>
          <w:t>http://www.julkari.fi/handle/10024/131490</w:t>
        </w:r>
      </w:hyperlink>
      <w:r w:rsidRPr="00F81C28">
        <w:rPr>
          <w:rFonts w:eastAsia="Segoe UI"/>
          <w:color w:val="auto"/>
          <w:szCs w:val="21"/>
        </w:rPr>
        <w:t xml:space="preserve"> </w:t>
      </w:r>
    </w:p>
    <w:p w14:paraId="44FA6C39" w14:textId="77777777" w:rsidR="00CA787C" w:rsidRPr="00F81C28" w:rsidRDefault="00CA787C" w:rsidP="00CA787C">
      <w:pPr>
        <w:spacing w:line="276" w:lineRule="auto"/>
        <w:jc w:val="left"/>
        <w:rPr>
          <w:color w:val="auto"/>
          <w:lang w:val="de-DE"/>
        </w:rPr>
      </w:pPr>
      <w:r w:rsidRPr="00F81C28">
        <w:rPr>
          <w:rFonts w:eastAsia="Segoe UI"/>
          <w:color w:val="auto"/>
          <w:szCs w:val="21"/>
        </w:rPr>
        <w:t>[6] Mäkelä-</w:t>
      </w:r>
      <w:proofErr w:type="spellStart"/>
      <w:r w:rsidRPr="00F81C28">
        <w:rPr>
          <w:rFonts w:eastAsia="Segoe UI"/>
          <w:color w:val="auto"/>
          <w:szCs w:val="21"/>
        </w:rPr>
        <w:t>Bengs</w:t>
      </w:r>
      <w:proofErr w:type="spellEnd"/>
      <w:r w:rsidRPr="00F81C28">
        <w:rPr>
          <w:rFonts w:eastAsia="Segoe UI"/>
          <w:color w:val="auto"/>
          <w:szCs w:val="21"/>
        </w:rPr>
        <w:t xml:space="preserve">, P. Virkkunen, H &amp; Vuokko R. 2016. </w:t>
      </w:r>
      <w:r w:rsidRPr="00F81C28">
        <w:rPr>
          <w:rFonts w:eastAsia="Segoe UI"/>
          <w:color w:val="auto"/>
          <w:szCs w:val="21"/>
          <w:lang w:val="en-GB"/>
        </w:rPr>
        <w:t xml:space="preserve">Development of a health and care plan 2016. Preliminary report. Finnish Institute for Health and Welfare. Working paper 24/2016. </w:t>
      </w:r>
      <w:r w:rsidRPr="00F81C28">
        <w:rPr>
          <w:rFonts w:eastAsia="Segoe UI"/>
          <w:color w:val="auto"/>
          <w:szCs w:val="21"/>
          <w:lang w:val="de-DE"/>
        </w:rPr>
        <w:t xml:space="preserve">ISBN 978-952-302-685-8 </w:t>
      </w:r>
      <w:hyperlink r:id="rId11" w:history="1">
        <w:r w:rsidRPr="00F81C28">
          <w:rPr>
            <w:rFonts w:ascii="&amp;quot" w:eastAsia="&amp;quot" w:hAnsi="&amp;quot"/>
            <w:color w:val="auto"/>
            <w:szCs w:val="21"/>
            <w:u w:val="single"/>
            <w:lang w:val="de-DE"/>
          </w:rPr>
          <w:t>http://urn.fi/URN:ISBN:978-952-302-685-8</w:t>
        </w:r>
      </w:hyperlink>
      <w:r w:rsidRPr="00F81C28">
        <w:rPr>
          <w:rFonts w:eastAsia="Segoe UI"/>
          <w:color w:val="auto"/>
          <w:szCs w:val="21"/>
          <w:lang w:val="de-DE"/>
        </w:rPr>
        <w:t xml:space="preserve"> </w:t>
      </w:r>
    </w:p>
    <w:p w14:paraId="5616B30D" w14:textId="77777777" w:rsidR="00CA787C" w:rsidRPr="00F81C28" w:rsidRDefault="00CA787C" w:rsidP="00CA787C">
      <w:pPr>
        <w:spacing w:line="276" w:lineRule="auto"/>
        <w:jc w:val="left"/>
        <w:rPr>
          <w:color w:val="auto"/>
          <w:lang w:val="en-US"/>
        </w:rPr>
      </w:pPr>
      <w:r w:rsidRPr="00F81C28">
        <w:rPr>
          <w:rFonts w:eastAsia="Segoe UI"/>
          <w:color w:val="auto"/>
          <w:szCs w:val="21"/>
          <w:lang w:val="de-DE"/>
        </w:rPr>
        <w:t xml:space="preserve">[7] Dahm MF, </w:t>
      </w:r>
      <w:proofErr w:type="spellStart"/>
      <w:r w:rsidRPr="00F81C28">
        <w:rPr>
          <w:rFonts w:eastAsia="Segoe UI"/>
          <w:color w:val="auto"/>
          <w:szCs w:val="21"/>
          <w:lang w:val="de-DE"/>
        </w:rPr>
        <w:t>Wadensten</w:t>
      </w:r>
      <w:proofErr w:type="spellEnd"/>
      <w:r w:rsidRPr="00F81C28">
        <w:rPr>
          <w:rFonts w:eastAsia="Segoe UI"/>
          <w:color w:val="auto"/>
          <w:szCs w:val="21"/>
          <w:lang w:val="de-DE"/>
        </w:rPr>
        <w:t xml:space="preserve"> B.  </w:t>
      </w:r>
      <w:r w:rsidRPr="00F81C28">
        <w:rPr>
          <w:rFonts w:eastAsia="Segoe UI"/>
          <w:color w:val="auto"/>
          <w:szCs w:val="21"/>
          <w:lang w:val="en-GB"/>
        </w:rPr>
        <w:t xml:space="preserve">Nurses' experiences of and opinions about using standardised care plans in electronic health records–a questionnaire study. J Clin </w:t>
      </w:r>
      <w:proofErr w:type="spellStart"/>
      <w:r w:rsidRPr="00F81C28">
        <w:rPr>
          <w:rFonts w:eastAsia="Segoe UI"/>
          <w:color w:val="auto"/>
          <w:szCs w:val="21"/>
          <w:lang w:val="en-GB"/>
        </w:rPr>
        <w:t>Nurs</w:t>
      </w:r>
      <w:proofErr w:type="spellEnd"/>
      <w:r w:rsidRPr="00F81C28">
        <w:rPr>
          <w:rFonts w:eastAsia="Segoe UI"/>
          <w:color w:val="auto"/>
          <w:szCs w:val="21"/>
          <w:lang w:val="en-GB"/>
        </w:rPr>
        <w:t xml:space="preserve"> vol .21, no 2, 2008, pp. 2</w:t>
      </w:r>
    </w:p>
    <w:p w14:paraId="3FDFEC97"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[8] National Audit Office of Finland. </w:t>
      </w:r>
      <w:proofErr w:type="spellStart"/>
      <w:r w:rsidRPr="00F81C28">
        <w:rPr>
          <w:rFonts w:eastAsia="Segoe UI"/>
          <w:color w:val="auto"/>
          <w:szCs w:val="21"/>
          <w:lang w:val="en-GB"/>
        </w:rPr>
        <w:t>Paljon</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palveluja</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tarvitsevat</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ja</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käyttävät</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asiakkaat</w:t>
      </w:r>
      <w:proofErr w:type="spellEnd"/>
      <w:r w:rsidRPr="00F81C28">
        <w:rPr>
          <w:rFonts w:eastAsia="Segoe UI"/>
          <w:color w:val="auto"/>
          <w:szCs w:val="21"/>
          <w:lang w:val="en-GB"/>
        </w:rPr>
        <w:t xml:space="preserve"> </w:t>
      </w:r>
      <w:proofErr w:type="spellStart"/>
      <w:proofErr w:type="gramStart"/>
      <w:r w:rsidRPr="00F81C28">
        <w:rPr>
          <w:rFonts w:eastAsia="Segoe UI"/>
          <w:color w:val="auto"/>
          <w:szCs w:val="21"/>
          <w:lang w:val="en-GB"/>
        </w:rPr>
        <w:t>perusterveydenhuollossa</w:t>
      </w:r>
      <w:proofErr w:type="spellEnd"/>
      <w:r w:rsidRPr="00F81C28">
        <w:rPr>
          <w:rFonts w:eastAsia="Segoe UI"/>
          <w:color w:val="auto"/>
          <w:szCs w:val="21"/>
          <w:lang w:val="en-GB"/>
        </w:rPr>
        <w:t>.[</w:t>
      </w:r>
      <w:proofErr w:type="gramEnd"/>
      <w:r w:rsidRPr="00F81C28">
        <w:rPr>
          <w:rFonts w:eastAsia="Segoe UI"/>
          <w:color w:val="auto"/>
          <w:szCs w:val="21"/>
          <w:lang w:val="en-GB"/>
        </w:rPr>
        <w:t xml:space="preserve">Basic health care clients need and use many services] Performance audit report Performance Audit reports of National Audit Office of Finland  11/2017. </w:t>
      </w:r>
      <w:hyperlink r:id="rId12" w:history="1">
        <w:r w:rsidRPr="00F81C28">
          <w:rPr>
            <w:rFonts w:eastAsia="Segoe UI"/>
            <w:color w:val="auto"/>
            <w:szCs w:val="21"/>
            <w:u w:val="single"/>
            <w:lang w:val="en-GB"/>
          </w:rPr>
          <w:t>https://www.vtv.fi/app/uploads/2018/05/22105012/paljon-palveluja-tarvitsevat.pdf</w:t>
        </w:r>
      </w:hyperlink>
      <w:r w:rsidRPr="00F81C28">
        <w:rPr>
          <w:rFonts w:eastAsia="Segoe UI"/>
          <w:color w:val="auto"/>
          <w:szCs w:val="21"/>
          <w:lang w:val="en-GB"/>
        </w:rPr>
        <w:t xml:space="preserve"> </w:t>
      </w:r>
    </w:p>
    <w:p w14:paraId="0C8421CB"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[9] Ehrenberg, A. &amp; </w:t>
      </w:r>
      <w:proofErr w:type="spellStart"/>
      <w:r w:rsidRPr="00F81C28">
        <w:rPr>
          <w:rFonts w:eastAsia="Segoe UI"/>
          <w:color w:val="auto"/>
          <w:szCs w:val="21"/>
          <w:lang w:val="en-GB"/>
        </w:rPr>
        <w:t>Ehnfors</w:t>
      </w:r>
      <w:proofErr w:type="spellEnd"/>
      <w:r w:rsidRPr="00F81C28">
        <w:rPr>
          <w:rFonts w:eastAsia="Segoe UI"/>
          <w:color w:val="auto"/>
          <w:szCs w:val="21"/>
          <w:lang w:val="en-GB"/>
        </w:rPr>
        <w:t xml:space="preserve">, M. The accuracy of patient records in Swedish nursing homes: congruence of record content and nurses´ and patients´ descriptions. Scandinavian Journal of Caring Sciences vol 15, 2001, pp. 303–310. </w:t>
      </w:r>
    </w:p>
    <w:p w14:paraId="4411206B"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[10]  Government Decree on the principles of good occupational health care practice, the content of occupational health care and the qualifications of professionals and experts 10.10.2013/708 </w:t>
      </w:r>
      <w:hyperlink r:id="rId13" w:history="1">
        <w:r w:rsidRPr="00F81C28">
          <w:rPr>
            <w:rFonts w:eastAsia="Segoe UI"/>
            <w:color w:val="auto"/>
            <w:szCs w:val="21"/>
            <w:u w:val="single"/>
            <w:lang w:val="en-GB"/>
          </w:rPr>
          <w:t xml:space="preserve">http://plus.edilex.fi/kela/fi/lainsaadanto/20130708 </w:t>
        </w:r>
        <w:proofErr w:type="spellStart"/>
        <w:r w:rsidRPr="00F81C28">
          <w:rPr>
            <w:rFonts w:eastAsia="Segoe UI"/>
            <w:color w:val="auto"/>
            <w:szCs w:val="21"/>
            <w:u w:val="single"/>
            <w:lang w:val="en-GB"/>
          </w:rPr>
          <w:t>Luettu</w:t>
        </w:r>
        <w:proofErr w:type="spellEnd"/>
        <w:r w:rsidRPr="00F81C28">
          <w:rPr>
            <w:rFonts w:eastAsia="Segoe UI"/>
            <w:color w:val="auto"/>
            <w:szCs w:val="21"/>
            <w:u w:val="single"/>
            <w:lang w:val="en-GB"/>
          </w:rPr>
          <w:t xml:space="preserve"> 4.2.2014</w:t>
        </w:r>
      </w:hyperlink>
      <w:r w:rsidRPr="00F81C28">
        <w:rPr>
          <w:rFonts w:eastAsia="Segoe UI"/>
          <w:color w:val="auto"/>
          <w:szCs w:val="21"/>
          <w:lang w:val="en-GB"/>
        </w:rPr>
        <w:t xml:space="preserve">. </w:t>
      </w:r>
    </w:p>
    <w:p w14:paraId="60158123" w14:textId="77777777" w:rsidR="00CA787C" w:rsidRPr="00F81C28" w:rsidRDefault="00CA787C" w:rsidP="00CA787C">
      <w:pPr>
        <w:spacing w:line="276" w:lineRule="auto"/>
        <w:jc w:val="left"/>
        <w:rPr>
          <w:color w:val="auto"/>
          <w:lang w:val="en-US"/>
        </w:rPr>
      </w:pPr>
      <w:r w:rsidRPr="00F81C28">
        <w:rPr>
          <w:rFonts w:eastAsia="Segoe UI"/>
          <w:color w:val="auto"/>
          <w:szCs w:val="21"/>
        </w:rPr>
        <w:t xml:space="preserve">[11] Liira J, Rautio M &amp; Leino T. Terveystarkastusten tekeminen. </w:t>
      </w:r>
      <w:r w:rsidRPr="00F81C28">
        <w:rPr>
          <w:rFonts w:eastAsia="Segoe UI"/>
          <w:color w:val="auto"/>
          <w:szCs w:val="21"/>
          <w:lang w:val="en-US"/>
        </w:rPr>
        <w:t xml:space="preserve">[Conducting health examinations] In </w:t>
      </w:r>
      <w:proofErr w:type="spellStart"/>
      <w:r w:rsidRPr="00F81C28">
        <w:rPr>
          <w:rFonts w:eastAsia="Segoe UI"/>
          <w:color w:val="auto"/>
          <w:szCs w:val="21"/>
          <w:lang w:val="en-US"/>
        </w:rPr>
        <w:t>Utti</w:t>
      </w:r>
      <w:proofErr w:type="spellEnd"/>
      <w:r w:rsidRPr="00F81C28">
        <w:rPr>
          <w:rFonts w:eastAsia="Segoe UI"/>
          <w:color w:val="auto"/>
          <w:szCs w:val="21"/>
          <w:lang w:val="en-US"/>
        </w:rPr>
        <w:t xml:space="preserve"> J. (ed.) </w:t>
      </w:r>
      <w:proofErr w:type="spellStart"/>
      <w:r w:rsidRPr="00F81C28">
        <w:rPr>
          <w:rFonts w:eastAsia="Segoe UI"/>
          <w:color w:val="auto"/>
          <w:szCs w:val="21"/>
          <w:lang w:val="en-US"/>
        </w:rPr>
        <w:t>Hyvä</w:t>
      </w:r>
      <w:proofErr w:type="spellEnd"/>
      <w:r w:rsidRPr="00F81C28">
        <w:rPr>
          <w:rFonts w:eastAsia="Segoe UI"/>
          <w:color w:val="auto"/>
          <w:szCs w:val="21"/>
          <w:lang w:val="en-US"/>
        </w:rPr>
        <w:t xml:space="preserve"> </w:t>
      </w:r>
      <w:proofErr w:type="spellStart"/>
      <w:r w:rsidRPr="00F81C28">
        <w:rPr>
          <w:rFonts w:eastAsia="Segoe UI"/>
          <w:color w:val="auto"/>
          <w:szCs w:val="21"/>
          <w:lang w:val="en-US"/>
        </w:rPr>
        <w:t>työterveyshuoltokäytäntö</w:t>
      </w:r>
      <w:proofErr w:type="spellEnd"/>
      <w:r w:rsidRPr="00F81C28">
        <w:rPr>
          <w:rFonts w:eastAsia="Segoe UI"/>
          <w:color w:val="auto"/>
          <w:szCs w:val="21"/>
          <w:lang w:val="en-US"/>
        </w:rPr>
        <w:t xml:space="preserve">. </w:t>
      </w:r>
      <w:r w:rsidRPr="00F81C28">
        <w:rPr>
          <w:rFonts w:eastAsia="Segoe UI"/>
          <w:color w:val="auto"/>
          <w:szCs w:val="21"/>
          <w:lang w:val="en-GB"/>
        </w:rPr>
        <w:t>[Good Occupational Health Practice] Finnish Institute of Occupational Health, Helsinki, 2014, pp 190-209.</w:t>
      </w:r>
    </w:p>
    <w:p w14:paraId="3407F482" w14:textId="77777777" w:rsidR="00CA787C" w:rsidRPr="00F81C28" w:rsidRDefault="00CA787C" w:rsidP="00CA787C">
      <w:pPr>
        <w:spacing w:line="276" w:lineRule="auto"/>
        <w:jc w:val="left"/>
        <w:rPr>
          <w:color w:val="auto"/>
          <w:lang w:val="en-US"/>
        </w:rPr>
      </w:pPr>
      <w:r w:rsidRPr="00F81C28">
        <w:rPr>
          <w:rFonts w:eastAsia="Segoe UI"/>
          <w:color w:val="auto"/>
          <w:szCs w:val="21"/>
        </w:rPr>
        <w:t xml:space="preserve">[12] Leino T, Rautio M, Kanervisto M, Tilli J &amp; Kaleva. </w:t>
      </w:r>
      <w:proofErr w:type="spellStart"/>
      <w:r w:rsidRPr="00F81C28">
        <w:rPr>
          <w:rFonts w:eastAsia="Segoe UI"/>
          <w:color w:val="auto"/>
          <w:szCs w:val="21"/>
          <w:lang w:val="en-GB"/>
        </w:rPr>
        <w:t>Terveystarkastuskäytännöt</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suomalaisessa</w:t>
      </w:r>
      <w:proofErr w:type="spellEnd"/>
      <w:r w:rsidRPr="00F81C28">
        <w:rPr>
          <w:rFonts w:eastAsia="Segoe UI"/>
          <w:color w:val="auto"/>
          <w:szCs w:val="21"/>
          <w:lang w:val="en-GB"/>
        </w:rPr>
        <w:t xml:space="preserve"> </w:t>
      </w:r>
      <w:proofErr w:type="spellStart"/>
      <w:r w:rsidRPr="00F81C28">
        <w:rPr>
          <w:rFonts w:eastAsia="Segoe UI"/>
          <w:color w:val="auto"/>
          <w:szCs w:val="21"/>
          <w:lang w:val="en-GB"/>
        </w:rPr>
        <w:t>työterveyshuollossa</w:t>
      </w:r>
      <w:proofErr w:type="spellEnd"/>
      <w:r w:rsidRPr="00F81C28">
        <w:rPr>
          <w:rFonts w:eastAsia="Segoe UI"/>
          <w:color w:val="auto"/>
          <w:szCs w:val="21"/>
          <w:lang w:val="en-GB"/>
        </w:rPr>
        <w:t>. [Health examination practices in Finnish occupational health services] Finnish Institute of Occupational Health, Helsinki, 2014.</w:t>
      </w:r>
    </w:p>
    <w:p w14:paraId="303BDC12"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[13] </w:t>
      </w:r>
      <w:proofErr w:type="spellStart"/>
      <w:r w:rsidRPr="00F81C28">
        <w:rPr>
          <w:rFonts w:eastAsia="Segoe UI"/>
          <w:color w:val="auto"/>
          <w:szCs w:val="21"/>
          <w:lang w:val="en-GB"/>
        </w:rPr>
        <w:t>Bovend’Eerdt</w:t>
      </w:r>
      <w:proofErr w:type="spellEnd"/>
      <w:r w:rsidRPr="00F81C28">
        <w:rPr>
          <w:rFonts w:eastAsia="Segoe UI"/>
          <w:color w:val="auto"/>
          <w:szCs w:val="21"/>
          <w:lang w:val="en-GB"/>
        </w:rPr>
        <w:t xml:space="preserve">, T. J., </w:t>
      </w:r>
      <w:proofErr w:type="spellStart"/>
      <w:r w:rsidRPr="00F81C28">
        <w:rPr>
          <w:rFonts w:eastAsia="Segoe UI"/>
          <w:color w:val="auto"/>
          <w:szCs w:val="21"/>
          <w:lang w:val="en-GB"/>
        </w:rPr>
        <w:t>Botell</w:t>
      </w:r>
      <w:proofErr w:type="spellEnd"/>
      <w:r w:rsidRPr="00F81C28">
        <w:rPr>
          <w:rFonts w:eastAsia="Segoe UI"/>
          <w:color w:val="auto"/>
          <w:szCs w:val="21"/>
          <w:lang w:val="en-GB"/>
        </w:rPr>
        <w:t>, R. E., Wade, D. T. Writing SMART rehabilitation goals and achieving goal attainment scaling: A practical guide. Clinical Rehabilitation, vol 23, no 4, 2009, 352–361.</w:t>
      </w:r>
    </w:p>
    <w:p w14:paraId="037664E7"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lastRenderedPageBreak/>
        <w:t xml:space="preserve">[14] Kelly S, Martin, S, Kuhn I, Cowan A, </w:t>
      </w:r>
      <w:proofErr w:type="spellStart"/>
      <w:r w:rsidRPr="00F81C28">
        <w:rPr>
          <w:rFonts w:eastAsia="Segoe UI"/>
          <w:color w:val="auto"/>
          <w:szCs w:val="21"/>
          <w:lang w:val="en-GB"/>
        </w:rPr>
        <w:t>Brayne</w:t>
      </w:r>
      <w:proofErr w:type="spellEnd"/>
      <w:r w:rsidRPr="00F81C28">
        <w:rPr>
          <w:rFonts w:eastAsia="Segoe UI"/>
          <w:color w:val="auto"/>
          <w:szCs w:val="21"/>
          <w:lang w:val="en-GB"/>
        </w:rPr>
        <w:t xml:space="preserve"> C, </w:t>
      </w:r>
      <w:proofErr w:type="spellStart"/>
      <w:r w:rsidRPr="00F81C28">
        <w:rPr>
          <w:rFonts w:eastAsia="Segoe UI"/>
          <w:color w:val="auto"/>
          <w:szCs w:val="21"/>
          <w:lang w:val="en-GB"/>
        </w:rPr>
        <w:t>Lafortune</w:t>
      </w:r>
      <w:proofErr w:type="spellEnd"/>
      <w:r w:rsidRPr="00F81C28">
        <w:rPr>
          <w:rFonts w:eastAsia="Segoe UI"/>
          <w:color w:val="auto"/>
          <w:szCs w:val="21"/>
          <w:lang w:val="en-GB"/>
        </w:rPr>
        <w:t xml:space="preserve"> L.  Barriers and Facilitators to the Uptake and Maintenance of Healthy Behaviours by People at Mid-Life: A Rapid Systematic Review.  PLOSONE, 2016 pp. 1-26.  DOI:10.1371. </w:t>
      </w:r>
      <w:hyperlink r:id="rId14" w:history="1">
        <w:r w:rsidRPr="00F81C28">
          <w:rPr>
            <w:rFonts w:eastAsia="Segoe UI"/>
            <w:color w:val="auto"/>
            <w:szCs w:val="21"/>
            <w:u w:val="single"/>
            <w:lang w:val="en-GB"/>
          </w:rPr>
          <w:t>https://journals.plos.org/plosone/article?id=10.1371/journal.pone.0145074</w:t>
        </w:r>
      </w:hyperlink>
      <w:r w:rsidRPr="00F81C28">
        <w:rPr>
          <w:rFonts w:eastAsia="Segoe UI"/>
          <w:color w:val="auto"/>
          <w:szCs w:val="21"/>
          <w:lang w:val="en-GB"/>
        </w:rPr>
        <w:t xml:space="preserve">  </w:t>
      </w:r>
    </w:p>
    <w:p w14:paraId="70099488"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[15] </w:t>
      </w:r>
      <w:proofErr w:type="spellStart"/>
      <w:r w:rsidRPr="00F81C28">
        <w:rPr>
          <w:rFonts w:eastAsia="Segoe UI"/>
          <w:color w:val="auto"/>
          <w:szCs w:val="21"/>
          <w:lang w:val="en-GB"/>
        </w:rPr>
        <w:t>Kwasnicka</w:t>
      </w:r>
      <w:proofErr w:type="spellEnd"/>
      <w:r w:rsidRPr="00F81C28">
        <w:rPr>
          <w:rFonts w:eastAsia="Segoe UI"/>
          <w:color w:val="auto"/>
          <w:szCs w:val="21"/>
          <w:lang w:val="en-GB"/>
        </w:rPr>
        <w:t xml:space="preserve"> </w:t>
      </w:r>
      <w:proofErr w:type="gramStart"/>
      <w:r w:rsidRPr="00F81C28">
        <w:rPr>
          <w:rFonts w:eastAsia="Segoe UI"/>
          <w:color w:val="auto"/>
          <w:szCs w:val="21"/>
          <w:lang w:val="en-GB"/>
        </w:rPr>
        <w:t xml:space="preserve">D,  </w:t>
      </w:r>
      <w:proofErr w:type="spellStart"/>
      <w:r w:rsidRPr="00F81C28">
        <w:rPr>
          <w:rFonts w:eastAsia="Segoe UI"/>
          <w:color w:val="auto"/>
          <w:szCs w:val="21"/>
          <w:lang w:val="en-GB"/>
        </w:rPr>
        <w:t>Dombrowsk</w:t>
      </w:r>
      <w:proofErr w:type="spellEnd"/>
      <w:proofErr w:type="gramEnd"/>
      <w:r w:rsidRPr="00F81C28">
        <w:rPr>
          <w:rFonts w:eastAsia="Segoe UI"/>
          <w:color w:val="auto"/>
          <w:szCs w:val="21"/>
          <w:lang w:val="en-GB"/>
        </w:rPr>
        <w:t xml:space="preserve"> S U, White M, </w:t>
      </w:r>
      <w:proofErr w:type="spellStart"/>
      <w:r w:rsidRPr="00F81C28">
        <w:rPr>
          <w:rFonts w:eastAsia="Segoe UI"/>
          <w:color w:val="auto"/>
          <w:szCs w:val="21"/>
          <w:lang w:val="en-GB"/>
        </w:rPr>
        <w:t>Sniehotta</w:t>
      </w:r>
      <w:proofErr w:type="spellEnd"/>
      <w:r w:rsidRPr="00F81C28">
        <w:rPr>
          <w:rFonts w:eastAsia="Segoe UI"/>
          <w:color w:val="auto"/>
          <w:szCs w:val="21"/>
          <w:lang w:val="en-GB"/>
        </w:rPr>
        <w:t xml:space="preserve"> F. Theoretical explanations for maintenance of behaviour change: a systematic review of behaviour theories. 2016. HEALTH PSYCHOLOGY REVIEW, vol. 10, no. 3, 2016, pp. 277–296. </w:t>
      </w:r>
      <w:hyperlink r:id="rId15" w:history="1">
        <w:r w:rsidRPr="00F81C28">
          <w:rPr>
            <w:rFonts w:eastAsia="Segoe UI"/>
            <w:color w:val="auto"/>
            <w:szCs w:val="21"/>
            <w:u w:val="single"/>
            <w:lang w:val="en-US"/>
          </w:rPr>
          <w:t>https://www.tandfonline.com/doi/full/10.1080/17437199.2016.1151372</w:t>
        </w:r>
      </w:hyperlink>
    </w:p>
    <w:p w14:paraId="3A942276" w14:textId="77777777" w:rsidR="00CA787C" w:rsidRPr="00F81C28" w:rsidRDefault="00CA787C" w:rsidP="00CA787C">
      <w:pPr>
        <w:spacing w:line="276" w:lineRule="auto"/>
        <w:jc w:val="left"/>
        <w:rPr>
          <w:color w:val="auto"/>
          <w:lang w:val="en-US"/>
        </w:rPr>
      </w:pPr>
      <w:r w:rsidRPr="00F81C28">
        <w:rPr>
          <w:rFonts w:eastAsia="Segoe UI"/>
          <w:color w:val="auto"/>
          <w:szCs w:val="21"/>
        </w:rPr>
        <w:t xml:space="preserve">[16] Nissinen S, Leino T, Oksanen T &amp; </w:t>
      </w:r>
      <w:proofErr w:type="spellStart"/>
      <w:r w:rsidRPr="00F81C28">
        <w:rPr>
          <w:rFonts w:eastAsia="Segoe UI"/>
          <w:color w:val="auto"/>
          <w:szCs w:val="21"/>
        </w:rPr>
        <w:t>Saranto</w:t>
      </w:r>
      <w:proofErr w:type="spellEnd"/>
      <w:r w:rsidRPr="00F81C28">
        <w:rPr>
          <w:rFonts w:eastAsia="Segoe UI"/>
          <w:color w:val="auto"/>
          <w:szCs w:val="21"/>
        </w:rPr>
        <w:t xml:space="preserve"> K.  </w:t>
      </w:r>
      <w:r w:rsidRPr="00F81C28">
        <w:rPr>
          <w:rFonts w:eastAsia="Segoe UI"/>
          <w:color w:val="auto"/>
          <w:szCs w:val="21"/>
          <w:lang w:val="en-GB"/>
        </w:rPr>
        <w:t xml:space="preserve">Relevant patient data for health information exchange: a Delphi method study among occupational health professionals. </w:t>
      </w:r>
      <w:proofErr w:type="spellStart"/>
      <w:r w:rsidRPr="00F81C28">
        <w:rPr>
          <w:rFonts w:eastAsia="Segoe UI"/>
          <w:color w:val="auto"/>
          <w:szCs w:val="21"/>
          <w:lang w:val="en-GB"/>
        </w:rPr>
        <w:t>Occup</w:t>
      </w:r>
      <w:proofErr w:type="spellEnd"/>
      <w:r w:rsidRPr="00F81C28">
        <w:rPr>
          <w:rFonts w:eastAsia="Segoe UI"/>
          <w:color w:val="auto"/>
          <w:szCs w:val="21"/>
          <w:lang w:val="en-GB"/>
        </w:rPr>
        <w:t xml:space="preserve"> Med Health </w:t>
      </w:r>
      <w:proofErr w:type="spellStart"/>
      <w:proofErr w:type="gramStart"/>
      <w:r w:rsidRPr="00F81C28">
        <w:rPr>
          <w:rFonts w:eastAsia="Segoe UI"/>
          <w:color w:val="auto"/>
          <w:szCs w:val="21"/>
          <w:lang w:val="en-GB"/>
        </w:rPr>
        <w:t>Aff</w:t>
      </w:r>
      <w:proofErr w:type="spellEnd"/>
      <w:r w:rsidRPr="00F81C28">
        <w:rPr>
          <w:rFonts w:eastAsia="Segoe UI"/>
          <w:color w:val="auto"/>
          <w:szCs w:val="21"/>
          <w:lang w:val="en-GB"/>
        </w:rPr>
        <w:t xml:space="preserve"> ,</w:t>
      </w:r>
      <w:proofErr w:type="gramEnd"/>
      <w:r w:rsidRPr="00F81C28">
        <w:rPr>
          <w:rFonts w:eastAsia="Segoe UI"/>
          <w:color w:val="auto"/>
          <w:szCs w:val="21"/>
          <w:lang w:val="en-GB"/>
        </w:rPr>
        <w:t xml:space="preserve"> vol. 4, 2016, pp. 244.</w:t>
      </w:r>
    </w:p>
    <w:p w14:paraId="5FFAE8D9" w14:textId="77777777" w:rsidR="00CA787C" w:rsidRPr="00F81C28" w:rsidRDefault="00CA787C" w:rsidP="00CA787C">
      <w:pPr>
        <w:spacing w:line="276" w:lineRule="auto"/>
        <w:jc w:val="left"/>
        <w:rPr>
          <w:color w:val="auto"/>
        </w:rPr>
      </w:pPr>
      <w:r w:rsidRPr="00F81C28">
        <w:rPr>
          <w:rFonts w:eastAsia="Segoe UI"/>
          <w:color w:val="auto"/>
          <w:szCs w:val="21"/>
          <w:lang w:val="en-GB"/>
        </w:rPr>
        <w:t xml:space="preserve">[17] </w:t>
      </w:r>
      <w:proofErr w:type="spellStart"/>
      <w:r w:rsidRPr="00F81C28">
        <w:rPr>
          <w:rFonts w:eastAsia="Segoe UI"/>
          <w:color w:val="auto"/>
          <w:szCs w:val="21"/>
          <w:lang w:val="en-GB"/>
        </w:rPr>
        <w:t>Absetz</w:t>
      </w:r>
      <w:proofErr w:type="spellEnd"/>
      <w:r w:rsidRPr="00F81C28">
        <w:rPr>
          <w:rFonts w:eastAsia="Segoe UI"/>
          <w:color w:val="auto"/>
          <w:szCs w:val="21"/>
          <w:lang w:val="en-GB"/>
        </w:rPr>
        <w:t xml:space="preserve"> P &amp; </w:t>
      </w:r>
      <w:proofErr w:type="spellStart"/>
      <w:r w:rsidRPr="00F81C28">
        <w:rPr>
          <w:rFonts w:eastAsia="Segoe UI"/>
          <w:color w:val="auto"/>
          <w:szCs w:val="21"/>
          <w:lang w:val="en-GB"/>
        </w:rPr>
        <w:t>Hankonen</w:t>
      </w:r>
      <w:proofErr w:type="spellEnd"/>
      <w:r w:rsidRPr="00F81C28">
        <w:rPr>
          <w:rFonts w:eastAsia="Segoe UI"/>
          <w:color w:val="auto"/>
          <w:szCs w:val="21"/>
          <w:lang w:val="en-GB"/>
        </w:rPr>
        <w:t xml:space="preserve"> N. 2011. </w:t>
      </w:r>
      <w:r w:rsidRPr="00F81C28">
        <w:rPr>
          <w:rFonts w:eastAsia="Segoe UI"/>
          <w:color w:val="auto"/>
          <w:szCs w:val="21"/>
        </w:rPr>
        <w:t xml:space="preserve">Elämäntapamuutoksen tukeminen terveydenhuollossa: vaikuttavuus ja keinot. </w:t>
      </w:r>
      <w:r w:rsidRPr="00F81C28">
        <w:rPr>
          <w:rFonts w:eastAsia="Segoe UI"/>
          <w:color w:val="auto"/>
          <w:szCs w:val="21"/>
          <w:lang w:val="en-GB"/>
        </w:rPr>
        <w:t xml:space="preserve">[Supporting lifestyle changes in occupational health services: effectiveness and methods] </w:t>
      </w:r>
      <w:proofErr w:type="spellStart"/>
      <w:r w:rsidRPr="00F81C28">
        <w:rPr>
          <w:rFonts w:eastAsia="Segoe UI"/>
          <w:color w:val="auto"/>
          <w:szCs w:val="21"/>
          <w:lang w:val="en-GB"/>
        </w:rPr>
        <w:t>Duodecim</w:t>
      </w:r>
      <w:proofErr w:type="spellEnd"/>
      <w:r w:rsidRPr="00F81C28">
        <w:rPr>
          <w:rFonts w:eastAsia="Segoe UI"/>
          <w:color w:val="auto"/>
          <w:szCs w:val="21"/>
          <w:lang w:val="en-GB"/>
        </w:rPr>
        <w:t xml:space="preserve">, vol 127, no. 21,2011, pp. 137–45. </w:t>
      </w:r>
      <w:hyperlink r:id="rId16" w:history="1">
        <w:r w:rsidRPr="00F81C28">
          <w:rPr>
            <w:rFonts w:eastAsia="Segoe UI"/>
            <w:color w:val="auto"/>
            <w:szCs w:val="21"/>
            <w:u w:val="single"/>
          </w:rPr>
          <w:t>https://doi.org/10.1111/j.1365-2702.2008.02377.x</w:t>
        </w:r>
      </w:hyperlink>
    </w:p>
    <w:p w14:paraId="37C3C0D2" w14:textId="77777777" w:rsidR="00CA787C" w:rsidRPr="00F81C28" w:rsidRDefault="00CA787C" w:rsidP="00CA787C">
      <w:pPr>
        <w:spacing w:line="276" w:lineRule="auto"/>
        <w:jc w:val="left"/>
        <w:rPr>
          <w:color w:val="auto"/>
          <w:lang w:val="en-US"/>
        </w:rPr>
      </w:pPr>
      <w:r w:rsidRPr="00F81C28">
        <w:rPr>
          <w:rFonts w:eastAsia="Segoe UI"/>
          <w:color w:val="auto"/>
          <w:szCs w:val="21"/>
        </w:rPr>
        <w:t xml:space="preserve">[18] Turku R. Onko motivoiva haastattelu vastaus elintapaohjauksen haasteisiin? </w:t>
      </w:r>
      <w:r w:rsidRPr="00F81C28">
        <w:rPr>
          <w:rFonts w:eastAsia="Segoe UI"/>
          <w:color w:val="auto"/>
          <w:szCs w:val="21"/>
          <w:lang w:val="en-GB"/>
        </w:rPr>
        <w:t xml:space="preserve">[Are motivational interviews the solution to lifestyle guidance challenges?]  </w:t>
      </w:r>
      <w:proofErr w:type="spellStart"/>
      <w:r w:rsidRPr="00F81C28">
        <w:rPr>
          <w:rFonts w:eastAsia="Segoe UI"/>
          <w:color w:val="auto"/>
          <w:szCs w:val="21"/>
          <w:lang w:val="en-GB"/>
        </w:rPr>
        <w:t>Työterveyslääkärilehti</w:t>
      </w:r>
      <w:proofErr w:type="spellEnd"/>
      <w:r w:rsidRPr="00F81C28">
        <w:rPr>
          <w:rFonts w:eastAsia="Segoe UI"/>
          <w:color w:val="auto"/>
          <w:szCs w:val="21"/>
          <w:lang w:val="en-GB"/>
        </w:rPr>
        <w:t xml:space="preserve">, vol. 31, no. 1, 2013, [Occupational health physician journal]. pp 36-39. </w:t>
      </w:r>
    </w:p>
    <w:p w14:paraId="6BC91905" w14:textId="77777777" w:rsidR="00CA787C" w:rsidRPr="00F81C28" w:rsidRDefault="00CA787C" w:rsidP="00CA787C">
      <w:pPr>
        <w:spacing w:line="276" w:lineRule="auto"/>
        <w:jc w:val="left"/>
        <w:rPr>
          <w:color w:val="auto"/>
          <w:lang w:val="en-US"/>
        </w:rPr>
      </w:pPr>
      <w:r w:rsidRPr="00F81C28">
        <w:rPr>
          <w:rFonts w:eastAsia="Segoe UI"/>
          <w:color w:val="auto"/>
          <w:szCs w:val="21"/>
        </w:rPr>
        <w:t xml:space="preserve">[19] Salo-Chydenius, </w:t>
      </w:r>
      <w:proofErr w:type="gramStart"/>
      <w:r w:rsidRPr="00F81C28">
        <w:rPr>
          <w:rFonts w:eastAsia="Segoe UI"/>
          <w:color w:val="auto"/>
          <w:szCs w:val="21"/>
        </w:rPr>
        <w:t>S. .</w:t>
      </w:r>
      <w:proofErr w:type="gramEnd"/>
      <w:r w:rsidRPr="00F81C28">
        <w:rPr>
          <w:rFonts w:eastAsia="Segoe UI"/>
          <w:color w:val="auto"/>
          <w:szCs w:val="21"/>
        </w:rPr>
        <w:t xml:space="preserve"> Motivoiva haastattelu/ Motivoiva toimintatapa. </w:t>
      </w:r>
      <w:r w:rsidRPr="00F81C28">
        <w:rPr>
          <w:rFonts w:eastAsia="Segoe UI"/>
          <w:color w:val="auto"/>
          <w:szCs w:val="21"/>
          <w:lang w:val="en-GB"/>
        </w:rPr>
        <w:t xml:space="preserve">[Motivational interview/Motivational method] </w:t>
      </w:r>
      <w:proofErr w:type="gramStart"/>
      <w:r w:rsidRPr="00F81C28">
        <w:rPr>
          <w:rFonts w:eastAsia="Segoe UI"/>
          <w:color w:val="auto"/>
          <w:szCs w:val="21"/>
          <w:lang w:val="en-GB"/>
        </w:rPr>
        <w:t>Päihdelinkki.fi .A</w:t>
      </w:r>
      <w:proofErr w:type="gramEnd"/>
      <w:r w:rsidRPr="00F81C28">
        <w:rPr>
          <w:rFonts w:eastAsia="Segoe UI"/>
          <w:color w:val="auto"/>
          <w:szCs w:val="21"/>
          <w:lang w:val="en-GB"/>
        </w:rPr>
        <w:t>-</w:t>
      </w:r>
      <w:proofErr w:type="spellStart"/>
      <w:r w:rsidRPr="00F81C28">
        <w:rPr>
          <w:rFonts w:eastAsia="Segoe UI"/>
          <w:color w:val="auto"/>
          <w:szCs w:val="21"/>
          <w:lang w:val="en-GB"/>
        </w:rPr>
        <w:t>klinikkasäätiö</w:t>
      </w:r>
      <w:proofErr w:type="spellEnd"/>
      <w:r w:rsidRPr="00F81C28">
        <w:rPr>
          <w:rFonts w:eastAsia="Segoe UI"/>
          <w:color w:val="auto"/>
          <w:szCs w:val="21"/>
          <w:lang w:val="en-GB"/>
        </w:rPr>
        <w:t xml:space="preserve">, June, 2010. </w:t>
      </w:r>
      <w:hyperlink r:id="rId17" w:history="1">
        <w:r w:rsidRPr="00F81C28">
          <w:rPr>
            <w:rFonts w:eastAsia="Segoe UI"/>
            <w:color w:val="auto"/>
            <w:szCs w:val="21"/>
            <w:u w:val="single"/>
            <w:lang w:val="en-GB"/>
          </w:rPr>
          <w:t>http://www.paihdelinkki.fi/fi/tietopankki/tietoiskut/paihdetyon-menetelmat-ja-koulutus/motivoiva-haastattelu-motivoiva</w:t>
        </w:r>
      </w:hyperlink>
    </w:p>
    <w:p w14:paraId="1CD1C1C4" w14:textId="77777777" w:rsidR="00CA787C" w:rsidRPr="00F81C28" w:rsidRDefault="00CA787C" w:rsidP="00CA787C">
      <w:pPr>
        <w:spacing w:line="276" w:lineRule="auto"/>
        <w:jc w:val="left"/>
        <w:rPr>
          <w:color w:val="auto"/>
        </w:rPr>
      </w:pPr>
      <w:r w:rsidRPr="00F81C28">
        <w:rPr>
          <w:rFonts w:eastAsia="Segoe UI"/>
          <w:color w:val="auto"/>
          <w:szCs w:val="21"/>
        </w:rPr>
        <w:t>[20] Lahti, J, Rakkolainen M &amp; Koski-</w:t>
      </w:r>
      <w:proofErr w:type="spellStart"/>
      <w:r w:rsidRPr="00F81C28">
        <w:rPr>
          <w:rFonts w:eastAsia="Segoe UI"/>
          <w:color w:val="auto"/>
          <w:szCs w:val="21"/>
        </w:rPr>
        <w:t>Jännes</w:t>
      </w:r>
      <w:proofErr w:type="spellEnd"/>
      <w:r w:rsidRPr="00F81C28">
        <w:rPr>
          <w:rFonts w:eastAsia="Segoe UI"/>
          <w:color w:val="auto"/>
          <w:szCs w:val="21"/>
        </w:rPr>
        <w:t xml:space="preserve"> A.  Motivoiva haastattelu kaksoisdiagnoosipotilaiden hoidossa. [</w:t>
      </w:r>
      <w:proofErr w:type="spellStart"/>
      <w:r w:rsidRPr="00F81C28">
        <w:rPr>
          <w:rFonts w:eastAsia="Segoe UI"/>
          <w:color w:val="auto"/>
          <w:szCs w:val="21"/>
        </w:rPr>
        <w:t>Motivational</w:t>
      </w:r>
      <w:proofErr w:type="spellEnd"/>
      <w:r w:rsidRPr="00F81C28">
        <w:rPr>
          <w:rFonts w:eastAsia="Segoe UI"/>
          <w:color w:val="auto"/>
          <w:szCs w:val="21"/>
        </w:rPr>
        <w:t xml:space="preserve"> </w:t>
      </w:r>
      <w:proofErr w:type="spellStart"/>
      <w:r w:rsidRPr="00F81C28">
        <w:rPr>
          <w:rFonts w:eastAsia="Segoe UI"/>
          <w:color w:val="auto"/>
          <w:szCs w:val="21"/>
        </w:rPr>
        <w:t>interview</w:t>
      </w:r>
      <w:proofErr w:type="spellEnd"/>
      <w:r w:rsidRPr="00F81C28">
        <w:rPr>
          <w:rFonts w:eastAsia="Segoe UI"/>
          <w:color w:val="auto"/>
          <w:szCs w:val="21"/>
        </w:rPr>
        <w:t xml:space="preserve"> in </w:t>
      </w:r>
      <w:proofErr w:type="spellStart"/>
      <w:r w:rsidRPr="00F81C28">
        <w:rPr>
          <w:rFonts w:eastAsia="Segoe UI"/>
          <w:color w:val="auto"/>
          <w:szCs w:val="21"/>
        </w:rPr>
        <w:t>treatment</w:t>
      </w:r>
      <w:proofErr w:type="spellEnd"/>
      <w:r w:rsidRPr="00F81C28">
        <w:rPr>
          <w:rFonts w:eastAsia="Segoe UI"/>
          <w:color w:val="auto"/>
          <w:szCs w:val="21"/>
        </w:rPr>
        <w:t xml:space="preserve"> of </w:t>
      </w:r>
      <w:proofErr w:type="spellStart"/>
      <w:r w:rsidRPr="00F81C28">
        <w:rPr>
          <w:rFonts w:eastAsia="Segoe UI"/>
          <w:color w:val="auto"/>
          <w:szCs w:val="21"/>
        </w:rPr>
        <w:t>dual</w:t>
      </w:r>
      <w:proofErr w:type="spellEnd"/>
      <w:r w:rsidRPr="00F81C28">
        <w:rPr>
          <w:rFonts w:eastAsia="Segoe UI"/>
          <w:color w:val="auto"/>
          <w:szCs w:val="21"/>
        </w:rPr>
        <w:t xml:space="preserve"> </w:t>
      </w:r>
      <w:proofErr w:type="spellStart"/>
      <w:r w:rsidRPr="00F81C28">
        <w:rPr>
          <w:rFonts w:eastAsia="Segoe UI"/>
          <w:color w:val="auto"/>
          <w:szCs w:val="21"/>
        </w:rPr>
        <w:t>diagnosed</w:t>
      </w:r>
      <w:proofErr w:type="spellEnd"/>
      <w:r w:rsidRPr="00F81C28">
        <w:rPr>
          <w:rFonts w:eastAsia="Segoe UI"/>
          <w:color w:val="auto"/>
          <w:szCs w:val="21"/>
        </w:rPr>
        <w:t xml:space="preserve"> </w:t>
      </w:r>
      <w:proofErr w:type="spellStart"/>
      <w:r w:rsidRPr="00F81C28">
        <w:rPr>
          <w:rFonts w:eastAsia="Segoe UI"/>
          <w:color w:val="auto"/>
          <w:szCs w:val="21"/>
        </w:rPr>
        <w:t>patient</w:t>
      </w:r>
      <w:proofErr w:type="spellEnd"/>
      <w:r w:rsidRPr="00F81C28">
        <w:rPr>
          <w:rFonts w:eastAsia="Segoe UI"/>
          <w:color w:val="auto"/>
          <w:szCs w:val="21"/>
        </w:rPr>
        <w:t xml:space="preserve">] Duodecim, vol. 129, 2013, </w:t>
      </w:r>
      <w:proofErr w:type="spellStart"/>
      <w:r w:rsidRPr="00F81C28">
        <w:rPr>
          <w:rFonts w:eastAsia="Segoe UI"/>
          <w:color w:val="auto"/>
          <w:szCs w:val="21"/>
        </w:rPr>
        <w:t>pp</w:t>
      </w:r>
      <w:proofErr w:type="spellEnd"/>
      <w:r w:rsidRPr="00F81C28">
        <w:rPr>
          <w:rFonts w:eastAsia="Segoe UI"/>
          <w:color w:val="auto"/>
          <w:szCs w:val="21"/>
        </w:rPr>
        <w:t>. 2063–8.</w:t>
      </w:r>
    </w:p>
    <w:p w14:paraId="360333E0" w14:textId="77777777" w:rsidR="00CA787C" w:rsidRPr="00F81C28" w:rsidRDefault="00CA787C" w:rsidP="00CA787C">
      <w:pPr>
        <w:spacing w:line="276" w:lineRule="auto"/>
        <w:jc w:val="left"/>
        <w:rPr>
          <w:color w:val="auto"/>
          <w:lang w:val="en-US"/>
        </w:rPr>
      </w:pPr>
      <w:r w:rsidRPr="00F81C28">
        <w:rPr>
          <w:rFonts w:eastAsia="Segoe UI"/>
          <w:color w:val="auto"/>
          <w:szCs w:val="21"/>
        </w:rPr>
        <w:t xml:space="preserve">[21] Miller WR, </w:t>
      </w:r>
      <w:proofErr w:type="spellStart"/>
      <w:r w:rsidRPr="00F81C28">
        <w:rPr>
          <w:rFonts w:eastAsia="Segoe UI"/>
          <w:color w:val="auto"/>
          <w:szCs w:val="21"/>
        </w:rPr>
        <w:t>Rollnick</w:t>
      </w:r>
      <w:proofErr w:type="spellEnd"/>
      <w:r w:rsidRPr="00F81C28">
        <w:rPr>
          <w:rFonts w:eastAsia="Segoe UI"/>
          <w:color w:val="auto"/>
          <w:szCs w:val="21"/>
        </w:rPr>
        <w:t xml:space="preserve"> S. </w:t>
      </w:r>
      <w:proofErr w:type="spellStart"/>
      <w:r w:rsidRPr="00F81C28">
        <w:rPr>
          <w:rFonts w:eastAsia="Segoe UI"/>
          <w:color w:val="auto"/>
          <w:szCs w:val="21"/>
        </w:rPr>
        <w:t>Motivational</w:t>
      </w:r>
      <w:proofErr w:type="spellEnd"/>
      <w:r w:rsidRPr="00F81C28">
        <w:rPr>
          <w:rFonts w:eastAsia="Segoe UI"/>
          <w:color w:val="auto"/>
          <w:szCs w:val="21"/>
        </w:rPr>
        <w:t xml:space="preserve"> </w:t>
      </w:r>
      <w:proofErr w:type="spellStart"/>
      <w:r w:rsidRPr="00F81C28">
        <w:rPr>
          <w:rFonts w:eastAsia="Segoe UI"/>
          <w:color w:val="auto"/>
          <w:szCs w:val="21"/>
        </w:rPr>
        <w:t>interviewing</w:t>
      </w:r>
      <w:proofErr w:type="spellEnd"/>
      <w:r w:rsidRPr="00F81C28">
        <w:rPr>
          <w:rFonts w:eastAsia="Segoe UI"/>
          <w:color w:val="auto"/>
          <w:szCs w:val="21"/>
        </w:rPr>
        <w:t xml:space="preserve">. </w:t>
      </w:r>
      <w:r w:rsidRPr="00F81C28">
        <w:rPr>
          <w:rFonts w:eastAsia="Segoe UI"/>
          <w:color w:val="auto"/>
          <w:szCs w:val="21"/>
          <w:lang w:val="en-GB"/>
        </w:rPr>
        <w:t xml:space="preserve">Helping people change. New York: Guilford Press. Rogers EM. Diffusion of Innovations. 5th edition. A </w:t>
      </w:r>
      <w:proofErr w:type="spellStart"/>
      <w:r w:rsidRPr="00F81C28">
        <w:rPr>
          <w:rFonts w:eastAsia="Segoe UI"/>
          <w:color w:val="auto"/>
          <w:szCs w:val="21"/>
          <w:lang w:val="en-GB"/>
        </w:rPr>
        <w:t>Divison</w:t>
      </w:r>
      <w:proofErr w:type="spellEnd"/>
      <w:r w:rsidRPr="00F81C28">
        <w:rPr>
          <w:rFonts w:eastAsia="Segoe UI"/>
          <w:color w:val="auto"/>
          <w:szCs w:val="21"/>
          <w:lang w:val="en-GB"/>
        </w:rPr>
        <w:t xml:space="preserve"> of Macmillan. Publishing Co. New York, 2003.</w:t>
      </w:r>
    </w:p>
    <w:p w14:paraId="33E9F0A4" w14:textId="77777777" w:rsidR="00CA787C" w:rsidRPr="00F81C28" w:rsidRDefault="00CA787C" w:rsidP="00CA787C">
      <w:pPr>
        <w:spacing w:line="276" w:lineRule="auto"/>
        <w:jc w:val="left"/>
        <w:rPr>
          <w:color w:val="auto"/>
          <w:lang w:val="en-US"/>
        </w:rPr>
      </w:pPr>
      <w:r w:rsidRPr="00F81C28">
        <w:rPr>
          <w:rFonts w:eastAsia="Segoe UI"/>
          <w:color w:val="auto"/>
          <w:szCs w:val="21"/>
          <w:lang w:val="en-US"/>
        </w:rPr>
        <w:t xml:space="preserve">[22] </w:t>
      </w:r>
      <w:proofErr w:type="spellStart"/>
      <w:r w:rsidRPr="00F81C28">
        <w:rPr>
          <w:rFonts w:eastAsia="Segoe UI"/>
          <w:color w:val="auto"/>
          <w:szCs w:val="21"/>
          <w:lang w:val="en-US"/>
        </w:rPr>
        <w:t>Weiste</w:t>
      </w:r>
      <w:proofErr w:type="spellEnd"/>
      <w:r w:rsidRPr="00F81C28">
        <w:rPr>
          <w:rFonts w:eastAsia="Segoe UI"/>
          <w:color w:val="auto"/>
          <w:szCs w:val="21"/>
          <w:lang w:val="en-US"/>
        </w:rPr>
        <w:t xml:space="preserve">, E., </w:t>
      </w:r>
      <w:proofErr w:type="spellStart"/>
      <w:r w:rsidRPr="00F81C28">
        <w:rPr>
          <w:rFonts w:eastAsia="Segoe UI"/>
          <w:color w:val="auto"/>
          <w:szCs w:val="21"/>
          <w:lang w:val="en-US"/>
        </w:rPr>
        <w:t>Vehviläinen</w:t>
      </w:r>
      <w:proofErr w:type="spellEnd"/>
      <w:r w:rsidRPr="00F81C28">
        <w:rPr>
          <w:rFonts w:eastAsia="Segoe UI"/>
          <w:color w:val="auto"/>
          <w:szCs w:val="21"/>
          <w:lang w:val="en-US"/>
        </w:rPr>
        <w:t xml:space="preserve">, S., Leino, T. &amp; Laitinen, J.  </w:t>
      </w:r>
      <w:r w:rsidRPr="00F81C28">
        <w:rPr>
          <w:rFonts w:eastAsia="Segoe UI"/>
          <w:color w:val="auto"/>
          <w:szCs w:val="21"/>
        </w:rPr>
        <w:t xml:space="preserve">Ohjauksen vuorovaikutuskäytänteet työterveystarkastuksissa: vertailu ennen koulutusinterventiota ja sen jälkeen. </w:t>
      </w:r>
      <w:r w:rsidRPr="00F81C28">
        <w:rPr>
          <w:rFonts w:eastAsia="Segoe UI"/>
          <w:color w:val="auto"/>
          <w:szCs w:val="21"/>
          <w:lang w:val="en-GB"/>
        </w:rPr>
        <w:t xml:space="preserve">[Interaction practices of guidance in occupational health examinations: comparison before training intervention and after] </w:t>
      </w:r>
      <w:proofErr w:type="spellStart"/>
      <w:r w:rsidRPr="00F81C28">
        <w:rPr>
          <w:rFonts w:eastAsia="Segoe UI"/>
          <w:color w:val="auto"/>
          <w:szCs w:val="21"/>
          <w:lang w:val="en-GB"/>
        </w:rPr>
        <w:t>Psykologia</w:t>
      </w:r>
      <w:proofErr w:type="spellEnd"/>
      <w:r w:rsidRPr="00F81C28">
        <w:rPr>
          <w:rFonts w:eastAsia="Segoe UI"/>
          <w:color w:val="auto"/>
          <w:szCs w:val="21"/>
          <w:lang w:val="en-GB"/>
        </w:rPr>
        <w:t>, vol. 53, 2018, pp. 341-357.</w:t>
      </w:r>
    </w:p>
    <w:p w14:paraId="30C19C5F" w14:textId="77777777" w:rsidR="00CA787C" w:rsidRPr="00F81C28" w:rsidRDefault="00CA787C" w:rsidP="00CA787C">
      <w:pPr>
        <w:spacing w:line="276" w:lineRule="auto"/>
        <w:jc w:val="left"/>
        <w:rPr>
          <w:color w:val="auto"/>
          <w:lang w:val="en-US"/>
        </w:rPr>
      </w:pPr>
      <w:r w:rsidRPr="00F81C28">
        <w:rPr>
          <w:rFonts w:eastAsia="Segoe UI"/>
          <w:color w:val="auto"/>
          <w:szCs w:val="21"/>
        </w:rPr>
        <w:t xml:space="preserve">[23] Tuomi, J. &amp; Sarajärvi., A.  Laadullinen tutkimus ja sisällönanalyysi. </w:t>
      </w:r>
      <w:r w:rsidRPr="00F81C28">
        <w:rPr>
          <w:rFonts w:eastAsia="Segoe UI"/>
          <w:color w:val="auto"/>
          <w:szCs w:val="21"/>
          <w:lang w:val="en-GB"/>
        </w:rPr>
        <w:t>[Qualitative research and content analysis] Helsinki: Tammi Publishers, 2013.</w:t>
      </w:r>
    </w:p>
    <w:p w14:paraId="0E98A55B"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[24] Good Occupational Health Practice. </w:t>
      </w:r>
      <w:proofErr w:type="spellStart"/>
      <w:r w:rsidRPr="00F81C28">
        <w:rPr>
          <w:rFonts w:eastAsia="Segoe UI"/>
          <w:color w:val="auto"/>
          <w:szCs w:val="21"/>
          <w:lang w:val="en-GB"/>
        </w:rPr>
        <w:t>Uitti</w:t>
      </w:r>
      <w:proofErr w:type="spellEnd"/>
      <w:r w:rsidRPr="00F81C28">
        <w:rPr>
          <w:rFonts w:eastAsia="Segoe UI"/>
          <w:color w:val="auto"/>
          <w:szCs w:val="21"/>
          <w:lang w:val="en-GB"/>
        </w:rPr>
        <w:t xml:space="preserve"> J. (ed.) Finnish Institute of Occupational Health, 2014.</w:t>
      </w:r>
    </w:p>
    <w:p w14:paraId="110C5A6B"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[25</w:t>
      </w:r>
      <w:proofErr w:type="gramStart"/>
      <w:r w:rsidRPr="00F81C28">
        <w:rPr>
          <w:rFonts w:eastAsia="Segoe UI"/>
          <w:color w:val="auto"/>
          <w:szCs w:val="21"/>
          <w:lang w:val="en-GB"/>
        </w:rPr>
        <w:t>]  Government</w:t>
      </w:r>
      <w:proofErr w:type="gramEnd"/>
      <w:r w:rsidRPr="00F81C28">
        <w:rPr>
          <w:rFonts w:eastAsia="Segoe UI"/>
          <w:color w:val="auto"/>
          <w:szCs w:val="21"/>
          <w:lang w:val="en-GB"/>
        </w:rPr>
        <w:t xml:space="preserve"> Decree on the principles of good occupational health care practice, the content of occupational health care and the qualifications of professionals and experts 708/2013 https://www.finlex.fi/fi/laki/alkup/2013/20130708#Pidp446539248</w:t>
      </w:r>
    </w:p>
    <w:p w14:paraId="21F583DA"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 </w:t>
      </w:r>
      <w:r w:rsidRPr="00F81C28">
        <w:rPr>
          <w:rFonts w:eastAsia="Segoe UI"/>
          <w:color w:val="auto"/>
          <w:szCs w:val="21"/>
        </w:rPr>
        <w:t xml:space="preserve">[26] Järvikoski, A., Takala, EP., Juvonen-Posti, P. &amp; Härkäpää, K. Työkyvyn käsite ja työkykymallit kuntoutuksen tutkimuksessa ja käytännöissä. </w:t>
      </w:r>
      <w:r w:rsidRPr="00F81C28">
        <w:rPr>
          <w:rFonts w:eastAsia="Segoe UI"/>
          <w:color w:val="auto"/>
          <w:szCs w:val="21"/>
          <w:lang w:val="en-GB"/>
        </w:rPr>
        <w:t>[The concept of work ability and work ability models in the research and models of rehabilitation] The Social Insurance Institution of Finland publications on social and health protection 13 Helsinki: The Social Insurance Institution of Finland, 2018</w:t>
      </w:r>
    </w:p>
    <w:p w14:paraId="62D018E3"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lastRenderedPageBreak/>
        <w:t xml:space="preserve">[27] Stone DL, </w:t>
      </w:r>
      <w:proofErr w:type="spellStart"/>
      <w:r w:rsidRPr="00F81C28">
        <w:rPr>
          <w:rFonts w:eastAsia="Segoe UI"/>
          <w:color w:val="auto"/>
          <w:szCs w:val="21"/>
          <w:lang w:val="en-GB"/>
        </w:rPr>
        <w:t>Lukaszewski</w:t>
      </w:r>
      <w:proofErr w:type="spellEnd"/>
      <w:r w:rsidRPr="00F81C28">
        <w:rPr>
          <w:rFonts w:eastAsia="Segoe UI"/>
          <w:color w:val="auto"/>
          <w:szCs w:val="21"/>
          <w:lang w:val="en-GB"/>
        </w:rPr>
        <w:t xml:space="preserve"> KM, Stone-Romero EF &amp; Johnson TL. Factors affecting the effectiveness and acceptance of electronic selection systems. Human Resource Management Review, vol. 23, no. 1, 2013, pp. 50-70.</w:t>
      </w:r>
    </w:p>
    <w:p w14:paraId="64579C5F"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[28] Davis F. Perceived Usefulness, Perceived Ease of Use, and User Acceptance of Information Technology. MIS Quarterly, vol. 13, no. 3, 1989, pp. 319-340.</w:t>
      </w:r>
    </w:p>
    <w:p w14:paraId="1016D589" w14:textId="77777777" w:rsidR="00CA787C" w:rsidRPr="00F81C28" w:rsidRDefault="00CA787C" w:rsidP="00CA787C">
      <w:pPr>
        <w:spacing w:line="276" w:lineRule="auto"/>
        <w:jc w:val="left"/>
        <w:rPr>
          <w:color w:val="auto"/>
          <w:lang w:val="en-US"/>
        </w:rPr>
      </w:pPr>
      <w:r w:rsidRPr="00F81C28">
        <w:rPr>
          <w:rFonts w:eastAsia="Segoe UI"/>
          <w:color w:val="auto"/>
          <w:szCs w:val="21"/>
          <w:lang w:val="en-GB"/>
        </w:rPr>
        <w:t xml:space="preserve">[29] Hu, OJ, Chau, PYK, Liu Sheng OR, Yan Tam, K.  Examining the technology acceptance model using physician acceptance of telemedicine technology. J Manage Inform </w:t>
      </w:r>
      <w:proofErr w:type="spellStart"/>
      <w:r w:rsidRPr="00F81C28">
        <w:rPr>
          <w:rFonts w:eastAsia="Segoe UI"/>
          <w:color w:val="auto"/>
          <w:szCs w:val="21"/>
          <w:lang w:val="en-GB"/>
        </w:rPr>
        <w:t>Syst</w:t>
      </w:r>
      <w:proofErr w:type="spellEnd"/>
      <w:r w:rsidRPr="00F81C28">
        <w:rPr>
          <w:rFonts w:eastAsia="Segoe UI"/>
          <w:color w:val="auto"/>
          <w:szCs w:val="21"/>
          <w:lang w:val="en-GB"/>
        </w:rPr>
        <w:t>, vol. 19, no. 2, 1999, pp. 91-112. https://doi.org/10.1080/07421222.1999.11518247</w:t>
      </w:r>
    </w:p>
    <w:p w14:paraId="570AA742" w14:textId="77777777" w:rsidR="00D83C75" w:rsidRPr="00F81C28" w:rsidRDefault="00F83095">
      <w:pPr>
        <w:rPr>
          <w:color w:val="auto"/>
          <w:lang w:val="en-US"/>
        </w:rPr>
      </w:pPr>
    </w:p>
    <w:sectPr w:rsidR="00D83C75" w:rsidRPr="00F81C2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7C1B" w14:textId="77777777" w:rsidR="00E41BE3" w:rsidRDefault="00DD0FC5">
      <w:pPr>
        <w:spacing w:after="0" w:line="240" w:lineRule="auto"/>
      </w:pPr>
      <w:r>
        <w:separator/>
      </w:r>
    </w:p>
  </w:endnote>
  <w:endnote w:type="continuationSeparator" w:id="0">
    <w:p w14:paraId="0153ABD9" w14:textId="77777777" w:rsidR="00E41BE3" w:rsidRDefault="00DD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0933" w14:textId="77777777" w:rsidR="00E41BE3" w:rsidRDefault="00DD0FC5">
      <w:pPr>
        <w:spacing w:after="0" w:line="240" w:lineRule="auto"/>
      </w:pPr>
      <w:r>
        <w:separator/>
      </w:r>
    </w:p>
  </w:footnote>
  <w:footnote w:type="continuationSeparator" w:id="0">
    <w:p w14:paraId="07197BEC" w14:textId="77777777" w:rsidR="00E41BE3" w:rsidRDefault="00DD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784249"/>
      <w:docPartObj>
        <w:docPartGallery w:val="Page Numbers (Top of Page)"/>
        <w:docPartUnique/>
      </w:docPartObj>
    </w:sdtPr>
    <w:sdtEndPr>
      <w:rPr>
        <w:noProof/>
      </w:rPr>
    </w:sdtEndPr>
    <w:sdtContent>
      <w:p w14:paraId="41BA661A" w14:textId="77777777" w:rsidR="00DB71A4" w:rsidRDefault="00CA787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6EBC2F2" w14:textId="77777777" w:rsidR="00DB71A4" w:rsidRDefault="00F83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7C"/>
    <w:rsid w:val="00044684"/>
    <w:rsid w:val="000D6DFF"/>
    <w:rsid w:val="000F3466"/>
    <w:rsid w:val="002277D4"/>
    <w:rsid w:val="00345BC4"/>
    <w:rsid w:val="0068294F"/>
    <w:rsid w:val="00843B5B"/>
    <w:rsid w:val="0088329D"/>
    <w:rsid w:val="00A01556"/>
    <w:rsid w:val="00B036D6"/>
    <w:rsid w:val="00BB3096"/>
    <w:rsid w:val="00BE23CF"/>
    <w:rsid w:val="00CA787C"/>
    <w:rsid w:val="00D33083"/>
    <w:rsid w:val="00DD0FC5"/>
    <w:rsid w:val="00E41BE3"/>
    <w:rsid w:val="00F72876"/>
    <w:rsid w:val="00F81C28"/>
    <w:rsid w:val="00F830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EB61"/>
  <w15:chartTrackingRefBased/>
  <w15:docId w15:val="{92549FEB-12E5-4843-95A2-8A7AA699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87C"/>
    <w:pPr>
      <w:spacing w:after="120" w:line="280" w:lineRule="exact"/>
      <w:jc w:val="both"/>
    </w:pPr>
    <w:rPr>
      <w:rFonts w:ascii="Segoe UI" w:eastAsia="Cambria" w:hAnsi="Segoe UI" w:cs="Times New Roman"/>
      <w:color w:val="131313"/>
      <w:spacing w:val="-6"/>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TL Taulukko"/>
    <w:basedOn w:val="TableNormal"/>
    <w:uiPriority w:val="39"/>
    <w:rsid w:val="00CA787C"/>
    <w:pPr>
      <w:suppressAutoHyphens/>
      <w:spacing w:after="0" w:line="240" w:lineRule="auto"/>
    </w:pPr>
    <w:rPr>
      <w:rFonts w:ascii="Verdana" w:eastAsia="Cambria" w:hAnsi="Verdana" w:cs="Times New Roman"/>
      <w:sz w:val="20"/>
      <w:szCs w:val="20"/>
      <w:lang w:eastAsia="fi-FI"/>
    </w:rPr>
    <w:tblPr>
      <w:tblBorders>
        <w:top w:val="single" w:sz="2" w:space="0" w:color="auto"/>
        <w:bottom w:val="single" w:sz="2" w:space="0" w:color="auto"/>
      </w:tblBorders>
      <w:tblCellMar>
        <w:left w:w="0" w:type="dxa"/>
        <w:right w:w="0" w:type="dxa"/>
      </w:tblCellMar>
    </w:tblPr>
    <w:trPr>
      <w:cantSplit/>
    </w:trPr>
    <w:tcPr>
      <w:tcMar>
        <w:top w:w="28" w:type="dxa"/>
        <w:left w:w="28" w:type="dxa"/>
        <w:bottom w:w="0" w:type="dxa"/>
        <w:right w:w="28" w:type="dxa"/>
      </w:tcMar>
    </w:tcPr>
    <w:tblStylePr w:type="firstRow">
      <w:pPr>
        <w:wordWrap/>
        <w:jc w:val="left"/>
      </w:pPr>
      <w:rPr>
        <w:b/>
      </w:rPr>
      <w:tblPr/>
      <w:tcPr>
        <w:tcBorders>
          <w:top w:val="single" w:sz="4" w:space="0" w:color="000000"/>
          <w:left w:val="nil"/>
          <w:bottom w:val="single" w:sz="4" w:space="0" w:color="000000"/>
          <w:right w:val="nil"/>
          <w:insideH w:val="nil"/>
          <w:insideV w:val="nil"/>
          <w:tl2br w:val="nil"/>
          <w:tr2bl w:val="nil"/>
        </w:tcBorders>
      </w:tcPr>
    </w:tblStylePr>
  </w:style>
  <w:style w:type="paragraph" w:styleId="Header">
    <w:name w:val="header"/>
    <w:basedOn w:val="Normal"/>
    <w:link w:val="HeaderChar"/>
    <w:uiPriority w:val="99"/>
    <w:unhideWhenUsed/>
    <w:rsid w:val="00CA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87C"/>
    <w:rPr>
      <w:rFonts w:ascii="Segoe UI" w:eastAsia="Cambria" w:hAnsi="Segoe UI" w:cs="Times New Roman"/>
      <w:color w:val="131313"/>
      <w:spacing w:val="-6"/>
      <w:sz w:val="21"/>
      <w:szCs w:val="24"/>
    </w:rPr>
  </w:style>
  <w:style w:type="character" w:styleId="CommentReference">
    <w:name w:val="annotation reference"/>
    <w:basedOn w:val="DefaultParagraphFont"/>
    <w:uiPriority w:val="99"/>
    <w:semiHidden/>
    <w:unhideWhenUsed/>
    <w:rsid w:val="00CA787C"/>
    <w:rPr>
      <w:sz w:val="16"/>
      <w:szCs w:val="16"/>
    </w:rPr>
  </w:style>
  <w:style w:type="paragraph" w:styleId="CommentText">
    <w:name w:val="annotation text"/>
    <w:basedOn w:val="Normal"/>
    <w:link w:val="CommentTextChar"/>
    <w:uiPriority w:val="99"/>
    <w:semiHidden/>
    <w:unhideWhenUsed/>
    <w:rsid w:val="00CA787C"/>
    <w:pPr>
      <w:spacing w:line="240" w:lineRule="auto"/>
    </w:pPr>
    <w:rPr>
      <w:sz w:val="20"/>
      <w:szCs w:val="20"/>
    </w:rPr>
  </w:style>
  <w:style w:type="character" w:customStyle="1" w:styleId="CommentTextChar">
    <w:name w:val="Comment Text Char"/>
    <w:basedOn w:val="DefaultParagraphFont"/>
    <w:link w:val="CommentText"/>
    <w:uiPriority w:val="99"/>
    <w:semiHidden/>
    <w:rsid w:val="00CA787C"/>
    <w:rPr>
      <w:rFonts w:ascii="Segoe UI" w:eastAsia="Cambria" w:hAnsi="Segoe UI" w:cs="Times New Roman"/>
      <w:color w:val="131313"/>
      <w:spacing w:val="-6"/>
      <w:sz w:val="20"/>
      <w:szCs w:val="20"/>
    </w:rPr>
  </w:style>
  <w:style w:type="character" w:styleId="Hyperlink">
    <w:name w:val="Hyperlink"/>
    <w:basedOn w:val="DefaultParagraphFont"/>
    <w:uiPriority w:val="99"/>
    <w:unhideWhenUsed/>
    <w:rsid w:val="00CA787C"/>
    <w:rPr>
      <w:color w:val="0563C1" w:themeColor="hyperlink"/>
      <w:u w:val="single"/>
    </w:rPr>
  </w:style>
  <w:style w:type="table" w:customStyle="1" w:styleId="TableGrid1">
    <w:name w:val="Table Grid1"/>
    <w:basedOn w:val="TableNormal"/>
    <w:next w:val="TableGrid"/>
    <w:uiPriority w:val="39"/>
    <w:rsid w:val="00CA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787C"/>
    <w:pPr>
      <w:spacing w:before="100" w:beforeAutospacing="1" w:after="100" w:afterAutospacing="1" w:line="240" w:lineRule="auto"/>
      <w:jc w:val="left"/>
    </w:pPr>
    <w:rPr>
      <w:rFonts w:ascii="Times New Roman" w:eastAsia="Times New Roman" w:hAnsi="Times New Roman"/>
      <w:color w:val="auto"/>
      <w:spacing w:val="0"/>
      <w:sz w:val="24"/>
      <w:lang w:eastAsia="fi-FI"/>
    </w:rPr>
  </w:style>
  <w:style w:type="paragraph" w:styleId="BalloonText">
    <w:name w:val="Balloon Text"/>
    <w:basedOn w:val="Normal"/>
    <w:link w:val="BalloonTextChar"/>
    <w:uiPriority w:val="99"/>
    <w:semiHidden/>
    <w:unhideWhenUsed/>
    <w:rsid w:val="00CA787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A787C"/>
    <w:rPr>
      <w:rFonts w:ascii="Segoe UI" w:eastAsia="Cambria" w:hAnsi="Segoe UI" w:cs="Segoe UI"/>
      <w:color w:val="131313"/>
      <w:spacing w:val="-6"/>
      <w:sz w:val="18"/>
      <w:szCs w:val="18"/>
    </w:rPr>
  </w:style>
  <w:style w:type="paragraph" w:styleId="CommentSubject">
    <w:name w:val="annotation subject"/>
    <w:basedOn w:val="CommentText"/>
    <w:next w:val="CommentText"/>
    <w:link w:val="CommentSubjectChar"/>
    <w:uiPriority w:val="99"/>
    <w:semiHidden/>
    <w:unhideWhenUsed/>
    <w:rsid w:val="002277D4"/>
    <w:rPr>
      <w:b/>
      <w:bCs/>
    </w:rPr>
  </w:style>
  <w:style w:type="character" w:customStyle="1" w:styleId="CommentSubjectChar">
    <w:name w:val="Comment Subject Char"/>
    <w:basedOn w:val="CommentTextChar"/>
    <w:link w:val="CommentSubject"/>
    <w:uiPriority w:val="99"/>
    <w:semiHidden/>
    <w:rsid w:val="002277D4"/>
    <w:rPr>
      <w:rFonts w:ascii="Segoe UI" w:eastAsia="Cambria" w:hAnsi="Segoe UI" w:cs="Times New Roman"/>
      <w:b/>
      <w:bCs/>
      <w:color w:val="131313"/>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lkup/2009/20090298" TargetMode="External"/><Relationship Id="rId13" Type="http://schemas.openxmlformats.org/officeDocument/2006/relationships/hyperlink" Target="http://plus.edilex.fi/kela/fi/lainsaadanto/20130708%20Luettu%204.2.2014"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inlex.fi/fi/laki/ajantasa/2010/20101326" TargetMode="External"/><Relationship Id="rId12" Type="http://schemas.openxmlformats.org/officeDocument/2006/relationships/hyperlink" Target="https://www.vtv.fi/app/uploads/2018/05/22105012/paljon-palveluja-tarvitsevat.pdf" TargetMode="External"/><Relationship Id="rId17" Type="http://schemas.openxmlformats.org/officeDocument/2006/relationships/hyperlink" Target="http://www.paihdelinkki.fi/fi/tietopankki/tietoiskut/paihdetyon-menetelmat-ja-koulutus/motivoiva-haastattelu-motivoiva" TargetMode="External"/><Relationship Id="rId2" Type="http://schemas.openxmlformats.org/officeDocument/2006/relationships/settings" Target="settings.xml"/><Relationship Id="rId16" Type="http://schemas.openxmlformats.org/officeDocument/2006/relationships/hyperlink" Target="https://doi.org/10.1111/j.1365-2702.2008.02377.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urn.fi/URN:ISBN:978-952-302-685-8" TargetMode="External"/><Relationship Id="rId5" Type="http://schemas.openxmlformats.org/officeDocument/2006/relationships/endnotes" Target="endnotes.xml"/><Relationship Id="rId15" Type="http://schemas.openxmlformats.org/officeDocument/2006/relationships/hyperlink" Target="https://www.tandfonline.com/doi/full/10.1080/17437199.2016.1151372" TargetMode="External"/><Relationship Id="rId10" Type="http://schemas.openxmlformats.org/officeDocument/2006/relationships/hyperlink" Target="http://www.julkari.fi/handle/10024/13149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hl.fi/documents/920442/3850406/THS_toiminnalliset+%20vaatimukset_V1.2.pdf/84da605d-dcc5-43bb-8de1-c95388a60576" TargetMode="External"/><Relationship Id="rId14" Type="http://schemas.openxmlformats.org/officeDocument/2006/relationships/hyperlink" Target="https://journals.plos.org/plosone/article?id=10.1371/journal.pone.0145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22445</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Leino Timo</dc:creator>
  <cp:keywords/>
  <dc:description/>
  <cp:lastModifiedBy>Lappalainen Kirsi</cp:lastModifiedBy>
  <cp:revision>2</cp:revision>
  <dcterms:created xsi:type="dcterms:W3CDTF">2019-12-09T07:19:00Z</dcterms:created>
  <dcterms:modified xsi:type="dcterms:W3CDTF">2019-12-09T07:19:00Z</dcterms:modified>
</cp:coreProperties>
</file>