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E7EF" w14:textId="77777777" w:rsidR="001B28D5" w:rsidRDefault="001B28D5" w:rsidP="004C6FB1">
      <w:pPr>
        <w:jc w:val="center"/>
        <w:rPr>
          <w:rFonts w:ascii="Times New Roman" w:hAnsi="Times New Roman"/>
          <w:b/>
          <w:sz w:val="36"/>
          <w:szCs w:val="28"/>
        </w:rPr>
      </w:pPr>
    </w:p>
    <w:p w14:paraId="6D756F46" w14:textId="6B7E485B" w:rsidR="009F74E1" w:rsidRPr="001B28D5" w:rsidRDefault="00003978" w:rsidP="004C6FB1">
      <w:pPr>
        <w:jc w:val="center"/>
        <w:rPr>
          <w:rFonts w:ascii="Times New Roman" w:eastAsia="標楷體" w:hAnsi="Times New Roman" w:cs="Times New Roman"/>
          <w:b/>
          <w:sz w:val="36"/>
          <w:szCs w:val="28"/>
        </w:rPr>
      </w:pPr>
      <w:r w:rsidRPr="00003978">
        <w:rPr>
          <w:rFonts w:ascii="Times New Roman" w:eastAsia="標楷體" w:hAnsi="Times New Roman" w:cs="Times New Roman"/>
          <w:b/>
          <w:sz w:val="36"/>
          <w:szCs w:val="28"/>
        </w:rPr>
        <w:t>An Exploration of Key Success Factors for Enterprises Implementing Online Education Training Based on the Unified Theory of Acceptance and Use of Technology</w:t>
      </w:r>
    </w:p>
    <w:p w14:paraId="3B989F08" w14:textId="77777777" w:rsidR="001B28D5" w:rsidRPr="001B28D5" w:rsidRDefault="001B28D5" w:rsidP="004C6FB1">
      <w:pPr>
        <w:jc w:val="center"/>
        <w:rPr>
          <w:rFonts w:ascii="Times New Roman" w:hAnsi="Times New Roman"/>
          <w:b/>
          <w:sz w:val="28"/>
          <w:szCs w:val="28"/>
        </w:rPr>
      </w:pPr>
    </w:p>
    <w:p w14:paraId="6919BC43" w14:textId="77777777" w:rsidR="001B28D5" w:rsidRDefault="001B28D5" w:rsidP="004C6FB1">
      <w:pPr>
        <w:jc w:val="center"/>
        <w:rPr>
          <w:rFonts w:ascii="Times New Roman" w:hAnsi="Times New Roman"/>
          <w:b/>
          <w:sz w:val="28"/>
          <w:szCs w:val="28"/>
        </w:rPr>
      </w:pPr>
    </w:p>
    <w:p w14:paraId="2B4B8155" w14:textId="7F59565D" w:rsidR="001B28D5" w:rsidRDefault="005E54B4" w:rsidP="001B28D5">
      <w:pPr>
        <w:jc w:val="center"/>
        <w:rPr>
          <w:rFonts w:ascii="Times New Roman" w:hAnsi="Times New Roman"/>
          <w:b/>
          <w:sz w:val="28"/>
          <w:szCs w:val="28"/>
          <w:vertAlign w:val="superscript"/>
        </w:rPr>
      </w:pPr>
      <w:r w:rsidRPr="005E54B4">
        <w:rPr>
          <w:rFonts w:ascii="Times New Roman" w:hAnsi="Times New Roman"/>
          <w:b/>
          <w:sz w:val="28"/>
          <w:szCs w:val="28"/>
        </w:rPr>
        <w:t xml:space="preserve">Li-Min Chuang </w:t>
      </w:r>
      <w:r w:rsidR="001B28D5" w:rsidRPr="00411162">
        <w:rPr>
          <w:rFonts w:ascii="Times New Roman" w:hAnsi="Times New Roman"/>
          <w:b/>
          <w:sz w:val="28"/>
          <w:szCs w:val="28"/>
          <w:vertAlign w:val="superscript"/>
        </w:rPr>
        <w:t>1</w:t>
      </w:r>
      <w:r w:rsidR="001324A4">
        <w:rPr>
          <w:rFonts w:ascii="Times New Roman" w:hAnsi="Times New Roman" w:hint="eastAsia"/>
          <w:b/>
          <w:sz w:val="28"/>
          <w:szCs w:val="28"/>
        </w:rPr>
        <w:t xml:space="preserve"> </w:t>
      </w:r>
      <w:r w:rsidR="001324A4">
        <w:rPr>
          <w:rFonts w:ascii="Times New Roman" w:hAnsi="Times New Roman"/>
          <w:b/>
          <w:sz w:val="28"/>
          <w:szCs w:val="28"/>
        </w:rPr>
        <w:t xml:space="preserve">and </w:t>
      </w:r>
      <w:r w:rsidRPr="005E54B4">
        <w:rPr>
          <w:rFonts w:ascii="Times New Roman" w:hAnsi="Times New Roman"/>
          <w:b/>
          <w:sz w:val="28"/>
          <w:szCs w:val="28"/>
        </w:rPr>
        <w:t xml:space="preserve">Hsiu-Hao Liu </w:t>
      </w:r>
      <w:r w:rsidR="001B28D5" w:rsidRPr="00411162">
        <w:rPr>
          <w:rFonts w:ascii="Times New Roman" w:hAnsi="Times New Roman"/>
          <w:b/>
          <w:sz w:val="28"/>
          <w:szCs w:val="28"/>
          <w:vertAlign w:val="superscript"/>
        </w:rPr>
        <w:t>2</w:t>
      </w:r>
      <w:r w:rsidR="008907D1">
        <w:rPr>
          <w:rFonts w:ascii="Times New Roman" w:hAnsi="Times New Roman" w:hint="eastAsia"/>
          <w:b/>
          <w:sz w:val="28"/>
          <w:szCs w:val="28"/>
          <w:vertAlign w:val="superscript"/>
        </w:rPr>
        <w:t>*</w:t>
      </w:r>
    </w:p>
    <w:p w14:paraId="0AAD6795" w14:textId="77777777" w:rsidR="001B28D5" w:rsidRPr="001324A4" w:rsidRDefault="001B28D5" w:rsidP="004C6FB1">
      <w:pPr>
        <w:jc w:val="center"/>
        <w:rPr>
          <w:rFonts w:ascii="Times New Roman" w:hAnsi="Times New Roman"/>
          <w:b/>
          <w:sz w:val="28"/>
          <w:szCs w:val="28"/>
        </w:rPr>
      </w:pPr>
    </w:p>
    <w:p w14:paraId="5189A0DD" w14:textId="3B189B6D" w:rsidR="009C20C3" w:rsidRPr="006252B3" w:rsidRDefault="006252B3" w:rsidP="004C6FB1">
      <w:pPr>
        <w:jc w:val="center"/>
        <w:rPr>
          <w:rFonts w:ascii="Times New Roman" w:eastAsia="標楷體" w:hAnsi="Times New Roman" w:cs="Times New Roman"/>
          <w:b/>
          <w:sz w:val="32"/>
          <w:szCs w:val="28"/>
        </w:rPr>
      </w:pPr>
      <w:r>
        <w:rPr>
          <w:rFonts w:ascii="Times New Roman" w:hAnsi="Times New Roman"/>
          <w:b/>
          <w:sz w:val="32"/>
          <w:szCs w:val="28"/>
        </w:rPr>
        <w:t>Abstract</w:t>
      </w:r>
    </w:p>
    <w:p w14:paraId="7B3F3684" w14:textId="568B2205" w:rsidR="006002BA" w:rsidRDefault="0059434A" w:rsidP="006002BA">
      <w:pPr>
        <w:jc w:val="both"/>
        <w:rPr>
          <w:rFonts w:ascii="Times New Roman" w:hAnsi="Times New Roman"/>
          <w:szCs w:val="24"/>
        </w:rPr>
      </w:pPr>
      <w:r w:rsidRPr="0059434A">
        <w:rPr>
          <w:rFonts w:ascii="Times New Roman" w:hAnsi="Times New Roman"/>
          <w:szCs w:val="24"/>
        </w:rPr>
        <w:t xml:space="preserve">The key factor in achieving a competitive advantage for businesses lies in the talents that cannot be easily replicated. In the face of economic changes and the post-pandemic era, leveraging technology to accelerate learning scenarios and enhance employee competitiveness becomes paramount in corporate management. Due to technological advancements, online learning, characterized by its freedom from temporal and spatial constraints, has emerged as one of the forms for corporate education and training. Past empirical studies on the effectiveness of online education have yielded mixed results. Therefore, this study seeks to explore the reasons behind these discrepancies, serving as a reference for formulating educational training programs and </w:t>
      </w:r>
      <w:proofErr w:type="gramStart"/>
      <w:r w:rsidRPr="0059434A">
        <w:rPr>
          <w:rFonts w:ascii="Times New Roman" w:hAnsi="Times New Roman"/>
          <w:szCs w:val="24"/>
        </w:rPr>
        <w:t>providing assistance to</w:t>
      </w:r>
      <w:proofErr w:type="gramEnd"/>
      <w:r w:rsidRPr="0059434A">
        <w:rPr>
          <w:rFonts w:ascii="Times New Roman" w:hAnsi="Times New Roman"/>
          <w:szCs w:val="24"/>
        </w:rPr>
        <w:t xml:space="preserve"> relevant industries in evaluating the implementation of online education and training. The researcher employs the Integrated Technology Acceptance and Use Model as the foundation. In the first phase, relevant literature is collected, leading to the identification of four dimensions and </w:t>
      </w:r>
      <w:r w:rsidR="00082D94">
        <w:rPr>
          <w:rFonts w:ascii="Times New Roman" w:hAnsi="Times New Roman"/>
          <w:szCs w:val="24"/>
        </w:rPr>
        <w:t>14</w:t>
      </w:r>
      <w:r w:rsidRPr="0059434A">
        <w:rPr>
          <w:rFonts w:ascii="Times New Roman" w:hAnsi="Times New Roman"/>
          <w:szCs w:val="24"/>
        </w:rPr>
        <w:t xml:space="preserve"> </w:t>
      </w:r>
      <w:r w:rsidR="00082D94">
        <w:rPr>
          <w:rFonts w:ascii="Times New Roman" w:hAnsi="Times New Roman"/>
          <w:szCs w:val="24"/>
        </w:rPr>
        <w:t>i</w:t>
      </w:r>
      <w:r w:rsidR="00082D94" w:rsidRPr="00082D94">
        <w:rPr>
          <w:rFonts w:ascii="Times New Roman" w:hAnsi="Times New Roman"/>
          <w:szCs w:val="24"/>
        </w:rPr>
        <w:t>ndicators</w:t>
      </w:r>
      <w:r w:rsidRPr="0059434A">
        <w:rPr>
          <w:rFonts w:ascii="Times New Roman" w:hAnsi="Times New Roman"/>
          <w:szCs w:val="24"/>
        </w:rPr>
        <w:t xml:space="preserve">. In the second phase, a Likert five-point scale is employed to extract the top three </w:t>
      </w:r>
      <w:r w:rsidR="00082D94">
        <w:rPr>
          <w:rFonts w:ascii="Times New Roman" w:hAnsi="Times New Roman"/>
          <w:szCs w:val="24"/>
        </w:rPr>
        <w:t>i</w:t>
      </w:r>
      <w:r w:rsidR="00082D94" w:rsidRPr="00082D94">
        <w:rPr>
          <w:rFonts w:ascii="Times New Roman" w:hAnsi="Times New Roman"/>
          <w:szCs w:val="24"/>
        </w:rPr>
        <w:t>ndicators</w:t>
      </w:r>
      <w:r w:rsidRPr="0059434A">
        <w:rPr>
          <w:rFonts w:ascii="Times New Roman" w:hAnsi="Times New Roman"/>
          <w:szCs w:val="24"/>
        </w:rPr>
        <w:t xml:space="preserve"> for each of the four dimensions. Finally, a survey using the Fuzzy Analytic Hierarchy Process questionnaire is conducted to obtain the relative weights for the four</w:t>
      </w:r>
      <w:r w:rsidR="00082D94">
        <w:rPr>
          <w:rFonts w:ascii="Times New Roman" w:hAnsi="Times New Roman"/>
          <w:szCs w:val="24"/>
        </w:rPr>
        <w:t xml:space="preserve"> </w:t>
      </w:r>
      <w:r w:rsidRPr="0059434A">
        <w:rPr>
          <w:rFonts w:ascii="Times New Roman" w:hAnsi="Times New Roman"/>
          <w:szCs w:val="24"/>
        </w:rPr>
        <w:t xml:space="preserve">dimensions and twelve </w:t>
      </w:r>
      <w:r w:rsidR="00082D94">
        <w:rPr>
          <w:rFonts w:ascii="Times New Roman" w:hAnsi="Times New Roman"/>
          <w:szCs w:val="24"/>
        </w:rPr>
        <w:t>i</w:t>
      </w:r>
      <w:r w:rsidR="00082D94" w:rsidRPr="00082D94">
        <w:rPr>
          <w:rFonts w:ascii="Times New Roman" w:hAnsi="Times New Roman"/>
          <w:szCs w:val="24"/>
        </w:rPr>
        <w:t>ndicators</w:t>
      </w:r>
      <w:r w:rsidRPr="0059434A">
        <w:rPr>
          <w:rFonts w:ascii="Times New Roman" w:hAnsi="Times New Roman"/>
          <w:szCs w:val="24"/>
        </w:rPr>
        <w:t>, with the dimensions ranked in the following order: hedonic motivation, habit, price value, and personal innovativeness. The study concludes with five propositions, aiming to provide crucial reference points for companies implementing online education and training, ultimately speeding up adoption and enhancing the intention to use online education.</w:t>
      </w:r>
    </w:p>
    <w:p w14:paraId="735E8ABA" w14:textId="07DF320D" w:rsidR="00BB47F2" w:rsidRDefault="001324A4" w:rsidP="001B28D5">
      <w:pPr>
        <w:jc w:val="both"/>
        <w:rPr>
          <w:rFonts w:ascii="Times New Roman" w:hAnsi="Times New Roman"/>
          <w:szCs w:val="24"/>
        </w:rPr>
      </w:pPr>
      <w:r w:rsidRPr="001324A4">
        <w:rPr>
          <w:rFonts w:ascii="Times New Roman" w:hAnsi="Times New Roman"/>
          <w:b/>
          <w:szCs w:val="24"/>
        </w:rPr>
        <w:t>JEL classification numbers:</w:t>
      </w:r>
      <w:r w:rsidRPr="001324A4">
        <w:rPr>
          <w:rFonts w:ascii="Times New Roman" w:hAnsi="Times New Roman"/>
          <w:szCs w:val="24"/>
        </w:rPr>
        <w:t xml:space="preserve"> C83, I25, M53, O15.</w:t>
      </w:r>
    </w:p>
    <w:p w14:paraId="5A61DF58" w14:textId="1D883B14" w:rsidR="008A0E0F" w:rsidRPr="00A915DE" w:rsidRDefault="006252B3" w:rsidP="003D39E2">
      <w:pPr>
        <w:rPr>
          <w:rFonts w:ascii="Times New Roman" w:eastAsia="標楷體" w:hAnsi="Times New Roman" w:cs="Times New Roman"/>
        </w:rPr>
      </w:pPr>
      <w:r w:rsidRPr="00A915DE">
        <w:rPr>
          <w:rFonts w:ascii="Times New Roman" w:hAnsi="Times New Roman"/>
          <w:b/>
        </w:rPr>
        <w:t xml:space="preserve">Keywords: </w:t>
      </w:r>
      <w:r w:rsidR="00A038A5" w:rsidRPr="00A915DE">
        <w:rPr>
          <w:rFonts w:ascii="Times New Roman" w:hAnsi="Times New Roman" w:hint="eastAsia"/>
        </w:rPr>
        <w:t>Unified Theory of Acceptance and Use of Technology (UTAUT), employee training</w:t>
      </w:r>
      <w:r w:rsidR="00A038A5" w:rsidRPr="00A915DE">
        <w:rPr>
          <w:rFonts w:ascii="Times New Roman" w:hAnsi="Times New Roman"/>
        </w:rPr>
        <w:t>, online learning</w:t>
      </w:r>
      <w:r w:rsidR="00A038A5" w:rsidRPr="00A915DE">
        <w:rPr>
          <w:rFonts w:ascii="Times New Roman" w:hAnsi="Times New Roman" w:hint="eastAsia"/>
        </w:rPr>
        <w:t>,</w:t>
      </w:r>
      <w:r w:rsidR="00A038A5" w:rsidRPr="00A915DE">
        <w:rPr>
          <w:rFonts w:ascii="Times New Roman" w:hAnsi="Times New Roman"/>
        </w:rPr>
        <w:t xml:space="preserve"> Key Success Factor (KSF)</w:t>
      </w:r>
    </w:p>
    <w:p w14:paraId="66F387E4" w14:textId="3FC0067D" w:rsidR="00DE5FCA" w:rsidRPr="001B28D5" w:rsidRDefault="006252B3" w:rsidP="001B28D5">
      <w:pPr>
        <w:pStyle w:val="a6"/>
        <w:numPr>
          <w:ilvl w:val="0"/>
          <w:numId w:val="10"/>
        </w:numPr>
        <w:ind w:leftChars="0"/>
        <w:rPr>
          <w:rFonts w:ascii="Times New Roman" w:eastAsia="標楷體" w:hAnsi="Times New Roman" w:cs="Times New Roman"/>
          <w:b/>
          <w:sz w:val="32"/>
          <w:szCs w:val="28"/>
        </w:rPr>
      </w:pPr>
      <w:r w:rsidRPr="001B28D5">
        <w:rPr>
          <w:rFonts w:ascii="Times New Roman" w:hAnsi="Times New Roman"/>
          <w:b/>
          <w:sz w:val="32"/>
          <w:szCs w:val="28"/>
        </w:rPr>
        <w:t>Introduction</w:t>
      </w:r>
    </w:p>
    <w:p w14:paraId="068BFF93" w14:textId="14DC788E" w:rsidR="009F67BC" w:rsidRDefault="00082D94" w:rsidP="00082D94">
      <w:pPr>
        <w:ind w:firstLine="480"/>
        <w:jc w:val="both"/>
        <w:rPr>
          <w:rFonts w:ascii="Times New Roman" w:hAnsi="Times New Roman"/>
          <w:szCs w:val="24"/>
        </w:rPr>
      </w:pPr>
      <w:r w:rsidRPr="00082D94">
        <w:rPr>
          <w:rFonts w:ascii="Times New Roman" w:hAnsi="Times New Roman"/>
          <w:szCs w:val="24"/>
        </w:rPr>
        <w:t>Education and training constitute a broad learning process aimed at enhancing individuals' knowledge, skills, abilities, and competencies. It typically encompasses formal education, such as school and university education, as well as informal education, including professional training and skills development programs. The purpose of education and training is to assist individuals in acquiring the necessary skills and knowledge to meet the demands of modern society and the workplace. It can cover a wide range of subjects, including academic disciplines, vocational training, soft skills, language learning, and more.</w:t>
      </w:r>
      <w:r>
        <w:rPr>
          <w:rFonts w:ascii="Times New Roman" w:hAnsi="Times New Roman"/>
          <w:szCs w:val="24"/>
        </w:rPr>
        <w:t xml:space="preserve"> </w:t>
      </w:r>
      <w:r w:rsidRPr="00082D94">
        <w:rPr>
          <w:rFonts w:ascii="Times New Roman" w:hAnsi="Times New Roman"/>
          <w:szCs w:val="24"/>
        </w:rPr>
        <w:t>Education and training play a crucial role both at the individual and societal levels. On an individual level, it provides opportunities for continuous learning and self-improvement, enabling individuals to better cope with the rapidly changing workplace and society. It also helps individuals access more job opportunities, enhancing employability and opening up different stages in their careers. On a societal level, education and training contribute to raising the overall quality of the workforce, fostering economic growth. Well-educated individuals are more adaptable to new technologies and contribute to increased productivity.</w:t>
      </w:r>
      <w:r>
        <w:rPr>
          <w:rFonts w:ascii="Times New Roman" w:hAnsi="Times New Roman"/>
          <w:szCs w:val="24"/>
        </w:rPr>
        <w:t xml:space="preserve"> </w:t>
      </w:r>
      <w:r w:rsidRPr="00082D94">
        <w:rPr>
          <w:rFonts w:ascii="Times New Roman" w:hAnsi="Times New Roman"/>
          <w:szCs w:val="24"/>
        </w:rPr>
        <w:t xml:space="preserve">Moreover, education and training contribute to reducing social inequality by providing equal opportunities across various social strata. This helps build a more equal and harmonious society. Importantly, education and training drive innovation and technological progress, enhancing a country's international </w:t>
      </w:r>
      <w:r w:rsidRPr="00082D94">
        <w:rPr>
          <w:rFonts w:ascii="Times New Roman" w:hAnsi="Times New Roman"/>
          <w:szCs w:val="24"/>
        </w:rPr>
        <w:lastRenderedPageBreak/>
        <w:t>competitiveness. Well-educated labor forces are more inclined to innovate and develop new solutions, contributing to the overall advancement of a nation</w:t>
      </w:r>
      <w:r w:rsidR="00FB0BBD">
        <w:rPr>
          <w:rFonts w:ascii="Times New Roman" w:hAnsi="Times New Roman" w:hint="eastAsia"/>
          <w:szCs w:val="24"/>
        </w:rPr>
        <w:t xml:space="preserve"> (</w:t>
      </w:r>
      <w:proofErr w:type="spellStart"/>
      <w:r w:rsidR="00FB0BBD" w:rsidRPr="00FB0BBD">
        <w:rPr>
          <w:rFonts w:ascii="Times New Roman" w:hAnsi="Times New Roman" w:hint="eastAsia"/>
          <w:szCs w:val="24"/>
        </w:rPr>
        <w:t>Carbery</w:t>
      </w:r>
      <w:proofErr w:type="spellEnd"/>
      <w:r w:rsidR="00FB0BBD" w:rsidRPr="00FB0BBD">
        <w:rPr>
          <w:rFonts w:ascii="Times New Roman" w:hAnsi="Times New Roman" w:hint="eastAsia"/>
          <w:szCs w:val="24"/>
        </w:rPr>
        <w:t xml:space="preserve"> &amp; </w:t>
      </w:r>
      <w:proofErr w:type="spellStart"/>
      <w:r w:rsidR="00FB0BBD" w:rsidRPr="00FB0BBD">
        <w:rPr>
          <w:rFonts w:ascii="Times New Roman" w:hAnsi="Times New Roman" w:hint="eastAsia"/>
          <w:szCs w:val="24"/>
        </w:rPr>
        <w:t>Garavan</w:t>
      </w:r>
      <w:proofErr w:type="spellEnd"/>
      <w:r w:rsidR="00FB0BBD" w:rsidRPr="00FB0BBD">
        <w:rPr>
          <w:rFonts w:ascii="Times New Roman" w:hAnsi="Times New Roman" w:hint="eastAsia"/>
          <w:szCs w:val="24"/>
        </w:rPr>
        <w:t>, 2007; Maurer</w:t>
      </w:r>
      <w:r w:rsidR="00FB0BBD">
        <w:rPr>
          <w:rFonts w:ascii="Times New Roman" w:hAnsi="Times New Roman"/>
          <w:szCs w:val="24"/>
        </w:rPr>
        <w:t xml:space="preserve"> et al.,</w:t>
      </w:r>
      <w:r w:rsidR="00FB0BBD" w:rsidRPr="00FB0BBD">
        <w:rPr>
          <w:rFonts w:ascii="Times New Roman" w:hAnsi="Times New Roman" w:hint="eastAsia"/>
          <w:szCs w:val="24"/>
        </w:rPr>
        <w:t xml:space="preserve"> 2008; Mesmer-Magnus &amp; </w:t>
      </w:r>
      <w:proofErr w:type="spellStart"/>
      <w:r w:rsidR="00FB0BBD" w:rsidRPr="00FB0BBD">
        <w:rPr>
          <w:rFonts w:ascii="Times New Roman" w:hAnsi="Times New Roman" w:hint="eastAsia"/>
          <w:szCs w:val="24"/>
        </w:rPr>
        <w:t>Viswesvaran</w:t>
      </w:r>
      <w:proofErr w:type="spellEnd"/>
      <w:r w:rsidR="00FB0BBD" w:rsidRPr="00FB0BBD">
        <w:rPr>
          <w:rFonts w:ascii="Times New Roman" w:hAnsi="Times New Roman" w:hint="eastAsia"/>
          <w:szCs w:val="24"/>
        </w:rPr>
        <w:t>, 2010</w:t>
      </w:r>
      <w:r w:rsidR="00FB0BBD">
        <w:rPr>
          <w:rFonts w:ascii="Times New Roman" w:hAnsi="Times New Roman" w:hint="eastAsia"/>
          <w:szCs w:val="24"/>
        </w:rPr>
        <w:t>)</w:t>
      </w:r>
      <w:r>
        <w:rPr>
          <w:rFonts w:ascii="Times New Roman" w:hAnsi="Times New Roman" w:hint="eastAsia"/>
          <w:szCs w:val="24"/>
        </w:rPr>
        <w:t>.</w:t>
      </w:r>
    </w:p>
    <w:p w14:paraId="45A64A2E" w14:textId="299E12C9" w:rsidR="00526F42" w:rsidRDefault="00082D94" w:rsidP="00082D94">
      <w:pPr>
        <w:ind w:firstLine="480"/>
        <w:jc w:val="both"/>
        <w:rPr>
          <w:rFonts w:ascii="Times New Roman" w:hAnsi="Times New Roman"/>
          <w:szCs w:val="24"/>
        </w:rPr>
      </w:pPr>
      <w:r w:rsidRPr="00082D94">
        <w:rPr>
          <w:rFonts w:ascii="Times New Roman" w:hAnsi="Times New Roman"/>
          <w:szCs w:val="24"/>
        </w:rPr>
        <w:t>Online education holds significance in various aspects of corporate training. For instance, it allows employees to access training resources anytime, anywhere, providing flexible learning opportunities. Online education is often more cost-effective than in-person training, as it reduces travel and accommodation expenses and allows the reuse of training materials after initial development. It enables companies to offer personalized training based on individual employee needs and learning pace.</w:t>
      </w:r>
      <w:r>
        <w:rPr>
          <w:rFonts w:ascii="Times New Roman" w:hAnsi="Times New Roman"/>
          <w:szCs w:val="24"/>
        </w:rPr>
        <w:t xml:space="preserve"> </w:t>
      </w:r>
      <w:r w:rsidRPr="00082D94">
        <w:rPr>
          <w:rFonts w:ascii="Times New Roman" w:hAnsi="Times New Roman"/>
          <w:szCs w:val="24"/>
        </w:rPr>
        <w:t>Online education platforms typically offer real-time assessment and feedback opportunities, allowing employees to immediately gauge their progress. This facilitates timely adjustments to training plans to ensure learning objectives are met. Online education platforms provide a variety of testing and assessment tools to ensure employees truly grasp the content. This helps enhance training effectiveness and ensures its success.</w:t>
      </w:r>
      <w:r>
        <w:rPr>
          <w:rFonts w:ascii="Times New Roman" w:hAnsi="Times New Roman"/>
          <w:szCs w:val="24"/>
        </w:rPr>
        <w:t xml:space="preserve"> </w:t>
      </w:r>
      <w:r w:rsidRPr="00082D94">
        <w:rPr>
          <w:rFonts w:ascii="Times New Roman" w:hAnsi="Times New Roman"/>
          <w:szCs w:val="24"/>
        </w:rPr>
        <w:t>Furthermore, online education systems can generate detailed reports, tracking employees' learning progress and performance. This aids companies in evaluating the effectiveness of training and return on investment. The ability to monitor and analyze employee learning outcomes contributes to informed decision-making in shaping future training initiatives. Overall, online education proves instrumental in optimizing the efficiency and outcomes of corporate training programs</w:t>
      </w:r>
      <w:r w:rsidR="00B27BFB">
        <w:rPr>
          <w:rFonts w:ascii="Times New Roman" w:hAnsi="Times New Roman" w:hint="eastAsia"/>
          <w:szCs w:val="24"/>
        </w:rPr>
        <w:t xml:space="preserve"> (</w:t>
      </w:r>
      <w:r w:rsidR="00A00084" w:rsidRPr="00A00084">
        <w:rPr>
          <w:rFonts w:ascii="Times New Roman" w:hAnsi="Times New Roman"/>
          <w:szCs w:val="24"/>
        </w:rPr>
        <w:t>Cheng, 2013</w:t>
      </w:r>
      <w:r w:rsidR="00A00084">
        <w:rPr>
          <w:rFonts w:ascii="Times New Roman" w:hAnsi="Times New Roman"/>
          <w:szCs w:val="24"/>
        </w:rPr>
        <w:t>;</w:t>
      </w:r>
      <w:r w:rsidR="00A00084" w:rsidRPr="00A00084">
        <w:rPr>
          <w:rFonts w:ascii="Times New Roman" w:hAnsi="Times New Roman" w:hint="eastAsia"/>
          <w:szCs w:val="24"/>
        </w:rPr>
        <w:t xml:space="preserve"> </w:t>
      </w:r>
      <w:proofErr w:type="spellStart"/>
      <w:r w:rsidR="00B27BFB" w:rsidRPr="00B27BFB">
        <w:rPr>
          <w:rFonts w:ascii="Times New Roman" w:hAnsi="Times New Roman" w:hint="eastAsia"/>
          <w:szCs w:val="24"/>
        </w:rPr>
        <w:t>Geray</w:t>
      </w:r>
      <w:proofErr w:type="spellEnd"/>
      <w:r w:rsidR="00B27BFB" w:rsidRPr="00B27BFB">
        <w:rPr>
          <w:rFonts w:ascii="Times New Roman" w:hAnsi="Times New Roman" w:hint="eastAsia"/>
          <w:szCs w:val="24"/>
        </w:rPr>
        <w:t xml:space="preserve">, 2007; </w:t>
      </w:r>
      <w:proofErr w:type="spellStart"/>
      <w:r w:rsidR="00A00084" w:rsidRPr="006E2A99">
        <w:rPr>
          <w:rFonts w:ascii="Times New Roman" w:hAnsi="Times New Roman" w:cs="Times New Roman"/>
          <w:kern w:val="0"/>
          <w:szCs w:val="24"/>
        </w:rPr>
        <w:t>Kantek</w:t>
      </w:r>
      <w:proofErr w:type="spellEnd"/>
      <w:r w:rsidR="00A00084">
        <w:rPr>
          <w:rFonts w:ascii="Times New Roman" w:hAnsi="Times New Roman" w:cs="Times New Roman"/>
          <w:kern w:val="0"/>
          <w:szCs w:val="24"/>
        </w:rPr>
        <w:t>,</w:t>
      </w:r>
      <w:r w:rsidR="00A00084" w:rsidRPr="00B27BFB">
        <w:rPr>
          <w:rFonts w:ascii="Times New Roman" w:hAnsi="Times New Roman" w:hint="eastAsia"/>
          <w:szCs w:val="24"/>
        </w:rPr>
        <w:t xml:space="preserve"> </w:t>
      </w:r>
      <w:r w:rsidR="00A00084">
        <w:rPr>
          <w:rFonts w:ascii="Times New Roman" w:hAnsi="Times New Roman"/>
          <w:szCs w:val="24"/>
        </w:rPr>
        <w:t xml:space="preserve">2014; </w:t>
      </w:r>
      <w:r w:rsidR="00A00084" w:rsidRPr="00A00084">
        <w:rPr>
          <w:rFonts w:ascii="Times New Roman" w:hAnsi="Times New Roman"/>
          <w:szCs w:val="24"/>
        </w:rPr>
        <w:t>Lera</w:t>
      </w:r>
      <w:r w:rsidR="00A00084">
        <w:rPr>
          <w:rFonts w:ascii="Times New Roman" w:hAnsi="Times New Roman"/>
          <w:szCs w:val="24"/>
        </w:rPr>
        <w:t xml:space="preserve"> et al., 2020;</w:t>
      </w:r>
      <w:r w:rsidR="00283599">
        <w:rPr>
          <w:rFonts w:ascii="Times New Roman" w:hAnsi="Times New Roman" w:cs="Times New Roman"/>
        </w:rPr>
        <w:t xml:space="preserve"> </w:t>
      </w:r>
      <w:r w:rsidR="00283599" w:rsidRPr="00283599">
        <w:rPr>
          <w:rFonts w:ascii="Times New Roman" w:hAnsi="Times New Roman" w:cs="Times New Roman" w:hint="eastAsia"/>
        </w:rPr>
        <w:t>Ren</w:t>
      </w:r>
      <w:r w:rsidR="00283599">
        <w:rPr>
          <w:rFonts w:ascii="Times New Roman" w:hAnsi="Times New Roman" w:cs="Times New Roman" w:hint="eastAsia"/>
        </w:rPr>
        <w:t>,</w:t>
      </w:r>
      <w:r w:rsidR="00283599">
        <w:rPr>
          <w:rFonts w:ascii="Times New Roman" w:hAnsi="Times New Roman" w:cs="Times New Roman"/>
        </w:rPr>
        <w:t xml:space="preserve"> </w:t>
      </w:r>
      <w:r w:rsidR="00283599" w:rsidRPr="00283599">
        <w:rPr>
          <w:rFonts w:ascii="Times New Roman" w:hAnsi="Times New Roman" w:cs="Times New Roman" w:hint="eastAsia"/>
        </w:rPr>
        <w:t>2020</w:t>
      </w:r>
      <w:r w:rsidR="00283599">
        <w:rPr>
          <w:rFonts w:ascii="Times New Roman" w:hAnsi="Times New Roman" w:cs="Times New Roman"/>
        </w:rPr>
        <w:t>;</w:t>
      </w:r>
      <w:r w:rsidR="00A00084" w:rsidRPr="00A00084">
        <w:rPr>
          <w:rFonts w:ascii="Times New Roman" w:hAnsi="Times New Roman" w:hint="eastAsia"/>
          <w:szCs w:val="24"/>
        </w:rPr>
        <w:t xml:space="preserve"> </w:t>
      </w:r>
      <w:r w:rsidR="008C1C90" w:rsidRPr="00B27BFB">
        <w:rPr>
          <w:rFonts w:ascii="Times New Roman" w:hAnsi="Times New Roman" w:hint="eastAsia"/>
          <w:szCs w:val="24"/>
        </w:rPr>
        <w:t>Sit</w:t>
      </w:r>
      <w:r w:rsidR="008C1C90">
        <w:rPr>
          <w:rFonts w:ascii="Times New Roman" w:hAnsi="Times New Roman" w:hint="eastAsia"/>
          <w:szCs w:val="24"/>
        </w:rPr>
        <w:t xml:space="preserve"> et </w:t>
      </w:r>
      <w:r w:rsidR="008C1C90">
        <w:rPr>
          <w:rFonts w:ascii="Times New Roman" w:hAnsi="Times New Roman"/>
          <w:szCs w:val="24"/>
        </w:rPr>
        <w:t>al.,</w:t>
      </w:r>
      <w:r w:rsidR="008C1C90" w:rsidRPr="00B27BFB">
        <w:rPr>
          <w:rFonts w:ascii="Times New Roman" w:hAnsi="Times New Roman" w:hint="eastAsia"/>
          <w:szCs w:val="24"/>
        </w:rPr>
        <w:t xml:space="preserve"> 2005</w:t>
      </w:r>
      <w:r w:rsidR="00B27BFB" w:rsidRPr="00B27BFB">
        <w:rPr>
          <w:rFonts w:ascii="Times New Roman" w:hAnsi="Times New Roman" w:hint="eastAsia"/>
          <w:szCs w:val="24"/>
        </w:rPr>
        <w:t>; Talbert, 2009</w:t>
      </w:r>
      <w:r w:rsidR="00B27BFB">
        <w:rPr>
          <w:rFonts w:ascii="Times New Roman" w:hAnsi="Times New Roman" w:hint="eastAsia"/>
          <w:szCs w:val="24"/>
        </w:rPr>
        <w:t>)</w:t>
      </w:r>
      <w:r>
        <w:rPr>
          <w:rFonts w:ascii="Times New Roman" w:hAnsi="Times New Roman" w:hint="eastAsia"/>
          <w:szCs w:val="24"/>
        </w:rPr>
        <w:t>.</w:t>
      </w:r>
    </w:p>
    <w:p w14:paraId="001F88A8" w14:textId="19983877" w:rsidR="00D96139" w:rsidRDefault="00082D94" w:rsidP="00082D94">
      <w:pPr>
        <w:ind w:firstLine="480"/>
        <w:jc w:val="both"/>
        <w:rPr>
          <w:rFonts w:ascii="Times New Roman" w:hAnsi="Times New Roman"/>
          <w:szCs w:val="24"/>
        </w:rPr>
      </w:pPr>
      <w:r w:rsidRPr="00082D94">
        <w:rPr>
          <w:rFonts w:ascii="Times New Roman" w:hAnsi="Times New Roman"/>
          <w:szCs w:val="24"/>
        </w:rPr>
        <w:t>However, online education and training are not without their challenges. Online training may lack face-to-face interaction, posing a challenge for some learners, especially those in courses that require hands-on skill practice. Additionally, it requires some employees to adapt to using technological tools for participation, which can be a barrier, particularly for those unfamiliar or uncomfortable with technology. Moreover, online learning demands that employees possess self-directed learning skills, including time management and self-discipline. Some individuals may require additional support and guidance.</w:t>
      </w:r>
      <w:r>
        <w:rPr>
          <w:rFonts w:ascii="Times New Roman" w:hAnsi="Times New Roman"/>
          <w:szCs w:val="24"/>
        </w:rPr>
        <w:t xml:space="preserve"> </w:t>
      </w:r>
      <w:r w:rsidRPr="00082D94">
        <w:rPr>
          <w:rFonts w:ascii="Times New Roman" w:hAnsi="Times New Roman"/>
          <w:szCs w:val="24"/>
        </w:rPr>
        <w:t>Lastly, the absence of face-to-face supervision is a notable limitation. In online learning, the lack of real-time supervision can lead to a lack of motivation among students, affecting learning outcomes (</w:t>
      </w:r>
      <w:proofErr w:type="spellStart"/>
      <w:r w:rsidRPr="00082D94">
        <w:rPr>
          <w:rFonts w:ascii="Times New Roman" w:hAnsi="Times New Roman"/>
          <w:szCs w:val="24"/>
        </w:rPr>
        <w:t>Darab</w:t>
      </w:r>
      <w:proofErr w:type="spellEnd"/>
      <w:r w:rsidRPr="00082D94">
        <w:rPr>
          <w:rFonts w:ascii="Times New Roman" w:hAnsi="Times New Roman"/>
          <w:szCs w:val="24"/>
        </w:rPr>
        <w:t xml:space="preserve"> &amp; </w:t>
      </w:r>
      <w:proofErr w:type="spellStart"/>
      <w:r w:rsidRPr="00082D94">
        <w:rPr>
          <w:rFonts w:ascii="Times New Roman" w:hAnsi="Times New Roman"/>
          <w:szCs w:val="24"/>
        </w:rPr>
        <w:t>Montazer</w:t>
      </w:r>
      <w:proofErr w:type="spellEnd"/>
      <w:r w:rsidRPr="00082D94">
        <w:rPr>
          <w:rFonts w:ascii="Times New Roman" w:hAnsi="Times New Roman"/>
          <w:szCs w:val="24"/>
        </w:rPr>
        <w:t xml:space="preserve">, 2011; </w:t>
      </w:r>
      <w:proofErr w:type="spellStart"/>
      <w:r w:rsidRPr="00082D94">
        <w:rPr>
          <w:rFonts w:ascii="Times New Roman" w:hAnsi="Times New Roman"/>
          <w:szCs w:val="24"/>
        </w:rPr>
        <w:t>Kourkouta</w:t>
      </w:r>
      <w:proofErr w:type="spellEnd"/>
      <w:r w:rsidRPr="00082D94">
        <w:rPr>
          <w:rFonts w:ascii="Times New Roman" w:hAnsi="Times New Roman"/>
          <w:szCs w:val="24"/>
        </w:rPr>
        <w:t xml:space="preserve"> et al., 2018; </w:t>
      </w:r>
      <w:proofErr w:type="spellStart"/>
      <w:r w:rsidRPr="00082D94">
        <w:rPr>
          <w:rFonts w:ascii="Times New Roman" w:hAnsi="Times New Roman"/>
          <w:szCs w:val="24"/>
        </w:rPr>
        <w:t>Pozdnyakova</w:t>
      </w:r>
      <w:proofErr w:type="spellEnd"/>
      <w:r w:rsidRPr="00082D94">
        <w:rPr>
          <w:rFonts w:ascii="Times New Roman" w:hAnsi="Times New Roman"/>
          <w:szCs w:val="24"/>
        </w:rPr>
        <w:t xml:space="preserve"> &amp; </w:t>
      </w:r>
      <w:proofErr w:type="spellStart"/>
      <w:r w:rsidRPr="00082D94">
        <w:rPr>
          <w:rFonts w:ascii="Times New Roman" w:hAnsi="Times New Roman"/>
          <w:szCs w:val="24"/>
        </w:rPr>
        <w:t>Pozdnyakov</w:t>
      </w:r>
      <w:proofErr w:type="spellEnd"/>
      <w:r w:rsidRPr="00082D94">
        <w:rPr>
          <w:rFonts w:ascii="Times New Roman" w:hAnsi="Times New Roman"/>
          <w:szCs w:val="24"/>
        </w:rPr>
        <w:t>, 2017; Ren, 2020).</w:t>
      </w:r>
    </w:p>
    <w:p w14:paraId="1B174A8E" w14:textId="77777777" w:rsidR="00082D94" w:rsidRPr="00082D94" w:rsidRDefault="00082D94" w:rsidP="00082D94">
      <w:pPr>
        <w:ind w:firstLine="480"/>
        <w:jc w:val="both"/>
        <w:rPr>
          <w:rFonts w:ascii="Times New Roman" w:hAnsi="Times New Roman"/>
          <w:szCs w:val="24"/>
        </w:rPr>
      </w:pPr>
      <w:r w:rsidRPr="00082D94">
        <w:rPr>
          <w:rFonts w:ascii="Times New Roman" w:hAnsi="Times New Roman"/>
          <w:szCs w:val="24"/>
        </w:rPr>
        <w:t>Based on the aforementioned background, it is evident that while online education and training have positive impacts on both businesses and employees, overcoming the challenges of online education is crucial and worthy of research focus. This constitutes the primary research motivation of this study. Therefore, this research aims to use the Unified Theory of Acceptance and Use of Technology (UTAUT) as a foundation to explore potential extensions or additional dimensions. The key research questions of this study include:</w:t>
      </w:r>
    </w:p>
    <w:p w14:paraId="6793E334" w14:textId="6CDFE70E" w:rsidR="00082D94" w:rsidRPr="00082D94" w:rsidRDefault="00082D94" w:rsidP="00082D94">
      <w:pPr>
        <w:pStyle w:val="a6"/>
        <w:numPr>
          <w:ilvl w:val="0"/>
          <w:numId w:val="24"/>
        </w:numPr>
        <w:ind w:leftChars="0"/>
        <w:jc w:val="both"/>
        <w:rPr>
          <w:rFonts w:ascii="Times New Roman" w:hAnsi="Times New Roman"/>
          <w:szCs w:val="24"/>
        </w:rPr>
      </w:pPr>
      <w:r w:rsidRPr="00082D94">
        <w:rPr>
          <w:rFonts w:ascii="Times New Roman" w:hAnsi="Times New Roman"/>
          <w:szCs w:val="24"/>
        </w:rPr>
        <w:t>Explore the content and models of online education and training through literature and relevant theories.</w:t>
      </w:r>
    </w:p>
    <w:p w14:paraId="2F8035E2" w14:textId="64B00436" w:rsidR="00082D94" w:rsidRPr="00082D94" w:rsidRDefault="00082D94" w:rsidP="00082D94">
      <w:pPr>
        <w:pStyle w:val="a6"/>
        <w:numPr>
          <w:ilvl w:val="0"/>
          <w:numId w:val="24"/>
        </w:numPr>
        <w:ind w:leftChars="0"/>
        <w:jc w:val="both"/>
        <w:rPr>
          <w:rFonts w:ascii="Times New Roman" w:hAnsi="Times New Roman"/>
          <w:szCs w:val="24"/>
        </w:rPr>
      </w:pPr>
      <w:r w:rsidRPr="00082D94">
        <w:rPr>
          <w:rFonts w:ascii="Times New Roman" w:hAnsi="Times New Roman"/>
          <w:szCs w:val="24"/>
        </w:rPr>
        <w:t>Analyze the challenges that online education and training may encounter based on literature and relevant theories.</w:t>
      </w:r>
    </w:p>
    <w:p w14:paraId="649FD978" w14:textId="4F9E7CD5" w:rsidR="00082D94" w:rsidRPr="00082D94" w:rsidRDefault="00082D94" w:rsidP="00082D94">
      <w:pPr>
        <w:pStyle w:val="a6"/>
        <w:numPr>
          <w:ilvl w:val="0"/>
          <w:numId w:val="24"/>
        </w:numPr>
        <w:ind w:leftChars="0"/>
        <w:jc w:val="both"/>
        <w:rPr>
          <w:rFonts w:ascii="Times New Roman" w:hAnsi="Times New Roman"/>
          <w:szCs w:val="24"/>
        </w:rPr>
      </w:pPr>
      <w:r w:rsidRPr="00082D94">
        <w:rPr>
          <w:rFonts w:ascii="Times New Roman" w:hAnsi="Times New Roman"/>
          <w:szCs w:val="24"/>
        </w:rPr>
        <w:t>Propose coping strategies in response to the challenges identified in online education and training.</w:t>
      </w:r>
    </w:p>
    <w:p w14:paraId="75D40310" w14:textId="0E27E2D4" w:rsidR="00A847FA" w:rsidRDefault="00082D94" w:rsidP="00082D94">
      <w:pPr>
        <w:pStyle w:val="a6"/>
        <w:numPr>
          <w:ilvl w:val="0"/>
          <w:numId w:val="24"/>
        </w:numPr>
        <w:ind w:leftChars="0"/>
        <w:jc w:val="both"/>
        <w:rPr>
          <w:rFonts w:ascii="Times New Roman" w:hAnsi="Times New Roman"/>
          <w:szCs w:val="24"/>
        </w:rPr>
      </w:pPr>
      <w:r w:rsidRPr="00082D94">
        <w:rPr>
          <w:rFonts w:ascii="Times New Roman" w:hAnsi="Times New Roman"/>
          <w:szCs w:val="24"/>
        </w:rPr>
        <w:t>Provide recommendations to the academic and business communities based on the research findings.</w:t>
      </w:r>
    </w:p>
    <w:p w14:paraId="5C3694CB" w14:textId="7085EA61" w:rsidR="00387380" w:rsidRPr="001B28D5" w:rsidRDefault="006252B3" w:rsidP="001B28D5">
      <w:pPr>
        <w:pStyle w:val="a6"/>
        <w:numPr>
          <w:ilvl w:val="0"/>
          <w:numId w:val="10"/>
        </w:numPr>
        <w:ind w:leftChars="0"/>
        <w:rPr>
          <w:rFonts w:ascii="Times New Roman" w:hAnsi="Times New Roman"/>
          <w:b/>
          <w:sz w:val="28"/>
          <w:szCs w:val="28"/>
        </w:rPr>
      </w:pPr>
      <w:r w:rsidRPr="001B28D5">
        <w:rPr>
          <w:rFonts w:ascii="Times New Roman" w:hAnsi="Times New Roman"/>
          <w:b/>
          <w:sz w:val="28"/>
          <w:szCs w:val="28"/>
        </w:rPr>
        <w:t>Literature Review</w:t>
      </w:r>
    </w:p>
    <w:p w14:paraId="58DE2548" w14:textId="5695D0C4" w:rsidR="00003A5F" w:rsidRPr="00A915DE" w:rsidRDefault="009D24BB" w:rsidP="00A915DE">
      <w:pPr>
        <w:pStyle w:val="a6"/>
        <w:numPr>
          <w:ilvl w:val="0"/>
          <w:numId w:val="11"/>
        </w:numPr>
        <w:ind w:leftChars="0"/>
        <w:rPr>
          <w:rFonts w:ascii="Times New Roman" w:hAnsi="Times New Roman"/>
          <w:b/>
          <w:szCs w:val="24"/>
        </w:rPr>
      </w:pPr>
      <w:r w:rsidRPr="009D24BB">
        <w:rPr>
          <w:rFonts w:ascii="Times New Roman" w:hAnsi="Times New Roman"/>
          <w:szCs w:val="24"/>
        </w:rPr>
        <w:t>Current Status of Online Education Training for Corporate Employees</w:t>
      </w:r>
    </w:p>
    <w:p w14:paraId="2C80D514" w14:textId="77777777" w:rsidR="009D24BB" w:rsidRPr="009D24BB" w:rsidRDefault="009D24BB" w:rsidP="009D24BB">
      <w:pPr>
        <w:ind w:firstLine="480"/>
        <w:jc w:val="both"/>
        <w:rPr>
          <w:rFonts w:ascii="Times New Roman" w:hAnsi="Times New Roman"/>
          <w:szCs w:val="24"/>
        </w:rPr>
      </w:pPr>
      <w:r w:rsidRPr="009D24BB">
        <w:rPr>
          <w:rFonts w:ascii="Times New Roman" w:hAnsi="Times New Roman"/>
          <w:szCs w:val="24"/>
        </w:rPr>
        <w:t>In recent years, with the continuous evolution of technology and learning concepts, the proportion of enterprises adopting online education training for their employees has gradually increased (Miller, 2012; Noe, 2017). The development of online education training for corporate employees has gone through the following major stages (American Society for Training and Development, 2000; The New Media Consortium, 2010):</w:t>
      </w:r>
    </w:p>
    <w:p w14:paraId="698AC3A1" w14:textId="77777777" w:rsidR="009D24BB" w:rsidRPr="009D24BB" w:rsidRDefault="009D24BB" w:rsidP="009D24BB">
      <w:pPr>
        <w:pStyle w:val="a6"/>
        <w:numPr>
          <w:ilvl w:val="0"/>
          <w:numId w:val="27"/>
        </w:numPr>
        <w:ind w:leftChars="0"/>
        <w:jc w:val="both"/>
        <w:rPr>
          <w:rFonts w:ascii="Times New Roman" w:hAnsi="Times New Roman"/>
          <w:szCs w:val="24"/>
        </w:rPr>
      </w:pPr>
      <w:r w:rsidRPr="009D24BB">
        <w:rPr>
          <w:rFonts w:ascii="Times New Roman" w:hAnsi="Times New Roman"/>
          <w:szCs w:val="24"/>
        </w:rPr>
        <w:t>Early E-Learning: The fundamental roots of online education training for corporate employees can be traced back to the early 1990s when the internet and computer technology began to proliferate. The earliest forms of e-learning were primarily educational courses based on CD-ROMs and early network platforms, covering foundational education and training materials.</w:t>
      </w:r>
    </w:p>
    <w:p w14:paraId="0689EAC7" w14:textId="6031976B" w:rsidR="009D24BB" w:rsidRPr="009D24BB" w:rsidRDefault="009D24BB" w:rsidP="009D24BB">
      <w:pPr>
        <w:pStyle w:val="a6"/>
        <w:numPr>
          <w:ilvl w:val="0"/>
          <w:numId w:val="27"/>
        </w:numPr>
        <w:ind w:leftChars="0"/>
        <w:jc w:val="both"/>
        <w:rPr>
          <w:rFonts w:ascii="Times New Roman" w:hAnsi="Times New Roman"/>
          <w:szCs w:val="24"/>
        </w:rPr>
      </w:pPr>
      <w:r w:rsidRPr="009D24BB">
        <w:rPr>
          <w:rFonts w:ascii="Times New Roman" w:hAnsi="Times New Roman"/>
          <w:szCs w:val="24"/>
        </w:rPr>
        <w:t>Rise of Distance Education: With the widespread use of the internet, distance education began to rapidly develop. Universities and businesses started using distance education technologies such as video conferencing and online course platforms to provide more interactive educational experiences. The main focus during this stage was on providing higher education and professional training.</w:t>
      </w:r>
    </w:p>
    <w:p w14:paraId="5217F13D" w14:textId="77777777" w:rsidR="009D24BB" w:rsidRPr="009D24BB" w:rsidRDefault="009D24BB" w:rsidP="009D24BB">
      <w:pPr>
        <w:pStyle w:val="a6"/>
        <w:numPr>
          <w:ilvl w:val="0"/>
          <w:numId w:val="27"/>
        </w:numPr>
        <w:ind w:leftChars="0"/>
        <w:jc w:val="both"/>
        <w:rPr>
          <w:rFonts w:ascii="Times New Roman" w:hAnsi="Times New Roman"/>
          <w:szCs w:val="24"/>
        </w:rPr>
      </w:pPr>
      <w:r w:rsidRPr="009D24BB">
        <w:rPr>
          <w:rFonts w:ascii="Times New Roman" w:hAnsi="Times New Roman"/>
          <w:szCs w:val="24"/>
        </w:rPr>
        <w:t>Emergence of Learning Management Systems (LMS): The advent of Learning Management Systems enabled companies to more effectively manage and track training programs. LMS allowed companies to create, deploy, and monitor online training courses while providing learner feedback and assessment.</w:t>
      </w:r>
    </w:p>
    <w:p w14:paraId="49E088EC" w14:textId="77777777" w:rsidR="009D24BB" w:rsidRDefault="009D24BB" w:rsidP="009D24BB">
      <w:pPr>
        <w:pStyle w:val="a6"/>
        <w:numPr>
          <w:ilvl w:val="0"/>
          <w:numId w:val="27"/>
        </w:numPr>
        <w:ind w:leftChars="0"/>
        <w:jc w:val="both"/>
        <w:rPr>
          <w:rFonts w:ascii="Times New Roman" w:hAnsi="Times New Roman"/>
          <w:szCs w:val="24"/>
        </w:rPr>
      </w:pPr>
      <w:r w:rsidRPr="009D24BB">
        <w:rPr>
          <w:rFonts w:ascii="Times New Roman" w:hAnsi="Times New Roman"/>
          <w:szCs w:val="24"/>
        </w:rPr>
        <w:lastRenderedPageBreak/>
        <w:t>Proliferation of Mobile Learning: The ubiquity of smartphones and tablets accelerated the development of mobile learning. Learners could access training resources anytime, anywhere, increasing the flexibility of learning. Companies began developing applications and content suitable for mobile devices.</w:t>
      </w:r>
    </w:p>
    <w:p w14:paraId="30858700" w14:textId="77777777" w:rsidR="009D24BB" w:rsidRDefault="009D24BB" w:rsidP="009D24BB">
      <w:pPr>
        <w:pStyle w:val="a6"/>
        <w:numPr>
          <w:ilvl w:val="0"/>
          <w:numId w:val="27"/>
        </w:numPr>
        <w:ind w:leftChars="0"/>
        <w:jc w:val="both"/>
        <w:rPr>
          <w:rFonts w:ascii="Times New Roman" w:hAnsi="Times New Roman"/>
          <w:szCs w:val="24"/>
        </w:rPr>
      </w:pPr>
      <w:r w:rsidRPr="009D24BB">
        <w:rPr>
          <w:rFonts w:ascii="Times New Roman" w:hAnsi="Times New Roman"/>
          <w:szCs w:val="24"/>
        </w:rPr>
        <w:t>Remote Live Broadcasting and Virtual Reality (VR): Technologies such as remote live broadcasting and virtual reality started being applied to corporate training. These technologies offered more interactive and immersive learning experiences, making training more vivid and realistic.</w:t>
      </w:r>
    </w:p>
    <w:p w14:paraId="7735A858" w14:textId="77777777" w:rsidR="009D24BB" w:rsidRDefault="009D24BB" w:rsidP="009D24BB">
      <w:pPr>
        <w:pStyle w:val="a6"/>
        <w:numPr>
          <w:ilvl w:val="0"/>
          <w:numId w:val="27"/>
        </w:numPr>
        <w:ind w:leftChars="0"/>
        <w:jc w:val="both"/>
        <w:rPr>
          <w:rFonts w:ascii="Times New Roman" w:hAnsi="Times New Roman"/>
          <w:szCs w:val="24"/>
        </w:rPr>
      </w:pPr>
      <w:r w:rsidRPr="009D24BB">
        <w:rPr>
          <w:rFonts w:ascii="Times New Roman" w:hAnsi="Times New Roman"/>
          <w:szCs w:val="24"/>
        </w:rPr>
        <w:t>Big Data and Analytics: Companies began using big data and analytics to understand employees' learning needs and performance. This helped tailor training programs better to enhance learning effectiveness.</w:t>
      </w:r>
    </w:p>
    <w:p w14:paraId="0F573E7C" w14:textId="77777777" w:rsidR="009D24BB" w:rsidRDefault="009D24BB" w:rsidP="009D24BB">
      <w:pPr>
        <w:pStyle w:val="a6"/>
        <w:numPr>
          <w:ilvl w:val="0"/>
          <w:numId w:val="27"/>
        </w:numPr>
        <w:ind w:leftChars="0"/>
        <w:jc w:val="both"/>
        <w:rPr>
          <w:rFonts w:ascii="Times New Roman" w:hAnsi="Times New Roman"/>
          <w:szCs w:val="24"/>
        </w:rPr>
      </w:pPr>
      <w:r w:rsidRPr="009D24BB">
        <w:rPr>
          <w:rFonts w:ascii="Times New Roman" w:hAnsi="Times New Roman"/>
          <w:szCs w:val="24"/>
        </w:rPr>
        <w:t>Artificial Intelligence and Machine Learning: Artificial intelligence and machine learning technologies were applied to personalized learning and intelligent education. These technologies automatically adjust course content based on the learner's needs.</w:t>
      </w:r>
    </w:p>
    <w:p w14:paraId="303C5AF2" w14:textId="2F3E97ED" w:rsidR="009D24BB" w:rsidRPr="009D24BB" w:rsidRDefault="009D24BB" w:rsidP="009D24BB">
      <w:pPr>
        <w:pStyle w:val="a6"/>
        <w:numPr>
          <w:ilvl w:val="0"/>
          <w:numId w:val="27"/>
        </w:numPr>
        <w:ind w:leftChars="0"/>
        <w:jc w:val="both"/>
        <w:rPr>
          <w:rFonts w:ascii="Times New Roman" w:hAnsi="Times New Roman"/>
          <w:szCs w:val="24"/>
        </w:rPr>
      </w:pPr>
      <w:r w:rsidRPr="009D24BB">
        <w:rPr>
          <w:rFonts w:ascii="Times New Roman" w:hAnsi="Times New Roman"/>
          <w:szCs w:val="24"/>
        </w:rPr>
        <w:t>Globalization and Internationalization: Companies are increasingly focusing on providing consistent training for a globalized workforce. Multilingual and multicultural training content has become more prevalent.</w:t>
      </w:r>
    </w:p>
    <w:p w14:paraId="3E9D40EF" w14:textId="77777777" w:rsidR="00EB4647" w:rsidRPr="00EB4647" w:rsidRDefault="00EB4647" w:rsidP="00EB4647">
      <w:pPr>
        <w:ind w:firstLine="480"/>
        <w:jc w:val="both"/>
        <w:rPr>
          <w:rFonts w:ascii="Times New Roman" w:hAnsi="Times New Roman"/>
          <w:szCs w:val="24"/>
        </w:rPr>
      </w:pPr>
      <w:r w:rsidRPr="00EB4647">
        <w:rPr>
          <w:rFonts w:ascii="Times New Roman" w:hAnsi="Times New Roman"/>
          <w:szCs w:val="24"/>
        </w:rPr>
        <w:t>In summary, online education training for corporate employees has undergone significant development, evolving from early e-learning to modern intelligent learning and virtual reality technology. With the continuous progress of technology, corporate education training will continue to evolve to better meet the needs of employees and enhance learning effectiveness, playing an increasingly important role.</w:t>
      </w:r>
    </w:p>
    <w:p w14:paraId="5F801A15" w14:textId="33E76E8A" w:rsidR="00EE4710" w:rsidRPr="00EE4710" w:rsidRDefault="00EB4647" w:rsidP="00EB4647">
      <w:pPr>
        <w:ind w:firstLine="480"/>
        <w:jc w:val="both"/>
        <w:rPr>
          <w:rFonts w:ascii="Times New Roman" w:hAnsi="Times New Roman"/>
        </w:rPr>
      </w:pPr>
      <w:r w:rsidRPr="00EB4647">
        <w:rPr>
          <w:rFonts w:ascii="Times New Roman" w:hAnsi="Times New Roman"/>
          <w:szCs w:val="24"/>
        </w:rPr>
        <w:t>The push from COVID-19 has made online learning a more prevalent mode for workplace training (</w:t>
      </w:r>
      <w:proofErr w:type="spellStart"/>
      <w:r w:rsidRPr="00EB4647">
        <w:rPr>
          <w:rFonts w:ascii="Times New Roman" w:hAnsi="Times New Roman"/>
          <w:szCs w:val="24"/>
        </w:rPr>
        <w:t>Hidayati</w:t>
      </w:r>
      <w:proofErr w:type="spellEnd"/>
      <w:r w:rsidRPr="00EB4647">
        <w:rPr>
          <w:rFonts w:ascii="Times New Roman" w:hAnsi="Times New Roman"/>
          <w:szCs w:val="24"/>
        </w:rPr>
        <w:t xml:space="preserve"> et al., 2021; </w:t>
      </w:r>
      <w:proofErr w:type="spellStart"/>
      <w:r w:rsidRPr="00EB4647">
        <w:rPr>
          <w:rFonts w:ascii="Times New Roman" w:hAnsi="Times New Roman"/>
          <w:szCs w:val="24"/>
        </w:rPr>
        <w:t>Ou</w:t>
      </w:r>
      <w:proofErr w:type="spellEnd"/>
      <w:r w:rsidRPr="00EB4647">
        <w:rPr>
          <w:rFonts w:ascii="Times New Roman" w:hAnsi="Times New Roman"/>
          <w:szCs w:val="24"/>
        </w:rPr>
        <w:t xml:space="preserve"> et al., 2019). COVID-19 has made remote work the new normal, leading more people to adopt online learning to cultivate new skills. In Taiwan, companies are exhibiting a similar trend, with many investing more training resources in online learning (Ally &amp; Prieto-</w:t>
      </w:r>
      <w:proofErr w:type="spellStart"/>
      <w:r w:rsidRPr="00EB4647">
        <w:rPr>
          <w:rFonts w:ascii="Times New Roman" w:hAnsi="Times New Roman"/>
          <w:szCs w:val="24"/>
        </w:rPr>
        <w:t>Blázquez</w:t>
      </w:r>
      <w:proofErr w:type="spellEnd"/>
      <w:r w:rsidRPr="00EB4647">
        <w:rPr>
          <w:rFonts w:ascii="Times New Roman" w:hAnsi="Times New Roman"/>
          <w:szCs w:val="24"/>
        </w:rPr>
        <w:t>, 2014). Moreover, compared to the pre-pandemic era, there has been a significant increase in the number of employees who have experienced online learning, indicating the growing popularity of online learning in the industry.</w:t>
      </w:r>
    </w:p>
    <w:p w14:paraId="3453C92A" w14:textId="17B34D20" w:rsidR="00D92774" w:rsidRPr="00411162" w:rsidRDefault="00EB4647" w:rsidP="00411162">
      <w:pPr>
        <w:pStyle w:val="a6"/>
        <w:numPr>
          <w:ilvl w:val="0"/>
          <w:numId w:val="11"/>
        </w:numPr>
        <w:ind w:leftChars="0"/>
        <w:rPr>
          <w:rFonts w:ascii="Times New Roman" w:hAnsi="Times New Roman"/>
          <w:b/>
          <w:szCs w:val="24"/>
        </w:rPr>
      </w:pPr>
      <w:r w:rsidRPr="00EB4647">
        <w:rPr>
          <w:rFonts w:ascii="Times New Roman" w:hAnsi="Times New Roman"/>
          <w:b/>
          <w:szCs w:val="24"/>
        </w:rPr>
        <w:t>Unified Theory of Acceptance and Use of Technology (UTAUT)</w:t>
      </w:r>
    </w:p>
    <w:p w14:paraId="7B07334C" w14:textId="1482D735" w:rsidR="00EB4647" w:rsidRPr="00EB4647" w:rsidRDefault="00EB4647" w:rsidP="00EB4647">
      <w:pPr>
        <w:ind w:firstLine="480"/>
        <w:jc w:val="both"/>
        <w:rPr>
          <w:rFonts w:ascii="Times New Roman" w:hAnsi="Times New Roman"/>
        </w:rPr>
      </w:pPr>
      <w:r w:rsidRPr="00EB4647">
        <w:rPr>
          <w:rFonts w:ascii="Times New Roman" w:hAnsi="Times New Roman"/>
        </w:rPr>
        <w:t>The UTAUT was proposed by Venkatesh and his colleagues (Venkatesh et al., 2003). It integrates eight major models, including the Theory of Reasoned Action</w:t>
      </w:r>
      <w:r>
        <w:rPr>
          <w:rFonts w:ascii="Times New Roman" w:hAnsi="Times New Roman"/>
        </w:rPr>
        <w:t xml:space="preserve"> (TRA)</w:t>
      </w:r>
      <w:r w:rsidRPr="00EB4647">
        <w:rPr>
          <w:rFonts w:ascii="Times New Roman" w:hAnsi="Times New Roman"/>
        </w:rPr>
        <w:t>, the Theory of Planned Behavior</w:t>
      </w:r>
      <w:r>
        <w:rPr>
          <w:rFonts w:ascii="Times New Roman" w:hAnsi="Times New Roman"/>
        </w:rPr>
        <w:t xml:space="preserve"> (TPB)</w:t>
      </w:r>
      <w:r w:rsidRPr="00EB4647">
        <w:rPr>
          <w:rFonts w:ascii="Times New Roman" w:hAnsi="Times New Roman"/>
        </w:rPr>
        <w:t>, the Technology Acceptance Model</w:t>
      </w:r>
      <w:r>
        <w:rPr>
          <w:rFonts w:ascii="Times New Roman" w:hAnsi="Times New Roman"/>
        </w:rPr>
        <w:t xml:space="preserve"> (TAM)</w:t>
      </w:r>
      <w:r w:rsidRPr="00EB4647">
        <w:rPr>
          <w:rFonts w:ascii="Times New Roman" w:hAnsi="Times New Roman"/>
        </w:rPr>
        <w:t>, the Extended Technology Acceptance Model, the Motivational Model</w:t>
      </w:r>
      <w:r w:rsidR="00F7356C">
        <w:rPr>
          <w:rFonts w:ascii="Times New Roman" w:hAnsi="Times New Roman"/>
        </w:rPr>
        <w:t xml:space="preserve"> (MM)</w:t>
      </w:r>
      <w:r w:rsidRPr="00EB4647">
        <w:rPr>
          <w:rFonts w:ascii="Times New Roman" w:hAnsi="Times New Roman"/>
        </w:rPr>
        <w:t xml:space="preserve">, the </w:t>
      </w:r>
      <w:r w:rsidR="00FA1BF2" w:rsidRPr="00FA1BF2">
        <w:rPr>
          <w:rFonts w:ascii="Times New Roman" w:hAnsi="Times New Roman"/>
        </w:rPr>
        <w:t>Model of PC Utilization</w:t>
      </w:r>
      <w:r w:rsidR="005011D7">
        <w:rPr>
          <w:rFonts w:ascii="Times New Roman" w:hAnsi="Times New Roman"/>
        </w:rPr>
        <w:t xml:space="preserve"> (</w:t>
      </w:r>
      <w:r w:rsidR="00FA1BF2" w:rsidRPr="00FA1BF2">
        <w:rPr>
          <w:rFonts w:ascii="Times New Roman" w:hAnsi="Times New Roman"/>
        </w:rPr>
        <w:t>MPCU)</w:t>
      </w:r>
      <w:r w:rsidRPr="00EB4647">
        <w:rPr>
          <w:rFonts w:ascii="Times New Roman" w:hAnsi="Times New Roman"/>
        </w:rPr>
        <w:t xml:space="preserve">, the </w:t>
      </w:r>
      <w:r w:rsidR="005011D7" w:rsidRPr="005011D7">
        <w:rPr>
          <w:rFonts w:ascii="Times New Roman" w:hAnsi="Times New Roman" w:hint="eastAsia"/>
        </w:rPr>
        <w:t>Diffusion of Innovation Theory</w:t>
      </w:r>
      <w:r w:rsidRPr="00EB4647">
        <w:rPr>
          <w:rFonts w:ascii="Times New Roman" w:hAnsi="Times New Roman"/>
        </w:rPr>
        <w:t>, and the Social Cognitive Theory</w:t>
      </w:r>
      <w:r w:rsidR="00F7356C">
        <w:rPr>
          <w:rFonts w:ascii="Times New Roman" w:hAnsi="Times New Roman"/>
        </w:rPr>
        <w:t xml:space="preserve"> (</w:t>
      </w:r>
      <w:r w:rsidR="00F7356C" w:rsidRPr="00F7356C">
        <w:rPr>
          <w:rFonts w:ascii="Times New Roman" w:hAnsi="Times New Roman"/>
        </w:rPr>
        <w:t>SCT</w:t>
      </w:r>
      <w:r w:rsidR="00F7356C">
        <w:rPr>
          <w:rFonts w:ascii="Times New Roman" w:hAnsi="Times New Roman"/>
        </w:rPr>
        <w:t>)</w:t>
      </w:r>
      <w:r w:rsidRPr="00EB4647">
        <w:rPr>
          <w:rFonts w:ascii="Times New Roman" w:hAnsi="Times New Roman"/>
        </w:rPr>
        <w:t>. The model delineates four core dimensions influencing behavioral intention: Performance Expectancy, Effort Expectancy, Social Influence, and Facilitating Conditions. Each dimension is crucial in explaining users' adoption of information systems (Al-</w:t>
      </w:r>
      <w:proofErr w:type="spellStart"/>
      <w:r w:rsidRPr="00EB4647">
        <w:rPr>
          <w:rFonts w:ascii="Times New Roman" w:hAnsi="Times New Roman"/>
        </w:rPr>
        <w:t>Adwan</w:t>
      </w:r>
      <w:proofErr w:type="spellEnd"/>
      <w:r w:rsidRPr="00EB4647">
        <w:rPr>
          <w:rFonts w:ascii="Times New Roman" w:hAnsi="Times New Roman"/>
        </w:rPr>
        <w:t xml:space="preserve"> et al., 2018; Chao, 2019; Gupta, 2022; </w:t>
      </w:r>
      <w:proofErr w:type="spellStart"/>
      <w:r w:rsidRPr="00EB4647">
        <w:rPr>
          <w:rFonts w:ascii="Times New Roman" w:hAnsi="Times New Roman"/>
        </w:rPr>
        <w:t>Nikolopoulou</w:t>
      </w:r>
      <w:proofErr w:type="spellEnd"/>
      <w:r w:rsidRPr="00EB4647">
        <w:rPr>
          <w:rFonts w:ascii="Times New Roman" w:hAnsi="Times New Roman"/>
        </w:rPr>
        <w:t xml:space="preserve"> et al., 2021; </w:t>
      </w:r>
      <w:proofErr w:type="spellStart"/>
      <w:r w:rsidRPr="00EB4647">
        <w:rPr>
          <w:rFonts w:ascii="Times New Roman" w:hAnsi="Times New Roman"/>
        </w:rPr>
        <w:t>Twum</w:t>
      </w:r>
      <w:proofErr w:type="spellEnd"/>
      <w:r w:rsidRPr="00EB4647">
        <w:rPr>
          <w:rFonts w:ascii="Times New Roman" w:hAnsi="Times New Roman"/>
        </w:rPr>
        <w:t xml:space="preserve"> et al., 2022).</w:t>
      </w:r>
    </w:p>
    <w:p w14:paraId="2E0F6AB4" w14:textId="0157DC94" w:rsidR="00EB4647" w:rsidRDefault="00EB4647" w:rsidP="00EB4647">
      <w:pPr>
        <w:ind w:firstLine="480"/>
        <w:jc w:val="both"/>
        <w:rPr>
          <w:rFonts w:ascii="Times New Roman" w:hAnsi="Times New Roman"/>
        </w:rPr>
      </w:pPr>
      <w:r w:rsidRPr="00EB4647">
        <w:rPr>
          <w:rFonts w:ascii="Times New Roman" w:hAnsi="Times New Roman"/>
        </w:rPr>
        <w:t>In addition to the original four core dimensions, various studies have proposed additional extended dimensions. After reviewing the literature, this study identified four extended dimensions</w:t>
      </w:r>
      <w:r w:rsidR="005011D7">
        <w:rPr>
          <w:rFonts w:ascii="Times New Roman" w:hAnsi="Times New Roman"/>
        </w:rPr>
        <w:t xml:space="preserve">: </w:t>
      </w:r>
      <w:r w:rsidRPr="00EB4647">
        <w:rPr>
          <w:rFonts w:ascii="Times New Roman" w:hAnsi="Times New Roman"/>
        </w:rPr>
        <w:t>Hedonic Motivation, Personal Innovativeness, Price Value, and Habit</w:t>
      </w:r>
      <w:r w:rsidR="005011D7">
        <w:rPr>
          <w:rFonts w:ascii="Times New Roman" w:hAnsi="Times New Roman"/>
        </w:rPr>
        <w:t xml:space="preserve">, </w:t>
      </w:r>
      <w:r w:rsidRPr="00EB4647">
        <w:rPr>
          <w:rFonts w:ascii="Times New Roman" w:hAnsi="Times New Roman"/>
        </w:rPr>
        <w:t>with substantial discussion and support (Al-</w:t>
      </w:r>
      <w:proofErr w:type="spellStart"/>
      <w:r w:rsidRPr="00EB4647">
        <w:rPr>
          <w:rFonts w:ascii="Times New Roman" w:hAnsi="Times New Roman"/>
        </w:rPr>
        <w:t>Azawei</w:t>
      </w:r>
      <w:proofErr w:type="spellEnd"/>
      <w:r w:rsidRPr="00EB4647">
        <w:rPr>
          <w:rFonts w:ascii="Times New Roman" w:hAnsi="Times New Roman"/>
        </w:rPr>
        <w:t xml:space="preserve"> &amp; </w:t>
      </w:r>
      <w:proofErr w:type="spellStart"/>
      <w:r w:rsidRPr="00EB4647">
        <w:rPr>
          <w:rFonts w:ascii="Times New Roman" w:hAnsi="Times New Roman"/>
        </w:rPr>
        <w:t>Alowayr</w:t>
      </w:r>
      <w:proofErr w:type="spellEnd"/>
      <w:r w:rsidRPr="00EB4647">
        <w:rPr>
          <w:rFonts w:ascii="Times New Roman" w:hAnsi="Times New Roman"/>
        </w:rPr>
        <w:t xml:space="preserve">, 2020; Chao, 2019; Hu et al., 2020; Khan et al., 2022; Kim &amp; Kang, 2023; </w:t>
      </w:r>
      <w:proofErr w:type="spellStart"/>
      <w:r w:rsidRPr="00EB4647">
        <w:rPr>
          <w:rFonts w:ascii="Times New Roman" w:hAnsi="Times New Roman"/>
        </w:rPr>
        <w:t>Limayem</w:t>
      </w:r>
      <w:proofErr w:type="spellEnd"/>
      <w:r w:rsidRPr="00EB4647">
        <w:rPr>
          <w:rFonts w:ascii="Times New Roman" w:hAnsi="Times New Roman"/>
        </w:rPr>
        <w:t xml:space="preserve"> et al., 2007; </w:t>
      </w:r>
      <w:proofErr w:type="spellStart"/>
      <w:r w:rsidRPr="00EB4647">
        <w:rPr>
          <w:rFonts w:ascii="Times New Roman" w:hAnsi="Times New Roman"/>
        </w:rPr>
        <w:t>Marikyan</w:t>
      </w:r>
      <w:proofErr w:type="spellEnd"/>
      <w:r w:rsidRPr="00EB4647">
        <w:rPr>
          <w:rFonts w:ascii="Times New Roman" w:hAnsi="Times New Roman"/>
        </w:rPr>
        <w:t xml:space="preserve"> &amp; </w:t>
      </w:r>
      <w:proofErr w:type="spellStart"/>
      <w:r w:rsidRPr="00EB4647">
        <w:rPr>
          <w:rFonts w:ascii="Times New Roman" w:hAnsi="Times New Roman"/>
        </w:rPr>
        <w:t>Papagiannidis</w:t>
      </w:r>
      <w:proofErr w:type="spellEnd"/>
      <w:r w:rsidRPr="00EB4647">
        <w:rPr>
          <w:rFonts w:ascii="Times New Roman" w:hAnsi="Times New Roman"/>
        </w:rPr>
        <w:t xml:space="preserve">, 2023; </w:t>
      </w:r>
      <w:proofErr w:type="spellStart"/>
      <w:r w:rsidRPr="00EB4647">
        <w:rPr>
          <w:rFonts w:ascii="Times New Roman" w:hAnsi="Times New Roman"/>
        </w:rPr>
        <w:t>Nikolopoulou</w:t>
      </w:r>
      <w:proofErr w:type="spellEnd"/>
      <w:r w:rsidRPr="00EB4647">
        <w:rPr>
          <w:rFonts w:ascii="Times New Roman" w:hAnsi="Times New Roman"/>
        </w:rPr>
        <w:t xml:space="preserve"> et al., 2021; Pinto 2022; </w:t>
      </w:r>
      <w:proofErr w:type="spellStart"/>
      <w:r w:rsidRPr="00EB4647">
        <w:rPr>
          <w:rFonts w:ascii="Times New Roman" w:hAnsi="Times New Roman"/>
        </w:rPr>
        <w:t>Twum</w:t>
      </w:r>
      <w:proofErr w:type="spellEnd"/>
      <w:r w:rsidRPr="00EB4647">
        <w:rPr>
          <w:rFonts w:ascii="Times New Roman" w:hAnsi="Times New Roman"/>
        </w:rPr>
        <w:t xml:space="preserve"> et al., 2022; Venkatesh et al., 2012). Therefore, this study will delve into these four extended dimensions to understand the potential advantages and challenges faced by enterprises when implementing online education training.</w:t>
      </w:r>
    </w:p>
    <w:p w14:paraId="6A081C86" w14:textId="5A1651BB" w:rsidR="00CC53DB" w:rsidRPr="00411162" w:rsidRDefault="00A915DE" w:rsidP="00C2010B">
      <w:pPr>
        <w:pStyle w:val="a6"/>
        <w:numPr>
          <w:ilvl w:val="0"/>
          <w:numId w:val="10"/>
        </w:numPr>
        <w:ind w:leftChars="0"/>
        <w:rPr>
          <w:rFonts w:ascii="Times New Roman" w:hAnsi="Times New Roman"/>
          <w:b/>
          <w:sz w:val="28"/>
          <w:szCs w:val="28"/>
        </w:rPr>
      </w:pPr>
      <w:r w:rsidRPr="00A915DE">
        <w:rPr>
          <w:rFonts w:ascii="Times New Roman" w:hAnsi="Times New Roman"/>
          <w:b/>
          <w:sz w:val="28"/>
          <w:szCs w:val="28"/>
        </w:rPr>
        <w:t>Materials and Methods</w:t>
      </w:r>
    </w:p>
    <w:p w14:paraId="3DA7531D" w14:textId="36DBC87C" w:rsidR="00122D37" w:rsidRPr="00122D37" w:rsidRDefault="00122D37" w:rsidP="00122D37">
      <w:pPr>
        <w:pStyle w:val="a6"/>
        <w:numPr>
          <w:ilvl w:val="0"/>
          <w:numId w:val="12"/>
        </w:numPr>
        <w:ind w:leftChars="0"/>
        <w:rPr>
          <w:rFonts w:ascii="Times New Roman" w:hAnsi="Times New Roman"/>
          <w:b/>
          <w:szCs w:val="24"/>
        </w:rPr>
      </w:pPr>
      <w:r w:rsidRPr="00122D37">
        <w:rPr>
          <w:rFonts w:ascii="Times New Roman" w:hAnsi="Times New Roman"/>
          <w:b/>
          <w:szCs w:val="24"/>
        </w:rPr>
        <w:t>Analytic Hierarchy Process</w:t>
      </w:r>
      <w:r>
        <w:rPr>
          <w:rFonts w:ascii="Times New Roman" w:hAnsi="Times New Roman" w:hint="eastAsia"/>
          <w:b/>
          <w:szCs w:val="24"/>
        </w:rPr>
        <w:t xml:space="preserve"> (AHP)</w:t>
      </w:r>
    </w:p>
    <w:p w14:paraId="0CF0B57B" w14:textId="17700043" w:rsidR="005011D7" w:rsidRPr="005011D7" w:rsidRDefault="005011D7" w:rsidP="005011D7">
      <w:pPr>
        <w:widowControl/>
        <w:ind w:firstLine="482"/>
        <w:jc w:val="both"/>
        <w:rPr>
          <w:rFonts w:ascii="Times New Roman" w:hAnsi="Times New Roman"/>
          <w:szCs w:val="24"/>
        </w:rPr>
      </w:pPr>
      <w:r w:rsidRPr="005011D7">
        <w:rPr>
          <w:rFonts w:ascii="Times New Roman" w:hAnsi="Times New Roman"/>
          <w:szCs w:val="24"/>
        </w:rPr>
        <w:t xml:space="preserve">The Analytic Hierarchy Process (AHP) is a decision-making method developed by Professor Thomas L. </w:t>
      </w:r>
      <w:proofErr w:type="spellStart"/>
      <w:r w:rsidRPr="005011D7">
        <w:rPr>
          <w:rFonts w:ascii="Times New Roman" w:hAnsi="Times New Roman"/>
          <w:szCs w:val="24"/>
        </w:rPr>
        <w:t>Saaty</w:t>
      </w:r>
      <w:proofErr w:type="spellEnd"/>
      <w:r>
        <w:rPr>
          <w:rFonts w:ascii="Times New Roman" w:hAnsi="Times New Roman"/>
          <w:szCs w:val="24"/>
        </w:rPr>
        <w:t xml:space="preserve"> (</w:t>
      </w:r>
      <w:r w:rsidRPr="005011D7">
        <w:rPr>
          <w:rFonts w:ascii="Times New Roman" w:hAnsi="Times New Roman"/>
          <w:szCs w:val="24"/>
        </w:rPr>
        <w:t>1980</w:t>
      </w:r>
      <w:r>
        <w:rPr>
          <w:rFonts w:ascii="Times New Roman" w:hAnsi="Times New Roman"/>
          <w:szCs w:val="24"/>
        </w:rPr>
        <w:t>)</w:t>
      </w:r>
      <w:r w:rsidRPr="005011D7">
        <w:rPr>
          <w:rFonts w:ascii="Times New Roman" w:hAnsi="Times New Roman"/>
          <w:szCs w:val="24"/>
        </w:rPr>
        <w:t xml:space="preserve"> at the University of Pittsburgh. It is primarily employed for decision problems characterized by multiple criteria under conditions of uncertainty. AHP systematically and hierarchically decomposes complex problems, determining the relative importance of elements through pairwise comparisons, and organizing them in a chosen order. It provides decision-makers with comprehensive information, thereby reducing the risk of decision errors. Addressing a limitation of AHP, namely its inability to overcome decision fuzziness, </w:t>
      </w:r>
      <w:proofErr w:type="spellStart"/>
      <w:r w:rsidRPr="005011D7">
        <w:rPr>
          <w:rFonts w:ascii="Times New Roman" w:hAnsi="Times New Roman"/>
          <w:szCs w:val="24"/>
        </w:rPr>
        <w:t>Laarhoven</w:t>
      </w:r>
      <w:proofErr w:type="spellEnd"/>
      <w:r w:rsidRPr="005011D7">
        <w:rPr>
          <w:rFonts w:ascii="Times New Roman" w:hAnsi="Times New Roman"/>
          <w:szCs w:val="24"/>
        </w:rPr>
        <w:t xml:space="preserve"> and </w:t>
      </w:r>
      <w:proofErr w:type="spellStart"/>
      <w:r w:rsidRPr="005011D7">
        <w:rPr>
          <w:rFonts w:ascii="Times New Roman" w:hAnsi="Times New Roman"/>
          <w:szCs w:val="24"/>
        </w:rPr>
        <w:t>Pedrycz</w:t>
      </w:r>
      <w:proofErr w:type="spellEnd"/>
      <w:r w:rsidRPr="005011D7">
        <w:rPr>
          <w:rFonts w:ascii="Times New Roman" w:hAnsi="Times New Roman"/>
          <w:szCs w:val="24"/>
        </w:rPr>
        <w:t xml:space="preserve"> (1983) further introduced the Fuzzy Analytic Hierarchy Process (FAHP).</w:t>
      </w:r>
    </w:p>
    <w:p w14:paraId="345C0F52" w14:textId="77777777" w:rsidR="00BF2091" w:rsidRDefault="00BF2091">
      <w:pPr>
        <w:widowControl/>
        <w:rPr>
          <w:rFonts w:ascii="Times New Roman" w:hAnsi="Times New Roman"/>
          <w:szCs w:val="24"/>
        </w:rPr>
      </w:pPr>
      <w:r>
        <w:rPr>
          <w:rFonts w:ascii="Times New Roman" w:hAnsi="Times New Roman"/>
          <w:szCs w:val="24"/>
        </w:rPr>
        <w:br w:type="page"/>
      </w:r>
    </w:p>
    <w:p w14:paraId="57D2FB79" w14:textId="32F32195" w:rsidR="005011D7" w:rsidRDefault="005011D7" w:rsidP="005011D7">
      <w:pPr>
        <w:widowControl/>
        <w:ind w:firstLine="482"/>
        <w:jc w:val="both"/>
        <w:rPr>
          <w:rFonts w:ascii="Times New Roman" w:hAnsi="Times New Roman"/>
          <w:szCs w:val="24"/>
        </w:rPr>
      </w:pPr>
      <w:r w:rsidRPr="005011D7">
        <w:rPr>
          <w:rFonts w:ascii="Times New Roman" w:hAnsi="Times New Roman"/>
          <w:szCs w:val="24"/>
        </w:rPr>
        <w:lastRenderedPageBreak/>
        <w:t xml:space="preserve">This study adopts a mixed-methods approach, combining qualitative and quantitative research methods. Initially, four </w:t>
      </w:r>
      <w:r w:rsidR="00A80A1A" w:rsidRPr="00EB4647">
        <w:rPr>
          <w:rFonts w:ascii="Times New Roman" w:hAnsi="Times New Roman"/>
        </w:rPr>
        <w:t>dimensions</w:t>
      </w:r>
      <w:r w:rsidRPr="005011D7">
        <w:rPr>
          <w:rFonts w:ascii="Times New Roman" w:hAnsi="Times New Roman"/>
          <w:szCs w:val="24"/>
        </w:rPr>
        <w:t xml:space="preserve"> and </w:t>
      </w:r>
      <w:r w:rsidR="00A80A1A">
        <w:rPr>
          <w:rFonts w:ascii="Times New Roman" w:hAnsi="Times New Roman"/>
          <w:szCs w:val="24"/>
        </w:rPr>
        <w:t>14</w:t>
      </w:r>
      <w:r w:rsidRPr="005011D7">
        <w:rPr>
          <w:rFonts w:ascii="Times New Roman" w:hAnsi="Times New Roman"/>
          <w:szCs w:val="24"/>
        </w:rPr>
        <w:t xml:space="preserve"> </w:t>
      </w:r>
      <w:r w:rsidR="00A80A1A">
        <w:rPr>
          <w:rFonts w:ascii="Times New Roman" w:hAnsi="Times New Roman"/>
          <w:szCs w:val="24"/>
        </w:rPr>
        <w:t>i</w:t>
      </w:r>
      <w:r w:rsidR="00A80A1A" w:rsidRPr="00A80A1A">
        <w:rPr>
          <w:rFonts w:ascii="Times New Roman" w:hAnsi="Times New Roman"/>
          <w:szCs w:val="24"/>
        </w:rPr>
        <w:t>ndicators</w:t>
      </w:r>
      <w:r w:rsidRPr="005011D7">
        <w:rPr>
          <w:rFonts w:ascii="Times New Roman" w:hAnsi="Times New Roman"/>
          <w:szCs w:val="24"/>
        </w:rPr>
        <w:t xml:space="preserve"> were developed based on a review of existing literature (as shown in Table 1). Subsequently, surveys were conducted with human resource managers in enterprises, utilizing a Likert five-point scale for scoring. Higher scores indicate a higher level of agreement by the enterprise with the various facets of online education and training. After collecting and analyzing the survey responses, the three </w:t>
      </w:r>
      <w:r w:rsidR="00A80A1A">
        <w:rPr>
          <w:rFonts w:ascii="Times New Roman" w:hAnsi="Times New Roman"/>
          <w:szCs w:val="24"/>
        </w:rPr>
        <w:t>i</w:t>
      </w:r>
      <w:r w:rsidR="00A80A1A" w:rsidRPr="00A80A1A">
        <w:rPr>
          <w:rFonts w:ascii="Times New Roman" w:hAnsi="Times New Roman"/>
          <w:szCs w:val="24"/>
        </w:rPr>
        <w:t>ndicators</w:t>
      </w:r>
      <w:r w:rsidRPr="005011D7">
        <w:rPr>
          <w:rFonts w:ascii="Times New Roman" w:hAnsi="Times New Roman"/>
          <w:szCs w:val="24"/>
        </w:rPr>
        <w:t xml:space="preserve"> with the highest scores under each of the four </w:t>
      </w:r>
      <w:r w:rsidR="00A80A1A" w:rsidRPr="00EB4647">
        <w:rPr>
          <w:rFonts w:ascii="Times New Roman" w:hAnsi="Times New Roman"/>
        </w:rPr>
        <w:t>dimensions</w:t>
      </w:r>
      <w:r w:rsidRPr="005011D7">
        <w:rPr>
          <w:rFonts w:ascii="Times New Roman" w:hAnsi="Times New Roman"/>
          <w:szCs w:val="24"/>
        </w:rPr>
        <w:t xml:space="preserve"> were identified.</w:t>
      </w:r>
      <w:r>
        <w:rPr>
          <w:rFonts w:ascii="Times New Roman" w:hAnsi="Times New Roman"/>
          <w:szCs w:val="24"/>
        </w:rPr>
        <w:t xml:space="preserve"> </w:t>
      </w:r>
      <w:r w:rsidRPr="005011D7">
        <w:rPr>
          <w:rFonts w:ascii="Times New Roman" w:hAnsi="Times New Roman"/>
          <w:szCs w:val="24"/>
        </w:rPr>
        <w:t xml:space="preserve">Finally, employing analytical techniques from expert panel decision-making, the study utilized FAHP to calculate weights and construct a weight matrix for the </w:t>
      </w:r>
      <w:r w:rsidR="00A80A1A">
        <w:rPr>
          <w:rFonts w:ascii="Times New Roman" w:hAnsi="Times New Roman"/>
          <w:szCs w:val="24"/>
        </w:rPr>
        <w:t>key</w:t>
      </w:r>
      <w:r w:rsidRPr="005011D7">
        <w:rPr>
          <w:rFonts w:ascii="Times New Roman" w:hAnsi="Times New Roman"/>
          <w:szCs w:val="24"/>
        </w:rPr>
        <w:t xml:space="preserve"> success factors in the implementation of online education and training within enterprises.</w:t>
      </w:r>
    </w:p>
    <w:p w14:paraId="1982B1EC" w14:textId="5A504100" w:rsidR="00A3546D" w:rsidRPr="00A3546D" w:rsidRDefault="00A3546D" w:rsidP="00A3546D">
      <w:pPr>
        <w:widowControl/>
        <w:snapToGrid w:val="0"/>
        <w:spacing w:beforeLines="50" w:before="180" w:afterLines="50" w:after="180" w:line="300" w:lineRule="auto"/>
        <w:jc w:val="center"/>
        <w:rPr>
          <w:rFonts w:ascii="Times New Roman" w:eastAsia="標楷體" w:hAnsi="Times New Roman" w:cs="Times New Roman"/>
          <w:b/>
          <w:szCs w:val="24"/>
        </w:rPr>
      </w:pPr>
      <w:r w:rsidRPr="00A3546D">
        <w:rPr>
          <w:rFonts w:ascii="Times New Roman" w:eastAsia="標楷體" w:hAnsi="Times New Roman" w:cs="Times New Roman"/>
          <w:b/>
          <w:szCs w:val="24"/>
        </w:rPr>
        <w:t xml:space="preserve">Table 1. </w:t>
      </w:r>
      <w:r w:rsidR="001C260C" w:rsidRPr="001C260C">
        <w:rPr>
          <w:rFonts w:ascii="Times New Roman" w:eastAsia="標楷體" w:hAnsi="Times New Roman" w:cs="Times New Roman"/>
          <w:b/>
          <w:szCs w:val="24"/>
        </w:rPr>
        <w:t>The Extended Dimensions Summary of Unified Theory of Acceptance and Use of Technology</w:t>
      </w:r>
    </w:p>
    <w:tbl>
      <w:tblPr>
        <w:tblStyle w:val="aa"/>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974"/>
        <w:gridCol w:w="855"/>
        <w:gridCol w:w="5528"/>
      </w:tblGrid>
      <w:tr w:rsidR="00AD1D21" w:rsidRPr="006559FC" w14:paraId="75F5CF98" w14:textId="77777777" w:rsidTr="00787331">
        <w:tc>
          <w:tcPr>
            <w:tcW w:w="2267" w:type="dxa"/>
            <w:tcBorders>
              <w:top w:val="single" w:sz="12" w:space="0" w:color="auto"/>
              <w:bottom w:val="single" w:sz="4" w:space="0" w:color="auto"/>
            </w:tcBorders>
          </w:tcPr>
          <w:p w14:paraId="45F0572B" w14:textId="77777777" w:rsidR="00AD1D21" w:rsidRPr="006559FC" w:rsidRDefault="00AD1D21" w:rsidP="005A0661">
            <w:pPr>
              <w:suppressAutoHyphens/>
              <w:spacing w:before="100" w:beforeAutospacing="1" w:after="100" w:afterAutospacing="1"/>
              <w:rPr>
                <w:rFonts w:ascii="Times New Roman" w:hAnsi="Times New Roman" w:cs="Times New Roman"/>
                <w:b/>
                <w:bCs/>
                <w:szCs w:val="24"/>
              </w:rPr>
            </w:pPr>
            <w:r w:rsidRPr="006559FC">
              <w:rPr>
                <w:rFonts w:ascii="Times New Roman" w:eastAsia="標楷體" w:hAnsi="Times New Roman" w:cs="Times New Roman"/>
                <w:b/>
                <w:bCs/>
                <w:szCs w:val="24"/>
              </w:rPr>
              <w:t>Dimensions</w:t>
            </w:r>
          </w:p>
        </w:tc>
        <w:tc>
          <w:tcPr>
            <w:tcW w:w="2974" w:type="dxa"/>
            <w:tcBorders>
              <w:top w:val="single" w:sz="12" w:space="0" w:color="auto"/>
              <w:bottom w:val="single" w:sz="4" w:space="0" w:color="auto"/>
            </w:tcBorders>
          </w:tcPr>
          <w:p w14:paraId="6BFDD34F" w14:textId="28A1BBEF" w:rsidR="00AD1D21" w:rsidRPr="006559FC" w:rsidRDefault="00AD1D21" w:rsidP="005A0661">
            <w:pPr>
              <w:suppressAutoHyphens/>
              <w:spacing w:before="100" w:beforeAutospacing="1" w:after="100" w:afterAutospacing="1"/>
              <w:rPr>
                <w:rFonts w:ascii="Times New Roman" w:eastAsia="標楷體" w:hAnsi="Times New Roman" w:cs="Times New Roman"/>
                <w:b/>
                <w:bCs/>
                <w:szCs w:val="24"/>
              </w:rPr>
            </w:pPr>
            <w:r w:rsidRPr="006559FC">
              <w:rPr>
                <w:rFonts w:ascii="Times New Roman" w:eastAsia="標楷體" w:hAnsi="Times New Roman" w:cs="Times New Roman"/>
                <w:b/>
                <w:bCs/>
                <w:szCs w:val="24"/>
              </w:rPr>
              <w:t>Definition</w:t>
            </w:r>
          </w:p>
        </w:tc>
        <w:tc>
          <w:tcPr>
            <w:tcW w:w="855" w:type="dxa"/>
            <w:tcBorders>
              <w:top w:val="single" w:sz="12" w:space="0" w:color="auto"/>
              <w:bottom w:val="single" w:sz="4" w:space="0" w:color="auto"/>
            </w:tcBorders>
          </w:tcPr>
          <w:p w14:paraId="00989AE6" w14:textId="0C2848D3" w:rsidR="00AD1D21" w:rsidRPr="006559FC" w:rsidRDefault="00AD1D21" w:rsidP="005A0661">
            <w:pPr>
              <w:suppressAutoHyphens/>
              <w:spacing w:before="100" w:beforeAutospacing="1" w:after="100" w:afterAutospacing="1"/>
              <w:rPr>
                <w:rFonts w:ascii="Times New Roman" w:eastAsia="標楷體" w:hAnsi="Times New Roman" w:cs="Times New Roman"/>
                <w:b/>
                <w:bCs/>
                <w:szCs w:val="24"/>
              </w:rPr>
            </w:pPr>
            <w:r w:rsidRPr="006559FC">
              <w:rPr>
                <w:rFonts w:ascii="Times New Roman" w:eastAsia="標楷體" w:hAnsi="Times New Roman" w:cs="Times New Roman"/>
                <w:b/>
                <w:bCs/>
                <w:szCs w:val="24"/>
              </w:rPr>
              <w:t>No.</w:t>
            </w:r>
          </w:p>
        </w:tc>
        <w:tc>
          <w:tcPr>
            <w:tcW w:w="5528" w:type="dxa"/>
            <w:tcBorders>
              <w:top w:val="single" w:sz="12" w:space="0" w:color="auto"/>
              <w:bottom w:val="single" w:sz="4" w:space="0" w:color="auto"/>
            </w:tcBorders>
          </w:tcPr>
          <w:p w14:paraId="0F8B818E" w14:textId="0833878F" w:rsidR="00AD1D21" w:rsidRPr="006559FC" w:rsidRDefault="00AD1D21" w:rsidP="005A0661">
            <w:pPr>
              <w:suppressAutoHyphens/>
              <w:spacing w:before="100" w:beforeAutospacing="1" w:after="100" w:afterAutospacing="1"/>
              <w:rPr>
                <w:rFonts w:ascii="Times New Roman" w:hAnsi="Times New Roman" w:cs="Times New Roman"/>
                <w:b/>
                <w:bCs/>
                <w:szCs w:val="24"/>
              </w:rPr>
            </w:pPr>
            <w:r w:rsidRPr="006559FC">
              <w:rPr>
                <w:rFonts w:ascii="Times New Roman" w:eastAsia="標楷體" w:hAnsi="Times New Roman" w:cs="Times New Roman"/>
                <w:b/>
                <w:bCs/>
                <w:szCs w:val="24"/>
              </w:rPr>
              <w:t xml:space="preserve">Indicators </w:t>
            </w:r>
          </w:p>
        </w:tc>
      </w:tr>
      <w:tr w:rsidR="00AD1D21" w:rsidRPr="006559FC" w14:paraId="63425CD3" w14:textId="77777777" w:rsidTr="00787331">
        <w:tc>
          <w:tcPr>
            <w:tcW w:w="2267" w:type="dxa"/>
            <w:vMerge w:val="restart"/>
            <w:tcBorders>
              <w:top w:val="single" w:sz="4" w:space="0" w:color="auto"/>
            </w:tcBorders>
          </w:tcPr>
          <w:p w14:paraId="7229DE18" w14:textId="191834CC" w:rsidR="00AD1D21" w:rsidRPr="006559FC" w:rsidRDefault="005011D7"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szCs w:val="24"/>
              </w:rPr>
              <w:t>H</w:t>
            </w:r>
            <w:r w:rsidR="00AD1D21" w:rsidRPr="006559FC">
              <w:rPr>
                <w:rFonts w:ascii="Times New Roman" w:hAnsi="Times New Roman" w:cs="Times New Roman"/>
                <w:szCs w:val="24"/>
              </w:rPr>
              <w:t xml:space="preserve">edonic </w:t>
            </w:r>
            <w:r>
              <w:rPr>
                <w:rFonts w:ascii="Times New Roman" w:hAnsi="Times New Roman" w:cs="Times New Roman"/>
                <w:szCs w:val="24"/>
              </w:rPr>
              <w:t>M</w:t>
            </w:r>
            <w:r w:rsidR="00AD1D21" w:rsidRPr="006559FC">
              <w:rPr>
                <w:rFonts w:ascii="Times New Roman" w:hAnsi="Times New Roman" w:cs="Times New Roman"/>
                <w:szCs w:val="24"/>
              </w:rPr>
              <w:t>otivation</w:t>
            </w:r>
            <w:r w:rsidR="00AF3DDC">
              <w:rPr>
                <w:rFonts w:ascii="Times New Roman" w:hAnsi="Times New Roman" w:cs="Times New Roman" w:hint="eastAsia"/>
                <w:szCs w:val="24"/>
              </w:rPr>
              <w:t>,</w:t>
            </w:r>
            <w:r w:rsidR="00AF3DDC">
              <w:rPr>
                <w:rFonts w:ascii="Times New Roman" w:hAnsi="Times New Roman" w:cs="Times New Roman"/>
                <w:szCs w:val="24"/>
              </w:rPr>
              <w:t xml:space="preserve"> HM</w:t>
            </w:r>
          </w:p>
        </w:tc>
        <w:tc>
          <w:tcPr>
            <w:tcW w:w="2974" w:type="dxa"/>
            <w:vMerge w:val="restart"/>
            <w:tcBorders>
              <w:top w:val="single" w:sz="4" w:space="0" w:color="auto"/>
            </w:tcBorders>
          </w:tcPr>
          <w:p w14:paraId="3F8C32C5" w14:textId="20E971E1" w:rsidR="00AD1D21" w:rsidRPr="006559FC" w:rsidRDefault="00AD1D21" w:rsidP="005A0661">
            <w:pPr>
              <w:suppressAutoHyphens/>
              <w:spacing w:before="100" w:beforeAutospacing="1" w:after="100" w:afterAutospacing="1"/>
              <w:jc w:val="both"/>
              <w:rPr>
                <w:rFonts w:ascii="Times New Roman" w:hAnsi="Times New Roman" w:cs="Times New Roman"/>
                <w:szCs w:val="24"/>
              </w:rPr>
            </w:pPr>
            <w:r w:rsidRPr="006559FC">
              <w:rPr>
                <w:rFonts w:ascii="Times New Roman" w:hAnsi="Times New Roman" w:cs="Times New Roman"/>
                <w:szCs w:val="24"/>
              </w:rPr>
              <w:t>The fun or pleasure derived from using a technology</w:t>
            </w:r>
          </w:p>
        </w:tc>
        <w:tc>
          <w:tcPr>
            <w:tcW w:w="855" w:type="dxa"/>
            <w:tcBorders>
              <w:top w:val="single" w:sz="4" w:space="0" w:color="auto"/>
            </w:tcBorders>
          </w:tcPr>
          <w:p w14:paraId="00E506CD" w14:textId="529F5CD4" w:rsidR="00AD1D21" w:rsidRPr="006559FC" w:rsidRDefault="00A246D8"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HM</w:t>
            </w:r>
            <w:r w:rsidR="00AD1D21" w:rsidRPr="006559FC">
              <w:rPr>
                <w:rFonts w:ascii="Times New Roman" w:hAnsi="Times New Roman" w:cs="Times New Roman"/>
                <w:szCs w:val="24"/>
              </w:rPr>
              <w:t>1</w:t>
            </w:r>
          </w:p>
        </w:tc>
        <w:tc>
          <w:tcPr>
            <w:tcW w:w="5528" w:type="dxa"/>
            <w:tcBorders>
              <w:top w:val="single" w:sz="4" w:space="0" w:color="auto"/>
            </w:tcBorders>
          </w:tcPr>
          <w:p w14:paraId="154A6CF3" w14:textId="070E0A38" w:rsidR="00AD1D21" w:rsidRPr="006559FC" w:rsidRDefault="00F254BF" w:rsidP="006A661D">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The process of using an online education and training platform is interesting.</w:t>
            </w:r>
          </w:p>
        </w:tc>
      </w:tr>
      <w:tr w:rsidR="00AD1D21" w:rsidRPr="006559FC" w14:paraId="1BFEBA65" w14:textId="77777777" w:rsidTr="00787331">
        <w:tc>
          <w:tcPr>
            <w:tcW w:w="2267" w:type="dxa"/>
            <w:vMerge/>
          </w:tcPr>
          <w:p w14:paraId="03EFED7D"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787B423C"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855" w:type="dxa"/>
          </w:tcPr>
          <w:p w14:paraId="3077812D" w14:textId="46B90D2D" w:rsidR="00AD1D21" w:rsidRPr="006559FC" w:rsidRDefault="00A246D8"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HM</w:t>
            </w:r>
            <w:r w:rsidR="00AD1D21" w:rsidRPr="006559FC">
              <w:rPr>
                <w:rFonts w:ascii="Times New Roman" w:hAnsi="Times New Roman" w:cs="Times New Roman"/>
                <w:szCs w:val="24"/>
              </w:rPr>
              <w:t>2</w:t>
            </w:r>
          </w:p>
        </w:tc>
        <w:tc>
          <w:tcPr>
            <w:tcW w:w="5528" w:type="dxa"/>
          </w:tcPr>
          <w:p w14:paraId="29E39CAF" w14:textId="38177EF5" w:rsidR="00AD1D21"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The process of using an online education and training platform is enjoyable.</w:t>
            </w:r>
          </w:p>
        </w:tc>
      </w:tr>
      <w:tr w:rsidR="00AD1D21" w:rsidRPr="006559FC" w14:paraId="5079DC83" w14:textId="77777777" w:rsidTr="00787331">
        <w:tc>
          <w:tcPr>
            <w:tcW w:w="2267" w:type="dxa"/>
            <w:vMerge/>
          </w:tcPr>
          <w:p w14:paraId="16417FD9"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0961F631"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855" w:type="dxa"/>
          </w:tcPr>
          <w:p w14:paraId="5C21FA2B" w14:textId="443B6139" w:rsidR="00AD1D21" w:rsidRPr="006559FC" w:rsidRDefault="00A246D8"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HM</w:t>
            </w:r>
            <w:r w:rsidR="00AD1D21" w:rsidRPr="006559FC">
              <w:rPr>
                <w:rFonts w:ascii="Times New Roman" w:hAnsi="Times New Roman" w:cs="Times New Roman"/>
                <w:szCs w:val="24"/>
              </w:rPr>
              <w:t>3</w:t>
            </w:r>
          </w:p>
        </w:tc>
        <w:tc>
          <w:tcPr>
            <w:tcW w:w="5528" w:type="dxa"/>
          </w:tcPr>
          <w:p w14:paraId="4716CB16" w14:textId="011A6D99" w:rsidR="00AD1D21"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The process of using an online education and training platform is entertaining.</w:t>
            </w:r>
          </w:p>
        </w:tc>
      </w:tr>
      <w:tr w:rsidR="006559FC" w:rsidRPr="006559FC" w14:paraId="6E4551C9" w14:textId="77777777" w:rsidTr="00787331">
        <w:tc>
          <w:tcPr>
            <w:tcW w:w="2267" w:type="dxa"/>
            <w:vMerge w:val="restart"/>
          </w:tcPr>
          <w:p w14:paraId="16D71A50" w14:textId="2A31CF0E" w:rsidR="006559FC" w:rsidRPr="006559FC" w:rsidRDefault="005011D7"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szCs w:val="24"/>
              </w:rPr>
              <w:t>P</w:t>
            </w:r>
            <w:r w:rsidR="006559FC" w:rsidRPr="006559FC">
              <w:rPr>
                <w:rFonts w:ascii="Times New Roman" w:hAnsi="Times New Roman" w:cs="Times New Roman"/>
                <w:szCs w:val="24"/>
              </w:rPr>
              <w:t xml:space="preserve">ersonal </w:t>
            </w:r>
            <w:r>
              <w:rPr>
                <w:rFonts w:ascii="Times New Roman" w:hAnsi="Times New Roman" w:cs="Times New Roman"/>
                <w:szCs w:val="24"/>
              </w:rPr>
              <w:t>I</w:t>
            </w:r>
            <w:r w:rsidR="006559FC" w:rsidRPr="006559FC">
              <w:rPr>
                <w:rFonts w:ascii="Times New Roman" w:hAnsi="Times New Roman" w:cs="Times New Roman"/>
                <w:szCs w:val="24"/>
              </w:rPr>
              <w:t>nnovativeness</w:t>
            </w:r>
            <w:r w:rsidR="00AF3DDC">
              <w:rPr>
                <w:rFonts w:ascii="Times New Roman" w:hAnsi="Times New Roman" w:cs="Times New Roman"/>
                <w:szCs w:val="24"/>
              </w:rPr>
              <w:t>, PI</w:t>
            </w:r>
          </w:p>
        </w:tc>
        <w:tc>
          <w:tcPr>
            <w:tcW w:w="2974" w:type="dxa"/>
            <w:vMerge w:val="restart"/>
          </w:tcPr>
          <w:p w14:paraId="5932DDCD" w14:textId="36C27F55" w:rsidR="006559FC" w:rsidRPr="006559FC" w:rsidRDefault="003223D0"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szCs w:val="24"/>
              </w:rPr>
              <w:t>T</w:t>
            </w:r>
            <w:r w:rsidRPr="003223D0">
              <w:rPr>
                <w:rFonts w:ascii="Times New Roman" w:hAnsi="Times New Roman" w:cs="Times New Roman"/>
                <w:szCs w:val="24"/>
              </w:rPr>
              <w:t>he willingness of an individual to try out any new information technology</w:t>
            </w:r>
          </w:p>
        </w:tc>
        <w:tc>
          <w:tcPr>
            <w:tcW w:w="855" w:type="dxa"/>
          </w:tcPr>
          <w:p w14:paraId="7FEA407C" w14:textId="4B647FF4" w:rsidR="006559FC"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PI</w:t>
            </w:r>
            <w:r w:rsidR="006559FC" w:rsidRPr="006559FC">
              <w:rPr>
                <w:rFonts w:ascii="Times New Roman" w:hAnsi="Times New Roman" w:cs="Times New Roman"/>
                <w:szCs w:val="24"/>
              </w:rPr>
              <w:t>1</w:t>
            </w:r>
          </w:p>
        </w:tc>
        <w:tc>
          <w:tcPr>
            <w:tcW w:w="5528" w:type="dxa"/>
          </w:tcPr>
          <w:p w14:paraId="449048CA" w14:textId="28E19416" w:rsidR="006559FC"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I am among the first to know how to use an online education and training platform for learning.</w:t>
            </w:r>
          </w:p>
        </w:tc>
      </w:tr>
      <w:tr w:rsidR="006559FC" w:rsidRPr="006559FC" w14:paraId="770B4C05" w14:textId="77777777" w:rsidTr="00787331">
        <w:tc>
          <w:tcPr>
            <w:tcW w:w="2267" w:type="dxa"/>
            <w:vMerge/>
          </w:tcPr>
          <w:p w14:paraId="745F7524" w14:textId="77777777" w:rsidR="006559FC" w:rsidRPr="006559FC" w:rsidRDefault="006559FC"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6AD0FC4F" w14:textId="77777777" w:rsidR="006559FC" w:rsidRPr="006559FC" w:rsidRDefault="006559FC" w:rsidP="005A0661">
            <w:pPr>
              <w:suppressAutoHyphens/>
              <w:spacing w:before="100" w:beforeAutospacing="1" w:after="100" w:afterAutospacing="1"/>
              <w:jc w:val="both"/>
              <w:rPr>
                <w:rFonts w:ascii="Times New Roman" w:hAnsi="Times New Roman" w:cs="Times New Roman"/>
                <w:szCs w:val="24"/>
              </w:rPr>
            </w:pPr>
          </w:p>
        </w:tc>
        <w:tc>
          <w:tcPr>
            <w:tcW w:w="855" w:type="dxa"/>
          </w:tcPr>
          <w:p w14:paraId="42B4EE35" w14:textId="4892D1C4" w:rsidR="006559FC"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PI</w:t>
            </w:r>
            <w:r w:rsidR="006559FC" w:rsidRPr="006559FC">
              <w:rPr>
                <w:rFonts w:ascii="Times New Roman" w:hAnsi="Times New Roman" w:cs="Times New Roman"/>
                <w:szCs w:val="24"/>
              </w:rPr>
              <w:t>2</w:t>
            </w:r>
          </w:p>
        </w:tc>
        <w:tc>
          <w:tcPr>
            <w:tcW w:w="5528" w:type="dxa"/>
          </w:tcPr>
          <w:p w14:paraId="4E323440" w14:textId="07123926" w:rsidR="006559FC"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I aspire to be the first person to use an online education and training platform for learning.</w:t>
            </w:r>
          </w:p>
        </w:tc>
      </w:tr>
      <w:tr w:rsidR="006559FC" w:rsidRPr="006559FC" w14:paraId="0271A5B9" w14:textId="77777777" w:rsidTr="00787331">
        <w:tc>
          <w:tcPr>
            <w:tcW w:w="2267" w:type="dxa"/>
            <w:vMerge/>
          </w:tcPr>
          <w:p w14:paraId="077054AE" w14:textId="77777777" w:rsidR="006559FC" w:rsidRPr="006559FC" w:rsidRDefault="006559FC"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4DFE7664" w14:textId="77777777" w:rsidR="006559FC" w:rsidRPr="006559FC" w:rsidRDefault="006559FC" w:rsidP="005A0661">
            <w:pPr>
              <w:suppressAutoHyphens/>
              <w:spacing w:before="100" w:beforeAutospacing="1" w:after="100" w:afterAutospacing="1"/>
              <w:jc w:val="both"/>
              <w:rPr>
                <w:rFonts w:ascii="Times New Roman" w:hAnsi="Times New Roman" w:cs="Times New Roman"/>
                <w:szCs w:val="24"/>
              </w:rPr>
            </w:pPr>
          </w:p>
        </w:tc>
        <w:tc>
          <w:tcPr>
            <w:tcW w:w="855" w:type="dxa"/>
          </w:tcPr>
          <w:p w14:paraId="0EF216F8" w14:textId="70D8BB28" w:rsidR="006559FC"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PI</w:t>
            </w:r>
            <w:r w:rsidR="006559FC" w:rsidRPr="006559FC">
              <w:rPr>
                <w:rFonts w:ascii="Times New Roman" w:hAnsi="Times New Roman" w:cs="Times New Roman"/>
                <w:szCs w:val="24"/>
              </w:rPr>
              <w:t>3</w:t>
            </w:r>
          </w:p>
        </w:tc>
        <w:tc>
          <w:tcPr>
            <w:tcW w:w="5528" w:type="dxa"/>
          </w:tcPr>
          <w:p w14:paraId="2AC5D463" w14:textId="1CAE6295" w:rsidR="006559FC"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 xml:space="preserve">When I learn about the existence of an online education and training platform, I </w:t>
            </w:r>
            <w:proofErr w:type="gramStart"/>
            <w:r w:rsidRPr="00F254BF">
              <w:rPr>
                <w:rFonts w:ascii="Times New Roman" w:hAnsi="Times New Roman" w:cs="Times New Roman"/>
                <w:szCs w:val="24"/>
              </w:rPr>
              <w:t>make an effort</w:t>
            </w:r>
            <w:proofErr w:type="gramEnd"/>
            <w:r w:rsidRPr="00F254BF">
              <w:rPr>
                <w:rFonts w:ascii="Times New Roman" w:hAnsi="Times New Roman" w:cs="Times New Roman"/>
                <w:szCs w:val="24"/>
              </w:rPr>
              <w:t xml:space="preserve"> to try it out.</w:t>
            </w:r>
          </w:p>
        </w:tc>
      </w:tr>
      <w:tr w:rsidR="006559FC" w:rsidRPr="006559FC" w14:paraId="34944ACE" w14:textId="77777777" w:rsidTr="00787331">
        <w:tc>
          <w:tcPr>
            <w:tcW w:w="2267" w:type="dxa"/>
            <w:vMerge/>
          </w:tcPr>
          <w:p w14:paraId="5CEF4FD2" w14:textId="77777777" w:rsidR="006559FC" w:rsidRPr="006559FC" w:rsidRDefault="006559FC"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3D747DE9" w14:textId="77777777" w:rsidR="006559FC" w:rsidRPr="006559FC" w:rsidRDefault="006559FC" w:rsidP="005A0661">
            <w:pPr>
              <w:suppressAutoHyphens/>
              <w:spacing w:before="100" w:beforeAutospacing="1" w:after="100" w:afterAutospacing="1"/>
              <w:jc w:val="both"/>
              <w:rPr>
                <w:rFonts w:ascii="Times New Roman" w:hAnsi="Times New Roman" w:cs="Times New Roman"/>
                <w:szCs w:val="24"/>
              </w:rPr>
            </w:pPr>
          </w:p>
        </w:tc>
        <w:tc>
          <w:tcPr>
            <w:tcW w:w="855" w:type="dxa"/>
          </w:tcPr>
          <w:p w14:paraId="455C0AD2" w14:textId="38D620B2" w:rsidR="006559FC"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PI</w:t>
            </w:r>
            <w:r w:rsidR="006559FC" w:rsidRPr="006559FC">
              <w:rPr>
                <w:rFonts w:ascii="Times New Roman" w:hAnsi="Times New Roman" w:cs="Times New Roman"/>
                <w:szCs w:val="24"/>
              </w:rPr>
              <w:t>4</w:t>
            </w:r>
          </w:p>
        </w:tc>
        <w:tc>
          <w:tcPr>
            <w:tcW w:w="5528" w:type="dxa"/>
          </w:tcPr>
          <w:p w14:paraId="259DDF82" w14:textId="4A214533" w:rsidR="006559FC"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Even if I am unaware of others having prior experience, I prefer to be one of the first to use an online education and training platform for learning.</w:t>
            </w:r>
          </w:p>
        </w:tc>
      </w:tr>
      <w:tr w:rsidR="00AD1D21" w:rsidRPr="006559FC" w14:paraId="04F37446" w14:textId="77777777" w:rsidTr="00787331">
        <w:tc>
          <w:tcPr>
            <w:tcW w:w="2267" w:type="dxa"/>
            <w:vMerge w:val="restart"/>
          </w:tcPr>
          <w:p w14:paraId="193A962D" w14:textId="7DCC7A09" w:rsidR="00AD1D21" w:rsidRPr="006559FC" w:rsidRDefault="005011D7"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szCs w:val="24"/>
              </w:rPr>
              <w:t>P</w:t>
            </w:r>
            <w:r w:rsidR="00AD1D21" w:rsidRPr="006559FC">
              <w:rPr>
                <w:rFonts w:ascii="Times New Roman" w:hAnsi="Times New Roman" w:cs="Times New Roman"/>
                <w:szCs w:val="24"/>
              </w:rPr>
              <w:t xml:space="preserve">rice </w:t>
            </w:r>
            <w:r>
              <w:rPr>
                <w:rFonts w:ascii="Times New Roman" w:hAnsi="Times New Roman" w:cs="Times New Roman"/>
                <w:szCs w:val="24"/>
              </w:rPr>
              <w:t>V</w:t>
            </w:r>
            <w:r w:rsidR="00AD1D21" w:rsidRPr="006559FC">
              <w:rPr>
                <w:rFonts w:ascii="Times New Roman" w:hAnsi="Times New Roman" w:cs="Times New Roman"/>
                <w:szCs w:val="24"/>
              </w:rPr>
              <w:t>alue</w:t>
            </w:r>
            <w:r w:rsidR="00AF3DDC">
              <w:rPr>
                <w:rFonts w:ascii="Times New Roman" w:hAnsi="Times New Roman" w:cs="Times New Roman"/>
                <w:szCs w:val="24"/>
              </w:rPr>
              <w:t>, PV</w:t>
            </w:r>
          </w:p>
        </w:tc>
        <w:tc>
          <w:tcPr>
            <w:tcW w:w="2974" w:type="dxa"/>
            <w:vMerge w:val="restart"/>
          </w:tcPr>
          <w:p w14:paraId="0F2FF6E1" w14:textId="5E9BBB5D" w:rsidR="00AD1D21" w:rsidRPr="006559FC" w:rsidRDefault="00AD1D21" w:rsidP="005A0661">
            <w:pPr>
              <w:suppressAutoHyphens/>
              <w:spacing w:before="100" w:beforeAutospacing="1" w:after="100" w:afterAutospacing="1"/>
              <w:jc w:val="both"/>
              <w:rPr>
                <w:rFonts w:ascii="Times New Roman" w:hAnsi="Times New Roman" w:cs="Times New Roman"/>
                <w:szCs w:val="24"/>
              </w:rPr>
            </w:pPr>
            <w:r w:rsidRPr="006559FC">
              <w:rPr>
                <w:rFonts w:ascii="Times New Roman" w:hAnsi="Times New Roman" w:cs="Times New Roman"/>
                <w:szCs w:val="24"/>
              </w:rPr>
              <w:t>A consumer's trade-off between the perceived benefits of the applications and the monetary cost of using them</w:t>
            </w:r>
          </w:p>
        </w:tc>
        <w:tc>
          <w:tcPr>
            <w:tcW w:w="855" w:type="dxa"/>
          </w:tcPr>
          <w:p w14:paraId="7C03C5A0" w14:textId="7C5FCC1D" w:rsidR="00AD1D21"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PV</w:t>
            </w:r>
            <w:r w:rsidR="00AD1D21" w:rsidRPr="006559FC">
              <w:rPr>
                <w:rFonts w:ascii="Times New Roman" w:hAnsi="Times New Roman" w:cs="Times New Roman"/>
                <w:szCs w:val="24"/>
              </w:rPr>
              <w:t>1</w:t>
            </w:r>
          </w:p>
        </w:tc>
        <w:tc>
          <w:tcPr>
            <w:tcW w:w="5528" w:type="dxa"/>
          </w:tcPr>
          <w:p w14:paraId="503E669D" w14:textId="7C947E1F" w:rsidR="00AD1D21"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The cost of using an online education and training platform for learning is acceptable.</w:t>
            </w:r>
          </w:p>
        </w:tc>
      </w:tr>
      <w:tr w:rsidR="00AD1D21" w:rsidRPr="006559FC" w14:paraId="45EA8624" w14:textId="77777777" w:rsidTr="00787331">
        <w:tc>
          <w:tcPr>
            <w:tcW w:w="2267" w:type="dxa"/>
            <w:vMerge/>
          </w:tcPr>
          <w:p w14:paraId="0AC04FBD"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3D006154"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855" w:type="dxa"/>
          </w:tcPr>
          <w:p w14:paraId="15531B21" w14:textId="48396FA3" w:rsidR="00AD1D21"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PV</w:t>
            </w:r>
            <w:r w:rsidR="00AD1D21" w:rsidRPr="006559FC">
              <w:rPr>
                <w:rFonts w:ascii="Times New Roman" w:hAnsi="Times New Roman" w:cs="Times New Roman"/>
                <w:szCs w:val="24"/>
              </w:rPr>
              <w:t>2</w:t>
            </w:r>
          </w:p>
        </w:tc>
        <w:tc>
          <w:tcPr>
            <w:tcW w:w="5528" w:type="dxa"/>
          </w:tcPr>
          <w:p w14:paraId="6DA3F492" w14:textId="0FAA664D" w:rsidR="00AD1D21"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Using an online education and training platform for learning provides value for money.</w:t>
            </w:r>
          </w:p>
        </w:tc>
      </w:tr>
      <w:tr w:rsidR="00AD1D21" w:rsidRPr="006559FC" w14:paraId="79FD70F1" w14:textId="77777777" w:rsidTr="00787331">
        <w:tc>
          <w:tcPr>
            <w:tcW w:w="2267" w:type="dxa"/>
            <w:vMerge/>
          </w:tcPr>
          <w:p w14:paraId="5128EBB8"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43186DCE"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855" w:type="dxa"/>
          </w:tcPr>
          <w:p w14:paraId="4BFB7900" w14:textId="734ED6BF" w:rsidR="00AD1D21"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PV</w:t>
            </w:r>
            <w:r w:rsidR="00AD1D21" w:rsidRPr="006559FC">
              <w:rPr>
                <w:rFonts w:ascii="Times New Roman" w:hAnsi="Times New Roman" w:cs="Times New Roman"/>
                <w:szCs w:val="24"/>
              </w:rPr>
              <w:t>3</w:t>
            </w:r>
          </w:p>
        </w:tc>
        <w:tc>
          <w:tcPr>
            <w:tcW w:w="5528" w:type="dxa"/>
          </w:tcPr>
          <w:p w14:paraId="3BCE7223" w14:textId="43300AA9" w:rsidR="00AD1D21" w:rsidRPr="006559FC"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At the current price, using an online education and training platform for learning offers good economic value.</w:t>
            </w:r>
          </w:p>
        </w:tc>
      </w:tr>
      <w:tr w:rsidR="00AD1D21" w:rsidRPr="006559FC" w14:paraId="6C84E3B7" w14:textId="77777777" w:rsidTr="00787331">
        <w:tc>
          <w:tcPr>
            <w:tcW w:w="2267" w:type="dxa"/>
            <w:vMerge w:val="restart"/>
          </w:tcPr>
          <w:p w14:paraId="50DEFFA8" w14:textId="52207304" w:rsidR="00AD1D21" w:rsidRPr="006559FC" w:rsidRDefault="005011D7"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szCs w:val="24"/>
              </w:rPr>
              <w:t>H</w:t>
            </w:r>
            <w:r w:rsidR="00AD1D21" w:rsidRPr="006559FC">
              <w:rPr>
                <w:rFonts w:ascii="Times New Roman" w:hAnsi="Times New Roman" w:cs="Times New Roman"/>
                <w:szCs w:val="24"/>
              </w:rPr>
              <w:t>abit</w:t>
            </w:r>
            <w:r w:rsidR="00AF3DDC">
              <w:rPr>
                <w:rFonts w:ascii="Times New Roman" w:hAnsi="Times New Roman" w:cs="Times New Roman"/>
                <w:szCs w:val="24"/>
              </w:rPr>
              <w:t>, HB</w:t>
            </w:r>
          </w:p>
        </w:tc>
        <w:tc>
          <w:tcPr>
            <w:tcW w:w="2974" w:type="dxa"/>
            <w:vMerge w:val="restart"/>
          </w:tcPr>
          <w:p w14:paraId="210E7588" w14:textId="5C161373" w:rsidR="00AD1D21" w:rsidRPr="006559FC" w:rsidRDefault="00AD1D21" w:rsidP="005A0661">
            <w:pPr>
              <w:suppressAutoHyphens/>
              <w:spacing w:before="100" w:beforeAutospacing="1" w:after="100" w:afterAutospacing="1"/>
              <w:jc w:val="both"/>
              <w:rPr>
                <w:rFonts w:ascii="Times New Roman" w:hAnsi="Times New Roman" w:cs="Times New Roman"/>
                <w:szCs w:val="24"/>
              </w:rPr>
            </w:pPr>
            <w:r w:rsidRPr="006559FC">
              <w:rPr>
                <w:rFonts w:ascii="Times New Roman" w:hAnsi="Times New Roman" w:cs="Times New Roman"/>
                <w:szCs w:val="24"/>
              </w:rPr>
              <w:t>The extent to which people tend to perform behaviors automatically</w:t>
            </w:r>
          </w:p>
        </w:tc>
        <w:tc>
          <w:tcPr>
            <w:tcW w:w="855" w:type="dxa"/>
          </w:tcPr>
          <w:p w14:paraId="5E9AAE85" w14:textId="7B4840D9" w:rsidR="00AD1D21"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H</w:t>
            </w:r>
            <w:r w:rsidR="005260ED">
              <w:rPr>
                <w:rFonts w:ascii="Times New Roman" w:hAnsi="Times New Roman" w:cs="Times New Roman"/>
                <w:szCs w:val="24"/>
              </w:rPr>
              <w:t>B</w:t>
            </w:r>
            <w:r w:rsidR="00AD1D21" w:rsidRPr="006559FC">
              <w:rPr>
                <w:rFonts w:ascii="Times New Roman" w:hAnsi="Times New Roman" w:cs="Times New Roman"/>
                <w:szCs w:val="24"/>
              </w:rPr>
              <w:t>1</w:t>
            </w:r>
          </w:p>
        </w:tc>
        <w:tc>
          <w:tcPr>
            <w:tcW w:w="5528" w:type="dxa"/>
          </w:tcPr>
          <w:p w14:paraId="007D9334" w14:textId="4DD6BC39" w:rsidR="00AD1D21" w:rsidRPr="006559FC" w:rsidRDefault="00F254BF" w:rsidP="006A661D">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When desiring to learn online, prioritizing the use of an online education and training platform has become a habit for me.</w:t>
            </w:r>
          </w:p>
        </w:tc>
      </w:tr>
      <w:tr w:rsidR="00AD1D21" w:rsidRPr="006559FC" w14:paraId="2065937D" w14:textId="77777777" w:rsidTr="00787331">
        <w:tc>
          <w:tcPr>
            <w:tcW w:w="2267" w:type="dxa"/>
            <w:vMerge/>
          </w:tcPr>
          <w:p w14:paraId="4120DBAB"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4C613FB4"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855" w:type="dxa"/>
          </w:tcPr>
          <w:p w14:paraId="20DEA755" w14:textId="1DECC7A9" w:rsidR="00AD1D21"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H</w:t>
            </w:r>
            <w:r w:rsidR="005260ED">
              <w:rPr>
                <w:rFonts w:ascii="Times New Roman" w:hAnsi="Times New Roman" w:cs="Times New Roman"/>
                <w:szCs w:val="24"/>
              </w:rPr>
              <w:t>B</w:t>
            </w:r>
            <w:r w:rsidR="00AD1D21" w:rsidRPr="006559FC">
              <w:rPr>
                <w:rFonts w:ascii="Times New Roman" w:hAnsi="Times New Roman" w:cs="Times New Roman"/>
                <w:szCs w:val="24"/>
              </w:rPr>
              <w:t>2</w:t>
            </w:r>
          </w:p>
        </w:tc>
        <w:tc>
          <w:tcPr>
            <w:tcW w:w="5528" w:type="dxa"/>
          </w:tcPr>
          <w:p w14:paraId="759CEE0E" w14:textId="15EF34BC" w:rsidR="00AD1D21" w:rsidRPr="006559FC" w:rsidRDefault="00F254BF" w:rsidP="006A661D">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When desiring to learn online, I am inclined to use an online education and training platform.</w:t>
            </w:r>
          </w:p>
        </w:tc>
      </w:tr>
      <w:tr w:rsidR="00AD1D21" w:rsidRPr="006559FC" w14:paraId="64A63CB8" w14:textId="77777777" w:rsidTr="00787331">
        <w:tc>
          <w:tcPr>
            <w:tcW w:w="2267" w:type="dxa"/>
            <w:vMerge/>
          </w:tcPr>
          <w:p w14:paraId="73D7D462"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2974" w:type="dxa"/>
            <w:vMerge/>
          </w:tcPr>
          <w:p w14:paraId="25A313C8"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855" w:type="dxa"/>
          </w:tcPr>
          <w:p w14:paraId="06BD5993" w14:textId="1FB45791" w:rsidR="00AD1D21"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H</w:t>
            </w:r>
            <w:r w:rsidR="005260ED">
              <w:rPr>
                <w:rFonts w:ascii="Times New Roman" w:hAnsi="Times New Roman" w:cs="Times New Roman"/>
                <w:szCs w:val="24"/>
              </w:rPr>
              <w:t>B</w:t>
            </w:r>
            <w:r w:rsidR="00AD1D21" w:rsidRPr="006559FC">
              <w:rPr>
                <w:rFonts w:ascii="Times New Roman" w:hAnsi="Times New Roman" w:cs="Times New Roman"/>
                <w:szCs w:val="24"/>
              </w:rPr>
              <w:t>3</w:t>
            </w:r>
          </w:p>
        </w:tc>
        <w:tc>
          <w:tcPr>
            <w:tcW w:w="5528" w:type="dxa"/>
          </w:tcPr>
          <w:p w14:paraId="0910CD72" w14:textId="4137507F" w:rsidR="00AD1D21" w:rsidRPr="005260ED" w:rsidRDefault="00F254BF" w:rsidP="005A0661">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When desiring to learn online, I will certainly use an online education and training platform.</w:t>
            </w:r>
          </w:p>
        </w:tc>
      </w:tr>
      <w:tr w:rsidR="00AD1D21" w:rsidRPr="006559FC" w14:paraId="75B8C973" w14:textId="77777777" w:rsidTr="00787331">
        <w:tc>
          <w:tcPr>
            <w:tcW w:w="2267" w:type="dxa"/>
            <w:vMerge/>
            <w:tcBorders>
              <w:bottom w:val="single" w:sz="12" w:space="0" w:color="auto"/>
            </w:tcBorders>
          </w:tcPr>
          <w:p w14:paraId="5874426C"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2974" w:type="dxa"/>
            <w:vMerge/>
            <w:tcBorders>
              <w:bottom w:val="single" w:sz="12" w:space="0" w:color="auto"/>
            </w:tcBorders>
          </w:tcPr>
          <w:p w14:paraId="71222EE1" w14:textId="77777777" w:rsidR="00AD1D21" w:rsidRPr="006559FC" w:rsidRDefault="00AD1D21" w:rsidP="005A0661">
            <w:pPr>
              <w:suppressAutoHyphens/>
              <w:spacing w:before="100" w:beforeAutospacing="1" w:after="100" w:afterAutospacing="1"/>
              <w:jc w:val="both"/>
              <w:rPr>
                <w:rFonts w:ascii="Times New Roman" w:hAnsi="Times New Roman" w:cs="Times New Roman"/>
                <w:szCs w:val="24"/>
              </w:rPr>
            </w:pPr>
          </w:p>
        </w:tc>
        <w:tc>
          <w:tcPr>
            <w:tcW w:w="855" w:type="dxa"/>
            <w:tcBorders>
              <w:bottom w:val="single" w:sz="12" w:space="0" w:color="auto"/>
            </w:tcBorders>
          </w:tcPr>
          <w:p w14:paraId="1A99FE7B" w14:textId="0777954B" w:rsidR="00AD1D21" w:rsidRPr="006559FC" w:rsidRDefault="00CA3651" w:rsidP="005A0661">
            <w:pPr>
              <w:suppressAutoHyphens/>
              <w:spacing w:before="100" w:beforeAutospacing="1" w:after="100" w:afterAutospacing="1"/>
              <w:jc w:val="both"/>
              <w:rPr>
                <w:rFonts w:ascii="Times New Roman" w:hAnsi="Times New Roman" w:cs="Times New Roman"/>
                <w:szCs w:val="24"/>
              </w:rPr>
            </w:pPr>
            <w:r>
              <w:rPr>
                <w:rFonts w:ascii="Times New Roman" w:hAnsi="Times New Roman" w:cs="Times New Roman" w:hint="eastAsia"/>
                <w:szCs w:val="24"/>
              </w:rPr>
              <w:t>H</w:t>
            </w:r>
            <w:r w:rsidR="00CC4A27">
              <w:rPr>
                <w:rFonts w:ascii="Times New Roman" w:hAnsi="Times New Roman" w:cs="Times New Roman"/>
                <w:szCs w:val="24"/>
              </w:rPr>
              <w:t>B</w:t>
            </w:r>
            <w:r w:rsidR="00AD1D21" w:rsidRPr="006559FC">
              <w:rPr>
                <w:rFonts w:ascii="Times New Roman" w:hAnsi="Times New Roman" w:cs="Times New Roman"/>
                <w:szCs w:val="24"/>
              </w:rPr>
              <w:t>4</w:t>
            </w:r>
          </w:p>
        </w:tc>
        <w:tc>
          <w:tcPr>
            <w:tcW w:w="5528" w:type="dxa"/>
            <w:tcBorders>
              <w:bottom w:val="single" w:sz="12" w:space="0" w:color="auto"/>
            </w:tcBorders>
          </w:tcPr>
          <w:p w14:paraId="4C410710" w14:textId="7CE4B6D3" w:rsidR="00AD1D21" w:rsidRPr="00F254BF" w:rsidRDefault="00F254BF" w:rsidP="00F254BF">
            <w:pPr>
              <w:suppressAutoHyphens/>
              <w:spacing w:before="100" w:beforeAutospacing="1" w:after="100" w:afterAutospacing="1"/>
              <w:jc w:val="both"/>
              <w:rPr>
                <w:rFonts w:ascii="Times New Roman" w:hAnsi="Times New Roman" w:cs="Times New Roman"/>
                <w:szCs w:val="24"/>
              </w:rPr>
            </w:pPr>
            <w:r w:rsidRPr="00F254BF">
              <w:rPr>
                <w:rFonts w:ascii="Times New Roman" w:hAnsi="Times New Roman" w:cs="Times New Roman"/>
                <w:szCs w:val="24"/>
              </w:rPr>
              <w:t>Utilizing an online education and training platform for learning has become a natural thing for me.</w:t>
            </w:r>
          </w:p>
        </w:tc>
      </w:tr>
    </w:tbl>
    <w:p w14:paraId="6F870715" w14:textId="77777777" w:rsidR="009C5EBA" w:rsidRPr="00A3546D" w:rsidRDefault="009C5EBA" w:rsidP="00A3546D">
      <w:pPr>
        <w:widowControl/>
        <w:jc w:val="both"/>
        <w:rPr>
          <w:rFonts w:ascii="Times New Roman" w:hAnsi="Times New Roman"/>
          <w:szCs w:val="24"/>
        </w:rPr>
      </w:pPr>
    </w:p>
    <w:p w14:paraId="2C0C9D70" w14:textId="05853B17" w:rsidR="00CC53DB" w:rsidRPr="00411162" w:rsidRDefault="00AF3DDC" w:rsidP="00411162">
      <w:pPr>
        <w:pStyle w:val="a6"/>
        <w:numPr>
          <w:ilvl w:val="0"/>
          <w:numId w:val="12"/>
        </w:numPr>
        <w:ind w:leftChars="0"/>
        <w:rPr>
          <w:rFonts w:ascii="Times New Roman" w:eastAsia="標楷體" w:hAnsi="Times New Roman" w:cs="Times New Roman"/>
          <w:b/>
          <w:szCs w:val="24"/>
        </w:rPr>
      </w:pPr>
      <w:r w:rsidRPr="00AF3DDC">
        <w:rPr>
          <w:rFonts w:ascii="Times New Roman" w:eastAsia="標楷體" w:hAnsi="Times New Roman" w:cs="Times New Roman"/>
          <w:b/>
          <w:szCs w:val="24"/>
        </w:rPr>
        <w:t>Participants</w:t>
      </w:r>
    </w:p>
    <w:p w14:paraId="3C85CB10" w14:textId="0ADD6BD4" w:rsidR="00787331" w:rsidRPr="00A20A63" w:rsidRDefault="00787331" w:rsidP="00AF3DDC">
      <w:pPr>
        <w:ind w:firstLine="480"/>
        <w:jc w:val="both"/>
        <w:rPr>
          <w:rFonts w:ascii="Times New Roman" w:hAnsi="Times New Roman"/>
          <w:szCs w:val="24"/>
        </w:rPr>
      </w:pPr>
      <w:r w:rsidRPr="00787331">
        <w:rPr>
          <w:rFonts w:ascii="Times New Roman" w:hAnsi="Times New Roman"/>
          <w:szCs w:val="24"/>
        </w:rPr>
        <w:t>The primary participants in the FAHP questionnaire of this study were university professors holding a Ph.D. in business management and human resources department heads engaged in corporate training. All participants had over 10 years of work experience. The study distributed 10 questionnaires to both the academic and industrial sectors, totaling 20 questionnaires. Ultimately, 18 completed questionnaires were collected.</w:t>
      </w:r>
    </w:p>
    <w:p w14:paraId="7174BFEF" w14:textId="77777777" w:rsidR="00BF2091" w:rsidRDefault="00BF2091">
      <w:pPr>
        <w:widowControl/>
        <w:rPr>
          <w:rFonts w:ascii="Times New Roman" w:hAnsi="Times New Roman"/>
          <w:b/>
          <w:sz w:val="28"/>
          <w:szCs w:val="28"/>
        </w:rPr>
      </w:pPr>
      <w:r>
        <w:rPr>
          <w:rFonts w:ascii="Times New Roman" w:hAnsi="Times New Roman"/>
          <w:b/>
          <w:sz w:val="28"/>
          <w:szCs w:val="28"/>
        </w:rPr>
        <w:br w:type="page"/>
      </w:r>
    </w:p>
    <w:p w14:paraId="74462D97" w14:textId="4AC48D7D" w:rsidR="00CC53DB" w:rsidRPr="00616824" w:rsidRDefault="00A23ECF" w:rsidP="001B28D5">
      <w:pPr>
        <w:pStyle w:val="a6"/>
        <w:numPr>
          <w:ilvl w:val="0"/>
          <w:numId w:val="10"/>
        </w:numPr>
        <w:ind w:leftChars="0"/>
        <w:rPr>
          <w:rFonts w:ascii="Times New Roman" w:hAnsi="Times New Roman"/>
          <w:b/>
          <w:sz w:val="28"/>
          <w:szCs w:val="28"/>
        </w:rPr>
      </w:pPr>
      <w:r w:rsidRPr="00A23ECF">
        <w:rPr>
          <w:rFonts w:ascii="Times New Roman" w:hAnsi="Times New Roman"/>
          <w:b/>
          <w:sz w:val="28"/>
          <w:szCs w:val="28"/>
        </w:rPr>
        <w:lastRenderedPageBreak/>
        <w:t xml:space="preserve">Result and </w:t>
      </w:r>
      <w:r>
        <w:rPr>
          <w:rFonts w:ascii="Times New Roman" w:hAnsi="Times New Roman"/>
          <w:b/>
          <w:sz w:val="28"/>
          <w:szCs w:val="28"/>
        </w:rPr>
        <w:t>D</w:t>
      </w:r>
      <w:r w:rsidRPr="00A23ECF">
        <w:rPr>
          <w:rFonts w:ascii="Times New Roman" w:hAnsi="Times New Roman"/>
          <w:b/>
          <w:sz w:val="28"/>
          <w:szCs w:val="28"/>
        </w:rPr>
        <w:t>iscussion</w:t>
      </w:r>
    </w:p>
    <w:p w14:paraId="6E782059" w14:textId="1A1FBA01" w:rsidR="00CC53DB" w:rsidRPr="00616824" w:rsidRDefault="009E2787" w:rsidP="00616824">
      <w:pPr>
        <w:pStyle w:val="a6"/>
        <w:numPr>
          <w:ilvl w:val="0"/>
          <w:numId w:val="16"/>
        </w:numPr>
        <w:ind w:leftChars="0"/>
        <w:rPr>
          <w:rFonts w:ascii="Times New Roman" w:eastAsia="標楷體" w:hAnsi="Times New Roman" w:cs="Times New Roman"/>
          <w:b/>
          <w:szCs w:val="24"/>
        </w:rPr>
      </w:pPr>
      <w:r w:rsidRPr="009E2787">
        <w:rPr>
          <w:rFonts w:ascii="Times New Roman" w:hAnsi="Times New Roman"/>
          <w:b/>
          <w:szCs w:val="24"/>
        </w:rPr>
        <w:t xml:space="preserve">Weight analysis of </w:t>
      </w:r>
      <w:r w:rsidR="003E26F2">
        <w:rPr>
          <w:rFonts w:ascii="Times New Roman" w:hAnsi="Times New Roman"/>
          <w:b/>
          <w:szCs w:val="24"/>
        </w:rPr>
        <w:t>d</w:t>
      </w:r>
      <w:r w:rsidR="003E26F2" w:rsidRPr="003E26F2">
        <w:rPr>
          <w:rFonts w:ascii="Times New Roman" w:hAnsi="Times New Roman"/>
          <w:b/>
          <w:szCs w:val="24"/>
        </w:rPr>
        <w:t>imensions</w:t>
      </w:r>
      <w:r w:rsidRPr="009E2787">
        <w:rPr>
          <w:rFonts w:ascii="Times New Roman" w:hAnsi="Times New Roman"/>
          <w:b/>
          <w:szCs w:val="24"/>
        </w:rPr>
        <w:t xml:space="preserve"> and </w:t>
      </w:r>
      <w:r w:rsidR="003E26F2">
        <w:rPr>
          <w:rFonts w:ascii="Times New Roman" w:hAnsi="Times New Roman"/>
          <w:b/>
          <w:szCs w:val="24"/>
        </w:rPr>
        <w:t>i</w:t>
      </w:r>
      <w:r w:rsidR="003E26F2" w:rsidRPr="003E26F2">
        <w:rPr>
          <w:rFonts w:ascii="Times New Roman" w:hAnsi="Times New Roman"/>
          <w:b/>
          <w:szCs w:val="24"/>
        </w:rPr>
        <w:t>ndicators</w:t>
      </w:r>
    </w:p>
    <w:p w14:paraId="30CE6E1F" w14:textId="3E3FE040" w:rsidR="00787331" w:rsidRPr="006252B3" w:rsidRDefault="00787331" w:rsidP="00787331">
      <w:pPr>
        <w:widowControl/>
        <w:snapToGrid w:val="0"/>
        <w:spacing w:beforeLines="50" w:before="180" w:afterLines="50" w:after="180" w:line="300" w:lineRule="auto"/>
        <w:ind w:firstLine="480"/>
        <w:jc w:val="both"/>
        <w:rPr>
          <w:rFonts w:ascii="Times New Roman" w:eastAsia="標楷體" w:hAnsi="Times New Roman" w:cs="Times New Roman"/>
          <w:szCs w:val="24"/>
        </w:rPr>
      </w:pPr>
      <w:r w:rsidRPr="00787331">
        <w:rPr>
          <w:rFonts w:ascii="Times New Roman" w:eastAsia="標楷體" w:hAnsi="Times New Roman" w:cs="Times New Roman"/>
          <w:szCs w:val="24"/>
        </w:rPr>
        <w:t xml:space="preserve">Firstly, a consistency check was conducted on the selected </w:t>
      </w:r>
      <w:r>
        <w:rPr>
          <w:rFonts w:ascii="Times New Roman" w:eastAsia="標楷體" w:hAnsi="Times New Roman" w:cs="Times New Roman"/>
          <w:szCs w:val="24"/>
        </w:rPr>
        <w:t>four</w:t>
      </w:r>
      <w:r w:rsidRPr="00787331">
        <w:rPr>
          <w:rFonts w:ascii="Times New Roman" w:eastAsia="標楷體" w:hAnsi="Times New Roman" w:cs="Times New Roman"/>
          <w:szCs w:val="24"/>
        </w:rPr>
        <w:t xml:space="preserve"> dimensions and 12 </w:t>
      </w:r>
      <w:r>
        <w:rPr>
          <w:rFonts w:ascii="Times New Roman" w:hAnsi="Times New Roman"/>
          <w:szCs w:val="24"/>
        </w:rPr>
        <w:t>i</w:t>
      </w:r>
      <w:r w:rsidRPr="00A80A1A">
        <w:rPr>
          <w:rFonts w:ascii="Times New Roman" w:hAnsi="Times New Roman"/>
          <w:szCs w:val="24"/>
        </w:rPr>
        <w:t>ndicators</w:t>
      </w:r>
      <w:r w:rsidRPr="00787331">
        <w:rPr>
          <w:rFonts w:ascii="Times New Roman" w:eastAsia="標楷體" w:hAnsi="Times New Roman" w:cs="Times New Roman"/>
          <w:szCs w:val="24"/>
        </w:rPr>
        <w:t xml:space="preserve">. The results revealed that the Consistency Index (C.I.) and Consistency Ratio (C.R.) for all items were below 0.1, meeting the consistency requirements as proposed by </w:t>
      </w:r>
      <w:proofErr w:type="spellStart"/>
      <w:r w:rsidRPr="00787331">
        <w:rPr>
          <w:rFonts w:ascii="Times New Roman" w:eastAsia="標楷體" w:hAnsi="Times New Roman" w:cs="Times New Roman"/>
          <w:szCs w:val="24"/>
        </w:rPr>
        <w:t>Saaty</w:t>
      </w:r>
      <w:proofErr w:type="spellEnd"/>
      <w:r w:rsidRPr="00787331">
        <w:rPr>
          <w:rFonts w:ascii="Times New Roman" w:eastAsia="標楷體" w:hAnsi="Times New Roman" w:cs="Times New Roman"/>
          <w:szCs w:val="24"/>
        </w:rPr>
        <w:t xml:space="preserve"> (1980). Subsequently, an analysis of the weights of the dimensions was performed. The results indicated that the relative weight of hedonic motivation was the highest, followed by habit, price value, and personal innovativeness, in that order.</w:t>
      </w:r>
      <w:r>
        <w:rPr>
          <w:rFonts w:ascii="Times New Roman" w:eastAsia="標楷體" w:hAnsi="Times New Roman" w:cs="Times New Roman"/>
          <w:szCs w:val="24"/>
        </w:rPr>
        <w:t xml:space="preserve"> </w:t>
      </w:r>
      <w:r w:rsidRPr="00787331">
        <w:rPr>
          <w:rFonts w:ascii="Times New Roman" w:eastAsia="標楷體" w:hAnsi="Times New Roman" w:cs="Times New Roman"/>
          <w:szCs w:val="24"/>
        </w:rPr>
        <w:t xml:space="preserve">Among the </w:t>
      </w:r>
      <w:r>
        <w:rPr>
          <w:rFonts w:ascii="Times New Roman" w:eastAsia="標楷體" w:hAnsi="Times New Roman" w:cs="Times New Roman"/>
          <w:szCs w:val="24"/>
        </w:rPr>
        <w:t>four</w:t>
      </w:r>
      <w:r w:rsidRPr="00787331">
        <w:rPr>
          <w:rFonts w:ascii="Times New Roman" w:eastAsia="標楷體" w:hAnsi="Times New Roman" w:cs="Times New Roman"/>
          <w:szCs w:val="24"/>
        </w:rPr>
        <w:t xml:space="preserve"> dimensions, the highest-scoring </w:t>
      </w:r>
      <w:r>
        <w:rPr>
          <w:rFonts w:ascii="Times New Roman" w:hAnsi="Times New Roman"/>
          <w:szCs w:val="24"/>
        </w:rPr>
        <w:t>i</w:t>
      </w:r>
      <w:r w:rsidRPr="00A80A1A">
        <w:rPr>
          <w:rFonts w:ascii="Times New Roman" w:hAnsi="Times New Roman"/>
          <w:szCs w:val="24"/>
        </w:rPr>
        <w:t>ndicators</w:t>
      </w:r>
      <w:r w:rsidRPr="00787331">
        <w:rPr>
          <w:rFonts w:ascii="Times New Roman" w:eastAsia="標楷體" w:hAnsi="Times New Roman" w:cs="Times New Roman"/>
          <w:szCs w:val="24"/>
        </w:rPr>
        <w:t xml:space="preserve"> were respectively: "The process of using online education training platforms is enjoyable" (HM1), "When I want to learn online, using online education training platforms has become a habit for me" (HB1), "At the current price, using online education training platforms for learning provides good economic value" (PV3), and "When I know there is an online education training platform, I will try it first" (PI3).</w:t>
      </w:r>
    </w:p>
    <w:p w14:paraId="08BA5045" w14:textId="72E1259F" w:rsidR="00CC53DB" w:rsidRPr="00616824" w:rsidRDefault="009E2787" w:rsidP="00616824">
      <w:pPr>
        <w:pStyle w:val="a6"/>
        <w:numPr>
          <w:ilvl w:val="0"/>
          <w:numId w:val="16"/>
        </w:numPr>
        <w:ind w:leftChars="0"/>
        <w:rPr>
          <w:rFonts w:ascii="Times New Roman" w:hAnsi="Times New Roman"/>
          <w:b/>
          <w:szCs w:val="24"/>
        </w:rPr>
      </w:pPr>
      <w:r w:rsidRPr="009E2787">
        <w:rPr>
          <w:rFonts w:ascii="Times New Roman" w:hAnsi="Times New Roman"/>
          <w:b/>
          <w:szCs w:val="24"/>
        </w:rPr>
        <w:t xml:space="preserve">The overall weight analysis of the </w:t>
      </w:r>
      <w:r w:rsidR="003E26F2" w:rsidRPr="003E26F2">
        <w:rPr>
          <w:rFonts w:ascii="Times New Roman" w:hAnsi="Times New Roman"/>
          <w:b/>
          <w:szCs w:val="24"/>
        </w:rPr>
        <w:t>indicators</w:t>
      </w:r>
    </w:p>
    <w:p w14:paraId="73C86A03" w14:textId="4096BB95" w:rsidR="00CC53DB" w:rsidRPr="006252B3" w:rsidRDefault="00787331" w:rsidP="00787331">
      <w:pPr>
        <w:widowControl/>
        <w:snapToGrid w:val="0"/>
        <w:spacing w:beforeLines="50" w:before="180" w:afterLines="50" w:after="180" w:line="300" w:lineRule="auto"/>
        <w:ind w:firstLine="480"/>
        <w:jc w:val="both"/>
        <w:rPr>
          <w:rFonts w:ascii="Times New Roman" w:eastAsia="標楷體" w:hAnsi="Times New Roman" w:cs="Times New Roman"/>
          <w:szCs w:val="24"/>
        </w:rPr>
      </w:pPr>
      <w:r w:rsidRPr="00787331">
        <w:rPr>
          <w:rFonts w:ascii="Times New Roman" w:hAnsi="Times New Roman"/>
          <w:szCs w:val="24"/>
        </w:rPr>
        <w:t>Following the comprehensive weight analysis of the dimensions and indicators, the top five dimensions with the highest weights are as follows: "The process of using online education training platforms is enjoyable," "When I want to learn online, using online education training platforms has become a habit for me," "When I know there is an online education training platform, I will try it first," "At the current price, using online education training platforms for learning provides good economic value," and "The price of using online education training platforms for learning is acceptable" (as shown in Table 2).</w:t>
      </w:r>
      <w:r>
        <w:rPr>
          <w:rFonts w:ascii="Times New Roman" w:hAnsi="Times New Roman"/>
          <w:szCs w:val="24"/>
        </w:rPr>
        <w:t xml:space="preserve"> </w:t>
      </w:r>
      <w:r w:rsidRPr="00787331">
        <w:rPr>
          <w:rFonts w:ascii="Times New Roman" w:hAnsi="Times New Roman"/>
          <w:szCs w:val="24"/>
        </w:rPr>
        <w:t xml:space="preserve">Since hedonic motivation and habit have the highest weights in the </w:t>
      </w:r>
      <w:r w:rsidR="00F154CC" w:rsidRPr="00F154CC">
        <w:rPr>
          <w:rFonts w:ascii="Times New Roman" w:hAnsi="Times New Roman"/>
          <w:szCs w:val="24"/>
        </w:rPr>
        <w:t>dimensions</w:t>
      </w:r>
      <w:r w:rsidRPr="00787331">
        <w:rPr>
          <w:rFonts w:ascii="Times New Roman" w:hAnsi="Times New Roman"/>
          <w:szCs w:val="24"/>
        </w:rPr>
        <w:t>, the overall weights of the</w:t>
      </w:r>
      <w:r w:rsidR="00F154CC" w:rsidRPr="00F154CC">
        <w:rPr>
          <w:rFonts w:ascii="Times New Roman" w:hAnsi="Times New Roman"/>
          <w:szCs w:val="24"/>
        </w:rPr>
        <w:t xml:space="preserve"> indicators</w:t>
      </w:r>
      <w:r w:rsidRPr="00787331">
        <w:rPr>
          <w:rFonts w:ascii="Times New Roman" w:hAnsi="Times New Roman"/>
          <w:szCs w:val="24"/>
        </w:rPr>
        <w:t xml:space="preserve"> under these </w:t>
      </w:r>
      <w:r w:rsidR="00F154CC" w:rsidRPr="00F154CC">
        <w:rPr>
          <w:rFonts w:ascii="Times New Roman" w:hAnsi="Times New Roman"/>
          <w:szCs w:val="24"/>
        </w:rPr>
        <w:t>dimensions</w:t>
      </w:r>
      <w:r w:rsidRPr="00787331">
        <w:rPr>
          <w:rFonts w:ascii="Times New Roman" w:hAnsi="Times New Roman"/>
          <w:szCs w:val="24"/>
        </w:rPr>
        <w:t xml:space="preserve"> are also relatively high.</w:t>
      </w:r>
    </w:p>
    <w:p w14:paraId="550FCE0C" w14:textId="45673399" w:rsidR="00A23ECF" w:rsidRPr="00A23ECF" w:rsidRDefault="00A23ECF" w:rsidP="00A23ECF">
      <w:pPr>
        <w:pStyle w:val="figurecaption"/>
        <w:rPr>
          <w:rFonts w:eastAsia="MS Mincho"/>
          <w:sz w:val="24"/>
        </w:rPr>
      </w:pPr>
      <w:r w:rsidRPr="00A23ECF">
        <w:rPr>
          <w:rFonts w:eastAsia="MS Mincho"/>
          <w:sz w:val="24"/>
        </w:rPr>
        <w:t>Table 2. The integration weights of evaluation dimensions and evaluation indicators</w:t>
      </w:r>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977"/>
        <w:gridCol w:w="1986"/>
        <w:gridCol w:w="2409"/>
        <w:gridCol w:w="1985"/>
        <w:gridCol w:w="2333"/>
      </w:tblGrid>
      <w:tr w:rsidR="00A23ECF" w:rsidRPr="00A23ECF" w14:paraId="724FE98C" w14:textId="77777777" w:rsidTr="00362A71">
        <w:trPr>
          <w:trHeight w:val="148"/>
        </w:trPr>
        <w:tc>
          <w:tcPr>
            <w:tcW w:w="1273" w:type="pct"/>
            <w:tcBorders>
              <w:top w:val="single" w:sz="12" w:space="0" w:color="auto"/>
              <w:bottom w:val="single" w:sz="4" w:space="0" w:color="7F7F7F"/>
            </w:tcBorders>
            <w:shd w:val="clear" w:color="auto" w:fill="auto"/>
          </w:tcPr>
          <w:p w14:paraId="5A608257" w14:textId="77777777" w:rsidR="00A23ECF" w:rsidRPr="00A23ECF" w:rsidRDefault="00A23ECF" w:rsidP="00C05A42">
            <w:pPr>
              <w:rPr>
                <w:rFonts w:ascii="Times New Roman" w:eastAsia="標楷體" w:hAnsi="Times New Roman" w:cs="Times New Roman"/>
                <w:b/>
                <w:bCs/>
                <w:szCs w:val="24"/>
              </w:rPr>
            </w:pPr>
            <w:r w:rsidRPr="00A23ECF">
              <w:rPr>
                <w:rFonts w:ascii="Times New Roman" w:eastAsia="標楷體" w:hAnsi="Times New Roman" w:cs="Times New Roman"/>
                <w:b/>
                <w:bCs/>
                <w:szCs w:val="24"/>
              </w:rPr>
              <w:t>Evaluation Dimensions</w:t>
            </w:r>
          </w:p>
        </w:tc>
        <w:tc>
          <w:tcPr>
            <w:tcW w:w="849" w:type="pct"/>
            <w:tcBorders>
              <w:top w:val="single" w:sz="12" w:space="0" w:color="auto"/>
              <w:bottom w:val="single" w:sz="4" w:space="0" w:color="7F7F7F"/>
            </w:tcBorders>
            <w:shd w:val="clear" w:color="auto" w:fill="auto"/>
          </w:tcPr>
          <w:p w14:paraId="43753798" w14:textId="77777777" w:rsidR="00A23ECF" w:rsidRPr="00A23ECF" w:rsidRDefault="00A23ECF" w:rsidP="00C05A42">
            <w:pPr>
              <w:rPr>
                <w:rFonts w:ascii="Times New Roman" w:eastAsia="標楷體" w:hAnsi="Times New Roman" w:cs="Times New Roman"/>
                <w:b/>
                <w:bCs/>
                <w:szCs w:val="24"/>
              </w:rPr>
            </w:pPr>
            <w:r w:rsidRPr="00A23ECF">
              <w:rPr>
                <w:rFonts w:ascii="Times New Roman" w:eastAsia="標楷體" w:hAnsi="Times New Roman" w:cs="Times New Roman"/>
                <w:b/>
                <w:bCs/>
                <w:szCs w:val="24"/>
              </w:rPr>
              <w:t>Weight (A)</w:t>
            </w:r>
          </w:p>
        </w:tc>
        <w:tc>
          <w:tcPr>
            <w:tcW w:w="1030" w:type="pct"/>
            <w:tcBorders>
              <w:top w:val="single" w:sz="12" w:space="0" w:color="auto"/>
              <w:bottom w:val="single" w:sz="4" w:space="0" w:color="7F7F7F"/>
            </w:tcBorders>
            <w:shd w:val="clear" w:color="auto" w:fill="auto"/>
          </w:tcPr>
          <w:p w14:paraId="02E2A2F5" w14:textId="77777777" w:rsidR="00A23ECF" w:rsidRPr="00A23ECF" w:rsidRDefault="00A23ECF" w:rsidP="00C05A42">
            <w:pPr>
              <w:rPr>
                <w:rFonts w:ascii="Times New Roman" w:eastAsia="標楷體" w:hAnsi="Times New Roman" w:cs="Times New Roman"/>
                <w:b/>
                <w:bCs/>
                <w:szCs w:val="24"/>
              </w:rPr>
            </w:pPr>
            <w:r w:rsidRPr="00A23ECF">
              <w:rPr>
                <w:rFonts w:ascii="Times New Roman" w:eastAsia="標楷體" w:hAnsi="Times New Roman" w:cs="Times New Roman"/>
                <w:b/>
                <w:bCs/>
                <w:szCs w:val="24"/>
              </w:rPr>
              <w:t>Evaluation indicator</w:t>
            </w:r>
          </w:p>
        </w:tc>
        <w:tc>
          <w:tcPr>
            <w:tcW w:w="849" w:type="pct"/>
            <w:tcBorders>
              <w:top w:val="single" w:sz="12" w:space="0" w:color="auto"/>
              <w:bottom w:val="single" w:sz="4" w:space="0" w:color="7F7F7F"/>
            </w:tcBorders>
            <w:shd w:val="clear" w:color="auto" w:fill="auto"/>
          </w:tcPr>
          <w:p w14:paraId="4B923139" w14:textId="77777777" w:rsidR="00A23ECF" w:rsidRPr="00A23ECF" w:rsidRDefault="00A23ECF" w:rsidP="00C05A42">
            <w:pPr>
              <w:rPr>
                <w:rFonts w:ascii="Times New Roman" w:eastAsia="標楷體" w:hAnsi="Times New Roman" w:cs="Times New Roman"/>
                <w:b/>
                <w:bCs/>
                <w:szCs w:val="24"/>
              </w:rPr>
            </w:pPr>
            <w:r w:rsidRPr="00A23ECF">
              <w:rPr>
                <w:rFonts w:ascii="Times New Roman" w:eastAsia="標楷體" w:hAnsi="Times New Roman" w:cs="Times New Roman"/>
                <w:b/>
                <w:bCs/>
                <w:szCs w:val="24"/>
              </w:rPr>
              <w:t>Weight (B)</w:t>
            </w:r>
          </w:p>
        </w:tc>
        <w:tc>
          <w:tcPr>
            <w:tcW w:w="998" w:type="pct"/>
            <w:tcBorders>
              <w:top w:val="single" w:sz="12" w:space="0" w:color="auto"/>
              <w:bottom w:val="single" w:sz="4" w:space="0" w:color="7F7F7F"/>
            </w:tcBorders>
            <w:shd w:val="clear" w:color="auto" w:fill="auto"/>
          </w:tcPr>
          <w:p w14:paraId="42773598" w14:textId="77777777" w:rsidR="00A23ECF" w:rsidRPr="00A23ECF" w:rsidRDefault="00A23ECF" w:rsidP="00C05A42">
            <w:pPr>
              <w:rPr>
                <w:rFonts w:ascii="Times New Roman" w:eastAsia="標楷體" w:hAnsi="Times New Roman" w:cs="Times New Roman"/>
                <w:b/>
                <w:bCs/>
                <w:szCs w:val="24"/>
              </w:rPr>
            </w:pPr>
            <w:r w:rsidRPr="00A23ECF">
              <w:rPr>
                <w:rFonts w:ascii="Times New Roman" w:eastAsia="標楷體" w:hAnsi="Times New Roman" w:cs="Times New Roman"/>
                <w:b/>
                <w:bCs/>
                <w:szCs w:val="24"/>
              </w:rPr>
              <w:t>Integration weight (C) = (A)</w:t>
            </w:r>
            <w:r w:rsidRPr="00A23ECF">
              <w:rPr>
                <w:rFonts w:ascii="Cambria Math" w:eastAsia="標楷體" w:hAnsi="Cambria Math" w:cs="Cambria Math"/>
                <w:b/>
                <w:bCs/>
                <w:szCs w:val="24"/>
              </w:rPr>
              <w:t>∗</w:t>
            </w:r>
            <w:r w:rsidRPr="00A23ECF">
              <w:rPr>
                <w:rFonts w:ascii="Times New Roman" w:eastAsia="標楷體" w:hAnsi="Times New Roman" w:cs="Times New Roman"/>
                <w:b/>
                <w:bCs/>
                <w:szCs w:val="24"/>
              </w:rPr>
              <w:t>(B)</w:t>
            </w:r>
          </w:p>
        </w:tc>
      </w:tr>
      <w:tr w:rsidR="00362A71" w:rsidRPr="00A23ECF" w14:paraId="47C05A19" w14:textId="77777777" w:rsidTr="00362A71">
        <w:trPr>
          <w:trHeight w:val="227"/>
        </w:trPr>
        <w:tc>
          <w:tcPr>
            <w:tcW w:w="1273" w:type="pct"/>
            <w:vMerge w:val="restart"/>
            <w:tcBorders>
              <w:top w:val="single" w:sz="4" w:space="0" w:color="7F7F7F"/>
              <w:bottom w:val="single" w:sz="4" w:space="0" w:color="7F7F7F"/>
            </w:tcBorders>
            <w:shd w:val="clear" w:color="auto" w:fill="auto"/>
            <w:vAlign w:val="center"/>
            <w:hideMark/>
          </w:tcPr>
          <w:p w14:paraId="7EBF9E2F" w14:textId="4BD67D6A" w:rsidR="00362A71" w:rsidRPr="00A23ECF" w:rsidRDefault="00362A71" w:rsidP="00362A71">
            <w:pPr>
              <w:jc w:val="both"/>
              <w:rPr>
                <w:rFonts w:ascii="Times New Roman" w:eastAsia="標楷體" w:hAnsi="Times New Roman" w:cs="Times New Roman"/>
                <w:b/>
                <w:bCs/>
                <w:szCs w:val="24"/>
              </w:rPr>
            </w:pPr>
            <w:r w:rsidRPr="003D2855">
              <w:rPr>
                <w:rFonts w:ascii="Times New Roman" w:eastAsia="標楷體" w:hAnsi="Times New Roman" w:cs="Times New Roman"/>
                <w:bCs/>
                <w:szCs w:val="24"/>
              </w:rPr>
              <w:t>hedonic motivation</w:t>
            </w:r>
          </w:p>
        </w:tc>
        <w:tc>
          <w:tcPr>
            <w:tcW w:w="849" w:type="pct"/>
            <w:vMerge w:val="restart"/>
            <w:tcBorders>
              <w:top w:val="single" w:sz="4" w:space="0" w:color="7F7F7F"/>
              <w:bottom w:val="single" w:sz="4" w:space="0" w:color="7F7F7F"/>
            </w:tcBorders>
            <w:shd w:val="clear" w:color="auto" w:fill="auto"/>
            <w:vAlign w:val="center"/>
          </w:tcPr>
          <w:p w14:paraId="18247ADF" w14:textId="75EF4DB2" w:rsidR="00362A71" w:rsidRPr="00A23ECF" w:rsidRDefault="00362A71" w:rsidP="00362A71">
            <w:pPr>
              <w:jc w:val="both"/>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283 (1)</w:t>
            </w:r>
          </w:p>
        </w:tc>
        <w:tc>
          <w:tcPr>
            <w:tcW w:w="1030" w:type="pct"/>
            <w:tcBorders>
              <w:top w:val="single" w:sz="4" w:space="0" w:color="7F7F7F"/>
              <w:bottom w:val="single" w:sz="4" w:space="0" w:color="7F7F7F"/>
            </w:tcBorders>
            <w:shd w:val="clear" w:color="auto" w:fill="auto"/>
          </w:tcPr>
          <w:p w14:paraId="4A8A71FC" w14:textId="3D44F7B1"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hint="eastAsia"/>
                <w:szCs w:val="24"/>
              </w:rPr>
              <w:t>HM</w:t>
            </w:r>
            <w:r w:rsidRPr="000304A2">
              <w:rPr>
                <w:rFonts w:ascii="Times New Roman" w:hAnsi="Times New Roman" w:cs="Times New Roman"/>
                <w:szCs w:val="24"/>
              </w:rPr>
              <w:t>1</w:t>
            </w:r>
          </w:p>
        </w:tc>
        <w:tc>
          <w:tcPr>
            <w:tcW w:w="849" w:type="pct"/>
            <w:tcBorders>
              <w:top w:val="single" w:sz="4" w:space="0" w:color="7F7F7F"/>
              <w:bottom w:val="single" w:sz="4" w:space="0" w:color="7F7F7F"/>
            </w:tcBorders>
            <w:shd w:val="clear" w:color="auto" w:fill="auto"/>
          </w:tcPr>
          <w:p w14:paraId="3C43BA7F" w14:textId="3026D738"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40</w:t>
            </w:r>
            <w:r w:rsidRPr="00A23ECF">
              <w:rPr>
                <w:rFonts w:ascii="Times New Roman" w:eastAsia="標楷體" w:hAnsi="Times New Roman" w:cs="Times New Roman"/>
                <w:szCs w:val="24"/>
              </w:rPr>
              <w:t>3</w:t>
            </w:r>
            <w:r>
              <w:rPr>
                <w:rFonts w:ascii="Times New Roman" w:eastAsia="標楷體" w:hAnsi="Times New Roman" w:cs="Times New Roman"/>
                <w:szCs w:val="24"/>
              </w:rPr>
              <w:t xml:space="preserve"> (1)</w:t>
            </w:r>
          </w:p>
        </w:tc>
        <w:tc>
          <w:tcPr>
            <w:tcW w:w="998" w:type="pct"/>
            <w:tcBorders>
              <w:top w:val="single" w:sz="4" w:space="0" w:color="7F7F7F"/>
              <w:bottom w:val="single" w:sz="4" w:space="0" w:color="7F7F7F"/>
            </w:tcBorders>
            <w:shd w:val="clear" w:color="auto" w:fill="auto"/>
            <w:vAlign w:val="center"/>
          </w:tcPr>
          <w:p w14:paraId="0D566DD6" w14:textId="6D2A17B6"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0.114</w:t>
            </w:r>
            <w:r>
              <w:rPr>
                <w:rFonts w:ascii="Times New Roman" w:hAnsi="Times New Roman" w:cs="Times New Roman"/>
                <w:color w:val="000000"/>
              </w:rPr>
              <w:t xml:space="preserve"> (1)</w:t>
            </w:r>
          </w:p>
        </w:tc>
      </w:tr>
      <w:tr w:rsidR="00362A71" w:rsidRPr="00A23ECF" w14:paraId="547B1419" w14:textId="77777777" w:rsidTr="00362A71">
        <w:trPr>
          <w:trHeight w:val="227"/>
        </w:trPr>
        <w:tc>
          <w:tcPr>
            <w:tcW w:w="1273" w:type="pct"/>
            <w:vMerge/>
            <w:shd w:val="clear" w:color="auto" w:fill="auto"/>
            <w:hideMark/>
          </w:tcPr>
          <w:p w14:paraId="2B7D2220" w14:textId="77777777" w:rsidR="00362A71" w:rsidRPr="00A23ECF" w:rsidRDefault="00362A71" w:rsidP="00362A71">
            <w:pPr>
              <w:jc w:val="both"/>
              <w:rPr>
                <w:rFonts w:ascii="Times New Roman" w:eastAsia="標楷體" w:hAnsi="Times New Roman" w:cs="Times New Roman"/>
                <w:b/>
                <w:bCs/>
                <w:szCs w:val="24"/>
              </w:rPr>
            </w:pPr>
          </w:p>
        </w:tc>
        <w:tc>
          <w:tcPr>
            <w:tcW w:w="849" w:type="pct"/>
            <w:vMerge/>
            <w:shd w:val="clear" w:color="auto" w:fill="auto"/>
            <w:vAlign w:val="center"/>
          </w:tcPr>
          <w:p w14:paraId="7A92DEDE" w14:textId="77777777" w:rsidR="00362A71" w:rsidRPr="00A23ECF" w:rsidRDefault="00362A71" w:rsidP="00362A71">
            <w:pPr>
              <w:jc w:val="both"/>
              <w:rPr>
                <w:rFonts w:ascii="Times New Roman" w:eastAsia="標楷體" w:hAnsi="Times New Roman" w:cs="Times New Roman"/>
                <w:szCs w:val="24"/>
              </w:rPr>
            </w:pPr>
          </w:p>
        </w:tc>
        <w:tc>
          <w:tcPr>
            <w:tcW w:w="1030" w:type="pct"/>
            <w:shd w:val="clear" w:color="auto" w:fill="auto"/>
          </w:tcPr>
          <w:p w14:paraId="6F7CE228" w14:textId="36BE4AB6"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szCs w:val="24"/>
              </w:rPr>
              <w:t>HM2</w:t>
            </w:r>
          </w:p>
        </w:tc>
        <w:tc>
          <w:tcPr>
            <w:tcW w:w="849" w:type="pct"/>
            <w:shd w:val="clear" w:color="auto" w:fill="auto"/>
          </w:tcPr>
          <w:p w14:paraId="24FD0DF2" w14:textId="3A0A1E05"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316 (7)</w:t>
            </w:r>
          </w:p>
        </w:tc>
        <w:tc>
          <w:tcPr>
            <w:tcW w:w="998" w:type="pct"/>
            <w:shd w:val="clear" w:color="auto" w:fill="auto"/>
            <w:vAlign w:val="center"/>
          </w:tcPr>
          <w:p w14:paraId="1B0CC8AB" w14:textId="49840E16"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0.089</w:t>
            </w:r>
            <w:r>
              <w:rPr>
                <w:rFonts w:ascii="Times New Roman" w:hAnsi="Times New Roman" w:cs="Times New Roman"/>
                <w:color w:val="000000"/>
              </w:rPr>
              <w:t xml:space="preserve"> (4)</w:t>
            </w:r>
          </w:p>
        </w:tc>
      </w:tr>
      <w:tr w:rsidR="00362A71" w:rsidRPr="00A23ECF" w14:paraId="32405CB2" w14:textId="77777777" w:rsidTr="00362A71">
        <w:trPr>
          <w:trHeight w:val="227"/>
        </w:trPr>
        <w:tc>
          <w:tcPr>
            <w:tcW w:w="1273" w:type="pct"/>
            <w:vMerge/>
            <w:tcBorders>
              <w:top w:val="single" w:sz="4" w:space="0" w:color="7F7F7F"/>
              <w:bottom w:val="single" w:sz="4" w:space="0" w:color="7F7F7F"/>
            </w:tcBorders>
            <w:shd w:val="clear" w:color="auto" w:fill="auto"/>
          </w:tcPr>
          <w:p w14:paraId="10BEE3F8" w14:textId="77777777" w:rsidR="00362A71" w:rsidRPr="00A23ECF" w:rsidRDefault="00362A71" w:rsidP="00362A71">
            <w:pPr>
              <w:jc w:val="both"/>
              <w:rPr>
                <w:rFonts w:ascii="Times New Roman" w:eastAsia="標楷體" w:hAnsi="Times New Roman" w:cs="Times New Roman"/>
                <w:b/>
                <w:bCs/>
                <w:szCs w:val="24"/>
              </w:rPr>
            </w:pPr>
          </w:p>
        </w:tc>
        <w:tc>
          <w:tcPr>
            <w:tcW w:w="849" w:type="pct"/>
            <w:vMerge/>
            <w:tcBorders>
              <w:top w:val="single" w:sz="4" w:space="0" w:color="7F7F7F"/>
              <w:bottom w:val="single" w:sz="4" w:space="0" w:color="7F7F7F"/>
            </w:tcBorders>
            <w:shd w:val="clear" w:color="auto" w:fill="auto"/>
            <w:vAlign w:val="center"/>
          </w:tcPr>
          <w:p w14:paraId="063C4F41" w14:textId="77777777" w:rsidR="00362A71" w:rsidRPr="00A23ECF" w:rsidRDefault="00362A71" w:rsidP="00362A71">
            <w:pPr>
              <w:jc w:val="both"/>
              <w:rPr>
                <w:rFonts w:ascii="Times New Roman" w:eastAsia="標楷體" w:hAnsi="Times New Roman" w:cs="Times New Roman"/>
                <w:szCs w:val="24"/>
              </w:rPr>
            </w:pPr>
          </w:p>
        </w:tc>
        <w:tc>
          <w:tcPr>
            <w:tcW w:w="1030" w:type="pct"/>
            <w:tcBorders>
              <w:top w:val="single" w:sz="4" w:space="0" w:color="7F7F7F"/>
              <w:bottom w:val="single" w:sz="4" w:space="0" w:color="7F7F7F"/>
            </w:tcBorders>
            <w:shd w:val="clear" w:color="auto" w:fill="auto"/>
          </w:tcPr>
          <w:p w14:paraId="52B91FE4" w14:textId="57AA2E47"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szCs w:val="24"/>
              </w:rPr>
              <w:t>HM3</w:t>
            </w:r>
          </w:p>
        </w:tc>
        <w:tc>
          <w:tcPr>
            <w:tcW w:w="849" w:type="pct"/>
            <w:tcBorders>
              <w:top w:val="single" w:sz="4" w:space="0" w:color="7F7F7F"/>
              <w:bottom w:val="single" w:sz="4" w:space="0" w:color="7F7F7F"/>
            </w:tcBorders>
            <w:shd w:val="clear" w:color="auto" w:fill="auto"/>
          </w:tcPr>
          <w:p w14:paraId="23095F46" w14:textId="71A5F0D4"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281 (11)</w:t>
            </w:r>
          </w:p>
        </w:tc>
        <w:tc>
          <w:tcPr>
            <w:tcW w:w="998" w:type="pct"/>
            <w:tcBorders>
              <w:top w:val="single" w:sz="4" w:space="0" w:color="7F7F7F"/>
              <w:bottom w:val="single" w:sz="4" w:space="0" w:color="7F7F7F"/>
            </w:tcBorders>
            <w:shd w:val="clear" w:color="auto" w:fill="auto"/>
            <w:vAlign w:val="center"/>
          </w:tcPr>
          <w:p w14:paraId="3998B40E" w14:textId="71E4D2F1"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0.080</w:t>
            </w:r>
            <w:r>
              <w:rPr>
                <w:rFonts w:ascii="Times New Roman" w:hAnsi="Times New Roman" w:cs="Times New Roman"/>
                <w:color w:val="000000"/>
              </w:rPr>
              <w:t xml:space="preserve"> (7)</w:t>
            </w:r>
          </w:p>
        </w:tc>
      </w:tr>
      <w:tr w:rsidR="00362A71" w:rsidRPr="00A23ECF" w14:paraId="53614B2C" w14:textId="77777777" w:rsidTr="00362A71">
        <w:trPr>
          <w:trHeight w:val="227"/>
        </w:trPr>
        <w:tc>
          <w:tcPr>
            <w:tcW w:w="1273" w:type="pct"/>
            <w:vMerge w:val="restart"/>
            <w:shd w:val="clear" w:color="auto" w:fill="auto"/>
            <w:vAlign w:val="center"/>
            <w:hideMark/>
          </w:tcPr>
          <w:p w14:paraId="6A30E9CF" w14:textId="67D86AA0" w:rsidR="00362A71" w:rsidRPr="00A23ECF" w:rsidRDefault="00362A71" w:rsidP="00362A71">
            <w:pPr>
              <w:jc w:val="both"/>
              <w:rPr>
                <w:rFonts w:ascii="Times New Roman" w:eastAsia="標楷體" w:hAnsi="Times New Roman" w:cs="Times New Roman"/>
                <w:b/>
                <w:bCs/>
                <w:szCs w:val="24"/>
              </w:rPr>
            </w:pPr>
            <w:r w:rsidRPr="006559FC">
              <w:rPr>
                <w:rFonts w:ascii="Times New Roman" w:hAnsi="Times New Roman" w:cs="Times New Roman"/>
                <w:szCs w:val="24"/>
              </w:rPr>
              <w:t>personal innovativeness</w:t>
            </w:r>
          </w:p>
        </w:tc>
        <w:tc>
          <w:tcPr>
            <w:tcW w:w="849" w:type="pct"/>
            <w:vMerge w:val="restart"/>
            <w:shd w:val="clear" w:color="auto" w:fill="auto"/>
            <w:vAlign w:val="center"/>
          </w:tcPr>
          <w:p w14:paraId="71869F89" w14:textId="6951FE98" w:rsidR="00362A71" w:rsidRPr="00A23ECF" w:rsidRDefault="00362A71" w:rsidP="00362A71">
            <w:pPr>
              <w:jc w:val="both"/>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218 (4)</w:t>
            </w:r>
          </w:p>
        </w:tc>
        <w:tc>
          <w:tcPr>
            <w:tcW w:w="1030" w:type="pct"/>
            <w:shd w:val="clear" w:color="auto" w:fill="auto"/>
          </w:tcPr>
          <w:p w14:paraId="54A335D7" w14:textId="60471686"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rPr>
              <w:t>PI1</w:t>
            </w:r>
          </w:p>
        </w:tc>
        <w:tc>
          <w:tcPr>
            <w:tcW w:w="849" w:type="pct"/>
            <w:shd w:val="clear" w:color="auto" w:fill="auto"/>
          </w:tcPr>
          <w:p w14:paraId="145568AD" w14:textId="2C63CCF4"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291 (9)</w:t>
            </w:r>
          </w:p>
        </w:tc>
        <w:tc>
          <w:tcPr>
            <w:tcW w:w="998" w:type="pct"/>
            <w:shd w:val="clear" w:color="auto" w:fill="auto"/>
            <w:vAlign w:val="center"/>
          </w:tcPr>
          <w:p w14:paraId="2B9D7A15" w14:textId="3B079058"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0.063</w:t>
            </w:r>
            <w:r>
              <w:rPr>
                <w:rFonts w:ascii="Times New Roman" w:hAnsi="Times New Roman" w:cs="Times New Roman"/>
                <w:color w:val="000000"/>
              </w:rPr>
              <w:t xml:space="preserve"> (12)</w:t>
            </w:r>
          </w:p>
        </w:tc>
      </w:tr>
      <w:tr w:rsidR="00362A71" w:rsidRPr="00A23ECF" w14:paraId="7E4AAFD3" w14:textId="77777777" w:rsidTr="00362A71">
        <w:trPr>
          <w:trHeight w:val="227"/>
        </w:trPr>
        <w:tc>
          <w:tcPr>
            <w:tcW w:w="1273" w:type="pct"/>
            <w:vMerge/>
            <w:shd w:val="clear" w:color="auto" w:fill="auto"/>
            <w:vAlign w:val="center"/>
            <w:hideMark/>
          </w:tcPr>
          <w:p w14:paraId="0BEB26B6" w14:textId="77777777" w:rsidR="00362A71" w:rsidRPr="00A23ECF" w:rsidRDefault="00362A71" w:rsidP="00362A71">
            <w:pPr>
              <w:jc w:val="both"/>
              <w:rPr>
                <w:rFonts w:ascii="Times New Roman" w:eastAsia="標楷體" w:hAnsi="Times New Roman" w:cs="Times New Roman"/>
                <w:b/>
                <w:bCs/>
                <w:szCs w:val="24"/>
              </w:rPr>
            </w:pPr>
          </w:p>
        </w:tc>
        <w:tc>
          <w:tcPr>
            <w:tcW w:w="849" w:type="pct"/>
            <w:vMerge/>
            <w:shd w:val="clear" w:color="auto" w:fill="auto"/>
            <w:vAlign w:val="center"/>
          </w:tcPr>
          <w:p w14:paraId="5738D9E0" w14:textId="77777777" w:rsidR="00362A71" w:rsidRPr="00A23ECF" w:rsidRDefault="00362A71" w:rsidP="00362A71">
            <w:pPr>
              <w:jc w:val="both"/>
              <w:rPr>
                <w:rFonts w:ascii="Times New Roman" w:eastAsia="標楷體" w:hAnsi="Times New Roman" w:cs="Times New Roman"/>
                <w:szCs w:val="24"/>
              </w:rPr>
            </w:pPr>
          </w:p>
        </w:tc>
        <w:tc>
          <w:tcPr>
            <w:tcW w:w="1030" w:type="pct"/>
            <w:shd w:val="clear" w:color="auto" w:fill="auto"/>
          </w:tcPr>
          <w:p w14:paraId="3B0B4456" w14:textId="12177E2B"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rPr>
              <w:t>PI3</w:t>
            </w:r>
          </w:p>
        </w:tc>
        <w:tc>
          <w:tcPr>
            <w:tcW w:w="849" w:type="pct"/>
            <w:shd w:val="clear" w:color="auto" w:fill="auto"/>
          </w:tcPr>
          <w:p w14:paraId="3A49688A" w14:textId="00DE2DA1"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394 (3)</w:t>
            </w:r>
          </w:p>
        </w:tc>
        <w:tc>
          <w:tcPr>
            <w:tcW w:w="998" w:type="pct"/>
            <w:shd w:val="clear" w:color="auto" w:fill="auto"/>
            <w:vAlign w:val="center"/>
          </w:tcPr>
          <w:p w14:paraId="2D3C530C" w14:textId="35C1B0FD"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0.086</w:t>
            </w:r>
            <w:r>
              <w:rPr>
                <w:rFonts w:ascii="Times New Roman" w:hAnsi="Times New Roman" w:cs="Times New Roman"/>
                <w:color w:val="000000"/>
              </w:rPr>
              <w:t xml:space="preserve"> (6)</w:t>
            </w:r>
          </w:p>
        </w:tc>
      </w:tr>
      <w:tr w:rsidR="00362A71" w:rsidRPr="00A23ECF" w14:paraId="7961C832" w14:textId="77777777" w:rsidTr="00362A71">
        <w:trPr>
          <w:trHeight w:val="227"/>
        </w:trPr>
        <w:tc>
          <w:tcPr>
            <w:tcW w:w="1273" w:type="pct"/>
            <w:vMerge/>
            <w:tcBorders>
              <w:top w:val="single" w:sz="4" w:space="0" w:color="7F7F7F"/>
              <w:bottom w:val="single" w:sz="4" w:space="0" w:color="auto"/>
            </w:tcBorders>
            <w:shd w:val="clear" w:color="auto" w:fill="auto"/>
            <w:hideMark/>
          </w:tcPr>
          <w:p w14:paraId="124821E6" w14:textId="77777777" w:rsidR="00362A71" w:rsidRPr="00A23ECF" w:rsidRDefault="00362A71" w:rsidP="00362A71">
            <w:pPr>
              <w:jc w:val="both"/>
              <w:rPr>
                <w:rFonts w:ascii="Times New Roman" w:eastAsia="標楷體" w:hAnsi="Times New Roman" w:cs="Times New Roman"/>
                <w:b/>
                <w:bCs/>
                <w:szCs w:val="24"/>
              </w:rPr>
            </w:pPr>
          </w:p>
        </w:tc>
        <w:tc>
          <w:tcPr>
            <w:tcW w:w="849" w:type="pct"/>
            <w:vMerge/>
            <w:tcBorders>
              <w:top w:val="single" w:sz="4" w:space="0" w:color="7F7F7F"/>
              <w:bottom w:val="single" w:sz="4" w:space="0" w:color="auto"/>
            </w:tcBorders>
            <w:shd w:val="clear" w:color="auto" w:fill="auto"/>
            <w:vAlign w:val="center"/>
          </w:tcPr>
          <w:p w14:paraId="74492BED" w14:textId="77777777" w:rsidR="00362A71" w:rsidRPr="00A23ECF" w:rsidRDefault="00362A71" w:rsidP="00362A71">
            <w:pPr>
              <w:jc w:val="both"/>
              <w:rPr>
                <w:rFonts w:ascii="Times New Roman" w:eastAsia="標楷體" w:hAnsi="Times New Roman" w:cs="Times New Roman"/>
                <w:szCs w:val="24"/>
              </w:rPr>
            </w:pPr>
          </w:p>
        </w:tc>
        <w:tc>
          <w:tcPr>
            <w:tcW w:w="1030" w:type="pct"/>
            <w:tcBorders>
              <w:top w:val="single" w:sz="4" w:space="0" w:color="7F7F7F"/>
              <w:bottom w:val="single" w:sz="4" w:space="0" w:color="auto"/>
            </w:tcBorders>
            <w:shd w:val="clear" w:color="auto" w:fill="auto"/>
            <w:vAlign w:val="center"/>
          </w:tcPr>
          <w:p w14:paraId="362705DB" w14:textId="0E7AE2A4" w:rsidR="00362A71" w:rsidRPr="000304A2" w:rsidRDefault="00362A71" w:rsidP="00362A71">
            <w:pPr>
              <w:jc w:val="both"/>
              <w:rPr>
                <w:rFonts w:ascii="Times New Roman" w:eastAsia="標楷體" w:hAnsi="Times New Roman" w:cs="Times New Roman"/>
                <w:szCs w:val="24"/>
              </w:rPr>
            </w:pPr>
            <w:r w:rsidRPr="000304A2">
              <w:rPr>
                <w:rFonts w:ascii="Times New Roman" w:eastAsia="標楷體" w:hAnsi="Times New Roman" w:cs="Times New Roman"/>
                <w:szCs w:val="24"/>
              </w:rPr>
              <w:t>PI4</w:t>
            </w:r>
          </w:p>
        </w:tc>
        <w:tc>
          <w:tcPr>
            <w:tcW w:w="849" w:type="pct"/>
            <w:tcBorders>
              <w:top w:val="single" w:sz="4" w:space="0" w:color="7F7F7F"/>
              <w:bottom w:val="single" w:sz="4" w:space="0" w:color="auto"/>
            </w:tcBorders>
            <w:shd w:val="clear" w:color="auto" w:fill="auto"/>
          </w:tcPr>
          <w:p w14:paraId="1218659F" w14:textId="3E0CD2F3"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0.31</w:t>
            </w:r>
            <w:r>
              <w:rPr>
                <w:rFonts w:ascii="Times New Roman" w:eastAsia="標楷體" w:hAnsi="Times New Roman" w:cs="Times New Roman" w:hint="eastAsia"/>
                <w:szCs w:val="24"/>
              </w:rPr>
              <w:t>5</w:t>
            </w:r>
            <w:r>
              <w:rPr>
                <w:rFonts w:ascii="Times New Roman" w:eastAsia="標楷體" w:hAnsi="Times New Roman" w:cs="Times New Roman"/>
                <w:szCs w:val="24"/>
              </w:rPr>
              <w:t xml:space="preserve"> (8)</w:t>
            </w:r>
          </w:p>
        </w:tc>
        <w:tc>
          <w:tcPr>
            <w:tcW w:w="998" w:type="pct"/>
            <w:tcBorders>
              <w:top w:val="single" w:sz="4" w:space="0" w:color="7F7F7F"/>
              <w:bottom w:val="single" w:sz="4" w:space="0" w:color="auto"/>
            </w:tcBorders>
            <w:shd w:val="clear" w:color="auto" w:fill="auto"/>
            <w:vAlign w:val="center"/>
          </w:tcPr>
          <w:p w14:paraId="4CFF4E0B" w14:textId="6CB199ED"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0.069</w:t>
            </w:r>
            <w:r>
              <w:rPr>
                <w:rFonts w:ascii="Times New Roman" w:hAnsi="Times New Roman" w:cs="Times New Roman"/>
                <w:color w:val="000000"/>
              </w:rPr>
              <w:t xml:space="preserve"> (10)</w:t>
            </w:r>
          </w:p>
        </w:tc>
      </w:tr>
      <w:tr w:rsidR="00362A71" w:rsidRPr="003D2855" w14:paraId="52A57A1C" w14:textId="77777777" w:rsidTr="00362A71">
        <w:trPr>
          <w:trHeight w:val="227"/>
        </w:trPr>
        <w:tc>
          <w:tcPr>
            <w:tcW w:w="1273" w:type="pct"/>
            <w:vMerge w:val="restart"/>
            <w:tcBorders>
              <w:top w:val="single" w:sz="4" w:space="0" w:color="7F7F7F"/>
            </w:tcBorders>
            <w:shd w:val="clear" w:color="auto" w:fill="auto"/>
            <w:vAlign w:val="center"/>
          </w:tcPr>
          <w:p w14:paraId="30F951FF" w14:textId="00842CAB" w:rsidR="00362A71" w:rsidRPr="003D2855" w:rsidRDefault="00362A71" w:rsidP="00362A71">
            <w:pPr>
              <w:jc w:val="both"/>
              <w:rPr>
                <w:rFonts w:ascii="Times New Roman" w:eastAsia="標楷體" w:hAnsi="Times New Roman" w:cs="Times New Roman"/>
                <w:bCs/>
                <w:szCs w:val="24"/>
              </w:rPr>
            </w:pPr>
            <w:r w:rsidRPr="003D2855">
              <w:rPr>
                <w:rFonts w:ascii="Times New Roman" w:eastAsia="標楷體" w:hAnsi="Times New Roman" w:cs="Times New Roman"/>
                <w:bCs/>
                <w:szCs w:val="24"/>
              </w:rPr>
              <w:t>price value</w:t>
            </w:r>
          </w:p>
        </w:tc>
        <w:tc>
          <w:tcPr>
            <w:tcW w:w="849" w:type="pct"/>
            <w:vMerge w:val="restart"/>
            <w:tcBorders>
              <w:top w:val="single" w:sz="4" w:space="0" w:color="7F7F7F"/>
            </w:tcBorders>
            <w:shd w:val="clear" w:color="auto" w:fill="auto"/>
            <w:vAlign w:val="center"/>
          </w:tcPr>
          <w:p w14:paraId="67CB686B" w14:textId="2C577224" w:rsidR="00362A71" w:rsidRPr="003D2855" w:rsidRDefault="00362A71" w:rsidP="00362A71">
            <w:pPr>
              <w:jc w:val="both"/>
              <w:rPr>
                <w:rFonts w:ascii="Times New Roman" w:eastAsia="標楷體" w:hAnsi="Times New Roman" w:cs="Times New Roman"/>
                <w:szCs w:val="24"/>
              </w:rPr>
            </w:pPr>
            <w:r>
              <w:rPr>
                <w:rFonts w:ascii="Times New Roman" w:eastAsia="標楷體" w:hAnsi="Times New Roman" w:cs="Times New Roman" w:hint="eastAsia"/>
                <w:szCs w:val="24"/>
              </w:rPr>
              <w:t>0</w:t>
            </w:r>
            <w:r>
              <w:rPr>
                <w:rFonts w:ascii="Times New Roman" w:eastAsia="標楷體" w:hAnsi="Times New Roman" w:cs="Times New Roman"/>
                <w:szCs w:val="24"/>
              </w:rPr>
              <w:t>.230 (3)</w:t>
            </w:r>
          </w:p>
        </w:tc>
        <w:tc>
          <w:tcPr>
            <w:tcW w:w="1030" w:type="pct"/>
            <w:tcBorders>
              <w:top w:val="single" w:sz="4" w:space="0" w:color="7F7F7F"/>
              <w:bottom w:val="single" w:sz="4" w:space="0" w:color="auto"/>
            </w:tcBorders>
            <w:shd w:val="clear" w:color="auto" w:fill="auto"/>
          </w:tcPr>
          <w:p w14:paraId="0171C756" w14:textId="11D6CD8B"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hint="eastAsia"/>
                <w:szCs w:val="24"/>
              </w:rPr>
              <w:t>PV</w:t>
            </w:r>
            <w:r w:rsidRPr="000304A2">
              <w:rPr>
                <w:rFonts w:ascii="Times New Roman" w:hAnsi="Times New Roman" w:cs="Times New Roman"/>
                <w:szCs w:val="24"/>
              </w:rPr>
              <w:t>1</w:t>
            </w:r>
          </w:p>
        </w:tc>
        <w:tc>
          <w:tcPr>
            <w:tcW w:w="849" w:type="pct"/>
            <w:tcBorders>
              <w:top w:val="single" w:sz="4" w:space="0" w:color="7F7F7F"/>
              <w:bottom w:val="single" w:sz="4" w:space="0" w:color="auto"/>
            </w:tcBorders>
            <w:shd w:val="clear" w:color="auto" w:fill="auto"/>
          </w:tcPr>
          <w:p w14:paraId="04F8E864" w14:textId="67439299" w:rsidR="00362A71" w:rsidRPr="003D2855" w:rsidRDefault="00362A71" w:rsidP="00362A71">
            <w:pPr>
              <w:rPr>
                <w:rFonts w:ascii="Times New Roman" w:eastAsia="標楷體" w:hAnsi="Times New Roman" w:cs="Times New Roman"/>
                <w:szCs w:val="24"/>
              </w:rPr>
            </w:pPr>
            <w:r>
              <w:rPr>
                <w:rFonts w:ascii="Times New Roman" w:eastAsia="標楷體" w:hAnsi="Times New Roman" w:cs="Times New Roman" w:hint="eastAsia"/>
                <w:szCs w:val="24"/>
              </w:rPr>
              <w:t>0</w:t>
            </w:r>
            <w:r>
              <w:rPr>
                <w:rFonts w:ascii="Times New Roman" w:eastAsia="標楷體" w:hAnsi="Times New Roman" w:cs="Times New Roman"/>
                <w:szCs w:val="24"/>
              </w:rPr>
              <w:t>.341 (5)</w:t>
            </w:r>
          </w:p>
        </w:tc>
        <w:tc>
          <w:tcPr>
            <w:tcW w:w="998" w:type="pct"/>
            <w:tcBorders>
              <w:top w:val="single" w:sz="4" w:space="0" w:color="7F7F7F"/>
              <w:bottom w:val="single" w:sz="4" w:space="0" w:color="auto"/>
            </w:tcBorders>
            <w:shd w:val="clear" w:color="auto" w:fill="auto"/>
            <w:vAlign w:val="center"/>
          </w:tcPr>
          <w:p w14:paraId="5BF7F601" w14:textId="344B2EDC"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0.078</w:t>
            </w:r>
            <w:r>
              <w:rPr>
                <w:rFonts w:ascii="Times New Roman" w:hAnsi="Times New Roman" w:cs="Times New Roman"/>
                <w:color w:val="000000"/>
              </w:rPr>
              <w:t xml:space="preserve"> (8)</w:t>
            </w:r>
          </w:p>
        </w:tc>
      </w:tr>
      <w:tr w:rsidR="00362A71" w:rsidRPr="003D2855" w14:paraId="2701FE0B" w14:textId="77777777" w:rsidTr="00362A71">
        <w:trPr>
          <w:trHeight w:val="227"/>
        </w:trPr>
        <w:tc>
          <w:tcPr>
            <w:tcW w:w="1273" w:type="pct"/>
            <w:vMerge/>
            <w:shd w:val="clear" w:color="auto" w:fill="auto"/>
          </w:tcPr>
          <w:p w14:paraId="0B3CD3BF" w14:textId="77777777" w:rsidR="00362A71" w:rsidRPr="003D2855" w:rsidRDefault="00362A71" w:rsidP="00362A71">
            <w:pPr>
              <w:jc w:val="both"/>
              <w:rPr>
                <w:rFonts w:ascii="Times New Roman" w:eastAsia="標楷體" w:hAnsi="Times New Roman" w:cs="Times New Roman"/>
                <w:bCs/>
                <w:szCs w:val="24"/>
              </w:rPr>
            </w:pPr>
          </w:p>
        </w:tc>
        <w:tc>
          <w:tcPr>
            <w:tcW w:w="849" w:type="pct"/>
            <w:vMerge/>
            <w:shd w:val="clear" w:color="auto" w:fill="auto"/>
            <w:vAlign w:val="center"/>
          </w:tcPr>
          <w:p w14:paraId="3793F631" w14:textId="77777777" w:rsidR="00362A71" w:rsidRPr="003D2855" w:rsidRDefault="00362A71" w:rsidP="00362A71">
            <w:pPr>
              <w:jc w:val="both"/>
              <w:rPr>
                <w:rFonts w:ascii="Times New Roman" w:eastAsia="標楷體" w:hAnsi="Times New Roman" w:cs="Times New Roman"/>
                <w:szCs w:val="24"/>
              </w:rPr>
            </w:pPr>
          </w:p>
        </w:tc>
        <w:tc>
          <w:tcPr>
            <w:tcW w:w="1030" w:type="pct"/>
            <w:tcBorders>
              <w:top w:val="single" w:sz="4" w:space="0" w:color="7F7F7F"/>
              <w:bottom w:val="single" w:sz="4" w:space="0" w:color="auto"/>
            </w:tcBorders>
            <w:shd w:val="clear" w:color="auto" w:fill="auto"/>
          </w:tcPr>
          <w:p w14:paraId="42588B4B" w14:textId="78981559"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hint="eastAsia"/>
                <w:szCs w:val="24"/>
              </w:rPr>
              <w:t>PV</w:t>
            </w:r>
            <w:r w:rsidRPr="000304A2">
              <w:rPr>
                <w:rFonts w:ascii="Times New Roman" w:hAnsi="Times New Roman" w:cs="Times New Roman"/>
                <w:szCs w:val="24"/>
              </w:rPr>
              <w:t>2</w:t>
            </w:r>
          </w:p>
        </w:tc>
        <w:tc>
          <w:tcPr>
            <w:tcW w:w="849" w:type="pct"/>
            <w:tcBorders>
              <w:top w:val="single" w:sz="4" w:space="0" w:color="7F7F7F"/>
              <w:bottom w:val="single" w:sz="4" w:space="0" w:color="auto"/>
            </w:tcBorders>
            <w:shd w:val="clear" w:color="auto" w:fill="auto"/>
          </w:tcPr>
          <w:p w14:paraId="59E49FC0" w14:textId="68C6F29A" w:rsidR="00362A71" w:rsidRPr="003D2855" w:rsidRDefault="00362A71" w:rsidP="00362A71">
            <w:pPr>
              <w:rPr>
                <w:rFonts w:ascii="Times New Roman" w:eastAsia="標楷體" w:hAnsi="Times New Roman" w:cs="Times New Roman"/>
                <w:szCs w:val="24"/>
              </w:rPr>
            </w:pPr>
            <w:r>
              <w:rPr>
                <w:rFonts w:ascii="Times New Roman" w:eastAsia="標楷體" w:hAnsi="Times New Roman" w:cs="Times New Roman" w:hint="eastAsia"/>
                <w:szCs w:val="24"/>
              </w:rPr>
              <w:t>0</w:t>
            </w:r>
            <w:r>
              <w:rPr>
                <w:rFonts w:ascii="Times New Roman" w:eastAsia="標楷體" w:hAnsi="Times New Roman" w:cs="Times New Roman"/>
                <w:szCs w:val="24"/>
              </w:rPr>
              <w:t>.282 (10)</w:t>
            </w:r>
          </w:p>
        </w:tc>
        <w:tc>
          <w:tcPr>
            <w:tcW w:w="998" w:type="pct"/>
            <w:tcBorders>
              <w:top w:val="single" w:sz="4" w:space="0" w:color="7F7F7F"/>
              <w:bottom w:val="single" w:sz="4" w:space="0" w:color="auto"/>
            </w:tcBorders>
            <w:shd w:val="clear" w:color="auto" w:fill="auto"/>
            <w:vAlign w:val="center"/>
          </w:tcPr>
          <w:p w14:paraId="32D16AFB" w14:textId="7D3FFDBA"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0.065</w:t>
            </w:r>
            <w:r>
              <w:rPr>
                <w:rFonts w:ascii="Times New Roman" w:hAnsi="Times New Roman" w:cs="Times New Roman"/>
                <w:color w:val="000000"/>
              </w:rPr>
              <w:t xml:space="preserve"> (11)</w:t>
            </w:r>
          </w:p>
        </w:tc>
      </w:tr>
      <w:tr w:rsidR="00362A71" w:rsidRPr="003D2855" w14:paraId="1B5C085C" w14:textId="77777777" w:rsidTr="00362A71">
        <w:trPr>
          <w:trHeight w:val="227"/>
        </w:trPr>
        <w:tc>
          <w:tcPr>
            <w:tcW w:w="1273" w:type="pct"/>
            <w:vMerge/>
            <w:tcBorders>
              <w:bottom w:val="single" w:sz="4" w:space="0" w:color="auto"/>
            </w:tcBorders>
            <w:shd w:val="clear" w:color="auto" w:fill="auto"/>
          </w:tcPr>
          <w:p w14:paraId="0505526F" w14:textId="77777777" w:rsidR="00362A71" w:rsidRPr="003D2855" w:rsidRDefault="00362A71" w:rsidP="00362A71">
            <w:pPr>
              <w:jc w:val="both"/>
              <w:rPr>
                <w:rFonts w:ascii="Times New Roman" w:eastAsia="標楷體" w:hAnsi="Times New Roman" w:cs="Times New Roman"/>
                <w:bCs/>
                <w:szCs w:val="24"/>
              </w:rPr>
            </w:pPr>
          </w:p>
        </w:tc>
        <w:tc>
          <w:tcPr>
            <w:tcW w:w="849" w:type="pct"/>
            <w:vMerge/>
            <w:tcBorders>
              <w:bottom w:val="single" w:sz="4" w:space="0" w:color="auto"/>
            </w:tcBorders>
            <w:shd w:val="clear" w:color="auto" w:fill="auto"/>
            <w:vAlign w:val="center"/>
          </w:tcPr>
          <w:p w14:paraId="38380F9E" w14:textId="77777777" w:rsidR="00362A71" w:rsidRPr="003D2855" w:rsidRDefault="00362A71" w:rsidP="00362A71">
            <w:pPr>
              <w:jc w:val="both"/>
              <w:rPr>
                <w:rFonts w:ascii="Times New Roman" w:eastAsia="標楷體" w:hAnsi="Times New Roman" w:cs="Times New Roman"/>
                <w:szCs w:val="24"/>
              </w:rPr>
            </w:pPr>
          </w:p>
        </w:tc>
        <w:tc>
          <w:tcPr>
            <w:tcW w:w="1030" w:type="pct"/>
            <w:tcBorders>
              <w:top w:val="single" w:sz="4" w:space="0" w:color="7F7F7F"/>
              <w:bottom w:val="single" w:sz="4" w:space="0" w:color="auto"/>
            </w:tcBorders>
            <w:shd w:val="clear" w:color="auto" w:fill="auto"/>
          </w:tcPr>
          <w:p w14:paraId="59BBE914" w14:textId="7D77FEF3"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hint="eastAsia"/>
                <w:szCs w:val="24"/>
              </w:rPr>
              <w:t>PV</w:t>
            </w:r>
            <w:r w:rsidRPr="000304A2">
              <w:rPr>
                <w:rFonts w:ascii="Times New Roman" w:hAnsi="Times New Roman" w:cs="Times New Roman"/>
                <w:szCs w:val="24"/>
              </w:rPr>
              <w:t>3</w:t>
            </w:r>
          </w:p>
        </w:tc>
        <w:tc>
          <w:tcPr>
            <w:tcW w:w="849" w:type="pct"/>
            <w:tcBorders>
              <w:top w:val="single" w:sz="4" w:space="0" w:color="7F7F7F"/>
              <w:bottom w:val="single" w:sz="4" w:space="0" w:color="auto"/>
            </w:tcBorders>
            <w:shd w:val="clear" w:color="auto" w:fill="auto"/>
          </w:tcPr>
          <w:p w14:paraId="18E98573" w14:textId="28DAA56F" w:rsidR="00362A71" w:rsidRPr="003D2855" w:rsidRDefault="00362A71" w:rsidP="00362A71">
            <w:pPr>
              <w:rPr>
                <w:rFonts w:ascii="Times New Roman" w:eastAsia="標楷體" w:hAnsi="Times New Roman" w:cs="Times New Roman"/>
                <w:szCs w:val="24"/>
              </w:rPr>
            </w:pPr>
            <w:r>
              <w:rPr>
                <w:rFonts w:ascii="Times New Roman" w:eastAsia="標楷體" w:hAnsi="Times New Roman" w:cs="Times New Roman"/>
                <w:szCs w:val="24"/>
              </w:rPr>
              <w:t>0.</w:t>
            </w:r>
            <w:r>
              <w:rPr>
                <w:rFonts w:ascii="Times New Roman" w:eastAsia="標楷體" w:hAnsi="Times New Roman" w:cs="Times New Roman" w:hint="eastAsia"/>
                <w:szCs w:val="24"/>
              </w:rPr>
              <w:t>3</w:t>
            </w:r>
            <w:r>
              <w:rPr>
                <w:rFonts w:ascii="Times New Roman" w:eastAsia="標楷體" w:hAnsi="Times New Roman" w:cs="Times New Roman"/>
                <w:szCs w:val="24"/>
              </w:rPr>
              <w:t>77 (4)</w:t>
            </w:r>
          </w:p>
        </w:tc>
        <w:tc>
          <w:tcPr>
            <w:tcW w:w="998" w:type="pct"/>
            <w:tcBorders>
              <w:top w:val="single" w:sz="4" w:space="0" w:color="7F7F7F"/>
              <w:bottom w:val="single" w:sz="4" w:space="0" w:color="auto"/>
            </w:tcBorders>
            <w:shd w:val="clear" w:color="auto" w:fill="auto"/>
            <w:vAlign w:val="center"/>
          </w:tcPr>
          <w:p w14:paraId="51B156CE" w14:textId="27DAF8F0"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0.087</w:t>
            </w:r>
            <w:r>
              <w:rPr>
                <w:rFonts w:ascii="Times New Roman" w:hAnsi="Times New Roman" w:cs="Times New Roman"/>
                <w:color w:val="000000"/>
              </w:rPr>
              <w:t xml:space="preserve"> (5)</w:t>
            </w:r>
          </w:p>
        </w:tc>
      </w:tr>
      <w:tr w:rsidR="00362A71" w:rsidRPr="00A23ECF" w14:paraId="238C2E09" w14:textId="77777777" w:rsidTr="00362A71">
        <w:trPr>
          <w:trHeight w:val="227"/>
        </w:trPr>
        <w:tc>
          <w:tcPr>
            <w:tcW w:w="1273" w:type="pct"/>
            <w:vMerge w:val="restart"/>
            <w:shd w:val="clear" w:color="auto" w:fill="auto"/>
            <w:vAlign w:val="center"/>
            <w:hideMark/>
          </w:tcPr>
          <w:p w14:paraId="374A1BF4" w14:textId="413F29ED" w:rsidR="00362A71" w:rsidRPr="00A23ECF" w:rsidRDefault="00362A71" w:rsidP="00362A71">
            <w:pPr>
              <w:jc w:val="both"/>
              <w:rPr>
                <w:rFonts w:ascii="Times New Roman" w:eastAsia="標楷體" w:hAnsi="Times New Roman" w:cs="Times New Roman"/>
                <w:b/>
                <w:bCs/>
                <w:szCs w:val="24"/>
              </w:rPr>
            </w:pPr>
            <w:r w:rsidRPr="003D2855">
              <w:rPr>
                <w:rFonts w:ascii="Times New Roman" w:eastAsia="標楷體" w:hAnsi="Times New Roman" w:cs="Times New Roman"/>
                <w:bCs/>
                <w:szCs w:val="24"/>
              </w:rPr>
              <w:t>habit</w:t>
            </w:r>
          </w:p>
        </w:tc>
        <w:tc>
          <w:tcPr>
            <w:tcW w:w="849" w:type="pct"/>
            <w:vMerge w:val="restart"/>
            <w:shd w:val="clear" w:color="auto" w:fill="auto"/>
            <w:vAlign w:val="center"/>
          </w:tcPr>
          <w:p w14:paraId="311F27CC" w14:textId="2002E849" w:rsidR="00362A71" w:rsidRPr="00A23ECF" w:rsidRDefault="00362A71" w:rsidP="00362A71">
            <w:pPr>
              <w:jc w:val="both"/>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269 (2)</w:t>
            </w:r>
          </w:p>
        </w:tc>
        <w:tc>
          <w:tcPr>
            <w:tcW w:w="1030" w:type="pct"/>
            <w:shd w:val="clear" w:color="auto" w:fill="auto"/>
          </w:tcPr>
          <w:p w14:paraId="134693E1" w14:textId="7F7CA7C9"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hint="eastAsia"/>
                <w:szCs w:val="24"/>
              </w:rPr>
              <w:t>H</w:t>
            </w:r>
            <w:r w:rsidRPr="000304A2">
              <w:rPr>
                <w:rFonts w:ascii="Times New Roman" w:hAnsi="Times New Roman" w:cs="Times New Roman"/>
                <w:szCs w:val="24"/>
              </w:rPr>
              <w:t>B1</w:t>
            </w:r>
          </w:p>
        </w:tc>
        <w:tc>
          <w:tcPr>
            <w:tcW w:w="849" w:type="pct"/>
            <w:shd w:val="clear" w:color="auto" w:fill="auto"/>
          </w:tcPr>
          <w:p w14:paraId="15A3DF41" w14:textId="76085612"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399 (2)</w:t>
            </w:r>
          </w:p>
        </w:tc>
        <w:tc>
          <w:tcPr>
            <w:tcW w:w="998" w:type="pct"/>
            <w:shd w:val="clear" w:color="auto" w:fill="auto"/>
            <w:vAlign w:val="center"/>
          </w:tcPr>
          <w:p w14:paraId="4AB88326" w14:textId="459E9B4F"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0.107</w:t>
            </w:r>
            <w:r>
              <w:rPr>
                <w:rFonts w:ascii="Times New Roman" w:hAnsi="Times New Roman" w:cs="Times New Roman"/>
                <w:color w:val="000000"/>
              </w:rPr>
              <w:t xml:space="preserve"> (2)</w:t>
            </w:r>
          </w:p>
        </w:tc>
      </w:tr>
      <w:tr w:rsidR="00362A71" w:rsidRPr="00A23ECF" w14:paraId="10B391D7" w14:textId="77777777" w:rsidTr="00362A71">
        <w:trPr>
          <w:trHeight w:val="227"/>
        </w:trPr>
        <w:tc>
          <w:tcPr>
            <w:tcW w:w="1273" w:type="pct"/>
            <w:vMerge/>
            <w:tcBorders>
              <w:top w:val="single" w:sz="4" w:space="0" w:color="auto"/>
              <w:bottom w:val="single" w:sz="4" w:space="0" w:color="auto"/>
            </w:tcBorders>
            <w:shd w:val="clear" w:color="auto" w:fill="auto"/>
            <w:hideMark/>
          </w:tcPr>
          <w:p w14:paraId="53CED1F4" w14:textId="77777777" w:rsidR="00362A71" w:rsidRPr="00A23ECF" w:rsidRDefault="00362A71" w:rsidP="00362A71">
            <w:pPr>
              <w:rPr>
                <w:rFonts w:ascii="Times New Roman" w:eastAsia="標楷體" w:hAnsi="Times New Roman" w:cs="Times New Roman"/>
                <w:b/>
                <w:bCs/>
                <w:szCs w:val="24"/>
              </w:rPr>
            </w:pPr>
          </w:p>
        </w:tc>
        <w:tc>
          <w:tcPr>
            <w:tcW w:w="849" w:type="pct"/>
            <w:vMerge/>
            <w:tcBorders>
              <w:top w:val="single" w:sz="4" w:space="0" w:color="auto"/>
              <w:bottom w:val="single" w:sz="4" w:space="0" w:color="auto"/>
            </w:tcBorders>
            <w:shd w:val="clear" w:color="auto" w:fill="auto"/>
          </w:tcPr>
          <w:p w14:paraId="405970CE" w14:textId="77777777" w:rsidR="00362A71" w:rsidRPr="00A23ECF" w:rsidRDefault="00362A71" w:rsidP="00362A71">
            <w:pPr>
              <w:rPr>
                <w:rFonts w:ascii="Times New Roman" w:eastAsia="標楷體" w:hAnsi="Times New Roman" w:cs="Times New Roman"/>
                <w:szCs w:val="24"/>
              </w:rPr>
            </w:pPr>
          </w:p>
        </w:tc>
        <w:tc>
          <w:tcPr>
            <w:tcW w:w="1030" w:type="pct"/>
            <w:tcBorders>
              <w:top w:val="single" w:sz="4" w:space="0" w:color="auto"/>
              <w:bottom w:val="single" w:sz="4" w:space="0" w:color="auto"/>
            </w:tcBorders>
            <w:shd w:val="clear" w:color="auto" w:fill="auto"/>
            <w:vAlign w:val="center"/>
          </w:tcPr>
          <w:p w14:paraId="42496FA5" w14:textId="01221BDA" w:rsidR="00362A71" w:rsidRPr="000304A2" w:rsidRDefault="00362A71" w:rsidP="00362A71">
            <w:pPr>
              <w:jc w:val="both"/>
              <w:rPr>
                <w:rFonts w:ascii="Times New Roman" w:eastAsia="標楷體" w:hAnsi="Times New Roman" w:cs="Times New Roman"/>
                <w:szCs w:val="24"/>
              </w:rPr>
            </w:pPr>
            <w:r w:rsidRPr="000304A2">
              <w:rPr>
                <w:rFonts w:ascii="Times New Roman" w:hAnsi="Times New Roman" w:cs="Times New Roman" w:hint="eastAsia"/>
                <w:szCs w:val="24"/>
              </w:rPr>
              <w:t>H</w:t>
            </w:r>
            <w:r w:rsidRPr="000304A2">
              <w:rPr>
                <w:rFonts w:ascii="Times New Roman" w:hAnsi="Times New Roman" w:cs="Times New Roman"/>
                <w:szCs w:val="24"/>
              </w:rPr>
              <w:t>B</w:t>
            </w:r>
            <w:r w:rsidRPr="000304A2">
              <w:rPr>
                <w:rFonts w:ascii="Times New Roman" w:hAnsi="Times New Roman" w:cs="Times New Roman" w:hint="eastAsia"/>
                <w:szCs w:val="24"/>
              </w:rPr>
              <w:t>2</w:t>
            </w:r>
          </w:p>
        </w:tc>
        <w:tc>
          <w:tcPr>
            <w:tcW w:w="849" w:type="pct"/>
            <w:tcBorders>
              <w:top w:val="single" w:sz="4" w:space="0" w:color="auto"/>
              <w:bottom w:val="single" w:sz="4" w:space="0" w:color="auto"/>
            </w:tcBorders>
            <w:shd w:val="clear" w:color="auto" w:fill="auto"/>
          </w:tcPr>
          <w:p w14:paraId="164CDA7F" w14:textId="43E81D0A"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335 (6)</w:t>
            </w:r>
          </w:p>
        </w:tc>
        <w:tc>
          <w:tcPr>
            <w:tcW w:w="998" w:type="pct"/>
            <w:tcBorders>
              <w:top w:val="single" w:sz="4" w:space="0" w:color="auto"/>
              <w:bottom w:val="single" w:sz="4" w:space="0" w:color="auto"/>
            </w:tcBorders>
            <w:shd w:val="clear" w:color="auto" w:fill="auto"/>
            <w:vAlign w:val="center"/>
          </w:tcPr>
          <w:p w14:paraId="1D66ED8A" w14:textId="4181F4A9"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0.090</w:t>
            </w:r>
            <w:r>
              <w:rPr>
                <w:rFonts w:ascii="Times New Roman" w:hAnsi="Times New Roman" w:cs="Times New Roman"/>
                <w:color w:val="000000"/>
              </w:rPr>
              <w:t xml:space="preserve"> (3)</w:t>
            </w:r>
          </w:p>
        </w:tc>
      </w:tr>
      <w:tr w:rsidR="00362A71" w:rsidRPr="00A23ECF" w14:paraId="7A7BDAD4" w14:textId="77777777" w:rsidTr="00362A71">
        <w:trPr>
          <w:trHeight w:val="227"/>
        </w:trPr>
        <w:tc>
          <w:tcPr>
            <w:tcW w:w="1273" w:type="pct"/>
            <w:vMerge/>
            <w:tcBorders>
              <w:bottom w:val="single" w:sz="12" w:space="0" w:color="auto"/>
            </w:tcBorders>
            <w:shd w:val="clear" w:color="auto" w:fill="auto"/>
            <w:hideMark/>
          </w:tcPr>
          <w:p w14:paraId="6CBD1C5A" w14:textId="77777777" w:rsidR="00362A71" w:rsidRPr="00A23ECF" w:rsidRDefault="00362A71" w:rsidP="00362A71">
            <w:pPr>
              <w:rPr>
                <w:rFonts w:ascii="Times New Roman" w:eastAsia="標楷體" w:hAnsi="Times New Roman" w:cs="Times New Roman"/>
                <w:b/>
                <w:bCs/>
                <w:szCs w:val="24"/>
              </w:rPr>
            </w:pPr>
          </w:p>
        </w:tc>
        <w:tc>
          <w:tcPr>
            <w:tcW w:w="849" w:type="pct"/>
            <w:vMerge/>
            <w:tcBorders>
              <w:bottom w:val="single" w:sz="12" w:space="0" w:color="auto"/>
            </w:tcBorders>
            <w:shd w:val="clear" w:color="auto" w:fill="auto"/>
          </w:tcPr>
          <w:p w14:paraId="2DF59438" w14:textId="77777777" w:rsidR="00362A71" w:rsidRPr="00A23ECF" w:rsidRDefault="00362A71" w:rsidP="00362A71">
            <w:pPr>
              <w:rPr>
                <w:rFonts w:ascii="Times New Roman" w:eastAsia="標楷體" w:hAnsi="Times New Roman" w:cs="Times New Roman"/>
                <w:szCs w:val="24"/>
              </w:rPr>
            </w:pPr>
          </w:p>
        </w:tc>
        <w:tc>
          <w:tcPr>
            <w:tcW w:w="1030" w:type="pct"/>
            <w:tcBorders>
              <w:bottom w:val="single" w:sz="12" w:space="0" w:color="auto"/>
            </w:tcBorders>
            <w:shd w:val="clear" w:color="auto" w:fill="auto"/>
            <w:vAlign w:val="center"/>
          </w:tcPr>
          <w:p w14:paraId="4143F4FF" w14:textId="6A3B3476" w:rsidR="00362A71" w:rsidRPr="003B0C37" w:rsidRDefault="00362A71" w:rsidP="00362A71">
            <w:pPr>
              <w:jc w:val="both"/>
              <w:rPr>
                <w:rFonts w:ascii="Times New Roman" w:eastAsia="標楷體" w:hAnsi="Times New Roman" w:cs="Times New Roman"/>
                <w:szCs w:val="24"/>
              </w:rPr>
            </w:pPr>
            <w:r>
              <w:rPr>
                <w:rFonts w:ascii="Times New Roman" w:hAnsi="Times New Roman" w:cs="Times New Roman" w:hint="eastAsia"/>
                <w:szCs w:val="24"/>
              </w:rPr>
              <w:t>H</w:t>
            </w:r>
            <w:r>
              <w:rPr>
                <w:rFonts w:ascii="Times New Roman" w:hAnsi="Times New Roman" w:cs="Times New Roman"/>
                <w:szCs w:val="24"/>
              </w:rPr>
              <w:t>B4</w:t>
            </w:r>
          </w:p>
        </w:tc>
        <w:tc>
          <w:tcPr>
            <w:tcW w:w="849" w:type="pct"/>
            <w:tcBorders>
              <w:bottom w:val="single" w:sz="12" w:space="0" w:color="auto"/>
            </w:tcBorders>
            <w:shd w:val="clear" w:color="auto" w:fill="auto"/>
          </w:tcPr>
          <w:p w14:paraId="671AAD81" w14:textId="76E49AED" w:rsidR="00362A71" w:rsidRPr="00A23ECF" w:rsidRDefault="00362A71" w:rsidP="00362A71">
            <w:pPr>
              <w:rPr>
                <w:rFonts w:ascii="Times New Roman" w:eastAsia="標楷體" w:hAnsi="Times New Roman" w:cs="Times New Roman"/>
                <w:szCs w:val="24"/>
              </w:rPr>
            </w:pPr>
            <w:r w:rsidRPr="00A23ECF">
              <w:rPr>
                <w:rFonts w:ascii="Times New Roman" w:eastAsia="標楷體" w:hAnsi="Times New Roman" w:cs="Times New Roman"/>
                <w:szCs w:val="24"/>
              </w:rPr>
              <w:t>0.</w:t>
            </w:r>
            <w:r>
              <w:rPr>
                <w:rFonts w:ascii="Times New Roman" w:eastAsia="標楷體" w:hAnsi="Times New Roman" w:cs="Times New Roman"/>
                <w:szCs w:val="24"/>
              </w:rPr>
              <w:t>266 (12)</w:t>
            </w:r>
          </w:p>
        </w:tc>
        <w:tc>
          <w:tcPr>
            <w:tcW w:w="998" w:type="pct"/>
            <w:tcBorders>
              <w:bottom w:val="single" w:sz="12" w:space="0" w:color="auto"/>
            </w:tcBorders>
            <w:shd w:val="clear" w:color="auto" w:fill="auto"/>
            <w:vAlign w:val="center"/>
          </w:tcPr>
          <w:p w14:paraId="057F2A06" w14:textId="5EA1B24C" w:rsidR="00362A71" w:rsidRPr="00362A71" w:rsidRDefault="00362A71" w:rsidP="00362A71">
            <w:pPr>
              <w:jc w:val="both"/>
              <w:rPr>
                <w:rFonts w:ascii="Times New Roman" w:eastAsia="標楷體" w:hAnsi="Times New Roman" w:cs="Times New Roman"/>
                <w:szCs w:val="24"/>
              </w:rPr>
            </w:pPr>
            <w:r w:rsidRPr="00362A71">
              <w:rPr>
                <w:rFonts w:ascii="Times New Roman" w:hAnsi="Times New Roman" w:cs="Times New Roman"/>
                <w:color w:val="000000"/>
              </w:rPr>
              <w:t>0.072</w:t>
            </w:r>
            <w:r>
              <w:rPr>
                <w:rFonts w:ascii="Times New Roman" w:hAnsi="Times New Roman" w:cs="Times New Roman"/>
                <w:color w:val="000000"/>
              </w:rPr>
              <w:t xml:space="preserve"> (9)</w:t>
            </w:r>
          </w:p>
        </w:tc>
      </w:tr>
    </w:tbl>
    <w:p w14:paraId="0DB91B30" w14:textId="7C86EF1F" w:rsidR="00A23ECF" w:rsidRPr="0086728F" w:rsidRDefault="00A23ECF" w:rsidP="00D15F79">
      <w:pPr>
        <w:widowControl/>
        <w:snapToGrid w:val="0"/>
        <w:spacing w:beforeLines="50" w:before="180" w:afterLines="50" w:after="180" w:line="300" w:lineRule="auto"/>
        <w:jc w:val="both"/>
        <w:rPr>
          <w:rFonts w:ascii="Times New Roman" w:eastAsia="標楷體" w:hAnsi="Times New Roman" w:cs="Times New Roman"/>
          <w:sz w:val="32"/>
          <w:szCs w:val="24"/>
        </w:rPr>
      </w:pPr>
      <w:r w:rsidRPr="0086728F">
        <w:rPr>
          <w:rFonts w:ascii="Times New Roman" w:eastAsia="標楷體" w:hAnsi="Times New Roman" w:cs="Times New Roman"/>
          <w:sz w:val="20"/>
        </w:rPr>
        <w:t>Note: the parentheses after the weight number mean the ranking.</w:t>
      </w:r>
    </w:p>
    <w:p w14:paraId="0206BC16" w14:textId="77777777" w:rsidR="00BF2091" w:rsidRDefault="00BF2091">
      <w:pPr>
        <w:widowControl/>
        <w:rPr>
          <w:rFonts w:ascii="Times New Roman" w:hAnsi="Times New Roman"/>
          <w:b/>
          <w:sz w:val="28"/>
          <w:szCs w:val="28"/>
        </w:rPr>
      </w:pPr>
      <w:r>
        <w:rPr>
          <w:rFonts w:ascii="Times New Roman" w:hAnsi="Times New Roman"/>
          <w:b/>
          <w:sz w:val="28"/>
          <w:szCs w:val="28"/>
        </w:rPr>
        <w:br w:type="page"/>
      </w:r>
    </w:p>
    <w:p w14:paraId="7ACD5917" w14:textId="26F437A0" w:rsidR="00CC53DB" w:rsidRPr="00616824" w:rsidRDefault="00CC53DB" w:rsidP="001B28D5">
      <w:pPr>
        <w:pStyle w:val="a6"/>
        <w:numPr>
          <w:ilvl w:val="0"/>
          <w:numId w:val="10"/>
        </w:numPr>
        <w:ind w:leftChars="0"/>
        <w:rPr>
          <w:rFonts w:ascii="Times New Roman" w:hAnsi="Times New Roman"/>
          <w:b/>
          <w:sz w:val="28"/>
          <w:szCs w:val="28"/>
        </w:rPr>
      </w:pPr>
      <w:r w:rsidRPr="00616824">
        <w:rPr>
          <w:rFonts w:ascii="Times New Roman" w:hAnsi="Times New Roman"/>
          <w:b/>
          <w:sz w:val="28"/>
          <w:szCs w:val="28"/>
        </w:rPr>
        <w:lastRenderedPageBreak/>
        <w:t>Conclusions and Recommendations</w:t>
      </w:r>
    </w:p>
    <w:p w14:paraId="4F5EDA74" w14:textId="65EFF9FF" w:rsidR="00CC53DB" w:rsidRPr="00616824" w:rsidRDefault="00CC53DB" w:rsidP="00436231">
      <w:pPr>
        <w:pStyle w:val="a6"/>
        <w:numPr>
          <w:ilvl w:val="0"/>
          <w:numId w:val="14"/>
        </w:numPr>
        <w:ind w:leftChars="0"/>
        <w:rPr>
          <w:rFonts w:ascii="Times New Roman" w:eastAsia="標楷體" w:hAnsi="Times New Roman" w:cs="Times New Roman"/>
          <w:b/>
          <w:szCs w:val="24"/>
        </w:rPr>
      </w:pPr>
      <w:r w:rsidRPr="00616824">
        <w:rPr>
          <w:rFonts w:ascii="Times New Roman" w:hAnsi="Times New Roman"/>
          <w:b/>
          <w:szCs w:val="24"/>
        </w:rPr>
        <w:t>Conclusions</w:t>
      </w:r>
    </w:p>
    <w:p w14:paraId="75CC97F7" w14:textId="77777777" w:rsidR="00787331" w:rsidRPr="00787331" w:rsidRDefault="00787331" w:rsidP="00787331">
      <w:pPr>
        <w:ind w:firstLine="480"/>
        <w:jc w:val="both"/>
        <w:rPr>
          <w:rFonts w:ascii="Times New Roman" w:hAnsi="Times New Roman"/>
        </w:rPr>
      </w:pPr>
      <w:r w:rsidRPr="00787331">
        <w:rPr>
          <w:rFonts w:ascii="Times New Roman" w:hAnsi="Times New Roman"/>
        </w:rPr>
        <w:t>Based on the analysis above, this study summarizes the research results of enterprise adoption of online education training according to the weighted factors and proposes the following propositions:</w:t>
      </w:r>
    </w:p>
    <w:p w14:paraId="2E37D339" w14:textId="77777777" w:rsidR="00787331" w:rsidRPr="00787331" w:rsidRDefault="00787331" w:rsidP="00787331">
      <w:pPr>
        <w:jc w:val="both"/>
        <w:rPr>
          <w:rFonts w:ascii="Times New Roman" w:hAnsi="Times New Roman"/>
          <w:szCs w:val="24"/>
        </w:rPr>
      </w:pPr>
      <w:r w:rsidRPr="00787331">
        <w:rPr>
          <w:rFonts w:ascii="Times New Roman" w:hAnsi="Times New Roman"/>
          <w:szCs w:val="24"/>
        </w:rPr>
        <w:t>Proposition 1: In the construction of key success factors for enterprises to adopt online education training, the hedonic motivation dimension is relatively more critical than other dimensions such as personal innovativeness, price value, and habit. Among them, hedonic motivation and habit dimensions rank as the top two. This is consistent with the findings of Hu et al. (2020) and Khan et al. (2022). Therefore, this study suggests that when designing online education training programs or platforms, companies should prioritize the user experience and convenience for employees, creating a sense of enjoyment and habit formation to enhance the effectiveness of online education training.</w:t>
      </w:r>
    </w:p>
    <w:p w14:paraId="0C692AE3" w14:textId="116C26E7" w:rsidR="00787331" w:rsidRPr="00787331" w:rsidRDefault="00787331" w:rsidP="00787331">
      <w:pPr>
        <w:jc w:val="both"/>
        <w:rPr>
          <w:rFonts w:ascii="Times New Roman" w:hAnsi="Times New Roman"/>
          <w:szCs w:val="24"/>
        </w:rPr>
      </w:pPr>
      <w:r w:rsidRPr="00787331">
        <w:rPr>
          <w:rFonts w:ascii="Times New Roman" w:hAnsi="Times New Roman"/>
          <w:szCs w:val="24"/>
        </w:rPr>
        <w:t>Proposition 2: Within the hedonic motivation dimension, the</w:t>
      </w:r>
      <w:r w:rsidR="00F154CC" w:rsidRPr="00F154CC">
        <w:t xml:space="preserve"> </w:t>
      </w:r>
      <w:r w:rsidR="00F154CC" w:rsidRPr="00F154CC">
        <w:rPr>
          <w:rFonts w:ascii="Times New Roman" w:hAnsi="Times New Roman"/>
          <w:szCs w:val="24"/>
        </w:rPr>
        <w:t>indicators</w:t>
      </w:r>
      <w:r w:rsidRPr="00787331">
        <w:rPr>
          <w:rFonts w:ascii="Times New Roman" w:hAnsi="Times New Roman"/>
          <w:szCs w:val="24"/>
        </w:rPr>
        <w:t xml:space="preserve"> "The process of using online education training platforms is enjoyable" obtained the highest weight. This result indicates that the key to helping employees continue using online education training platforms lies in the enjoyment of instructional content and operation. Combining training materials with digital game-based learning is likely to improve employee training or learning effectiveness (Wang et al., 2022).</w:t>
      </w:r>
    </w:p>
    <w:p w14:paraId="257F665A" w14:textId="399DFE54" w:rsidR="00787331" w:rsidRPr="00787331" w:rsidRDefault="00787331" w:rsidP="00787331">
      <w:pPr>
        <w:jc w:val="both"/>
        <w:rPr>
          <w:rFonts w:ascii="Times New Roman" w:hAnsi="Times New Roman"/>
          <w:szCs w:val="24"/>
        </w:rPr>
      </w:pPr>
      <w:r w:rsidRPr="00787331">
        <w:rPr>
          <w:rFonts w:ascii="Times New Roman" w:hAnsi="Times New Roman"/>
          <w:szCs w:val="24"/>
        </w:rPr>
        <w:t xml:space="preserve">Proposition 3: In the personal innovativeness dimension, "When I know there is an online education training platform, I will try it first" obtained the highest weight. While this </w:t>
      </w:r>
      <w:r w:rsidR="00F154CC" w:rsidRPr="00F154CC">
        <w:rPr>
          <w:rFonts w:ascii="Times New Roman" w:hAnsi="Times New Roman"/>
          <w:szCs w:val="24"/>
        </w:rPr>
        <w:t>indicator</w:t>
      </w:r>
      <w:r w:rsidRPr="00787331">
        <w:rPr>
          <w:rFonts w:ascii="Times New Roman" w:hAnsi="Times New Roman"/>
          <w:szCs w:val="24"/>
        </w:rPr>
        <w:t xml:space="preserve"> ranks only sixth in overall weight, this situation may be related to employees' motivation to participate in training (Chung et al., 2022; Mahmood et al., 2023). To enhance the weight of this </w:t>
      </w:r>
      <w:r w:rsidR="00F154CC" w:rsidRPr="00F154CC">
        <w:rPr>
          <w:rFonts w:ascii="Times New Roman" w:hAnsi="Times New Roman"/>
          <w:szCs w:val="24"/>
        </w:rPr>
        <w:t>indicators</w:t>
      </w:r>
      <w:r w:rsidRPr="00787331">
        <w:rPr>
          <w:rFonts w:ascii="Times New Roman" w:hAnsi="Times New Roman"/>
          <w:szCs w:val="24"/>
        </w:rPr>
        <w:t>, efforts should start by increasing learning motivation. When employees have a high motivation for the training content, it can trigger autonomous use of online education training platforms.</w:t>
      </w:r>
    </w:p>
    <w:p w14:paraId="710BC425" w14:textId="65A3974C" w:rsidR="00787331" w:rsidRPr="00787331" w:rsidRDefault="00787331" w:rsidP="00787331">
      <w:pPr>
        <w:jc w:val="both"/>
        <w:rPr>
          <w:rFonts w:ascii="Times New Roman" w:hAnsi="Times New Roman"/>
          <w:szCs w:val="24"/>
        </w:rPr>
      </w:pPr>
      <w:r w:rsidRPr="00787331">
        <w:rPr>
          <w:rFonts w:ascii="Times New Roman" w:hAnsi="Times New Roman"/>
          <w:szCs w:val="24"/>
        </w:rPr>
        <w:t xml:space="preserve">Proposition 4: In the price value dimension, "At the current price, using online education training platforms for learning provides good economic value" obtained the highest weight. Despite this, the </w:t>
      </w:r>
      <w:r w:rsidR="00F154CC" w:rsidRPr="00F154CC">
        <w:rPr>
          <w:rFonts w:ascii="Times New Roman" w:hAnsi="Times New Roman"/>
          <w:szCs w:val="24"/>
        </w:rPr>
        <w:t>indicators</w:t>
      </w:r>
      <w:r w:rsidRPr="00787331">
        <w:rPr>
          <w:rFonts w:ascii="Times New Roman" w:hAnsi="Times New Roman"/>
          <w:szCs w:val="24"/>
        </w:rPr>
        <w:t xml:space="preserve"> </w:t>
      </w:r>
      <w:proofErr w:type="gramStart"/>
      <w:r w:rsidRPr="00787331">
        <w:rPr>
          <w:rFonts w:ascii="Times New Roman" w:hAnsi="Times New Roman"/>
          <w:szCs w:val="24"/>
        </w:rPr>
        <w:t>ranks</w:t>
      </w:r>
      <w:proofErr w:type="gramEnd"/>
      <w:r w:rsidRPr="00787331">
        <w:rPr>
          <w:rFonts w:ascii="Times New Roman" w:hAnsi="Times New Roman"/>
          <w:szCs w:val="24"/>
        </w:rPr>
        <w:t xml:space="preserve"> relatively low in overall weight, indicating that price is not the primary consideration for employees when using online education training. To increase the weight of this </w:t>
      </w:r>
      <w:r w:rsidR="00F154CC" w:rsidRPr="00F154CC">
        <w:rPr>
          <w:rFonts w:ascii="Times New Roman" w:hAnsi="Times New Roman"/>
          <w:szCs w:val="24"/>
        </w:rPr>
        <w:t>indicators</w:t>
      </w:r>
      <w:r w:rsidRPr="00787331">
        <w:rPr>
          <w:rFonts w:ascii="Times New Roman" w:hAnsi="Times New Roman"/>
          <w:szCs w:val="24"/>
        </w:rPr>
        <w:t>, enhancing the content of instructional materials to make employees feel they are getting value for money can be effective.</w:t>
      </w:r>
    </w:p>
    <w:p w14:paraId="09F9EA35" w14:textId="5C2AB4A7" w:rsidR="00787331" w:rsidRPr="00BE78E0" w:rsidRDefault="00787331" w:rsidP="00787331">
      <w:pPr>
        <w:jc w:val="both"/>
        <w:rPr>
          <w:rFonts w:ascii="Times New Roman" w:hAnsi="Times New Roman"/>
          <w:szCs w:val="24"/>
        </w:rPr>
      </w:pPr>
      <w:r w:rsidRPr="00787331">
        <w:rPr>
          <w:rFonts w:ascii="Times New Roman" w:hAnsi="Times New Roman"/>
          <w:szCs w:val="24"/>
        </w:rPr>
        <w:t>Proposition 5: In the habit dimension, "When I want to learn online, using online education training platforms has become a habit for me" obtained the highest weight. Therefore, it is recommended that companies, when designing online education training programs or platforms, emphasize the habit formation of employees. Enriching the system or platform's content can make employees willing to use it and find it easy to use, thereby increasing their willingness to use.</w:t>
      </w:r>
    </w:p>
    <w:p w14:paraId="1039EC92" w14:textId="70E105CC" w:rsidR="00CC53DB" w:rsidRPr="00616824" w:rsidRDefault="00CC53DB" w:rsidP="00436231">
      <w:pPr>
        <w:pStyle w:val="a6"/>
        <w:numPr>
          <w:ilvl w:val="0"/>
          <w:numId w:val="14"/>
        </w:numPr>
        <w:ind w:leftChars="0"/>
        <w:rPr>
          <w:rFonts w:ascii="Times New Roman" w:hAnsi="Times New Roman"/>
          <w:b/>
          <w:szCs w:val="24"/>
        </w:rPr>
      </w:pPr>
      <w:r w:rsidRPr="00616824">
        <w:rPr>
          <w:rFonts w:ascii="Times New Roman" w:hAnsi="Times New Roman"/>
          <w:b/>
          <w:szCs w:val="24"/>
        </w:rPr>
        <w:t>Recommendations</w:t>
      </w:r>
    </w:p>
    <w:p w14:paraId="3EF379C8" w14:textId="77777777" w:rsidR="00F154CC" w:rsidRPr="00F154CC" w:rsidRDefault="00F154CC" w:rsidP="00F154CC">
      <w:pPr>
        <w:ind w:firstLine="480"/>
        <w:jc w:val="both"/>
        <w:rPr>
          <w:rFonts w:ascii="Times New Roman" w:hAnsi="Times New Roman"/>
        </w:rPr>
      </w:pPr>
      <w:r w:rsidRPr="00F154CC">
        <w:rPr>
          <w:rFonts w:ascii="Times New Roman" w:hAnsi="Times New Roman"/>
        </w:rPr>
        <w:t>This study aimed to understand the key success factors in the implementation of online education training in enterprises. Therefore, a combination of qualitative and quantitative research methods was employed for data collection, leading to the derivation of a weight matrix. The following recommendations are provided for future research:</w:t>
      </w:r>
    </w:p>
    <w:p w14:paraId="48481118" w14:textId="3526CB85" w:rsidR="00F154CC" w:rsidRPr="00F154CC" w:rsidRDefault="00F154CC" w:rsidP="00F154CC">
      <w:pPr>
        <w:pStyle w:val="a6"/>
        <w:numPr>
          <w:ilvl w:val="0"/>
          <w:numId w:val="28"/>
        </w:numPr>
        <w:ind w:leftChars="0"/>
        <w:jc w:val="both"/>
        <w:rPr>
          <w:rFonts w:ascii="Times New Roman" w:hAnsi="Times New Roman"/>
        </w:rPr>
      </w:pPr>
      <w:r w:rsidRPr="00F154CC">
        <w:rPr>
          <w:rFonts w:ascii="Times New Roman" w:hAnsi="Times New Roman"/>
        </w:rPr>
        <w:t>The study utilized a survey questionnaire and expert group interviews to successfully establish a hierarchical framework for the implementation of online employee training in enterprises. However, this result has not yet received extensive empirical support. Therefore, it is suggested that future research continues with this hierarchical framework, designing quantitative surveys for empirical studies targeting enterprises with a demand for online education training.</w:t>
      </w:r>
    </w:p>
    <w:p w14:paraId="064695D2" w14:textId="45F9C00B" w:rsidR="00F154CC" w:rsidRPr="00F154CC" w:rsidRDefault="00F154CC" w:rsidP="00F154CC">
      <w:pPr>
        <w:pStyle w:val="a6"/>
        <w:numPr>
          <w:ilvl w:val="0"/>
          <w:numId w:val="28"/>
        </w:numPr>
        <w:ind w:leftChars="0"/>
        <w:jc w:val="both"/>
        <w:rPr>
          <w:rFonts w:ascii="Times New Roman" w:hAnsi="Times New Roman"/>
        </w:rPr>
      </w:pPr>
      <w:r w:rsidRPr="00F154CC">
        <w:rPr>
          <w:rFonts w:ascii="Times New Roman" w:hAnsi="Times New Roman"/>
        </w:rPr>
        <w:t>The study focused on supervisors from the human resources departments of enterprises. However, in different types of enterprises, it is possible that other units are responsible for arranging employee training. Therefore, it is recommended that future research includes all possible research subjects to address potential gaps in the study.</w:t>
      </w:r>
    </w:p>
    <w:p w14:paraId="3F0C1578" w14:textId="12E7847F" w:rsidR="00F154CC" w:rsidRPr="00F154CC" w:rsidRDefault="00F154CC" w:rsidP="00F154CC">
      <w:pPr>
        <w:pStyle w:val="a6"/>
        <w:numPr>
          <w:ilvl w:val="0"/>
          <w:numId w:val="28"/>
        </w:numPr>
        <w:ind w:leftChars="0"/>
        <w:jc w:val="both"/>
        <w:rPr>
          <w:rFonts w:ascii="Times New Roman" w:hAnsi="Times New Roman"/>
        </w:rPr>
      </w:pPr>
      <w:r w:rsidRPr="00F154CC">
        <w:rPr>
          <w:rFonts w:ascii="Times New Roman" w:hAnsi="Times New Roman"/>
        </w:rPr>
        <w:t xml:space="preserve">The study synthesized four extended dimensions obtained from past literature. Discrepancies in the weightings of these dimensions were observed in the research results, indicating that literature on online learning or education may yield different results in different industries. Therefore, it is advised that future research </w:t>
      </w:r>
      <w:proofErr w:type="gramStart"/>
      <w:r w:rsidRPr="00F154CC">
        <w:rPr>
          <w:rFonts w:ascii="Times New Roman" w:hAnsi="Times New Roman"/>
        </w:rPr>
        <w:t>take into account</w:t>
      </w:r>
      <w:proofErr w:type="gramEnd"/>
      <w:r w:rsidRPr="00F154CC">
        <w:rPr>
          <w:rFonts w:ascii="Times New Roman" w:hAnsi="Times New Roman"/>
        </w:rPr>
        <w:t xml:space="preserve"> the nature of the industry, conducting distinct extensions for different industries within the realm of online learning or education.</w:t>
      </w:r>
    </w:p>
    <w:p w14:paraId="23F22B5D" w14:textId="77777777" w:rsidR="00BF2091" w:rsidRDefault="00BF2091">
      <w:pPr>
        <w:widowControl/>
        <w:rPr>
          <w:rFonts w:ascii="Times New Roman" w:hAnsi="Times New Roman"/>
          <w:b/>
          <w:sz w:val="28"/>
        </w:rPr>
      </w:pPr>
      <w:r>
        <w:rPr>
          <w:rFonts w:ascii="Times New Roman" w:hAnsi="Times New Roman"/>
          <w:b/>
          <w:sz w:val="28"/>
        </w:rPr>
        <w:br w:type="page"/>
      </w:r>
    </w:p>
    <w:p w14:paraId="7DF91CFE" w14:textId="576A4BFE" w:rsidR="00436231" w:rsidRPr="00436231" w:rsidRDefault="00436231" w:rsidP="00436231">
      <w:pPr>
        <w:jc w:val="both"/>
        <w:rPr>
          <w:rFonts w:ascii="Times New Roman" w:hAnsi="Times New Roman"/>
          <w:b/>
          <w:sz w:val="28"/>
        </w:rPr>
      </w:pPr>
      <w:bookmarkStart w:id="0" w:name="_GoBack"/>
      <w:bookmarkEnd w:id="0"/>
      <w:r w:rsidRPr="00436231">
        <w:rPr>
          <w:rFonts w:ascii="Times New Roman" w:hAnsi="Times New Roman"/>
          <w:b/>
          <w:sz w:val="28"/>
        </w:rPr>
        <w:lastRenderedPageBreak/>
        <w:t>ACKNOWLEDGEMENTS</w:t>
      </w:r>
    </w:p>
    <w:p w14:paraId="58DA2B17" w14:textId="77777777" w:rsidR="00436231" w:rsidRPr="00436231" w:rsidRDefault="00436231" w:rsidP="00436231">
      <w:pPr>
        <w:jc w:val="both"/>
        <w:rPr>
          <w:rFonts w:ascii="Times New Roman" w:hAnsi="Times New Roman"/>
        </w:rPr>
      </w:pPr>
      <w:r w:rsidRPr="00436231">
        <w:rPr>
          <w:rFonts w:ascii="Times New Roman" w:hAnsi="Times New Roman"/>
        </w:rPr>
        <w:t>The authors report there are no competing interests to declare.</w:t>
      </w:r>
    </w:p>
    <w:p w14:paraId="4C161C45" w14:textId="6A402BD1" w:rsidR="00436231" w:rsidRDefault="00436231" w:rsidP="00436231">
      <w:pPr>
        <w:jc w:val="both"/>
        <w:rPr>
          <w:rFonts w:ascii="Times New Roman" w:hAnsi="Times New Roman"/>
        </w:rPr>
      </w:pPr>
      <w:r w:rsidRPr="00436231">
        <w:rPr>
          <w:rFonts w:ascii="Times New Roman" w:hAnsi="Times New Roman"/>
        </w:rPr>
        <w:t>This research received no specific grant from any funding agency in the public,</w:t>
      </w:r>
      <w:r w:rsidR="00704A5C">
        <w:rPr>
          <w:rFonts w:ascii="Times New Roman" w:hAnsi="Times New Roman" w:hint="eastAsia"/>
        </w:rPr>
        <w:t xml:space="preserve"> </w:t>
      </w:r>
      <w:r w:rsidRPr="00436231">
        <w:rPr>
          <w:rFonts w:ascii="Times New Roman" w:hAnsi="Times New Roman"/>
        </w:rPr>
        <w:t>commercial, or not-for-profit sectors</w:t>
      </w:r>
    </w:p>
    <w:p w14:paraId="6A61CEFD" w14:textId="574CFF61" w:rsidR="00436231" w:rsidRPr="00436231" w:rsidRDefault="00436231" w:rsidP="00436231">
      <w:pPr>
        <w:jc w:val="both"/>
        <w:rPr>
          <w:rFonts w:ascii="Times New Roman" w:hAnsi="Times New Roman"/>
          <w:b/>
          <w:sz w:val="28"/>
        </w:rPr>
      </w:pPr>
      <w:r w:rsidRPr="00436231">
        <w:rPr>
          <w:rFonts w:ascii="Times New Roman" w:hAnsi="Times New Roman"/>
          <w:b/>
          <w:sz w:val="28"/>
        </w:rPr>
        <w:t>References</w:t>
      </w:r>
    </w:p>
    <w:p w14:paraId="50269552" w14:textId="3B50D658" w:rsidR="006F128F" w:rsidRDefault="006F128F" w:rsidP="00FC13AE">
      <w:pPr>
        <w:pStyle w:val="a6"/>
        <w:numPr>
          <w:ilvl w:val="0"/>
          <w:numId w:val="22"/>
        </w:numPr>
        <w:autoSpaceDE w:val="0"/>
        <w:autoSpaceDN w:val="0"/>
        <w:ind w:leftChars="0" w:left="616"/>
        <w:jc w:val="both"/>
        <w:rPr>
          <w:rFonts w:ascii="Times New Roman" w:hAnsi="Times New Roman" w:cs="Times New Roman"/>
          <w:kern w:val="0"/>
          <w:szCs w:val="24"/>
        </w:rPr>
      </w:pPr>
      <w:bookmarkStart w:id="1" w:name="_Hlk150903798"/>
      <w:r w:rsidRPr="006F128F">
        <w:rPr>
          <w:rFonts w:ascii="Times New Roman" w:hAnsi="Times New Roman" w:cs="Times New Roman"/>
          <w:kern w:val="0"/>
          <w:szCs w:val="24"/>
        </w:rPr>
        <w:t>Al-</w:t>
      </w:r>
      <w:proofErr w:type="spellStart"/>
      <w:r w:rsidRPr="006F128F">
        <w:rPr>
          <w:rFonts w:ascii="Times New Roman" w:hAnsi="Times New Roman" w:cs="Times New Roman"/>
          <w:kern w:val="0"/>
          <w:szCs w:val="24"/>
        </w:rPr>
        <w:t>Adwan</w:t>
      </w:r>
      <w:proofErr w:type="spellEnd"/>
      <w:r w:rsidRPr="006F128F">
        <w:rPr>
          <w:rFonts w:ascii="Times New Roman" w:hAnsi="Times New Roman" w:cs="Times New Roman"/>
          <w:kern w:val="0"/>
          <w:szCs w:val="24"/>
        </w:rPr>
        <w:t xml:space="preserve"> A. S., Al-</w:t>
      </w:r>
      <w:proofErr w:type="spellStart"/>
      <w:r w:rsidRPr="006F128F">
        <w:rPr>
          <w:rFonts w:ascii="Times New Roman" w:hAnsi="Times New Roman" w:cs="Times New Roman"/>
          <w:kern w:val="0"/>
          <w:szCs w:val="24"/>
        </w:rPr>
        <w:t>Adwan</w:t>
      </w:r>
      <w:proofErr w:type="spellEnd"/>
      <w:r w:rsidRPr="006F128F">
        <w:rPr>
          <w:rFonts w:ascii="Times New Roman" w:hAnsi="Times New Roman" w:cs="Times New Roman"/>
          <w:kern w:val="0"/>
          <w:szCs w:val="24"/>
        </w:rPr>
        <w:t xml:space="preserve"> A. </w:t>
      </w:r>
      <w:r>
        <w:rPr>
          <w:rFonts w:ascii="Times New Roman" w:hAnsi="Times New Roman" w:cs="Times New Roman"/>
          <w:kern w:val="0"/>
          <w:szCs w:val="24"/>
        </w:rPr>
        <w:t>and</w:t>
      </w:r>
      <w:r w:rsidRPr="006F128F">
        <w:rPr>
          <w:rFonts w:ascii="Times New Roman" w:hAnsi="Times New Roman" w:cs="Times New Roman"/>
          <w:kern w:val="0"/>
          <w:szCs w:val="24"/>
        </w:rPr>
        <w:t xml:space="preserve"> Berger H. (2018). Solving the mystery of mobile learning adoption in higher education. International Journal of Mobile Communications, 16(1), </w:t>
      </w:r>
      <w:r>
        <w:rPr>
          <w:rFonts w:ascii="Times New Roman" w:hAnsi="Times New Roman" w:cs="Times New Roman"/>
          <w:kern w:val="0"/>
          <w:szCs w:val="24"/>
        </w:rPr>
        <w:t xml:space="preserve">pp. </w:t>
      </w:r>
      <w:r w:rsidRPr="006F128F">
        <w:rPr>
          <w:rFonts w:ascii="Times New Roman" w:hAnsi="Times New Roman" w:cs="Times New Roman"/>
          <w:kern w:val="0"/>
          <w:szCs w:val="24"/>
        </w:rPr>
        <w:t>24</w:t>
      </w:r>
      <w:r>
        <w:rPr>
          <w:rFonts w:ascii="Times New Roman" w:hAnsi="Times New Roman" w:cs="Times New Roman"/>
          <w:kern w:val="0"/>
          <w:szCs w:val="24"/>
        </w:rPr>
        <w:t>-</w:t>
      </w:r>
      <w:r w:rsidRPr="006F128F">
        <w:rPr>
          <w:rFonts w:ascii="Times New Roman" w:hAnsi="Times New Roman" w:cs="Times New Roman"/>
          <w:kern w:val="0"/>
          <w:szCs w:val="24"/>
        </w:rPr>
        <w:t>49.</w:t>
      </w:r>
    </w:p>
    <w:p w14:paraId="56798ECD" w14:textId="39CAFCCB" w:rsidR="0044401C" w:rsidRDefault="0044401C" w:rsidP="00FC13AE">
      <w:pPr>
        <w:pStyle w:val="a6"/>
        <w:numPr>
          <w:ilvl w:val="0"/>
          <w:numId w:val="22"/>
        </w:numPr>
        <w:autoSpaceDE w:val="0"/>
        <w:autoSpaceDN w:val="0"/>
        <w:ind w:leftChars="0" w:left="616"/>
        <w:jc w:val="both"/>
        <w:rPr>
          <w:rFonts w:ascii="Times New Roman" w:hAnsi="Times New Roman" w:cs="Times New Roman"/>
          <w:kern w:val="0"/>
          <w:szCs w:val="24"/>
        </w:rPr>
      </w:pPr>
      <w:r w:rsidRPr="0044401C">
        <w:rPr>
          <w:rFonts w:ascii="Times New Roman" w:hAnsi="Times New Roman" w:cs="Times New Roman"/>
          <w:kern w:val="0"/>
          <w:szCs w:val="24"/>
        </w:rPr>
        <w:t>Al-</w:t>
      </w:r>
      <w:proofErr w:type="spellStart"/>
      <w:r w:rsidRPr="0044401C">
        <w:rPr>
          <w:rFonts w:ascii="Times New Roman" w:hAnsi="Times New Roman" w:cs="Times New Roman"/>
          <w:kern w:val="0"/>
          <w:szCs w:val="24"/>
        </w:rPr>
        <w:t>Azawei</w:t>
      </w:r>
      <w:proofErr w:type="spellEnd"/>
      <w:r w:rsidRPr="0044401C">
        <w:rPr>
          <w:rFonts w:ascii="Times New Roman" w:hAnsi="Times New Roman" w:cs="Times New Roman"/>
          <w:kern w:val="0"/>
          <w:szCs w:val="24"/>
        </w:rPr>
        <w:t xml:space="preserve"> A.</w:t>
      </w:r>
      <w:r w:rsidR="00235A7E">
        <w:rPr>
          <w:rFonts w:ascii="Times New Roman" w:hAnsi="Times New Roman" w:cs="Times New Roman"/>
          <w:kern w:val="0"/>
          <w:szCs w:val="24"/>
        </w:rPr>
        <w:t xml:space="preserve"> and</w:t>
      </w:r>
      <w:r w:rsidRPr="0044401C">
        <w:rPr>
          <w:rFonts w:ascii="Times New Roman" w:hAnsi="Times New Roman" w:cs="Times New Roman"/>
          <w:kern w:val="0"/>
          <w:szCs w:val="24"/>
        </w:rPr>
        <w:t xml:space="preserve"> </w:t>
      </w:r>
      <w:proofErr w:type="spellStart"/>
      <w:r w:rsidRPr="0044401C">
        <w:rPr>
          <w:rFonts w:ascii="Times New Roman" w:hAnsi="Times New Roman" w:cs="Times New Roman"/>
          <w:kern w:val="0"/>
          <w:szCs w:val="24"/>
        </w:rPr>
        <w:t>Alowayr</w:t>
      </w:r>
      <w:proofErr w:type="spellEnd"/>
      <w:r w:rsidRPr="0044401C">
        <w:rPr>
          <w:rFonts w:ascii="Times New Roman" w:hAnsi="Times New Roman" w:cs="Times New Roman"/>
          <w:kern w:val="0"/>
          <w:szCs w:val="24"/>
        </w:rPr>
        <w:t xml:space="preserve"> A. (2020). Predicting the intention to use and hedonic motivation for mobile learning: A comparative study in two Middle Eastern countries. Technology in Society, 62, 101325.</w:t>
      </w:r>
      <w:r>
        <w:rPr>
          <w:rFonts w:ascii="Times New Roman" w:hAnsi="Times New Roman" w:cs="Times New Roman"/>
          <w:kern w:val="0"/>
          <w:szCs w:val="24"/>
        </w:rPr>
        <w:t xml:space="preserve"> </w:t>
      </w:r>
      <w:r w:rsidRPr="0044401C">
        <w:t xml:space="preserve"> </w:t>
      </w:r>
      <w:r w:rsidRPr="0044401C">
        <w:rPr>
          <w:rFonts w:ascii="Times New Roman" w:hAnsi="Times New Roman" w:cs="Times New Roman"/>
          <w:kern w:val="0"/>
          <w:szCs w:val="24"/>
        </w:rPr>
        <w:t>https://doi.org/10.1016/j.techsoc.2020.101325</w:t>
      </w:r>
      <w:bookmarkEnd w:id="1"/>
    </w:p>
    <w:p w14:paraId="27DB8EA1" w14:textId="27E67BC2" w:rsidR="00FC13AE" w:rsidRDefault="00FC13AE" w:rsidP="00FC13AE">
      <w:pPr>
        <w:pStyle w:val="a6"/>
        <w:numPr>
          <w:ilvl w:val="0"/>
          <w:numId w:val="22"/>
        </w:numPr>
        <w:autoSpaceDE w:val="0"/>
        <w:autoSpaceDN w:val="0"/>
        <w:ind w:leftChars="0" w:left="616"/>
        <w:jc w:val="both"/>
        <w:rPr>
          <w:rFonts w:ascii="Times New Roman" w:hAnsi="Times New Roman" w:cs="Times New Roman"/>
          <w:kern w:val="0"/>
          <w:szCs w:val="24"/>
        </w:rPr>
      </w:pPr>
      <w:r w:rsidRPr="00FC13AE">
        <w:rPr>
          <w:rFonts w:ascii="Times New Roman" w:hAnsi="Times New Roman" w:cs="Times New Roman"/>
          <w:kern w:val="0"/>
          <w:szCs w:val="24"/>
        </w:rPr>
        <w:t xml:space="preserve">Ally, M. </w:t>
      </w:r>
      <w:r>
        <w:rPr>
          <w:rFonts w:ascii="Times New Roman" w:hAnsi="Times New Roman" w:cs="Times New Roman"/>
          <w:kern w:val="0"/>
          <w:szCs w:val="24"/>
        </w:rPr>
        <w:t>and</w:t>
      </w:r>
      <w:r w:rsidRPr="00FC13AE">
        <w:rPr>
          <w:rFonts w:ascii="Times New Roman" w:hAnsi="Times New Roman" w:cs="Times New Roman"/>
          <w:kern w:val="0"/>
          <w:szCs w:val="24"/>
        </w:rPr>
        <w:t xml:space="preserve"> Prieto-</w:t>
      </w:r>
      <w:proofErr w:type="spellStart"/>
      <w:r w:rsidRPr="00FC13AE">
        <w:rPr>
          <w:rFonts w:ascii="Times New Roman" w:hAnsi="Times New Roman" w:cs="Times New Roman"/>
          <w:kern w:val="0"/>
          <w:szCs w:val="24"/>
        </w:rPr>
        <w:t>Blázquez</w:t>
      </w:r>
      <w:proofErr w:type="spellEnd"/>
      <w:r w:rsidRPr="00FC13AE">
        <w:rPr>
          <w:rFonts w:ascii="Times New Roman" w:hAnsi="Times New Roman" w:cs="Times New Roman"/>
          <w:kern w:val="0"/>
          <w:szCs w:val="24"/>
        </w:rPr>
        <w:t>, J. (2014). What is the future of mobile learning in education? International Journal of Educational Technology in Higher Education</w:t>
      </w:r>
      <w:r>
        <w:rPr>
          <w:rFonts w:ascii="Times New Roman" w:hAnsi="Times New Roman" w:cs="Times New Roman"/>
          <w:kern w:val="0"/>
          <w:szCs w:val="24"/>
        </w:rPr>
        <w:t>,</w:t>
      </w:r>
      <w:r w:rsidRPr="00FC13AE">
        <w:rPr>
          <w:rFonts w:ascii="Times New Roman" w:hAnsi="Times New Roman" w:cs="Times New Roman"/>
          <w:kern w:val="0"/>
          <w:szCs w:val="24"/>
        </w:rPr>
        <w:t xml:space="preserve"> 11, </w:t>
      </w:r>
      <w:r>
        <w:rPr>
          <w:rFonts w:ascii="Times New Roman" w:hAnsi="Times New Roman" w:cs="Times New Roman"/>
          <w:kern w:val="0"/>
          <w:szCs w:val="24"/>
        </w:rPr>
        <w:t xml:space="preserve">pp. </w:t>
      </w:r>
      <w:r w:rsidRPr="00FC13AE">
        <w:rPr>
          <w:rFonts w:ascii="Times New Roman" w:hAnsi="Times New Roman" w:cs="Times New Roman"/>
          <w:kern w:val="0"/>
          <w:szCs w:val="24"/>
        </w:rPr>
        <w:t>142-151.</w:t>
      </w:r>
    </w:p>
    <w:p w14:paraId="6E651C3F" w14:textId="283F84EF" w:rsidR="00D10B66" w:rsidRDefault="00D10B66" w:rsidP="00526F42">
      <w:pPr>
        <w:pStyle w:val="a6"/>
        <w:numPr>
          <w:ilvl w:val="0"/>
          <w:numId w:val="22"/>
        </w:numPr>
        <w:autoSpaceDE w:val="0"/>
        <w:autoSpaceDN w:val="0"/>
        <w:ind w:leftChars="0" w:left="616"/>
        <w:jc w:val="both"/>
        <w:rPr>
          <w:rFonts w:ascii="Times New Roman" w:hAnsi="Times New Roman" w:cs="Times New Roman"/>
          <w:kern w:val="0"/>
          <w:szCs w:val="24"/>
        </w:rPr>
      </w:pPr>
      <w:r w:rsidRPr="00D10B66">
        <w:rPr>
          <w:rFonts w:ascii="Times New Roman" w:hAnsi="Times New Roman" w:cs="Times New Roman"/>
          <w:kern w:val="0"/>
          <w:szCs w:val="24"/>
        </w:rPr>
        <w:t>American Society for Training and Development (ASTD) 2001 International Conference and Exposition</w:t>
      </w:r>
      <w:r>
        <w:rPr>
          <w:rFonts w:ascii="Times New Roman" w:hAnsi="Times New Roman" w:cs="Times New Roman"/>
          <w:kern w:val="0"/>
          <w:szCs w:val="24"/>
        </w:rPr>
        <w:t>.</w:t>
      </w:r>
      <w:r w:rsidR="00FB0BBD">
        <w:rPr>
          <w:rFonts w:ascii="Times New Roman" w:hAnsi="Times New Roman" w:cs="Times New Roman"/>
          <w:kern w:val="0"/>
          <w:szCs w:val="24"/>
        </w:rPr>
        <w:t xml:space="preserve"> </w:t>
      </w:r>
      <w:r w:rsidR="00FB0BBD" w:rsidRPr="00D10B66">
        <w:rPr>
          <w:rFonts w:ascii="Times New Roman" w:hAnsi="Times New Roman" w:cs="Times New Roman"/>
          <w:kern w:val="0"/>
          <w:szCs w:val="24"/>
        </w:rPr>
        <w:t>(2000)</w:t>
      </w:r>
      <w:r w:rsidR="00FB0BBD">
        <w:rPr>
          <w:rFonts w:ascii="Times New Roman" w:hAnsi="Times New Roman" w:cs="Times New Roman"/>
          <w:kern w:val="0"/>
          <w:szCs w:val="24"/>
        </w:rPr>
        <w:t>.</w:t>
      </w:r>
      <w:r w:rsidRPr="00D10B66">
        <w:rPr>
          <w:rFonts w:ascii="Times New Roman" w:hAnsi="Times New Roman" w:cs="Times New Roman"/>
          <w:kern w:val="0"/>
          <w:szCs w:val="24"/>
        </w:rPr>
        <w:t xml:space="preserve"> Journal of European Industrial Training, 24</w:t>
      </w:r>
      <w:r>
        <w:rPr>
          <w:rFonts w:ascii="Times New Roman" w:hAnsi="Times New Roman" w:cs="Times New Roman"/>
          <w:kern w:val="0"/>
          <w:szCs w:val="24"/>
        </w:rPr>
        <w:t>(</w:t>
      </w:r>
      <w:r w:rsidRPr="00D10B66">
        <w:rPr>
          <w:rFonts w:ascii="Times New Roman" w:hAnsi="Times New Roman" w:cs="Times New Roman"/>
          <w:kern w:val="0"/>
          <w:szCs w:val="24"/>
        </w:rPr>
        <w:t>7</w:t>
      </w:r>
      <w:r>
        <w:rPr>
          <w:rFonts w:ascii="Times New Roman" w:hAnsi="Times New Roman" w:cs="Times New Roman"/>
          <w:kern w:val="0"/>
          <w:szCs w:val="24"/>
        </w:rPr>
        <w:t>)</w:t>
      </w:r>
      <w:r w:rsidRPr="00D10B66">
        <w:rPr>
          <w:rFonts w:ascii="Times New Roman" w:hAnsi="Times New Roman" w:cs="Times New Roman"/>
          <w:kern w:val="0"/>
          <w:szCs w:val="24"/>
        </w:rPr>
        <w:t>.</w:t>
      </w:r>
      <w:r w:rsidR="00FB0BBD">
        <w:rPr>
          <w:rFonts w:ascii="Times New Roman" w:hAnsi="Times New Roman" w:cs="Times New Roman"/>
          <w:kern w:val="0"/>
          <w:szCs w:val="24"/>
        </w:rPr>
        <w:t xml:space="preserve"> </w:t>
      </w:r>
      <w:r w:rsidR="00FB0BBD" w:rsidRPr="00FB0BBD">
        <w:rPr>
          <w:rFonts w:ascii="Times New Roman" w:hAnsi="Times New Roman" w:cs="Times New Roman"/>
          <w:kern w:val="0"/>
          <w:szCs w:val="24"/>
        </w:rPr>
        <w:t>https://doi.org/10.1108/jeit.2000.00324gac.001</w:t>
      </w:r>
    </w:p>
    <w:p w14:paraId="146D1251" w14:textId="66110334" w:rsidR="00FB0BBD" w:rsidRDefault="00FB0BBD" w:rsidP="00526F4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FB0BBD">
        <w:rPr>
          <w:rFonts w:ascii="Times New Roman" w:hAnsi="Times New Roman" w:cs="Times New Roman"/>
          <w:kern w:val="0"/>
          <w:szCs w:val="24"/>
        </w:rPr>
        <w:t>Carbery</w:t>
      </w:r>
      <w:proofErr w:type="spellEnd"/>
      <w:r w:rsidRPr="00FB0BBD">
        <w:rPr>
          <w:rFonts w:ascii="Times New Roman" w:hAnsi="Times New Roman" w:cs="Times New Roman"/>
          <w:kern w:val="0"/>
          <w:szCs w:val="24"/>
        </w:rPr>
        <w:t xml:space="preserve">, R. and </w:t>
      </w:r>
      <w:proofErr w:type="spellStart"/>
      <w:r w:rsidRPr="00FB0BBD">
        <w:rPr>
          <w:rFonts w:ascii="Times New Roman" w:hAnsi="Times New Roman" w:cs="Times New Roman"/>
          <w:kern w:val="0"/>
          <w:szCs w:val="24"/>
        </w:rPr>
        <w:t>Garavan</w:t>
      </w:r>
      <w:proofErr w:type="spellEnd"/>
      <w:r w:rsidRPr="00FB0BBD">
        <w:rPr>
          <w:rFonts w:ascii="Times New Roman" w:hAnsi="Times New Roman" w:cs="Times New Roman"/>
          <w:kern w:val="0"/>
          <w:szCs w:val="24"/>
        </w:rPr>
        <w:t>, T. N. (2007). Conceptualizing the participation of managers in career-focused learning and development: A framework. Human Resource Development Review, 6, pp. 394-418.</w:t>
      </w:r>
    </w:p>
    <w:p w14:paraId="7C9A3818" w14:textId="53490808" w:rsidR="006F128F" w:rsidRDefault="006F128F" w:rsidP="00FB4697">
      <w:pPr>
        <w:pStyle w:val="a6"/>
        <w:numPr>
          <w:ilvl w:val="0"/>
          <w:numId w:val="22"/>
        </w:numPr>
        <w:autoSpaceDE w:val="0"/>
        <w:autoSpaceDN w:val="0"/>
        <w:ind w:leftChars="0" w:left="616"/>
        <w:jc w:val="both"/>
        <w:rPr>
          <w:rFonts w:ascii="Times New Roman" w:hAnsi="Times New Roman" w:cs="Times New Roman"/>
          <w:kern w:val="0"/>
          <w:szCs w:val="24"/>
        </w:rPr>
      </w:pPr>
      <w:r w:rsidRPr="006F128F">
        <w:rPr>
          <w:rFonts w:ascii="Times New Roman" w:hAnsi="Times New Roman" w:cs="Times New Roman"/>
          <w:kern w:val="0"/>
          <w:szCs w:val="24"/>
        </w:rPr>
        <w:t>Chao C. M. (2019). Factors determining the behavioral intention to use mobile learning: An application and extension of the UTAUT model. Frontiers in Psychology, 10, 1652.</w:t>
      </w:r>
      <w:r>
        <w:rPr>
          <w:rFonts w:ascii="Times New Roman" w:hAnsi="Times New Roman" w:cs="Times New Roman" w:hint="eastAsia"/>
          <w:kern w:val="0"/>
          <w:szCs w:val="24"/>
        </w:rPr>
        <w:t xml:space="preserve"> </w:t>
      </w:r>
      <w:r w:rsidRPr="00526F42">
        <w:rPr>
          <w:rFonts w:ascii="Times New Roman" w:hAnsi="Times New Roman" w:cs="Times New Roman"/>
          <w:kern w:val="0"/>
          <w:szCs w:val="24"/>
        </w:rPr>
        <w:t>https://doi.org/</w:t>
      </w:r>
      <w:r w:rsidRPr="006F128F">
        <w:rPr>
          <w:rFonts w:ascii="Times New Roman" w:hAnsi="Times New Roman" w:cs="Times New Roman"/>
          <w:kern w:val="0"/>
          <w:szCs w:val="24"/>
        </w:rPr>
        <w:t>10.3389/fpsyg.2019.01652</w:t>
      </w:r>
    </w:p>
    <w:p w14:paraId="3E88D97F" w14:textId="260487EE" w:rsidR="00FB4697" w:rsidRDefault="00A00084" w:rsidP="00FB4697">
      <w:pPr>
        <w:pStyle w:val="a6"/>
        <w:numPr>
          <w:ilvl w:val="0"/>
          <w:numId w:val="22"/>
        </w:numPr>
        <w:autoSpaceDE w:val="0"/>
        <w:autoSpaceDN w:val="0"/>
        <w:ind w:leftChars="0" w:left="616"/>
        <w:jc w:val="both"/>
        <w:rPr>
          <w:rFonts w:ascii="Times New Roman" w:hAnsi="Times New Roman" w:cs="Times New Roman"/>
          <w:kern w:val="0"/>
          <w:szCs w:val="24"/>
        </w:rPr>
      </w:pPr>
      <w:r w:rsidRPr="00A00084">
        <w:rPr>
          <w:rFonts w:ascii="Times New Roman" w:hAnsi="Times New Roman" w:cs="Times New Roman"/>
          <w:kern w:val="0"/>
          <w:szCs w:val="24"/>
        </w:rPr>
        <w:t xml:space="preserve">Cheng, Y. M. (2013). Exploring the roles of interaction and flow in explaining nurses’ e-learning acceptance. Nurse Education Today, 33(1), </w:t>
      </w:r>
      <w:r>
        <w:rPr>
          <w:rFonts w:ascii="Times New Roman" w:hAnsi="Times New Roman" w:cs="Times New Roman"/>
          <w:kern w:val="0"/>
          <w:szCs w:val="24"/>
        </w:rPr>
        <w:t xml:space="preserve">pp. </w:t>
      </w:r>
      <w:r w:rsidRPr="00A00084">
        <w:rPr>
          <w:rFonts w:ascii="Times New Roman" w:hAnsi="Times New Roman" w:cs="Times New Roman"/>
          <w:kern w:val="0"/>
          <w:szCs w:val="24"/>
        </w:rPr>
        <w:t>73</w:t>
      </w:r>
      <w:r w:rsidR="00DE1C22" w:rsidRPr="008C1C90">
        <w:rPr>
          <w:rFonts w:ascii="Times New Roman" w:hAnsi="Times New Roman" w:cs="Times New Roman"/>
          <w:kern w:val="0"/>
          <w:szCs w:val="24"/>
        </w:rPr>
        <w:t>-</w:t>
      </w:r>
      <w:r w:rsidRPr="00A00084">
        <w:rPr>
          <w:rFonts w:ascii="Times New Roman" w:hAnsi="Times New Roman" w:cs="Times New Roman"/>
          <w:kern w:val="0"/>
          <w:szCs w:val="24"/>
        </w:rPr>
        <w:t>80.</w:t>
      </w:r>
    </w:p>
    <w:p w14:paraId="16DF7A19" w14:textId="12031975" w:rsidR="00120843" w:rsidRDefault="00120843" w:rsidP="00FB4697">
      <w:pPr>
        <w:pStyle w:val="a6"/>
        <w:numPr>
          <w:ilvl w:val="0"/>
          <w:numId w:val="22"/>
        </w:numPr>
        <w:autoSpaceDE w:val="0"/>
        <w:autoSpaceDN w:val="0"/>
        <w:ind w:leftChars="0" w:left="616"/>
        <w:jc w:val="both"/>
        <w:rPr>
          <w:rFonts w:ascii="Times New Roman" w:hAnsi="Times New Roman" w:cs="Times New Roman"/>
          <w:kern w:val="0"/>
          <w:szCs w:val="24"/>
        </w:rPr>
      </w:pPr>
      <w:r w:rsidRPr="00120843">
        <w:rPr>
          <w:rFonts w:ascii="Times New Roman" w:hAnsi="Times New Roman" w:cs="Times New Roman"/>
          <w:kern w:val="0"/>
          <w:szCs w:val="24"/>
        </w:rPr>
        <w:t>Chung, S., Zhan, Y., Noe, R. A.</w:t>
      </w:r>
      <w:r>
        <w:rPr>
          <w:rFonts w:ascii="Times New Roman" w:hAnsi="Times New Roman" w:cs="Times New Roman" w:hint="eastAsia"/>
          <w:kern w:val="0"/>
          <w:szCs w:val="24"/>
        </w:rPr>
        <w:t xml:space="preserve"> a</w:t>
      </w:r>
      <w:r>
        <w:rPr>
          <w:rFonts w:ascii="Times New Roman" w:hAnsi="Times New Roman" w:cs="Times New Roman"/>
          <w:kern w:val="0"/>
          <w:szCs w:val="24"/>
        </w:rPr>
        <w:t>nd</w:t>
      </w:r>
      <w:r w:rsidRPr="00120843">
        <w:rPr>
          <w:rFonts w:ascii="Times New Roman" w:hAnsi="Times New Roman" w:cs="Times New Roman"/>
          <w:kern w:val="0"/>
          <w:szCs w:val="24"/>
        </w:rPr>
        <w:t xml:space="preserve"> Jiang, K. (2022). Is it time to update and expand training motivation theory? A meta-analytic review of training motivation research in the 21st century. Journal of Applied Psychology, 107(7), </w:t>
      </w:r>
      <w:r>
        <w:rPr>
          <w:rFonts w:ascii="Times New Roman" w:hAnsi="Times New Roman" w:cs="Times New Roman"/>
          <w:kern w:val="0"/>
          <w:szCs w:val="24"/>
        </w:rPr>
        <w:t xml:space="preserve">pp. </w:t>
      </w:r>
      <w:r w:rsidRPr="00120843">
        <w:rPr>
          <w:rFonts w:ascii="Times New Roman" w:hAnsi="Times New Roman" w:cs="Times New Roman"/>
          <w:kern w:val="0"/>
          <w:szCs w:val="24"/>
        </w:rPr>
        <w:t>1150–1179.</w:t>
      </w:r>
    </w:p>
    <w:p w14:paraId="73D4FF00" w14:textId="0EB021EA" w:rsidR="00F90262" w:rsidRPr="00FB4697" w:rsidRDefault="00F90262" w:rsidP="00FB4697">
      <w:pPr>
        <w:pStyle w:val="a6"/>
        <w:numPr>
          <w:ilvl w:val="0"/>
          <w:numId w:val="22"/>
        </w:numPr>
        <w:autoSpaceDE w:val="0"/>
        <w:autoSpaceDN w:val="0"/>
        <w:ind w:leftChars="0" w:left="616"/>
        <w:jc w:val="both"/>
        <w:rPr>
          <w:rFonts w:ascii="Times New Roman" w:hAnsi="Times New Roman" w:cs="Times New Roman"/>
          <w:kern w:val="0"/>
          <w:szCs w:val="24"/>
        </w:rPr>
      </w:pPr>
      <w:bookmarkStart w:id="2" w:name="_Hlk150903833"/>
      <w:proofErr w:type="spellStart"/>
      <w:r w:rsidRPr="00FB4697">
        <w:rPr>
          <w:rFonts w:ascii="Times New Roman" w:hAnsi="Times New Roman" w:cs="Times New Roman"/>
          <w:kern w:val="0"/>
          <w:szCs w:val="24"/>
        </w:rPr>
        <w:t>Darab</w:t>
      </w:r>
      <w:proofErr w:type="spellEnd"/>
      <w:r w:rsidRPr="00FB4697">
        <w:rPr>
          <w:rFonts w:ascii="Times New Roman" w:hAnsi="Times New Roman" w:cs="Times New Roman"/>
          <w:kern w:val="0"/>
          <w:szCs w:val="24"/>
        </w:rPr>
        <w:t xml:space="preserve">, B. </w:t>
      </w:r>
      <w:r w:rsidR="00FB4697">
        <w:rPr>
          <w:rFonts w:ascii="Times New Roman" w:hAnsi="Times New Roman" w:cs="Times New Roman"/>
          <w:kern w:val="0"/>
          <w:szCs w:val="24"/>
        </w:rPr>
        <w:t>and</w:t>
      </w:r>
      <w:r w:rsidRPr="00FB4697">
        <w:rPr>
          <w:rFonts w:ascii="Times New Roman" w:hAnsi="Times New Roman" w:cs="Times New Roman"/>
          <w:kern w:val="0"/>
          <w:szCs w:val="24"/>
        </w:rPr>
        <w:t xml:space="preserve"> </w:t>
      </w:r>
      <w:proofErr w:type="spellStart"/>
      <w:r w:rsidRPr="00FB4697">
        <w:rPr>
          <w:rFonts w:ascii="Times New Roman" w:hAnsi="Times New Roman" w:cs="Times New Roman"/>
          <w:kern w:val="0"/>
          <w:szCs w:val="24"/>
        </w:rPr>
        <w:t>Montazer</w:t>
      </w:r>
      <w:proofErr w:type="spellEnd"/>
      <w:r w:rsidRPr="00FB4697">
        <w:rPr>
          <w:rFonts w:ascii="Times New Roman" w:hAnsi="Times New Roman" w:cs="Times New Roman"/>
          <w:kern w:val="0"/>
          <w:szCs w:val="24"/>
        </w:rPr>
        <w:t>, G. A. (2011). An eclectic model for assessing e-learning readiness</w:t>
      </w:r>
      <w:r w:rsidR="00FB4697" w:rsidRPr="00FB4697">
        <w:rPr>
          <w:rFonts w:ascii="Times New Roman" w:hAnsi="Times New Roman" w:cs="Times New Roman"/>
          <w:kern w:val="0"/>
          <w:szCs w:val="24"/>
        </w:rPr>
        <w:t xml:space="preserve"> </w:t>
      </w:r>
      <w:r w:rsidRPr="00FB4697">
        <w:rPr>
          <w:rFonts w:ascii="Times New Roman" w:hAnsi="Times New Roman" w:cs="Times New Roman"/>
          <w:kern w:val="0"/>
          <w:szCs w:val="24"/>
        </w:rPr>
        <w:t xml:space="preserve">in the Iranian universities. Computers &amp; Education, 56(3), </w:t>
      </w:r>
      <w:r w:rsidR="00FB4697" w:rsidRPr="00FB4697">
        <w:rPr>
          <w:rFonts w:ascii="Times New Roman" w:hAnsi="Times New Roman" w:cs="Times New Roman"/>
          <w:kern w:val="0"/>
          <w:szCs w:val="24"/>
        </w:rPr>
        <w:t xml:space="preserve">pp. </w:t>
      </w:r>
      <w:r w:rsidRPr="00FB4697">
        <w:rPr>
          <w:rFonts w:ascii="Times New Roman" w:hAnsi="Times New Roman" w:cs="Times New Roman"/>
          <w:kern w:val="0"/>
          <w:szCs w:val="24"/>
        </w:rPr>
        <w:t>900-910.</w:t>
      </w:r>
    </w:p>
    <w:p w14:paraId="0F6DA794" w14:textId="77777777" w:rsidR="00F31648" w:rsidRDefault="008C1C90" w:rsidP="00F31648">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8C1C90">
        <w:rPr>
          <w:rFonts w:ascii="Times New Roman" w:hAnsi="Times New Roman" w:cs="Times New Roman"/>
          <w:kern w:val="0"/>
          <w:szCs w:val="24"/>
        </w:rPr>
        <w:t>Geray</w:t>
      </w:r>
      <w:proofErr w:type="spellEnd"/>
      <w:r w:rsidRPr="008C1C90">
        <w:rPr>
          <w:rFonts w:ascii="Times New Roman" w:hAnsi="Times New Roman" w:cs="Times New Roman"/>
          <w:kern w:val="0"/>
          <w:szCs w:val="24"/>
        </w:rPr>
        <w:t>, C. (2007). Distance Education in Turkey. International Journal of Educational Policies</w:t>
      </w:r>
      <w:r>
        <w:rPr>
          <w:rFonts w:ascii="Times New Roman" w:hAnsi="Times New Roman" w:cs="Times New Roman"/>
          <w:kern w:val="0"/>
          <w:szCs w:val="24"/>
        </w:rPr>
        <w:t>.</w:t>
      </w:r>
      <w:r w:rsidRPr="008C1C90">
        <w:rPr>
          <w:rFonts w:ascii="Times New Roman" w:hAnsi="Times New Roman" w:cs="Times New Roman"/>
          <w:kern w:val="0"/>
          <w:szCs w:val="24"/>
        </w:rPr>
        <w:t xml:space="preserve"> 1(1), pp. 33-62.</w:t>
      </w:r>
    </w:p>
    <w:p w14:paraId="60BBC5D0" w14:textId="31B19D5A" w:rsidR="002A44AA" w:rsidRDefault="002A44AA" w:rsidP="00F31648">
      <w:pPr>
        <w:pStyle w:val="a6"/>
        <w:numPr>
          <w:ilvl w:val="0"/>
          <w:numId w:val="22"/>
        </w:numPr>
        <w:autoSpaceDE w:val="0"/>
        <w:autoSpaceDN w:val="0"/>
        <w:ind w:leftChars="0" w:left="616"/>
        <w:jc w:val="both"/>
        <w:rPr>
          <w:rFonts w:ascii="Times New Roman" w:hAnsi="Times New Roman" w:cs="Times New Roman"/>
          <w:kern w:val="0"/>
          <w:szCs w:val="24"/>
        </w:rPr>
      </w:pPr>
      <w:r w:rsidRPr="002A44AA">
        <w:rPr>
          <w:rFonts w:ascii="Times New Roman" w:hAnsi="Times New Roman" w:cs="Times New Roman"/>
          <w:kern w:val="0"/>
          <w:szCs w:val="24"/>
        </w:rPr>
        <w:t>Gupta, S., Mathur, N</w:t>
      </w:r>
      <w:r w:rsidR="00235A7E">
        <w:rPr>
          <w:rFonts w:ascii="Times New Roman" w:hAnsi="Times New Roman" w:cs="Times New Roman"/>
          <w:kern w:val="0"/>
          <w:szCs w:val="24"/>
        </w:rPr>
        <w:t>.</w:t>
      </w:r>
      <w:r w:rsidRPr="002A44AA">
        <w:rPr>
          <w:rFonts w:ascii="Times New Roman" w:hAnsi="Times New Roman" w:cs="Times New Roman"/>
          <w:kern w:val="0"/>
          <w:szCs w:val="24"/>
        </w:rPr>
        <w:t xml:space="preserve"> and Narang, D. (2022)</w:t>
      </w:r>
      <w:r>
        <w:rPr>
          <w:rFonts w:ascii="Times New Roman" w:hAnsi="Times New Roman" w:cs="Times New Roman"/>
          <w:kern w:val="0"/>
          <w:szCs w:val="24"/>
        </w:rPr>
        <w:t>.</w:t>
      </w:r>
      <w:r w:rsidRPr="002A44AA">
        <w:rPr>
          <w:rFonts w:ascii="Times New Roman" w:hAnsi="Times New Roman" w:cs="Times New Roman"/>
          <w:kern w:val="0"/>
          <w:szCs w:val="24"/>
        </w:rPr>
        <w:t xml:space="preserve"> E-leadership and virtual communication adoption by educators: an UTAUT3 model perspective</w:t>
      </w:r>
      <w:r>
        <w:rPr>
          <w:rFonts w:ascii="Times New Roman" w:hAnsi="Times New Roman" w:cs="Times New Roman"/>
          <w:kern w:val="0"/>
          <w:szCs w:val="24"/>
        </w:rPr>
        <w:t>.</w:t>
      </w:r>
      <w:r w:rsidRPr="002A44AA">
        <w:rPr>
          <w:rFonts w:ascii="Times New Roman" w:hAnsi="Times New Roman" w:cs="Times New Roman"/>
          <w:kern w:val="0"/>
          <w:szCs w:val="24"/>
        </w:rPr>
        <w:t xml:space="preserve"> Global Knowledge, Memory and Communication</w:t>
      </w:r>
      <w:r>
        <w:rPr>
          <w:rFonts w:ascii="Times New Roman" w:hAnsi="Times New Roman" w:cs="Times New Roman"/>
          <w:kern w:val="0"/>
          <w:szCs w:val="24"/>
        </w:rPr>
        <w:t xml:space="preserve"> </w:t>
      </w:r>
      <w:r w:rsidRPr="003C40F2">
        <w:rPr>
          <w:rFonts w:ascii="Times New Roman" w:hAnsi="Times New Roman" w:cs="Times New Roman"/>
          <w:kern w:val="0"/>
          <w:szCs w:val="24"/>
        </w:rPr>
        <w:t>(in press)</w:t>
      </w:r>
      <w:r w:rsidRPr="003D2B5C">
        <w:rPr>
          <w:rFonts w:ascii="Times New Roman" w:hAnsi="Times New Roman" w:cs="Times New Roman"/>
          <w:kern w:val="0"/>
          <w:szCs w:val="24"/>
        </w:rPr>
        <w:t>.</w:t>
      </w:r>
      <w:r>
        <w:rPr>
          <w:rFonts w:ascii="Times New Roman" w:hAnsi="Times New Roman" w:cs="Times New Roman"/>
          <w:kern w:val="0"/>
          <w:szCs w:val="24"/>
        </w:rPr>
        <w:t xml:space="preserve"> </w:t>
      </w:r>
      <w:r w:rsidRPr="002A44AA">
        <w:rPr>
          <w:rFonts w:ascii="Times New Roman" w:hAnsi="Times New Roman" w:cs="Times New Roman"/>
          <w:kern w:val="0"/>
          <w:szCs w:val="24"/>
        </w:rPr>
        <w:t>https://doi.org/10.1108/GKMC-01-2022-0001</w:t>
      </w:r>
    </w:p>
    <w:p w14:paraId="2E5F2D1D" w14:textId="7AAB2E55" w:rsidR="00F31648" w:rsidRDefault="00F31648" w:rsidP="00F31648">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F31648">
        <w:rPr>
          <w:rFonts w:ascii="Times New Roman" w:hAnsi="Times New Roman" w:cs="Times New Roman" w:hint="eastAsia"/>
          <w:kern w:val="0"/>
          <w:szCs w:val="24"/>
        </w:rPr>
        <w:t>Hidayati</w:t>
      </w:r>
      <w:proofErr w:type="spellEnd"/>
      <w:r w:rsidRPr="00F31648">
        <w:rPr>
          <w:rFonts w:ascii="Times New Roman" w:hAnsi="Times New Roman" w:cs="Times New Roman" w:hint="eastAsia"/>
          <w:kern w:val="0"/>
          <w:szCs w:val="24"/>
        </w:rPr>
        <w:t>, A.</w:t>
      </w:r>
      <w:r>
        <w:rPr>
          <w:rFonts w:ascii="Times New Roman" w:hAnsi="Times New Roman" w:cs="Times New Roman"/>
          <w:kern w:val="0"/>
          <w:szCs w:val="24"/>
        </w:rPr>
        <w:t xml:space="preserve"> N.</w:t>
      </w:r>
      <w:r w:rsidRPr="00F31648">
        <w:rPr>
          <w:rFonts w:ascii="Times New Roman" w:hAnsi="Times New Roman" w:cs="Times New Roman" w:hint="eastAsia"/>
          <w:kern w:val="0"/>
          <w:szCs w:val="24"/>
        </w:rPr>
        <w:t xml:space="preserve">, </w:t>
      </w:r>
      <w:proofErr w:type="spellStart"/>
      <w:r w:rsidRPr="00F31648">
        <w:rPr>
          <w:rFonts w:ascii="Times New Roman" w:hAnsi="Times New Roman" w:cs="Times New Roman" w:hint="eastAsia"/>
          <w:kern w:val="0"/>
          <w:szCs w:val="24"/>
        </w:rPr>
        <w:t>Ramalia</w:t>
      </w:r>
      <w:proofErr w:type="spellEnd"/>
      <w:r w:rsidRPr="00F31648">
        <w:rPr>
          <w:rFonts w:ascii="Times New Roman" w:hAnsi="Times New Roman" w:cs="Times New Roman" w:hint="eastAsia"/>
          <w:kern w:val="0"/>
          <w:szCs w:val="24"/>
        </w:rPr>
        <w:t>, T.</w:t>
      </w:r>
      <w:r>
        <w:rPr>
          <w:rFonts w:ascii="Times New Roman" w:hAnsi="Times New Roman" w:cs="Times New Roman"/>
          <w:kern w:val="0"/>
          <w:szCs w:val="24"/>
        </w:rPr>
        <w:t xml:space="preserve"> and</w:t>
      </w:r>
      <w:r w:rsidRPr="00F31648">
        <w:rPr>
          <w:rFonts w:ascii="Times New Roman" w:hAnsi="Times New Roman" w:cs="Times New Roman" w:hint="eastAsia"/>
          <w:kern w:val="0"/>
          <w:szCs w:val="24"/>
        </w:rPr>
        <w:t xml:space="preserve"> Abdullah, F. </w:t>
      </w:r>
      <w:r>
        <w:rPr>
          <w:rFonts w:ascii="Times New Roman" w:hAnsi="Times New Roman" w:cs="Times New Roman" w:hint="eastAsia"/>
          <w:kern w:val="0"/>
          <w:szCs w:val="24"/>
        </w:rPr>
        <w:t>(</w:t>
      </w:r>
      <w:r w:rsidRPr="00F31648">
        <w:rPr>
          <w:rFonts w:ascii="Times New Roman" w:hAnsi="Times New Roman" w:cs="Times New Roman" w:hint="eastAsia"/>
          <w:kern w:val="0"/>
          <w:szCs w:val="24"/>
        </w:rPr>
        <w:t>2021</w:t>
      </w:r>
      <w:r>
        <w:rPr>
          <w:rFonts w:ascii="Times New Roman" w:hAnsi="Times New Roman" w:cs="Times New Roman" w:hint="eastAsia"/>
          <w:kern w:val="0"/>
          <w:szCs w:val="24"/>
        </w:rPr>
        <w:t>)</w:t>
      </w:r>
      <w:r w:rsidRPr="00F31648">
        <w:rPr>
          <w:rFonts w:ascii="Times New Roman" w:hAnsi="Times New Roman" w:cs="Times New Roman" w:hint="eastAsia"/>
          <w:kern w:val="0"/>
          <w:szCs w:val="24"/>
        </w:rPr>
        <w:t>.</w:t>
      </w:r>
      <w:r w:rsidRPr="00F31648">
        <w:rPr>
          <w:rFonts w:ascii="Times New Roman" w:hAnsi="Times New Roman" w:cs="Times New Roman"/>
          <w:kern w:val="0"/>
          <w:szCs w:val="24"/>
        </w:rPr>
        <w:t xml:space="preserve"> Leveraging Skype</w:t>
      </w:r>
      <w:r>
        <w:rPr>
          <w:rFonts w:ascii="Times New Roman" w:hAnsi="Times New Roman" w:cs="Times New Roman"/>
          <w:kern w:val="0"/>
          <w:szCs w:val="24"/>
        </w:rPr>
        <w:t>-</w:t>
      </w:r>
      <w:r w:rsidRPr="00F31648">
        <w:rPr>
          <w:rFonts w:ascii="Times New Roman" w:hAnsi="Times New Roman" w:cs="Times New Roman"/>
          <w:kern w:val="0"/>
          <w:szCs w:val="24"/>
        </w:rPr>
        <w:t>based Webinars as an English Language Learning Platform. A</w:t>
      </w:r>
      <w:r>
        <w:rPr>
          <w:rFonts w:ascii="Times New Roman" w:hAnsi="Times New Roman" w:cs="Times New Roman"/>
          <w:kern w:val="0"/>
          <w:szCs w:val="24"/>
        </w:rPr>
        <w:t>l</w:t>
      </w:r>
      <w:r w:rsidRPr="00F31648">
        <w:rPr>
          <w:rFonts w:ascii="Times New Roman" w:hAnsi="Times New Roman" w:cs="Times New Roman"/>
          <w:kern w:val="0"/>
          <w:szCs w:val="24"/>
        </w:rPr>
        <w:t>–</w:t>
      </w:r>
      <w:proofErr w:type="spellStart"/>
      <w:r w:rsidRPr="00F31648">
        <w:rPr>
          <w:rFonts w:ascii="Times New Roman" w:hAnsi="Times New Roman" w:cs="Times New Roman"/>
          <w:kern w:val="0"/>
          <w:szCs w:val="24"/>
        </w:rPr>
        <w:t>I</w:t>
      </w:r>
      <w:r>
        <w:rPr>
          <w:rFonts w:ascii="Times New Roman" w:hAnsi="Times New Roman" w:cs="Times New Roman"/>
          <w:kern w:val="0"/>
          <w:szCs w:val="24"/>
        </w:rPr>
        <w:t>shlah</w:t>
      </w:r>
      <w:proofErr w:type="spellEnd"/>
      <w:r>
        <w:rPr>
          <w:rFonts w:ascii="Times New Roman" w:hAnsi="Times New Roman" w:cs="Times New Roman"/>
          <w:kern w:val="0"/>
          <w:szCs w:val="24"/>
        </w:rPr>
        <w:t xml:space="preserve">: </w:t>
      </w:r>
      <w:proofErr w:type="spellStart"/>
      <w:r w:rsidRPr="00F31648">
        <w:rPr>
          <w:rFonts w:ascii="Times New Roman" w:hAnsi="Times New Roman" w:cs="Times New Roman"/>
          <w:kern w:val="0"/>
          <w:szCs w:val="24"/>
        </w:rPr>
        <w:t>Jurnal</w:t>
      </w:r>
      <w:proofErr w:type="spellEnd"/>
      <w:r w:rsidRPr="00F31648">
        <w:rPr>
          <w:rFonts w:ascii="Times New Roman" w:hAnsi="Times New Roman" w:cs="Times New Roman"/>
          <w:kern w:val="0"/>
          <w:szCs w:val="24"/>
        </w:rPr>
        <w:t xml:space="preserve"> Pendidikan, 13(1),</w:t>
      </w:r>
      <w:r>
        <w:rPr>
          <w:rFonts w:ascii="Times New Roman" w:hAnsi="Times New Roman" w:cs="Times New Roman"/>
          <w:kern w:val="0"/>
          <w:szCs w:val="24"/>
        </w:rPr>
        <w:t xml:space="preserve"> pp.</w:t>
      </w:r>
      <w:r w:rsidRPr="00F31648">
        <w:rPr>
          <w:rFonts w:ascii="Times New Roman" w:hAnsi="Times New Roman" w:cs="Times New Roman"/>
          <w:kern w:val="0"/>
          <w:szCs w:val="24"/>
        </w:rPr>
        <w:t xml:space="preserve"> 10-20</w:t>
      </w:r>
      <w:r>
        <w:rPr>
          <w:rFonts w:ascii="Times New Roman" w:hAnsi="Times New Roman" w:cs="Times New Roman"/>
          <w:kern w:val="0"/>
          <w:szCs w:val="24"/>
        </w:rPr>
        <w:t>.</w:t>
      </w:r>
    </w:p>
    <w:p w14:paraId="141D5E54" w14:textId="152C6D68" w:rsidR="00EB6636" w:rsidRPr="00F31648" w:rsidRDefault="00EB6636" w:rsidP="00F31648">
      <w:pPr>
        <w:pStyle w:val="a6"/>
        <w:numPr>
          <w:ilvl w:val="0"/>
          <w:numId w:val="22"/>
        </w:numPr>
        <w:autoSpaceDE w:val="0"/>
        <w:autoSpaceDN w:val="0"/>
        <w:ind w:leftChars="0" w:left="616"/>
        <w:jc w:val="both"/>
        <w:rPr>
          <w:rFonts w:ascii="Times New Roman" w:hAnsi="Times New Roman" w:cs="Times New Roman"/>
          <w:kern w:val="0"/>
          <w:szCs w:val="24"/>
        </w:rPr>
      </w:pPr>
      <w:r w:rsidRPr="00EB6636">
        <w:rPr>
          <w:rFonts w:ascii="Times New Roman" w:hAnsi="Times New Roman" w:cs="Times New Roman"/>
          <w:kern w:val="0"/>
          <w:szCs w:val="24"/>
        </w:rPr>
        <w:t>Hu</w:t>
      </w:r>
      <w:r w:rsidR="00235A7E">
        <w:rPr>
          <w:rFonts w:ascii="Times New Roman" w:hAnsi="Times New Roman" w:cs="Times New Roman"/>
          <w:kern w:val="0"/>
          <w:szCs w:val="24"/>
        </w:rPr>
        <w:t>,</w:t>
      </w:r>
      <w:r w:rsidRPr="00EB6636">
        <w:rPr>
          <w:rFonts w:ascii="Times New Roman" w:hAnsi="Times New Roman" w:cs="Times New Roman"/>
          <w:kern w:val="0"/>
          <w:szCs w:val="24"/>
        </w:rPr>
        <w:t xml:space="preserve"> S., Laxman</w:t>
      </w:r>
      <w:r w:rsidR="00235A7E">
        <w:rPr>
          <w:rFonts w:ascii="Times New Roman" w:hAnsi="Times New Roman" w:cs="Times New Roman"/>
          <w:kern w:val="0"/>
          <w:szCs w:val="24"/>
        </w:rPr>
        <w:t>,</w:t>
      </w:r>
      <w:r w:rsidRPr="00EB6636">
        <w:rPr>
          <w:rFonts w:ascii="Times New Roman" w:hAnsi="Times New Roman" w:cs="Times New Roman"/>
          <w:kern w:val="0"/>
          <w:szCs w:val="24"/>
        </w:rPr>
        <w:t xml:space="preserve"> K. </w:t>
      </w:r>
      <w:r>
        <w:rPr>
          <w:rFonts w:ascii="Times New Roman" w:hAnsi="Times New Roman" w:cs="Times New Roman"/>
          <w:kern w:val="0"/>
          <w:szCs w:val="24"/>
        </w:rPr>
        <w:t>and</w:t>
      </w:r>
      <w:r w:rsidRPr="00EB6636">
        <w:rPr>
          <w:rFonts w:ascii="Times New Roman" w:hAnsi="Times New Roman" w:cs="Times New Roman"/>
          <w:kern w:val="0"/>
          <w:szCs w:val="24"/>
        </w:rPr>
        <w:t xml:space="preserve"> Lee</w:t>
      </w:r>
      <w:r w:rsidR="00235A7E">
        <w:rPr>
          <w:rFonts w:ascii="Times New Roman" w:hAnsi="Times New Roman" w:cs="Times New Roman"/>
          <w:kern w:val="0"/>
          <w:szCs w:val="24"/>
        </w:rPr>
        <w:t>,</w:t>
      </w:r>
      <w:r w:rsidRPr="00EB6636">
        <w:rPr>
          <w:rFonts w:ascii="Times New Roman" w:hAnsi="Times New Roman" w:cs="Times New Roman"/>
          <w:kern w:val="0"/>
          <w:szCs w:val="24"/>
        </w:rPr>
        <w:t xml:space="preserve"> K. (2020). Exploring factors affecting academics’ adoption of emerging mobile technologies—An extended UTAUT perspective. Education and Information Technologies, 25(5), </w:t>
      </w:r>
      <w:r>
        <w:rPr>
          <w:rFonts w:ascii="Times New Roman" w:hAnsi="Times New Roman" w:cs="Times New Roman"/>
          <w:kern w:val="0"/>
          <w:szCs w:val="24"/>
        </w:rPr>
        <w:t xml:space="preserve">pp. </w:t>
      </w:r>
      <w:r w:rsidRPr="00EB6636">
        <w:rPr>
          <w:rFonts w:ascii="Times New Roman" w:hAnsi="Times New Roman" w:cs="Times New Roman"/>
          <w:kern w:val="0"/>
          <w:szCs w:val="24"/>
        </w:rPr>
        <w:t>4615–4635.</w:t>
      </w:r>
      <w:bookmarkEnd w:id="2"/>
    </w:p>
    <w:p w14:paraId="47DCA2C7" w14:textId="601F5DD2" w:rsidR="006E2A99" w:rsidRDefault="006E2A99" w:rsidP="00526F4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6E2A99">
        <w:rPr>
          <w:rFonts w:ascii="Times New Roman" w:hAnsi="Times New Roman" w:cs="Times New Roman"/>
          <w:kern w:val="0"/>
          <w:szCs w:val="24"/>
        </w:rPr>
        <w:t>Kantek</w:t>
      </w:r>
      <w:proofErr w:type="spellEnd"/>
      <w:r>
        <w:rPr>
          <w:rFonts w:ascii="Times New Roman" w:hAnsi="Times New Roman" w:cs="Times New Roman"/>
          <w:kern w:val="0"/>
          <w:szCs w:val="24"/>
        </w:rPr>
        <w:t xml:space="preserve">, F. (2014). </w:t>
      </w:r>
      <w:r w:rsidRPr="006E2A99">
        <w:rPr>
          <w:rFonts w:ascii="Times New Roman" w:hAnsi="Times New Roman" w:cs="Times New Roman"/>
          <w:kern w:val="0"/>
          <w:szCs w:val="24"/>
        </w:rPr>
        <w:t>Distance Education in Nursing in Turkey</w:t>
      </w:r>
      <w:r w:rsidR="00A00084">
        <w:rPr>
          <w:rFonts w:ascii="Times New Roman" w:hAnsi="Times New Roman" w:cs="Times New Roman"/>
          <w:kern w:val="0"/>
          <w:szCs w:val="24"/>
        </w:rPr>
        <w:t xml:space="preserve">. </w:t>
      </w:r>
      <w:r w:rsidR="00A00084" w:rsidRPr="00A00084">
        <w:rPr>
          <w:rFonts w:ascii="Times New Roman" w:hAnsi="Times New Roman" w:cs="Times New Roman"/>
          <w:kern w:val="0"/>
          <w:szCs w:val="24"/>
        </w:rPr>
        <w:t>Procedia - Social and Behavioral Sciences</w:t>
      </w:r>
      <w:r w:rsidR="00A00084">
        <w:rPr>
          <w:rFonts w:ascii="Times New Roman" w:hAnsi="Times New Roman" w:cs="Times New Roman"/>
          <w:kern w:val="0"/>
          <w:szCs w:val="24"/>
        </w:rPr>
        <w:t xml:space="preserve">, 116, pp. </w:t>
      </w:r>
      <w:r w:rsidR="00A00084" w:rsidRPr="00A00084">
        <w:rPr>
          <w:rFonts w:ascii="Times New Roman" w:hAnsi="Times New Roman" w:cs="Times New Roman"/>
          <w:kern w:val="0"/>
          <w:szCs w:val="24"/>
        </w:rPr>
        <w:t>639-643</w:t>
      </w:r>
      <w:r w:rsidR="00A00084">
        <w:rPr>
          <w:rFonts w:ascii="Times New Roman" w:hAnsi="Times New Roman" w:cs="Times New Roman"/>
          <w:kern w:val="0"/>
          <w:szCs w:val="24"/>
        </w:rPr>
        <w:t>.</w:t>
      </w:r>
    </w:p>
    <w:p w14:paraId="787558EC" w14:textId="646DFA62" w:rsidR="00526F42" w:rsidRDefault="003D2B5C" w:rsidP="00526F42">
      <w:pPr>
        <w:pStyle w:val="a6"/>
        <w:numPr>
          <w:ilvl w:val="0"/>
          <w:numId w:val="22"/>
        </w:numPr>
        <w:autoSpaceDE w:val="0"/>
        <w:autoSpaceDN w:val="0"/>
        <w:ind w:leftChars="0" w:left="616"/>
        <w:jc w:val="both"/>
        <w:rPr>
          <w:rFonts w:ascii="Times New Roman" w:hAnsi="Times New Roman" w:cs="Times New Roman"/>
          <w:kern w:val="0"/>
          <w:szCs w:val="24"/>
        </w:rPr>
      </w:pPr>
      <w:r w:rsidRPr="003D2B5C">
        <w:rPr>
          <w:rFonts w:ascii="Times New Roman" w:hAnsi="Times New Roman" w:cs="Times New Roman"/>
          <w:kern w:val="0"/>
          <w:szCs w:val="24"/>
        </w:rPr>
        <w:t xml:space="preserve">Khan, F. M., Singh, N., Gupta, Y., Kaur, J., </w:t>
      </w:r>
      <w:proofErr w:type="spellStart"/>
      <w:r w:rsidRPr="003D2B5C">
        <w:rPr>
          <w:rFonts w:ascii="Times New Roman" w:hAnsi="Times New Roman" w:cs="Times New Roman"/>
          <w:kern w:val="0"/>
          <w:szCs w:val="24"/>
        </w:rPr>
        <w:t>Banik</w:t>
      </w:r>
      <w:proofErr w:type="spellEnd"/>
      <w:r w:rsidRPr="003D2B5C">
        <w:rPr>
          <w:rFonts w:ascii="Times New Roman" w:hAnsi="Times New Roman" w:cs="Times New Roman"/>
          <w:kern w:val="0"/>
          <w:szCs w:val="24"/>
        </w:rPr>
        <w:t xml:space="preserve">, S. </w:t>
      </w:r>
      <w:r w:rsidR="00526F42">
        <w:rPr>
          <w:rFonts w:ascii="Times New Roman" w:hAnsi="Times New Roman" w:cs="Times New Roman"/>
          <w:kern w:val="0"/>
          <w:szCs w:val="24"/>
        </w:rPr>
        <w:t>and</w:t>
      </w:r>
      <w:r w:rsidRPr="003D2B5C">
        <w:rPr>
          <w:rFonts w:ascii="Times New Roman" w:hAnsi="Times New Roman" w:cs="Times New Roman"/>
          <w:kern w:val="0"/>
          <w:szCs w:val="24"/>
        </w:rPr>
        <w:t xml:space="preserve"> Gupta, S. (2022). A Meta-analysis of Mobile Learning Adoption in Higher Education Based on Unified Theory of Acceptance and Use of Technology 3 (UTAUT3). Vision: The Journal of Business Perspective</w:t>
      </w:r>
      <w:r>
        <w:rPr>
          <w:rFonts w:ascii="Times New Roman" w:hAnsi="Times New Roman" w:cs="Times New Roman"/>
          <w:kern w:val="0"/>
          <w:szCs w:val="24"/>
        </w:rPr>
        <w:t xml:space="preserve"> </w:t>
      </w:r>
      <w:r w:rsidRPr="003C40F2">
        <w:rPr>
          <w:rFonts w:ascii="Times New Roman" w:hAnsi="Times New Roman" w:cs="Times New Roman"/>
          <w:kern w:val="0"/>
          <w:szCs w:val="24"/>
        </w:rPr>
        <w:t>(in press)</w:t>
      </w:r>
      <w:r w:rsidRPr="003D2B5C">
        <w:rPr>
          <w:rFonts w:ascii="Times New Roman" w:hAnsi="Times New Roman" w:cs="Times New Roman"/>
          <w:kern w:val="0"/>
          <w:szCs w:val="24"/>
        </w:rPr>
        <w:t xml:space="preserve">. </w:t>
      </w:r>
      <w:r w:rsidR="00526F42" w:rsidRPr="00526F42">
        <w:rPr>
          <w:rFonts w:ascii="Times New Roman" w:hAnsi="Times New Roman" w:cs="Times New Roman"/>
          <w:kern w:val="0"/>
          <w:szCs w:val="24"/>
        </w:rPr>
        <w:t>https://doi.org/10.1177/09722629221101159</w:t>
      </w:r>
    </w:p>
    <w:p w14:paraId="4E36F392" w14:textId="1EE33719" w:rsidR="00CA59C0" w:rsidRDefault="00CA59C0" w:rsidP="00526F42">
      <w:pPr>
        <w:pStyle w:val="a6"/>
        <w:numPr>
          <w:ilvl w:val="0"/>
          <w:numId w:val="22"/>
        </w:numPr>
        <w:autoSpaceDE w:val="0"/>
        <w:autoSpaceDN w:val="0"/>
        <w:ind w:leftChars="0" w:left="616"/>
        <w:jc w:val="both"/>
        <w:rPr>
          <w:rFonts w:ascii="Times New Roman" w:hAnsi="Times New Roman" w:cs="Times New Roman"/>
          <w:kern w:val="0"/>
          <w:szCs w:val="24"/>
        </w:rPr>
      </w:pPr>
      <w:r w:rsidRPr="00CA59C0">
        <w:rPr>
          <w:rFonts w:ascii="Times New Roman" w:hAnsi="Times New Roman" w:cs="Times New Roman"/>
          <w:kern w:val="0"/>
          <w:szCs w:val="24"/>
        </w:rPr>
        <w:t>Kim, J.-H.</w:t>
      </w:r>
      <w:r>
        <w:rPr>
          <w:rFonts w:ascii="Times New Roman" w:hAnsi="Times New Roman" w:cs="Times New Roman" w:hint="eastAsia"/>
          <w:kern w:val="0"/>
          <w:szCs w:val="24"/>
        </w:rPr>
        <w:t xml:space="preserve"> </w:t>
      </w:r>
      <w:r>
        <w:rPr>
          <w:rFonts w:ascii="Times New Roman" w:hAnsi="Times New Roman" w:cs="Times New Roman"/>
          <w:kern w:val="0"/>
          <w:szCs w:val="24"/>
        </w:rPr>
        <w:t>and</w:t>
      </w:r>
      <w:r w:rsidRPr="00CA59C0">
        <w:rPr>
          <w:rFonts w:ascii="Times New Roman" w:hAnsi="Times New Roman" w:cs="Times New Roman"/>
          <w:kern w:val="0"/>
          <w:szCs w:val="24"/>
        </w:rPr>
        <w:t xml:space="preserve"> Kang, E. (2023). An Empirical Research: Incorporation of User Innovativeness into TAM and UTAUT in Adopting a Golf App. Sustainability, 15(10), 8309. https://doi.org/10.3390/su15108309</w:t>
      </w:r>
    </w:p>
    <w:p w14:paraId="2EDC7E1A" w14:textId="72D41BAF" w:rsidR="00DE1C22" w:rsidRDefault="00DE1C22" w:rsidP="00526F4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DE1C22">
        <w:rPr>
          <w:rFonts w:ascii="Times New Roman" w:hAnsi="Times New Roman" w:cs="Times New Roman"/>
          <w:kern w:val="0"/>
          <w:szCs w:val="24"/>
        </w:rPr>
        <w:t>Kourkouta</w:t>
      </w:r>
      <w:proofErr w:type="spellEnd"/>
      <w:r w:rsidRPr="00DE1C22">
        <w:rPr>
          <w:rFonts w:ascii="Times New Roman" w:hAnsi="Times New Roman" w:cs="Times New Roman"/>
          <w:kern w:val="0"/>
          <w:szCs w:val="24"/>
        </w:rPr>
        <w:t xml:space="preserve">, L., </w:t>
      </w:r>
      <w:proofErr w:type="spellStart"/>
      <w:r w:rsidRPr="00DE1C22">
        <w:rPr>
          <w:rFonts w:ascii="Times New Roman" w:hAnsi="Times New Roman" w:cs="Times New Roman"/>
          <w:kern w:val="0"/>
          <w:szCs w:val="24"/>
        </w:rPr>
        <w:t>Iliadis</w:t>
      </w:r>
      <w:proofErr w:type="spellEnd"/>
      <w:r w:rsidRPr="00DE1C22">
        <w:rPr>
          <w:rFonts w:ascii="Times New Roman" w:hAnsi="Times New Roman" w:cs="Times New Roman"/>
          <w:kern w:val="0"/>
          <w:szCs w:val="24"/>
        </w:rPr>
        <w:t xml:space="preserve">, C., </w:t>
      </w:r>
      <w:proofErr w:type="spellStart"/>
      <w:r w:rsidRPr="00DE1C22">
        <w:rPr>
          <w:rFonts w:ascii="Times New Roman" w:hAnsi="Times New Roman" w:cs="Times New Roman"/>
          <w:kern w:val="0"/>
          <w:szCs w:val="24"/>
        </w:rPr>
        <w:t>Frantzana</w:t>
      </w:r>
      <w:proofErr w:type="spellEnd"/>
      <w:r w:rsidRPr="00DE1C22">
        <w:rPr>
          <w:rFonts w:ascii="Times New Roman" w:hAnsi="Times New Roman" w:cs="Times New Roman"/>
          <w:kern w:val="0"/>
          <w:szCs w:val="24"/>
        </w:rPr>
        <w:t xml:space="preserve">, A. </w:t>
      </w:r>
      <w:r w:rsidR="006F128F">
        <w:rPr>
          <w:rFonts w:ascii="Times New Roman" w:hAnsi="Times New Roman" w:cs="Times New Roman"/>
          <w:kern w:val="0"/>
          <w:szCs w:val="24"/>
        </w:rPr>
        <w:t>and</w:t>
      </w:r>
      <w:r w:rsidRPr="00DE1C22">
        <w:rPr>
          <w:rFonts w:ascii="Times New Roman" w:hAnsi="Times New Roman" w:cs="Times New Roman"/>
          <w:kern w:val="0"/>
          <w:szCs w:val="24"/>
        </w:rPr>
        <w:t xml:space="preserve"> </w:t>
      </w:r>
      <w:proofErr w:type="spellStart"/>
      <w:r w:rsidRPr="00DE1C22">
        <w:rPr>
          <w:rFonts w:ascii="Times New Roman" w:hAnsi="Times New Roman" w:cs="Times New Roman"/>
          <w:kern w:val="0"/>
          <w:szCs w:val="24"/>
        </w:rPr>
        <w:t>Vakalopoulou</w:t>
      </w:r>
      <w:proofErr w:type="spellEnd"/>
      <w:r w:rsidRPr="00DE1C22">
        <w:rPr>
          <w:rFonts w:ascii="Times New Roman" w:hAnsi="Times New Roman" w:cs="Times New Roman"/>
          <w:kern w:val="0"/>
          <w:szCs w:val="24"/>
        </w:rPr>
        <w:t>, V. (2018). Reading and health benefits. Journal of Healthcare Communications, 3(4</w:t>
      </w:r>
      <w:r>
        <w:rPr>
          <w:rFonts w:ascii="Times New Roman" w:hAnsi="Times New Roman" w:cs="Times New Roman"/>
          <w:kern w:val="0"/>
          <w:szCs w:val="24"/>
        </w:rPr>
        <w:t>:39</w:t>
      </w:r>
      <w:r w:rsidRPr="00DE1C22">
        <w:rPr>
          <w:rFonts w:ascii="Times New Roman" w:hAnsi="Times New Roman" w:cs="Times New Roman"/>
          <w:kern w:val="0"/>
          <w:szCs w:val="24"/>
        </w:rPr>
        <w:t>)</w:t>
      </w:r>
      <w:r>
        <w:rPr>
          <w:rFonts w:ascii="Times New Roman" w:hAnsi="Times New Roman" w:cs="Times New Roman"/>
          <w:kern w:val="0"/>
          <w:szCs w:val="24"/>
        </w:rPr>
        <w:t>, pp. 1-4</w:t>
      </w:r>
      <w:r w:rsidRPr="00DE1C22">
        <w:rPr>
          <w:rFonts w:ascii="Times New Roman" w:hAnsi="Times New Roman" w:cs="Times New Roman"/>
          <w:kern w:val="0"/>
          <w:szCs w:val="24"/>
        </w:rPr>
        <w:t>.</w:t>
      </w:r>
    </w:p>
    <w:p w14:paraId="2EE7C08E" w14:textId="1DF51D7D" w:rsidR="00A00084" w:rsidRDefault="00A00084" w:rsidP="00526F42">
      <w:pPr>
        <w:pStyle w:val="a6"/>
        <w:numPr>
          <w:ilvl w:val="0"/>
          <w:numId w:val="22"/>
        </w:numPr>
        <w:autoSpaceDE w:val="0"/>
        <w:autoSpaceDN w:val="0"/>
        <w:ind w:leftChars="0" w:left="616"/>
        <w:jc w:val="both"/>
        <w:rPr>
          <w:rFonts w:ascii="Times New Roman" w:hAnsi="Times New Roman" w:cs="Times New Roman"/>
          <w:kern w:val="0"/>
          <w:szCs w:val="24"/>
        </w:rPr>
      </w:pPr>
      <w:r w:rsidRPr="00A00084">
        <w:rPr>
          <w:rFonts w:ascii="Times New Roman" w:hAnsi="Times New Roman" w:cs="Times New Roman"/>
          <w:kern w:val="0"/>
          <w:szCs w:val="24"/>
        </w:rPr>
        <w:t xml:space="preserve">Lera, M., </w:t>
      </w:r>
      <w:proofErr w:type="spellStart"/>
      <w:r w:rsidRPr="00A00084">
        <w:rPr>
          <w:rFonts w:ascii="Times New Roman" w:hAnsi="Times New Roman" w:cs="Times New Roman"/>
          <w:kern w:val="0"/>
          <w:szCs w:val="24"/>
        </w:rPr>
        <w:t>Taxtsoglou</w:t>
      </w:r>
      <w:proofErr w:type="spellEnd"/>
      <w:r w:rsidRPr="00A00084">
        <w:rPr>
          <w:rFonts w:ascii="Times New Roman" w:hAnsi="Times New Roman" w:cs="Times New Roman"/>
          <w:kern w:val="0"/>
          <w:szCs w:val="24"/>
        </w:rPr>
        <w:t xml:space="preserve">, K., </w:t>
      </w:r>
      <w:proofErr w:type="spellStart"/>
      <w:r w:rsidRPr="00A00084">
        <w:rPr>
          <w:rFonts w:ascii="Times New Roman" w:hAnsi="Times New Roman" w:cs="Times New Roman"/>
          <w:kern w:val="0"/>
          <w:szCs w:val="24"/>
        </w:rPr>
        <w:t>Iliadis</w:t>
      </w:r>
      <w:proofErr w:type="spellEnd"/>
      <w:r w:rsidRPr="00A00084">
        <w:rPr>
          <w:rFonts w:ascii="Times New Roman" w:hAnsi="Times New Roman" w:cs="Times New Roman"/>
          <w:kern w:val="0"/>
          <w:szCs w:val="24"/>
        </w:rPr>
        <w:t xml:space="preserve">, C., </w:t>
      </w:r>
      <w:proofErr w:type="spellStart"/>
      <w:r w:rsidRPr="00A00084">
        <w:rPr>
          <w:rFonts w:ascii="Times New Roman" w:hAnsi="Times New Roman" w:cs="Times New Roman"/>
          <w:kern w:val="0"/>
          <w:szCs w:val="24"/>
        </w:rPr>
        <w:t>Frantzana</w:t>
      </w:r>
      <w:proofErr w:type="spellEnd"/>
      <w:r w:rsidRPr="00A00084">
        <w:rPr>
          <w:rFonts w:ascii="Times New Roman" w:hAnsi="Times New Roman" w:cs="Times New Roman"/>
          <w:kern w:val="0"/>
          <w:szCs w:val="24"/>
        </w:rPr>
        <w:t xml:space="preserve">, A. </w:t>
      </w:r>
      <w:r w:rsidR="006F128F">
        <w:rPr>
          <w:rFonts w:ascii="Times New Roman" w:hAnsi="Times New Roman" w:cs="Times New Roman"/>
          <w:kern w:val="0"/>
          <w:szCs w:val="24"/>
        </w:rPr>
        <w:t>and</w:t>
      </w:r>
      <w:r w:rsidRPr="00A00084">
        <w:rPr>
          <w:rFonts w:ascii="Times New Roman" w:hAnsi="Times New Roman" w:cs="Times New Roman"/>
          <w:kern w:val="0"/>
          <w:szCs w:val="24"/>
        </w:rPr>
        <w:t xml:space="preserve"> </w:t>
      </w:r>
      <w:proofErr w:type="spellStart"/>
      <w:r w:rsidRPr="00A00084">
        <w:rPr>
          <w:rFonts w:ascii="Times New Roman" w:hAnsi="Times New Roman" w:cs="Times New Roman"/>
          <w:kern w:val="0"/>
          <w:szCs w:val="24"/>
        </w:rPr>
        <w:t>Kourkouta</w:t>
      </w:r>
      <w:proofErr w:type="spellEnd"/>
      <w:r w:rsidRPr="00A00084">
        <w:rPr>
          <w:rFonts w:ascii="Times New Roman" w:hAnsi="Times New Roman" w:cs="Times New Roman"/>
          <w:kern w:val="0"/>
          <w:szCs w:val="24"/>
        </w:rPr>
        <w:t xml:space="preserve">, L. (2020). The use of new information and communication technologies in nursing practice. EAS Journal of Nursing and Midwifery, 2(1), </w:t>
      </w:r>
      <w:r>
        <w:rPr>
          <w:rFonts w:ascii="Times New Roman" w:hAnsi="Times New Roman" w:cs="Times New Roman"/>
          <w:kern w:val="0"/>
          <w:szCs w:val="24"/>
        </w:rPr>
        <w:t xml:space="preserve">pp. </w:t>
      </w:r>
      <w:r w:rsidRPr="00A00084">
        <w:rPr>
          <w:rFonts w:ascii="Times New Roman" w:hAnsi="Times New Roman" w:cs="Times New Roman"/>
          <w:kern w:val="0"/>
          <w:szCs w:val="24"/>
        </w:rPr>
        <w:t>40</w:t>
      </w:r>
      <w:r w:rsidR="00DE1C22" w:rsidRPr="008C1C90">
        <w:rPr>
          <w:rFonts w:ascii="Times New Roman" w:hAnsi="Times New Roman" w:cs="Times New Roman"/>
          <w:kern w:val="0"/>
          <w:szCs w:val="24"/>
        </w:rPr>
        <w:t>-</w:t>
      </w:r>
      <w:r w:rsidRPr="00A00084">
        <w:rPr>
          <w:rFonts w:ascii="Times New Roman" w:hAnsi="Times New Roman" w:cs="Times New Roman"/>
          <w:kern w:val="0"/>
          <w:szCs w:val="24"/>
        </w:rPr>
        <w:t>44.</w:t>
      </w:r>
    </w:p>
    <w:p w14:paraId="646406AF" w14:textId="77777777" w:rsidR="00E22273" w:rsidRDefault="00235A7E" w:rsidP="00E22273">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235A7E">
        <w:rPr>
          <w:rFonts w:ascii="Times New Roman" w:hAnsi="Times New Roman" w:cs="Times New Roman"/>
          <w:kern w:val="0"/>
          <w:szCs w:val="24"/>
        </w:rPr>
        <w:t>Limayem</w:t>
      </w:r>
      <w:proofErr w:type="spellEnd"/>
      <w:r w:rsidRPr="00235A7E">
        <w:rPr>
          <w:rFonts w:ascii="Times New Roman" w:hAnsi="Times New Roman" w:cs="Times New Roman"/>
          <w:kern w:val="0"/>
          <w:szCs w:val="24"/>
        </w:rPr>
        <w:t xml:space="preserve">, </w:t>
      </w:r>
      <w:r>
        <w:rPr>
          <w:rFonts w:ascii="Times New Roman" w:hAnsi="Times New Roman" w:cs="Times New Roman"/>
          <w:kern w:val="0"/>
          <w:szCs w:val="24"/>
        </w:rPr>
        <w:t xml:space="preserve">M., </w:t>
      </w:r>
      <w:r w:rsidRPr="00235A7E">
        <w:rPr>
          <w:rFonts w:ascii="Times New Roman" w:hAnsi="Times New Roman" w:cs="Times New Roman"/>
          <w:kern w:val="0"/>
          <w:szCs w:val="24"/>
        </w:rPr>
        <w:t xml:space="preserve">Hirt, </w:t>
      </w:r>
      <w:r>
        <w:rPr>
          <w:rFonts w:ascii="Times New Roman" w:hAnsi="Times New Roman" w:cs="Times New Roman"/>
          <w:kern w:val="0"/>
          <w:szCs w:val="24"/>
        </w:rPr>
        <w:t>S. G. and</w:t>
      </w:r>
      <w:r w:rsidRPr="00235A7E">
        <w:rPr>
          <w:rFonts w:ascii="Times New Roman" w:hAnsi="Times New Roman" w:cs="Times New Roman"/>
          <w:kern w:val="0"/>
          <w:szCs w:val="24"/>
        </w:rPr>
        <w:t xml:space="preserve"> Cheung</w:t>
      </w:r>
      <w:r>
        <w:rPr>
          <w:rFonts w:ascii="Times New Roman" w:hAnsi="Times New Roman" w:cs="Times New Roman"/>
          <w:kern w:val="0"/>
          <w:szCs w:val="24"/>
        </w:rPr>
        <w:t>, C. M. K.</w:t>
      </w:r>
      <w:r w:rsidRPr="00235A7E">
        <w:rPr>
          <w:rFonts w:ascii="Times New Roman" w:hAnsi="Times New Roman" w:cs="Times New Roman"/>
          <w:kern w:val="0"/>
          <w:szCs w:val="24"/>
        </w:rPr>
        <w:t xml:space="preserve"> (2007). How Habit Limits the Predictive Power of Intention: The Case of Information Systems Continuance. MIS Quarterly, 31(4), </w:t>
      </w:r>
      <w:r>
        <w:rPr>
          <w:rFonts w:ascii="Times New Roman" w:hAnsi="Times New Roman" w:cs="Times New Roman"/>
          <w:kern w:val="0"/>
          <w:szCs w:val="24"/>
        </w:rPr>
        <w:t xml:space="preserve">pp. </w:t>
      </w:r>
      <w:r w:rsidRPr="00235A7E">
        <w:rPr>
          <w:rFonts w:ascii="Times New Roman" w:hAnsi="Times New Roman" w:cs="Times New Roman"/>
          <w:kern w:val="0"/>
          <w:szCs w:val="24"/>
        </w:rPr>
        <w:t>705</w:t>
      </w:r>
      <w:r>
        <w:rPr>
          <w:rFonts w:ascii="Times New Roman" w:hAnsi="Times New Roman" w:cs="Times New Roman"/>
          <w:kern w:val="0"/>
          <w:szCs w:val="24"/>
        </w:rPr>
        <w:t>-737</w:t>
      </w:r>
      <w:r w:rsidRPr="00235A7E">
        <w:rPr>
          <w:rFonts w:ascii="Times New Roman" w:hAnsi="Times New Roman" w:cs="Times New Roman"/>
          <w:kern w:val="0"/>
          <w:szCs w:val="24"/>
        </w:rPr>
        <w:t>.</w:t>
      </w:r>
    </w:p>
    <w:p w14:paraId="6AE7D31C" w14:textId="0AAAA18C" w:rsidR="00E22273" w:rsidRPr="00E22273" w:rsidRDefault="00E22273" w:rsidP="00E22273">
      <w:pPr>
        <w:pStyle w:val="a6"/>
        <w:numPr>
          <w:ilvl w:val="0"/>
          <w:numId w:val="22"/>
        </w:numPr>
        <w:autoSpaceDE w:val="0"/>
        <w:autoSpaceDN w:val="0"/>
        <w:ind w:leftChars="0" w:left="616"/>
        <w:jc w:val="both"/>
        <w:rPr>
          <w:rFonts w:ascii="Times New Roman" w:hAnsi="Times New Roman" w:cs="Times New Roman"/>
          <w:kern w:val="0"/>
          <w:szCs w:val="24"/>
        </w:rPr>
      </w:pPr>
      <w:r w:rsidRPr="00E22273">
        <w:rPr>
          <w:rFonts w:ascii="Times New Roman" w:hAnsi="Times New Roman" w:cs="Times New Roman"/>
          <w:kern w:val="0"/>
          <w:szCs w:val="24"/>
        </w:rPr>
        <w:t xml:space="preserve">Mahmood, M., </w:t>
      </w:r>
      <w:proofErr w:type="spellStart"/>
      <w:r w:rsidRPr="00E22273">
        <w:rPr>
          <w:rFonts w:ascii="Times New Roman" w:hAnsi="Times New Roman" w:cs="Times New Roman"/>
          <w:kern w:val="0"/>
          <w:szCs w:val="24"/>
        </w:rPr>
        <w:t>Ostrovskiy</w:t>
      </w:r>
      <w:proofErr w:type="spellEnd"/>
      <w:r w:rsidRPr="00E22273">
        <w:rPr>
          <w:rFonts w:ascii="Times New Roman" w:hAnsi="Times New Roman" w:cs="Times New Roman"/>
          <w:kern w:val="0"/>
          <w:szCs w:val="24"/>
        </w:rPr>
        <w:t xml:space="preserve">, A. and </w:t>
      </w:r>
      <w:proofErr w:type="spellStart"/>
      <w:r w:rsidRPr="00E22273">
        <w:rPr>
          <w:rFonts w:ascii="Times New Roman" w:hAnsi="Times New Roman" w:cs="Times New Roman"/>
          <w:kern w:val="0"/>
          <w:szCs w:val="24"/>
        </w:rPr>
        <w:t>Capar</w:t>
      </w:r>
      <w:proofErr w:type="spellEnd"/>
      <w:r w:rsidRPr="00E22273">
        <w:rPr>
          <w:rFonts w:ascii="Times New Roman" w:hAnsi="Times New Roman" w:cs="Times New Roman"/>
          <w:kern w:val="0"/>
          <w:szCs w:val="24"/>
        </w:rPr>
        <w:t>, N. (</w:t>
      </w:r>
      <w:r>
        <w:rPr>
          <w:rFonts w:ascii="Times New Roman" w:hAnsi="Times New Roman" w:cs="Times New Roman"/>
          <w:kern w:val="0"/>
          <w:szCs w:val="24"/>
        </w:rPr>
        <w:t>2023</w:t>
      </w:r>
      <w:r w:rsidRPr="00E22273">
        <w:rPr>
          <w:rFonts w:ascii="Times New Roman" w:hAnsi="Times New Roman" w:cs="Times New Roman"/>
          <w:kern w:val="0"/>
          <w:szCs w:val="24"/>
        </w:rPr>
        <w:t>). Effect of orientation training on employee and firm performance.</w:t>
      </w:r>
      <w:r>
        <w:rPr>
          <w:rFonts w:ascii="Times New Roman" w:hAnsi="Times New Roman" w:cs="Times New Roman"/>
          <w:kern w:val="0"/>
          <w:szCs w:val="24"/>
        </w:rPr>
        <w:t xml:space="preserve"> Global Business and Organizational Excellence</w:t>
      </w:r>
      <w:r w:rsidRPr="00E22273">
        <w:rPr>
          <w:rFonts w:ascii="Times New Roman" w:hAnsi="Times New Roman" w:cs="Times New Roman"/>
          <w:kern w:val="0"/>
          <w:szCs w:val="24"/>
        </w:rPr>
        <w:t>, 42(4), pp. 49-62.</w:t>
      </w:r>
    </w:p>
    <w:p w14:paraId="62DC3E4E" w14:textId="29DC4F59" w:rsidR="00235A7E" w:rsidRPr="00235A7E" w:rsidRDefault="00235A7E" w:rsidP="00235A7E">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235A7E">
        <w:rPr>
          <w:rFonts w:ascii="Times New Roman" w:hAnsi="Times New Roman" w:cs="Times New Roman"/>
          <w:kern w:val="0"/>
          <w:szCs w:val="24"/>
        </w:rPr>
        <w:t>Marikyan</w:t>
      </w:r>
      <w:proofErr w:type="spellEnd"/>
      <w:r w:rsidRPr="00235A7E">
        <w:rPr>
          <w:rFonts w:ascii="Times New Roman" w:hAnsi="Times New Roman" w:cs="Times New Roman"/>
          <w:kern w:val="0"/>
          <w:szCs w:val="24"/>
        </w:rPr>
        <w:t xml:space="preserve">, D. </w:t>
      </w:r>
      <w:r>
        <w:rPr>
          <w:rFonts w:ascii="Times New Roman" w:hAnsi="Times New Roman" w:cs="Times New Roman"/>
          <w:kern w:val="0"/>
          <w:szCs w:val="24"/>
        </w:rPr>
        <w:t>and</w:t>
      </w:r>
      <w:r w:rsidRPr="00235A7E">
        <w:rPr>
          <w:rFonts w:ascii="Times New Roman" w:hAnsi="Times New Roman" w:cs="Times New Roman"/>
          <w:kern w:val="0"/>
          <w:szCs w:val="24"/>
        </w:rPr>
        <w:t xml:space="preserve"> </w:t>
      </w:r>
      <w:proofErr w:type="spellStart"/>
      <w:r w:rsidRPr="00235A7E">
        <w:rPr>
          <w:rFonts w:ascii="Times New Roman" w:hAnsi="Times New Roman" w:cs="Times New Roman"/>
          <w:kern w:val="0"/>
          <w:szCs w:val="24"/>
        </w:rPr>
        <w:t>Papagiannidis</w:t>
      </w:r>
      <w:proofErr w:type="spellEnd"/>
      <w:r w:rsidRPr="00235A7E">
        <w:rPr>
          <w:rFonts w:ascii="Times New Roman" w:hAnsi="Times New Roman" w:cs="Times New Roman"/>
          <w:kern w:val="0"/>
          <w:szCs w:val="24"/>
        </w:rPr>
        <w:t>, S. (2023)</w:t>
      </w:r>
      <w:r w:rsidR="00E22273">
        <w:rPr>
          <w:rFonts w:ascii="Times New Roman" w:hAnsi="Times New Roman" w:cs="Times New Roman"/>
          <w:kern w:val="0"/>
          <w:szCs w:val="24"/>
        </w:rPr>
        <w:t>.</w:t>
      </w:r>
      <w:r w:rsidRPr="00235A7E">
        <w:rPr>
          <w:rFonts w:ascii="Times New Roman" w:hAnsi="Times New Roman" w:cs="Times New Roman"/>
          <w:kern w:val="0"/>
          <w:szCs w:val="24"/>
        </w:rPr>
        <w:t xml:space="preserve"> Unified Theory of Acceptance and Use of Technology: A review. In S. </w:t>
      </w:r>
      <w:proofErr w:type="spellStart"/>
      <w:r w:rsidRPr="00235A7E">
        <w:rPr>
          <w:rFonts w:ascii="Times New Roman" w:hAnsi="Times New Roman" w:cs="Times New Roman"/>
          <w:kern w:val="0"/>
          <w:szCs w:val="24"/>
        </w:rPr>
        <w:t>Papagiannidis</w:t>
      </w:r>
      <w:proofErr w:type="spellEnd"/>
      <w:r w:rsidRPr="00235A7E">
        <w:rPr>
          <w:rFonts w:ascii="Times New Roman" w:hAnsi="Times New Roman" w:cs="Times New Roman"/>
          <w:kern w:val="0"/>
          <w:szCs w:val="24"/>
        </w:rPr>
        <w:t xml:space="preserve"> (Ed), </w:t>
      </w:r>
      <w:proofErr w:type="spellStart"/>
      <w:r w:rsidRPr="00235A7E">
        <w:rPr>
          <w:rFonts w:ascii="Times New Roman" w:hAnsi="Times New Roman" w:cs="Times New Roman"/>
          <w:kern w:val="0"/>
          <w:szCs w:val="24"/>
        </w:rPr>
        <w:t>TheoryHub</w:t>
      </w:r>
      <w:proofErr w:type="spellEnd"/>
      <w:r w:rsidRPr="00235A7E">
        <w:rPr>
          <w:rFonts w:ascii="Times New Roman" w:hAnsi="Times New Roman" w:cs="Times New Roman"/>
          <w:kern w:val="0"/>
          <w:szCs w:val="24"/>
        </w:rPr>
        <w:t xml:space="preserve"> Book. Available at https://open.ncl.ac.uk / ISBN: 9781739604400</w:t>
      </w:r>
    </w:p>
    <w:p w14:paraId="00EC974E" w14:textId="43A17966" w:rsidR="00FB0BBD" w:rsidRDefault="00FB0BBD" w:rsidP="00526F42">
      <w:pPr>
        <w:pStyle w:val="a6"/>
        <w:numPr>
          <w:ilvl w:val="0"/>
          <w:numId w:val="22"/>
        </w:numPr>
        <w:autoSpaceDE w:val="0"/>
        <w:autoSpaceDN w:val="0"/>
        <w:ind w:leftChars="0" w:left="616"/>
        <w:jc w:val="both"/>
        <w:rPr>
          <w:rFonts w:ascii="Times New Roman" w:hAnsi="Times New Roman" w:cs="Times New Roman"/>
          <w:kern w:val="0"/>
          <w:szCs w:val="24"/>
        </w:rPr>
      </w:pPr>
      <w:r w:rsidRPr="00FB0BBD">
        <w:rPr>
          <w:rFonts w:ascii="Times New Roman" w:hAnsi="Times New Roman" w:cs="Times New Roman"/>
          <w:kern w:val="0"/>
          <w:szCs w:val="24"/>
        </w:rPr>
        <w:lastRenderedPageBreak/>
        <w:t xml:space="preserve">Maurer, T. J., </w:t>
      </w:r>
      <w:proofErr w:type="spellStart"/>
      <w:r w:rsidRPr="00FB0BBD">
        <w:rPr>
          <w:rFonts w:ascii="Times New Roman" w:hAnsi="Times New Roman" w:cs="Times New Roman"/>
          <w:kern w:val="0"/>
          <w:szCs w:val="24"/>
        </w:rPr>
        <w:t>Lippstreu</w:t>
      </w:r>
      <w:proofErr w:type="spellEnd"/>
      <w:r w:rsidRPr="00FB0BBD">
        <w:rPr>
          <w:rFonts w:ascii="Times New Roman" w:hAnsi="Times New Roman" w:cs="Times New Roman"/>
          <w:kern w:val="0"/>
          <w:szCs w:val="24"/>
        </w:rPr>
        <w:t xml:space="preserve">, M. </w:t>
      </w:r>
      <w:r>
        <w:rPr>
          <w:rFonts w:ascii="Times New Roman" w:hAnsi="Times New Roman" w:cs="Times New Roman"/>
          <w:kern w:val="0"/>
          <w:szCs w:val="24"/>
        </w:rPr>
        <w:t>and</w:t>
      </w:r>
      <w:r w:rsidRPr="00FB0BBD">
        <w:rPr>
          <w:rFonts w:ascii="Times New Roman" w:hAnsi="Times New Roman" w:cs="Times New Roman"/>
          <w:kern w:val="0"/>
          <w:szCs w:val="24"/>
        </w:rPr>
        <w:t xml:space="preserve"> Judge, T. A. (2008). Structural model of employee involvement in skill development activity: The role of individual differences. Journal of Vocational Behavior, 72, pp. 336-350.</w:t>
      </w:r>
    </w:p>
    <w:p w14:paraId="4844E714" w14:textId="77777777" w:rsidR="00341B48" w:rsidRDefault="00FB0BBD" w:rsidP="00341B48">
      <w:pPr>
        <w:pStyle w:val="a6"/>
        <w:numPr>
          <w:ilvl w:val="0"/>
          <w:numId w:val="22"/>
        </w:numPr>
        <w:autoSpaceDE w:val="0"/>
        <w:autoSpaceDN w:val="0"/>
        <w:ind w:leftChars="0" w:left="616"/>
        <w:jc w:val="both"/>
        <w:rPr>
          <w:rFonts w:ascii="Times New Roman" w:hAnsi="Times New Roman" w:cs="Times New Roman"/>
          <w:kern w:val="0"/>
          <w:szCs w:val="24"/>
        </w:rPr>
      </w:pPr>
      <w:r w:rsidRPr="00FB0BBD">
        <w:rPr>
          <w:rFonts w:ascii="Times New Roman" w:hAnsi="Times New Roman" w:cs="Times New Roman"/>
          <w:kern w:val="0"/>
          <w:szCs w:val="24"/>
        </w:rPr>
        <w:t xml:space="preserve">Mesmer-Magnus, J. and </w:t>
      </w:r>
      <w:proofErr w:type="spellStart"/>
      <w:r w:rsidRPr="00FB0BBD">
        <w:rPr>
          <w:rFonts w:ascii="Times New Roman" w:hAnsi="Times New Roman" w:cs="Times New Roman"/>
          <w:kern w:val="0"/>
          <w:szCs w:val="24"/>
        </w:rPr>
        <w:t>Viswesvaran</w:t>
      </w:r>
      <w:proofErr w:type="spellEnd"/>
      <w:r w:rsidRPr="00FB0BBD">
        <w:rPr>
          <w:rFonts w:ascii="Times New Roman" w:hAnsi="Times New Roman" w:cs="Times New Roman"/>
          <w:kern w:val="0"/>
          <w:szCs w:val="24"/>
        </w:rPr>
        <w:t>, C. (2010). The role of pre-training interventions in learning: A meta-analysis and integrative review. Human Resource Management Review, 20(4), pp. 261-282.</w:t>
      </w:r>
    </w:p>
    <w:p w14:paraId="58EC6399" w14:textId="77777777" w:rsidR="00341B48" w:rsidRDefault="00341B48" w:rsidP="00341B48">
      <w:pPr>
        <w:pStyle w:val="a6"/>
        <w:numPr>
          <w:ilvl w:val="0"/>
          <w:numId w:val="22"/>
        </w:numPr>
        <w:autoSpaceDE w:val="0"/>
        <w:autoSpaceDN w:val="0"/>
        <w:ind w:leftChars="0" w:left="616"/>
        <w:jc w:val="both"/>
        <w:rPr>
          <w:rFonts w:ascii="Times New Roman" w:hAnsi="Times New Roman" w:cs="Times New Roman"/>
          <w:kern w:val="0"/>
          <w:szCs w:val="24"/>
        </w:rPr>
      </w:pPr>
      <w:r w:rsidRPr="00341B48">
        <w:rPr>
          <w:rFonts w:ascii="Times New Roman" w:hAnsi="Times New Roman" w:cs="Times New Roman"/>
          <w:kern w:val="0"/>
          <w:szCs w:val="24"/>
        </w:rPr>
        <w:t>Miller, L. (2012). Organizations continue to invest in workplace learning. ASTD State of the Industry Report, 42, pp. 43-48.</w:t>
      </w:r>
    </w:p>
    <w:p w14:paraId="624CCDE5" w14:textId="0DCBA7AE" w:rsidR="00341B48" w:rsidRPr="00341B48" w:rsidRDefault="00341B48" w:rsidP="00341B48">
      <w:pPr>
        <w:pStyle w:val="a6"/>
        <w:numPr>
          <w:ilvl w:val="0"/>
          <w:numId w:val="22"/>
        </w:numPr>
        <w:autoSpaceDE w:val="0"/>
        <w:autoSpaceDN w:val="0"/>
        <w:ind w:leftChars="0" w:left="616"/>
        <w:jc w:val="both"/>
        <w:rPr>
          <w:rFonts w:ascii="Times New Roman" w:hAnsi="Times New Roman" w:cs="Times New Roman"/>
          <w:kern w:val="0"/>
          <w:szCs w:val="24"/>
        </w:rPr>
      </w:pPr>
      <w:r w:rsidRPr="00341B48">
        <w:rPr>
          <w:rFonts w:ascii="Times New Roman" w:hAnsi="Times New Roman" w:cs="Times New Roman"/>
          <w:kern w:val="0"/>
          <w:szCs w:val="24"/>
        </w:rPr>
        <w:t>Noe, R. A. (2017). Employee Training and Development (7th ed.). McGraw-Hill Education, New York.</w:t>
      </w:r>
    </w:p>
    <w:p w14:paraId="78238D45" w14:textId="5119B54B" w:rsidR="00F31648" w:rsidRDefault="00F31648" w:rsidP="00526F42">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F31648">
        <w:rPr>
          <w:rFonts w:ascii="Times New Roman" w:hAnsi="Times New Roman" w:cs="Times New Roman"/>
          <w:kern w:val="0"/>
          <w:szCs w:val="24"/>
        </w:rPr>
        <w:t>Ou</w:t>
      </w:r>
      <w:proofErr w:type="spellEnd"/>
      <w:r w:rsidRPr="00F31648">
        <w:rPr>
          <w:rFonts w:ascii="Times New Roman" w:hAnsi="Times New Roman" w:cs="Times New Roman"/>
          <w:kern w:val="0"/>
          <w:szCs w:val="24"/>
        </w:rPr>
        <w:t>, C., Joyner, D.</w:t>
      </w:r>
      <w:r>
        <w:rPr>
          <w:rFonts w:ascii="Times New Roman" w:hAnsi="Times New Roman" w:cs="Times New Roman"/>
          <w:kern w:val="0"/>
          <w:szCs w:val="24"/>
        </w:rPr>
        <w:t xml:space="preserve"> </w:t>
      </w:r>
      <w:r w:rsidRPr="00F31648">
        <w:rPr>
          <w:rFonts w:ascii="Times New Roman" w:hAnsi="Times New Roman" w:cs="Times New Roman"/>
          <w:kern w:val="0"/>
          <w:szCs w:val="24"/>
        </w:rPr>
        <w:t>A.</w:t>
      </w:r>
      <w:r>
        <w:rPr>
          <w:rFonts w:ascii="Times New Roman" w:hAnsi="Times New Roman" w:cs="Times New Roman"/>
          <w:kern w:val="0"/>
          <w:szCs w:val="24"/>
        </w:rPr>
        <w:t xml:space="preserve"> and</w:t>
      </w:r>
      <w:r w:rsidRPr="00F31648">
        <w:rPr>
          <w:rFonts w:ascii="Times New Roman" w:hAnsi="Times New Roman" w:cs="Times New Roman"/>
          <w:kern w:val="0"/>
          <w:szCs w:val="24"/>
        </w:rPr>
        <w:t xml:space="preserve"> Goel, A.</w:t>
      </w:r>
      <w:r>
        <w:rPr>
          <w:rFonts w:ascii="Times New Roman" w:hAnsi="Times New Roman" w:cs="Times New Roman"/>
          <w:kern w:val="0"/>
          <w:szCs w:val="24"/>
        </w:rPr>
        <w:t xml:space="preserve"> </w:t>
      </w:r>
      <w:r w:rsidRPr="00F31648">
        <w:rPr>
          <w:rFonts w:ascii="Times New Roman" w:hAnsi="Times New Roman" w:cs="Times New Roman"/>
          <w:kern w:val="0"/>
          <w:szCs w:val="24"/>
        </w:rPr>
        <w:t xml:space="preserve">K. (2019). Designing and developing video lessons for online learning: A seven-principle model. Online Learning, 23(2), </w:t>
      </w:r>
      <w:r>
        <w:rPr>
          <w:rFonts w:ascii="Times New Roman" w:hAnsi="Times New Roman" w:cs="Times New Roman"/>
          <w:kern w:val="0"/>
          <w:szCs w:val="24"/>
        </w:rPr>
        <w:t xml:space="preserve">pp. </w:t>
      </w:r>
      <w:r w:rsidRPr="00F31648">
        <w:rPr>
          <w:rFonts w:ascii="Times New Roman" w:hAnsi="Times New Roman" w:cs="Times New Roman"/>
          <w:kern w:val="0"/>
          <w:szCs w:val="24"/>
        </w:rPr>
        <w:t>82-104.</w:t>
      </w:r>
    </w:p>
    <w:p w14:paraId="7B3ADD1D" w14:textId="24BB0BFB" w:rsidR="002A44AA" w:rsidRDefault="002A44AA" w:rsidP="00283599">
      <w:pPr>
        <w:pStyle w:val="a6"/>
        <w:numPr>
          <w:ilvl w:val="0"/>
          <w:numId w:val="22"/>
        </w:numPr>
        <w:autoSpaceDE w:val="0"/>
        <w:autoSpaceDN w:val="0"/>
        <w:ind w:leftChars="0" w:left="616"/>
        <w:jc w:val="both"/>
        <w:rPr>
          <w:rFonts w:ascii="Times New Roman" w:hAnsi="Times New Roman" w:cs="Times New Roman"/>
          <w:kern w:val="0"/>
          <w:szCs w:val="24"/>
        </w:rPr>
      </w:pPr>
      <w:r w:rsidRPr="002A44AA">
        <w:rPr>
          <w:rFonts w:ascii="Times New Roman" w:hAnsi="Times New Roman" w:cs="Times New Roman"/>
          <w:kern w:val="0"/>
          <w:szCs w:val="24"/>
        </w:rPr>
        <w:t xml:space="preserve">Pinto, A. S., Abreu, A., Costa, E. </w:t>
      </w:r>
      <w:r>
        <w:rPr>
          <w:rFonts w:ascii="Times New Roman" w:hAnsi="Times New Roman" w:cs="Times New Roman"/>
          <w:kern w:val="0"/>
          <w:szCs w:val="24"/>
        </w:rPr>
        <w:t>and</w:t>
      </w:r>
      <w:r w:rsidRPr="002A44AA">
        <w:rPr>
          <w:rFonts w:ascii="Times New Roman" w:hAnsi="Times New Roman" w:cs="Times New Roman"/>
          <w:kern w:val="0"/>
          <w:szCs w:val="24"/>
        </w:rPr>
        <w:t xml:space="preserve"> Paiva, J. (2022). Augmented Reality for a New Reality: Using UTAUT-3 to Assess the Adoption of Mobile Augmented Reality in Tourism (MART). Journal of Information Systems Engineering and Management, 7(2), 14550. https://doi.org/10.55267/iadt.07.12012</w:t>
      </w:r>
    </w:p>
    <w:p w14:paraId="377C888E" w14:textId="4082F697" w:rsidR="00283599" w:rsidRDefault="00526F42" w:rsidP="00283599">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526F42">
        <w:rPr>
          <w:rFonts w:ascii="Times New Roman" w:hAnsi="Times New Roman" w:cs="Times New Roman"/>
          <w:kern w:val="0"/>
          <w:szCs w:val="24"/>
        </w:rPr>
        <w:t>Pozdnyakova</w:t>
      </w:r>
      <w:proofErr w:type="spellEnd"/>
      <w:r w:rsidRPr="00526F42">
        <w:rPr>
          <w:rFonts w:ascii="Times New Roman" w:hAnsi="Times New Roman" w:cs="Times New Roman"/>
          <w:kern w:val="0"/>
          <w:szCs w:val="24"/>
        </w:rPr>
        <w:t xml:space="preserve">, O. and </w:t>
      </w:r>
      <w:proofErr w:type="spellStart"/>
      <w:r w:rsidRPr="00526F42">
        <w:rPr>
          <w:rFonts w:ascii="Times New Roman" w:hAnsi="Times New Roman" w:cs="Times New Roman"/>
          <w:kern w:val="0"/>
          <w:szCs w:val="24"/>
        </w:rPr>
        <w:t>Pozdnyakov</w:t>
      </w:r>
      <w:proofErr w:type="spellEnd"/>
      <w:r w:rsidRPr="00526F42">
        <w:rPr>
          <w:rFonts w:ascii="Times New Roman" w:hAnsi="Times New Roman" w:cs="Times New Roman"/>
          <w:kern w:val="0"/>
          <w:szCs w:val="24"/>
        </w:rPr>
        <w:t>, A. (2017). Adult Students’ Problems in the Distance Learning. Procedia Engineering, 178, pp. 243-248.</w:t>
      </w:r>
    </w:p>
    <w:p w14:paraId="1910FB52" w14:textId="4386C5B1" w:rsidR="00283599" w:rsidRPr="00283599" w:rsidRDefault="00283599" w:rsidP="00283599">
      <w:pPr>
        <w:pStyle w:val="a6"/>
        <w:numPr>
          <w:ilvl w:val="0"/>
          <w:numId w:val="22"/>
        </w:numPr>
        <w:autoSpaceDE w:val="0"/>
        <w:autoSpaceDN w:val="0"/>
        <w:ind w:leftChars="0" w:left="616"/>
        <w:jc w:val="both"/>
        <w:rPr>
          <w:rFonts w:ascii="Times New Roman" w:hAnsi="Times New Roman" w:cs="Times New Roman"/>
          <w:kern w:val="0"/>
          <w:szCs w:val="24"/>
        </w:rPr>
      </w:pPr>
      <w:r w:rsidRPr="00283599">
        <w:rPr>
          <w:rFonts w:ascii="Times New Roman" w:hAnsi="Times New Roman" w:cs="Times New Roman"/>
          <w:kern w:val="0"/>
          <w:szCs w:val="24"/>
        </w:rPr>
        <w:t xml:space="preserve">Ren, J. </w:t>
      </w:r>
      <w:r w:rsidR="00341B48">
        <w:rPr>
          <w:rFonts w:ascii="Times New Roman" w:hAnsi="Times New Roman" w:cs="Times New Roman"/>
          <w:kern w:val="0"/>
          <w:szCs w:val="24"/>
        </w:rPr>
        <w:t>(</w:t>
      </w:r>
      <w:r w:rsidRPr="00283599">
        <w:rPr>
          <w:rFonts w:ascii="Times New Roman" w:hAnsi="Times New Roman" w:cs="Times New Roman"/>
          <w:kern w:val="0"/>
          <w:szCs w:val="24"/>
        </w:rPr>
        <w:t>2020</w:t>
      </w:r>
      <w:r w:rsidR="00341B48">
        <w:rPr>
          <w:rFonts w:ascii="Times New Roman" w:hAnsi="Times New Roman" w:cs="Times New Roman"/>
          <w:kern w:val="0"/>
          <w:szCs w:val="24"/>
        </w:rPr>
        <w:t>)</w:t>
      </w:r>
      <w:r w:rsidRPr="00283599">
        <w:rPr>
          <w:rFonts w:ascii="Times New Roman" w:hAnsi="Times New Roman" w:cs="Times New Roman"/>
          <w:kern w:val="0"/>
          <w:szCs w:val="24"/>
        </w:rPr>
        <w:t>. How the Change to Online Learning Affected Chinese Language</w:t>
      </w:r>
      <w:r>
        <w:rPr>
          <w:rFonts w:ascii="Times New Roman" w:hAnsi="Times New Roman" w:cs="Times New Roman"/>
          <w:kern w:val="0"/>
          <w:szCs w:val="24"/>
        </w:rPr>
        <w:t xml:space="preserve"> </w:t>
      </w:r>
      <w:r w:rsidRPr="00283599">
        <w:rPr>
          <w:rFonts w:ascii="Times New Roman" w:hAnsi="Times New Roman" w:cs="Times New Roman"/>
          <w:kern w:val="0"/>
          <w:szCs w:val="24"/>
        </w:rPr>
        <w:t>Teaching in California Schools Due to the 2020 COVID-19 Pandemic.</w:t>
      </w:r>
      <w:r>
        <w:rPr>
          <w:rFonts w:ascii="Times New Roman" w:hAnsi="Times New Roman" w:cs="Times New Roman"/>
          <w:kern w:val="0"/>
          <w:szCs w:val="24"/>
        </w:rPr>
        <w:t xml:space="preserve"> </w:t>
      </w:r>
      <w:r w:rsidRPr="00283599">
        <w:rPr>
          <w:rFonts w:ascii="Times New Roman" w:hAnsi="Times New Roman" w:cs="Times New Roman"/>
          <w:kern w:val="0"/>
          <w:szCs w:val="24"/>
        </w:rPr>
        <w:t>Humboldt State University MA thesis</w:t>
      </w:r>
      <w:r>
        <w:rPr>
          <w:rFonts w:ascii="Times New Roman" w:hAnsi="Times New Roman" w:cs="Times New Roman"/>
          <w:kern w:val="0"/>
          <w:szCs w:val="24"/>
        </w:rPr>
        <w:t xml:space="preserve">, </w:t>
      </w:r>
      <w:r w:rsidRPr="00283599">
        <w:rPr>
          <w:rFonts w:ascii="Times New Roman" w:hAnsi="Times New Roman" w:cs="Times New Roman"/>
          <w:kern w:val="0"/>
          <w:szCs w:val="24"/>
        </w:rPr>
        <w:t>California.</w:t>
      </w:r>
    </w:p>
    <w:p w14:paraId="2DFF1876" w14:textId="12EA605F" w:rsidR="000D680B" w:rsidRDefault="00B2406F" w:rsidP="00B2406F">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B2406F">
        <w:rPr>
          <w:rFonts w:ascii="Times New Roman" w:hAnsi="Times New Roman" w:cs="Times New Roman"/>
          <w:kern w:val="0"/>
          <w:szCs w:val="24"/>
        </w:rPr>
        <w:t>Saaty</w:t>
      </w:r>
      <w:proofErr w:type="spellEnd"/>
      <w:r w:rsidRPr="00B2406F">
        <w:rPr>
          <w:rFonts w:ascii="Times New Roman" w:hAnsi="Times New Roman" w:cs="Times New Roman"/>
          <w:kern w:val="0"/>
          <w:szCs w:val="24"/>
        </w:rPr>
        <w:t>, T. L. (1980). The Analytic Hierarchy Process. McGraw-Hill, New York.</w:t>
      </w:r>
    </w:p>
    <w:p w14:paraId="447FCF9D" w14:textId="36C7726D" w:rsidR="008C1C90" w:rsidRDefault="008C1C90" w:rsidP="00B2406F">
      <w:pPr>
        <w:pStyle w:val="a6"/>
        <w:numPr>
          <w:ilvl w:val="0"/>
          <w:numId w:val="22"/>
        </w:numPr>
        <w:autoSpaceDE w:val="0"/>
        <w:autoSpaceDN w:val="0"/>
        <w:ind w:leftChars="0" w:left="616"/>
        <w:jc w:val="both"/>
        <w:rPr>
          <w:rFonts w:ascii="Times New Roman" w:hAnsi="Times New Roman" w:cs="Times New Roman"/>
          <w:kern w:val="0"/>
          <w:szCs w:val="24"/>
        </w:rPr>
      </w:pPr>
      <w:bookmarkStart w:id="3" w:name="_Hlk150903771"/>
      <w:r w:rsidRPr="008C1C90">
        <w:rPr>
          <w:rFonts w:ascii="Times New Roman" w:hAnsi="Times New Roman" w:cs="Times New Roman"/>
          <w:kern w:val="0"/>
          <w:szCs w:val="24"/>
        </w:rPr>
        <w:t>Sit, J.</w:t>
      </w:r>
      <w:r>
        <w:rPr>
          <w:rFonts w:ascii="Times New Roman" w:hAnsi="Times New Roman" w:cs="Times New Roman"/>
          <w:kern w:val="0"/>
          <w:szCs w:val="24"/>
        </w:rPr>
        <w:t xml:space="preserve"> </w:t>
      </w:r>
      <w:r w:rsidRPr="008C1C90">
        <w:rPr>
          <w:rFonts w:ascii="Times New Roman" w:hAnsi="Times New Roman" w:cs="Times New Roman"/>
          <w:kern w:val="0"/>
          <w:szCs w:val="24"/>
        </w:rPr>
        <w:t>W.</w:t>
      </w:r>
      <w:r>
        <w:rPr>
          <w:rFonts w:ascii="Times New Roman" w:hAnsi="Times New Roman" w:cs="Times New Roman"/>
          <w:kern w:val="0"/>
          <w:szCs w:val="24"/>
        </w:rPr>
        <w:t xml:space="preserve"> </w:t>
      </w:r>
      <w:r w:rsidRPr="008C1C90">
        <w:rPr>
          <w:rFonts w:ascii="Times New Roman" w:hAnsi="Times New Roman" w:cs="Times New Roman"/>
          <w:kern w:val="0"/>
          <w:szCs w:val="24"/>
        </w:rPr>
        <w:t>H., Chung J. W.</w:t>
      </w:r>
      <w:r>
        <w:rPr>
          <w:rFonts w:ascii="Times New Roman" w:hAnsi="Times New Roman" w:cs="Times New Roman"/>
          <w:kern w:val="0"/>
          <w:szCs w:val="24"/>
        </w:rPr>
        <w:t xml:space="preserve"> </w:t>
      </w:r>
      <w:r w:rsidRPr="008C1C90">
        <w:rPr>
          <w:rFonts w:ascii="Times New Roman" w:hAnsi="Times New Roman" w:cs="Times New Roman"/>
          <w:kern w:val="0"/>
          <w:szCs w:val="24"/>
        </w:rPr>
        <w:t>Y., Chow M.</w:t>
      </w:r>
      <w:r>
        <w:rPr>
          <w:rFonts w:ascii="Times New Roman" w:hAnsi="Times New Roman" w:cs="Times New Roman"/>
          <w:kern w:val="0"/>
          <w:szCs w:val="24"/>
        </w:rPr>
        <w:t xml:space="preserve"> </w:t>
      </w:r>
      <w:r w:rsidRPr="008C1C90">
        <w:rPr>
          <w:rFonts w:ascii="Times New Roman" w:hAnsi="Times New Roman" w:cs="Times New Roman"/>
          <w:kern w:val="0"/>
          <w:szCs w:val="24"/>
        </w:rPr>
        <w:t>C.</w:t>
      </w:r>
      <w:r>
        <w:rPr>
          <w:rFonts w:ascii="Times New Roman" w:hAnsi="Times New Roman" w:cs="Times New Roman"/>
          <w:kern w:val="0"/>
          <w:szCs w:val="24"/>
        </w:rPr>
        <w:t xml:space="preserve"> </w:t>
      </w:r>
      <w:r w:rsidRPr="008C1C90">
        <w:rPr>
          <w:rFonts w:ascii="Times New Roman" w:hAnsi="Times New Roman" w:cs="Times New Roman"/>
          <w:kern w:val="0"/>
          <w:szCs w:val="24"/>
        </w:rPr>
        <w:t>M. and Wong, T.</w:t>
      </w:r>
      <w:r>
        <w:rPr>
          <w:rFonts w:ascii="Times New Roman" w:hAnsi="Times New Roman" w:cs="Times New Roman"/>
          <w:kern w:val="0"/>
          <w:szCs w:val="24"/>
        </w:rPr>
        <w:t xml:space="preserve"> </w:t>
      </w:r>
      <w:r w:rsidRPr="008C1C90">
        <w:rPr>
          <w:rFonts w:ascii="Times New Roman" w:hAnsi="Times New Roman" w:cs="Times New Roman"/>
          <w:kern w:val="0"/>
          <w:szCs w:val="24"/>
        </w:rPr>
        <w:t>K.</w:t>
      </w:r>
      <w:r>
        <w:rPr>
          <w:rFonts w:ascii="Times New Roman" w:hAnsi="Times New Roman" w:cs="Times New Roman"/>
          <w:kern w:val="0"/>
          <w:szCs w:val="24"/>
        </w:rPr>
        <w:t xml:space="preserve"> </w:t>
      </w:r>
      <w:r w:rsidRPr="008C1C90">
        <w:rPr>
          <w:rFonts w:ascii="Times New Roman" w:hAnsi="Times New Roman" w:cs="Times New Roman"/>
          <w:kern w:val="0"/>
          <w:szCs w:val="24"/>
        </w:rPr>
        <w:t xml:space="preserve">S. (2005). Experiences of Online Learning: Students’ Perspective. Nurse </w:t>
      </w:r>
      <w:proofErr w:type="spellStart"/>
      <w:r w:rsidRPr="008C1C90">
        <w:rPr>
          <w:rFonts w:ascii="Times New Roman" w:hAnsi="Times New Roman" w:cs="Times New Roman"/>
          <w:kern w:val="0"/>
          <w:szCs w:val="24"/>
        </w:rPr>
        <w:t>EducationToday</w:t>
      </w:r>
      <w:proofErr w:type="spellEnd"/>
      <w:r w:rsidRPr="008C1C90">
        <w:rPr>
          <w:rFonts w:ascii="Times New Roman" w:hAnsi="Times New Roman" w:cs="Times New Roman"/>
          <w:kern w:val="0"/>
          <w:szCs w:val="24"/>
        </w:rPr>
        <w:t xml:space="preserve">, 25, </w:t>
      </w:r>
      <w:r>
        <w:rPr>
          <w:rFonts w:ascii="Times New Roman" w:hAnsi="Times New Roman" w:cs="Times New Roman"/>
          <w:kern w:val="0"/>
          <w:szCs w:val="24"/>
        </w:rPr>
        <w:t xml:space="preserve">pp. </w:t>
      </w:r>
      <w:r w:rsidRPr="008C1C90">
        <w:rPr>
          <w:rFonts w:ascii="Times New Roman" w:hAnsi="Times New Roman" w:cs="Times New Roman"/>
          <w:kern w:val="0"/>
          <w:szCs w:val="24"/>
        </w:rPr>
        <w:t>140</w:t>
      </w:r>
      <w:r w:rsidR="00DE1C22" w:rsidRPr="008C1C90">
        <w:rPr>
          <w:rFonts w:ascii="Times New Roman" w:hAnsi="Times New Roman" w:cs="Times New Roman"/>
          <w:kern w:val="0"/>
          <w:szCs w:val="24"/>
        </w:rPr>
        <w:t>-</w:t>
      </w:r>
      <w:r w:rsidRPr="008C1C90">
        <w:rPr>
          <w:rFonts w:ascii="Times New Roman" w:hAnsi="Times New Roman" w:cs="Times New Roman"/>
          <w:kern w:val="0"/>
          <w:szCs w:val="24"/>
        </w:rPr>
        <w:t>147.</w:t>
      </w:r>
    </w:p>
    <w:p w14:paraId="22981705" w14:textId="77777777" w:rsidR="00933810" w:rsidRDefault="008C1C90" w:rsidP="00933810">
      <w:pPr>
        <w:pStyle w:val="a6"/>
        <w:numPr>
          <w:ilvl w:val="0"/>
          <w:numId w:val="22"/>
        </w:numPr>
        <w:autoSpaceDE w:val="0"/>
        <w:autoSpaceDN w:val="0"/>
        <w:ind w:leftChars="0" w:left="616"/>
        <w:jc w:val="both"/>
        <w:rPr>
          <w:rFonts w:ascii="Times New Roman" w:hAnsi="Times New Roman" w:cs="Times New Roman"/>
          <w:kern w:val="0"/>
          <w:szCs w:val="24"/>
        </w:rPr>
      </w:pPr>
      <w:r w:rsidRPr="008C1C90">
        <w:rPr>
          <w:rFonts w:ascii="Times New Roman" w:hAnsi="Times New Roman" w:cs="Times New Roman"/>
          <w:kern w:val="0"/>
          <w:szCs w:val="24"/>
        </w:rPr>
        <w:t>Talbert, J.</w:t>
      </w:r>
      <w:r>
        <w:rPr>
          <w:rFonts w:ascii="Times New Roman" w:hAnsi="Times New Roman" w:cs="Times New Roman"/>
          <w:kern w:val="0"/>
          <w:szCs w:val="24"/>
        </w:rPr>
        <w:t xml:space="preserve"> </w:t>
      </w:r>
      <w:r w:rsidRPr="008C1C90">
        <w:rPr>
          <w:rFonts w:ascii="Times New Roman" w:hAnsi="Times New Roman" w:cs="Times New Roman"/>
          <w:kern w:val="0"/>
          <w:szCs w:val="24"/>
        </w:rPr>
        <w:t xml:space="preserve">J. (2009). Distance Education: One Solution to the Nursing Shortage? Clinical Journal of Oncology Nursing, 13(3), </w:t>
      </w:r>
      <w:r>
        <w:rPr>
          <w:rFonts w:ascii="Times New Roman" w:hAnsi="Times New Roman" w:cs="Times New Roman"/>
          <w:kern w:val="0"/>
          <w:szCs w:val="24"/>
        </w:rPr>
        <w:t xml:space="preserve">pp. </w:t>
      </w:r>
      <w:r w:rsidRPr="008C1C90">
        <w:rPr>
          <w:rFonts w:ascii="Times New Roman" w:hAnsi="Times New Roman" w:cs="Times New Roman"/>
          <w:kern w:val="0"/>
          <w:szCs w:val="24"/>
        </w:rPr>
        <w:t>269-270.</w:t>
      </w:r>
    </w:p>
    <w:p w14:paraId="5F4115CA" w14:textId="0C04C475" w:rsidR="00CD62C3" w:rsidRDefault="00CD62C3" w:rsidP="00933810">
      <w:pPr>
        <w:pStyle w:val="a6"/>
        <w:numPr>
          <w:ilvl w:val="0"/>
          <w:numId w:val="22"/>
        </w:numPr>
        <w:autoSpaceDE w:val="0"/>
        <w:autoSpaceDN w:val="0"/>
        <w:ind w:leftChars="0" w:left="616"/>
        <w:jc w:val="both"/>
        <w:rPr>
          <w:rFonts w:ascii="Times New Roman" w:hAnsi="Times New Roman" w:cs="Times New Roman"/>
          <w:kern w:val="0"/>
          <w:szCs w:val="24"/>
        </w:rPr>
      </w:pPr>
      <w:r w:rsidRPr="00933810">
        <w:rPr>
          <w:rFonts w:ascii="Times New Roman" w:hAnsi="Times New Roman" w:cs="Times New Roman"/>
          <w:kern w:val="0"/>
          <w:szCs w:val="24"/>
        </w:rPr>
        <w:t xml:space="preserve">The New Media Consortium. (2010). NMC Horizon project: 2011 short list. Retrieved from </w:t>
      </w:r>
      <w:r w:rsidR="00A9517E" w:rsidRPr="00A9517E">
        <w:rPr>
          <w:rFonts w:ascii="Times New Roman" w:hAnsi="Times New Roman" w:cs="Times New Roman"/>
          <w:kern w:val="0"/>
          <w:szCs w:val="24"/>
        </w:rPr>
        <w:t>http://www.nmc.org/pdf/2011-Horizon-Short-List.pdf</w:t>
      </w:r>
    </w:p>
    <w:p w14:paraId="56930834" w14:textId="0D477613" w:rsidR="00A9517E" w:rsidRDefault="00DF750A" w:rsidP="00933810">
      <w:pPr>
        <w:pStyle w:val="a6"/>
        <w:numPr>
          <w:ilvl w:val="0"/>
          <w:numId w:val="22"/>
        </w:numPr>
        <w:autoSpaceDE w:val="0"/>
        <w:autoSpaceDN w:val="0"/>
        <w:ind w:leftChars="0" w:left="616"/>
        <w:jc w:val="both"/>
        <w:rPr>
          <w:rFonts w:ascii="Times New Roman" w:hAnsi="Times New Roman" w:cs="Times New Roman"/>
          <w:kern w:val="0"/>
          <w:szCs w:val="24"/>
        </w:rPr>
      </w:pPr>
      <w:proofErr w:type="spellStart"/>
      <w:r w:rsidRPr="00DF750A">
        <w:rPr>
          <w:rFonts w:ascii="Times New Roman" w:hAnsi="Times New Roman" w:cs="Times New Roman"/>
          <w:kern w:val="0"/>
          <w:szCs w:val="24"/>
        </w:rPr>
        <w:t>Twum</w:t>
      </w:r>
      <w:proofErr w:type="spellEnd"/>
      <w:r w:rsidRPr="00DF750A">
        <w:rPr>
          <w:rFonts w:ascii="Times New Roman" w:hAnsi="Times New Roman" w:cs="Times New Roman"/>
          <w:kern w:val="0"/>
          <w:szCs w:val="24"/>
        </w:rPr>
        <w:t>, K.</w:t>
      </w:r>
      <w:r>
        <w:rPr>
          <w:rFonts w:ascii="Times New Roman" w:hAnsi="Times New Roman" w:cs="Times New Roman"/>
          <w:kern w:val="0"/>
          <w:szCs w:val="24"/>
        </w:rPr>
        <w:t xml:space="preserve"> </w:t>
      </w:r>
      <w:r w:rsidRPr="00DF750A">
        <w:rPr>
          <w:rFonts w:ascii="Times New Roman" w:hAnsi="Times New Roman" w:cs="Times New Roman"/>
          <w:kern w:val="0"/>
          <w:szCs w:val="24"/>
        </w:rPr>
        <w:t xml:space="preserve">K., Ofori, D., </w:t>
      </w:r>
      <w:proofErr w:type="spellStart"/>
      <w:r w:rsidRPr="00DF750A">
        <w:rPr>
          <w:rFonts w:ascii="Times New Roman" w:hAnsi="Times New Roman" w:cs="Times New Roman"/>
          <w:kern w:val="0"/>
          <w:szCs w:val="24"/>
        </w:rPr>
        <w:t>Keney</w:t>
      </w:r>
      <w:proofErr w:type="spellEnd"/>
      <w:r w:rsidRPr="00DF750A">
        <w:rPr>
          <w:rFonts w:ascii="Times New Roman" w:hAnsi="Times New Roman" w:cs="Times New Roman"/>
          <w:kern w:val="0"/>
          <w:szCs w:val="24"/>
        </w:rPr>
        <w:t xml:space="preserve">, G. and </w:t>
      </w:r>
      <w:proofErr w:type="spellStart"/>
      <w:r w:rsidRPr="00DF750A">
        <w:rPr>
          <w:rFonts w:ascii="Times New Roman" w:hAnsi="Times New Roman" w:cs="Times New Roman"/>
          <w:kern w:val="0"/>
          <w:szCs w:val="24"/>
        </w:rPr>
        <w:t>Korang</w:t>
      </w:r>
      <w:proofErr w:type="spellEnd"/>
      <w:r w:rsidRPr="00DF750A">
        <w:rPr>
          <w:rFonts w:ascii="Times New Roman" w:hAnsi="Times New Roman" w:cs="Times New Roman"/>
          <w:kern w:val="0"/>
          <w:szCs w:val="24"/>
        </w:rPr>
        <w:t>-Yeboah, B. (2022)</w:t>
      </w:r>
      <w:r>
        <w:rPr>
          <w:rFonts w:ascii="Times New Roman" w:hAnsi="Times New Roman" w:cs="Times New Roman"/>
          <w:kern w:val="0"/>
          <w:szCs w:val="24"/>
        </w:rPr>
        <w:t xml:space="preserve">. </w:t>
      </w:r>
      <w:r w:rsidRPr="00DF750A">
        <w:rPr>
          <w:rFonts w:ascii="Times New Roman" w:hAnsi="Times New Roman" w:cs="Times New Roman"/>
          <w:kern w:val="0"/>
          <w:szCs w:val="24"/>
        </w:rPr>
        <w:t>Using the UTAUT, personal innovativeness and perceived financial cost to examine student’s intention to use E-learning</w:t>
      </w:r>
      <w:r>
        <w:rPr>
          <w:rFonts w:ascii="Times New Roman" w:hAnsi="Times New Roman" w:cs="Times New Roman"/>
          <w:kern w:val="0"/>
          <w:szCs w:val="24"/>
        </w:rPr>
        <w:t>.</w:t>
      </w:r>
      <w:r w:rsidRPr="00DF750A">
        <w:rPr>
          <w:rFonts w:ascii="Times New Roman" w:hAnsi="Times New Roman" w:cs="Times New Roman"/>
          <w:kern w:val="0"/>
          <w:szCs w:val="24"/>
        </w:rPr>
        <w:t xml:space="preserve"> Journal of Science and Technology Policy Management, 13</w:t>
      </w:r>
      <w:r>
        <w:rPr>
          <w:rFonts w:ascii="Times New Roman" w:hAnsi="Times New Roman" w:cs="Times New Roman"/>
          <w:kern w:val="0"/>
          <w:szCs w:val="24"/>
        </w:rPr>
        <w:t>(3)</w:t>
      </w:r>
      <w:r w:rsidRPr="00DF750A">
        <w:rPr>
          <w:rFonts w:ascii="Times New Roman" w:hAnsi="Times New Roman" w:cs="Times New Roman"/>
          <w:kern w:val="0"/>
          <w:szCs w:val="24"/>
        </w:rPr>
        <w:t>, pp. 713-737.</w:t>
      </w:r>
      <w:bookmarkEnd w:id="3"/>
    </w:p>
    <w:p w14:paraId="73EE0314" w14:textId="77777777" w:rsidR="00283599" w:rsidRDefault="00283599" w:rsidP="00283599">
      <w:pPr>
        <w:pStyle w:val="a6"/>
        <w:numPr>
          <w:ilvl w:val="0"/>
          <w:numId w:val="22"/>
        </w:numPr>
        <w:autoSpaceDE w:val="0"/>
        <w:autoSpaceDN w:val="0"/>
        <w:ind w:leftChars="0" w:left="616"/>
        <w:jc w:val="both"/>
        <w:rPr>
          <w:rFonts w:ascii="Times New Roman" w:hAnsi="Times New Roman" w:cs="Times New Roman"/>
          <w:kern w:val="0"/>
          <w:szCs w:val="24"/>
        </w:rPr>
      </w:pPr>
      <w:r w:rsidRPr="00B2406F">
        <w:rPr>
          <w:rFonts w:ascii="Times New Roman" w:hAnsi="Times New Roman" w:cs="Times New Roman"/>
          <w:kern w:val="0"/>
          <w:szCs w:val="24"/>
        </w:rPr>
        <w:t xml:space="preserve">Van </w:t>
      </w:r>
      <w:proofErr w:type="spellStart"/>
      <w:r w:rsidRPr="00B2406F">
        <w:rPr>
          <w:rFonts w:ascii="Times New Roman" w:hAnsi="Times New Roman" w:cs="Times New Roman"/>
          <w:kern w:val="0"/>
          <w:szCs w:val="24"/>
        </w:rPr>
        <w:t>Laarhoven</w:t>
      </w:r>
      <w:proofErr w:type="spellEnd"/>
      <w:r w:rsidRPr="00B2406F">
        <w:rPr>
          <w:rFonts w:ascii="Times New Roman" w:hAnsi="Times New Roman" w:cs="Times New Roman"/>
          <w:kern w:val="0"/>
          <w:szCs w:val="24"/>
        </w:rPr>
        <w:t xml:space="preserve">, P. J. M. and </w:t>
      </w:r>
      <w:proofErr w:type="spellStart"/>
      <w:r w:rsidRPr="00B2406F">
        <w:rPr>
          <w:rFonts w:ascii="Times New Roman" w:hAnsi="Times New Roman" w:cs="Times New Roman"/>
          <w:kern w:val="0"/>
          <w:szCs w:val="24"/>
        </w:rPr>
        <w:t>Pedrycz</w:t>
      </w:r>
      <w:proofErr w:type="spellEnd"/>
      <w:r w:rsidRPr="00B2406F">
        <w:rPr>
          <w:rFonts w:ascii="Times New Roman" w:hAnsi="Times New Roman" w:cs="Times New Roman"/>
          <w:kern w:val="0"/>
          <w:szCs w:val="24"/>
        </w:rPr>
        <w:t xml:space="preserve">, W. (1983). A fuzzy extension of </w:t>
      </w:r>
      <w:proofErr w:type="spellStart"/>
      <w:r w:rsidRPr="00B2406F">
        <w:rPr>
          <w:rFonts w:ascii="Times New Roman" w:hAnsi="Times New Roman" w:cs="Times New Roman"/>
          <w:kern w:val="0"/>
          <w:szCs w:val="24"/>
        </w:rPr>
        <w:t>Saaty's</w:t>
      </w:r>
      <w:proofErr w:type="spellEnd"/>
      <w:r>
        <w:rPr>
          <w:rFonts w:ascii="Times New Roman" w:hAnsi="Times New Roman" w:cs="Times New Roman" w:hint="eastAsia"/>
          <w:kern w:val="0"/>
          <w:szCs w:val="24"/>
        </w:rPr>
        <w:t xml:space="preserve"> </w:t>
      </w:r>
      <w:r w:rsidRPr="00B2406F">
        <w:rPr>
          <w:rFonts w:ascii="Times New Roman" w:hAnsi="Times New Roman" w:cs="Times New Roman"/>
          <w:kern w:val="0"/>
          <w:szCs w:val="24"/>
        </w:rPr>
        <w:t>priority theory. Fuzzy Sets and Systems, 11(1-3), pp. 229</w:t>
      </w:r>
      <w:r w:rsidRPr="008C1C90">
        <w:rPr>
          <w:rFonts w:ascii="Times New Roman" w:hAnsi="Times New Roman" w:cs="Times New Roman"/>
          <w:kern w:val="0"/>
          <w:szCs w:val="24"/>
        </w:rPr>
        <w:t>-</w:t>
      </w:r>
      <w:r w:rsidRPr="00B2406F">
        <w:rPr>
          <w:rFonts w:ascii="Times New Roman" w:hAnsi="Times New Roman" w:cs="Times New Roman"/>
          <w:kern w:val="0"/>
          <w:szCs w:val="24"/>
        </w:rPr>
        <w:t>241.</w:t>
      </w:r>
    </w:p>
    <w:p w14:paraId="0CF90084" w14:textId="1C7D9C10" w:rsidR="00283599" w:rsidRDefault="00283599" w:rsidP="00283599">
      <w:pPr>
        <w:pStyle w:val="a6"/>
        <w:numPr>
          <w:ilvl w:val="0"/>
          <w:numId w:val="22"/>
        </w:numPr>
        <w:autoSpaceDE w:val="0"/>
        <w:autoSpaceDN w:val="0"/>
        <w:ind w:leftChars="0" w:left="616"/>
        <w:jc w:val="both"/>
        <w:rPr>
          <w:rFonts w:ascii="Times New Roman" w:hAnsi="Times New Roman" w:cs="Times New Roman"/>
          <w:kern w:val="0"/>
          <w:szCs w:val="24"/>
        </w:rPr>
      </w:pPr>
      <w:r w:rsidRPr="00461F5B">
        <w:rPr>
          <w:rFonts w:ascii="Times New Roman" w:hAnsi="Times New Roman" w:cs="Times New Roman"/>
          <w:kern w:val="0"/>
          <w:szCs w:val="24"/>
        </w:rPr>
        <w:t xml:space="preserve">Venkatesh, V., Morris, M. G., Davis, G. B. </w:t>
      </w:r>
      <w:r>
        <w:rPr>
          <w:rFonts w:ascii="Times New Roman" w:hAnsi="Times New Roman" w:cs="Times New Roman"/>
          <w:kern w:val="0"/>
          <w:szCs w:val="24"/>
        </w:rPr>
        <w:t>and</w:t>
      </w:r>
      <w:r w:rsidRPr="00461F5B">
        <w:rPr>
          <w:rFonts w:ascii="Times New Roman" w:hAnsi="Times New Roman" w:cs="Times New Roman"/>
          <w:kern w:val="0"/>
          <w:szCs w:val="24"/>
        </w:rPr>
        <w:t xml:space="preserve"> Davis, F. D. (2003). User acceptance of information technology: Toward a unified view. MIS Quarterly, 27(3),</w:t>
      </w:r>
      <w:r>
        <w:rPr>
          <w:rFonts w:ascii="Times New Roman" w:hAnsi="Times New Roman" w:cs="Times New Roman"/>
          <w:kern w:val="0"/>
          <w:szCs w:val="24"/>
        </w:rPr>
        <w:t xml:space="preserve"> pp. </w:t>
      </w:r>
      <w:r w:rsidRPr="00461F5B">
        <w:rPr>
          <w:rFonts w:ascii="Times New Roman" w:hAnsi="Times New Roman" w:cs="Times New Roman"/>
          <w:kern w:val="0"/>
          <w:szCs w:val="24"/>
        </w:rPr>
        <w:t>425-478.</w:t>
      </w:r>
    </w:p>
    <w:p w14:paraId="32056CC6" w14:textId="71E52813" w:rsidR="00283599" w:rsidRDefault="00AD1D21" w:rsidP="00933810">
      <w:pPr>
        <w:pStyle w:val="a6"/>
        <w:numPr>
          <w:ilvl w:val="0"/>
          <w:numId w:val="22"/>
        </w:numPr>
        <w:autoSpaceDE w:val="0"/>
        <w:autoSpaceDN w:val="0"/>
        <w:ind w:leftChars="0" w:left="616"/>
        <w:jc w:val="both"/>
        <w:rPr>
          <w:rFonts w:ascii="Times New Roman" w:hAnsi="Times New Roman" w:cs="Times New Roman"/>
          <w:kern w:val="0"/>
          <w:szCs w:val="24"/>
        </w:rPr>
      </w:pPr>
      <w:r w:rsidRPr="00AD1D21">
        <w:rPr>
          <w:rFonts w:ascii="Times New Roman" w:hAnsi="Times New Roman" w:cs="Times New Roman"/>
          <w:kern w:val="0"/>
          <w:szCs w:val="24"/>
        </w:rPr>
        <w:t xml:space="preserve">Venkatesh, </w:t>
      </w:r>
      <w:r w:rsidRPr="00461F5B">
        <w:rPr>
          <w:rFonts w:ascii="Times New Roman" w:hAnsi="Times New Roman" w:cs="Times New Roman"/>
          <w:kern w:val="0"/>
          <w:szCs w:val="24"/>
        </w:rPr>
        <w:t>V.,</w:t>
      </w:r>
      <w:r>
        <w:rPr>
          <w:rFonts w:ascii="Times New Roman" w:hAnsi="Times New Roman" w:cs="Times New Roman"/>
          <w:kern w:val="0"/>
          <w:szCs w:val="24"/>
        </w:rPr>
        <w:t xml:space="preserve"> </w:t>
      </w:r>
      <w:r w:rsidRPr="00AD1D21">
        <w:rPr>
          <w:rFonts w:ascii="Times New Roman" w:hAnsi="Times New Roman" w:cs="Times New Roman"/>
          <w:kern w:val="0"/>
          <w:szCs w:val="24"/>
        </w:rPr>
        <w:t>Thong,</w:t>
      </w:r>
      <w:r>
        <w:rPr>
          <w:rFonts w:ascii="Times New Roman" w:hAnsi="Times New Roman" w:cs="Times New Roman"/>
          <w:kern w:val="0"/>
          <w:szCs w:val="24"/>
        </w:rPr>
        <w:t xml:space="preserve"> J. </w:t>
      </w:r>
      <w:r w:rsidRPr="00AD1D21">
        <w:rPr>
          <w:rFonts w:ascii="Times New Roman" w:hAnsi="Times New Roman" w:cs="Times New Roman"/>
          <w:kern w:val="0"/>
          <w:szCs w:val="24"/>
        </w:rPr>
        <w:t xml:space="preserve">Y. L. </w:t>
      </w:r>
      <w:r>
        <w:rPr>
          <w:rFonts w:ascii="Times New Roman" w:hAnsi="Times New Roman" w:cs="Times New Roman"/>
          <w:kern w:val="0"/>
          <w:szCs w:val="24"/>
        </w:rPr>
        <w:t>and</w:t>
      </w:r>
      <w:r w:rsidRPr="00AD1D21">
        <w:rPr>
          <w:rFonts w:ascii="Times New Roman" w:hAnsi="Times New Roman" w:cs="Times New Roman"/>
          <w:kern w:val="0"/>
          <w:szCs w:val="24"/>
        </w:rPr>
        <w:t xml:space="preserve"> Xu</w:t>
      </w:r>
      <w:r>
        <w:rPr>
          <w:rFonts w:ascii="Times New Roman" w:hAnsi="Times New Roman" w:cs="Times New Roman"/>
          <w:kern w:val="0"/>
          <w:szCs w:val="24"/>
        </w:rPr>
        <w:t>, X.</w:t>
      </w:r>
      <w:r w:rsidRPr="00AD1D21">
        <w:rPr>
          <w:rFonts w:ascii="Times New Roman" w:hAnsi="Times New Roman" w:cs="Times New Roman"/>
          <w:kern w:val="0"/>
          <w:szCs w:val="24"/>
        </w:rPr>
        <w:t xml:space="preserve"> (2012). Consumer Acceptance and Use of Information Technology: Extending the Unified Theory of Acceptance and Use of Technology. MIS Quarterly, 36(1), </w:t>
      </w:r>
      <w:r>
        <w:rPr>
          <w:rFonts w:ascii="Times New Roman" w:hAnsi="Times New Roman" w:cs="Times New Roman"/>
          <w:kern w:val="0"/>
          <w:szCs w:val="24"/>
        </w:rPr>
        <w:t xml:space="preserve">pp. </w:t>
      </w:r>
      <w:r w:rsidRPr="00AD1D21">
        <w:rPr>
          <w:rFonts w:ascii="Times New Roman" w:hAnsi="Times New Roman" w:cs="Times New Roman"/>
          <w:kern w:val="0"/>
          <w:szCs w:val="24"/>
        </w:rPr>
        <w:t>157</w:t>
      </w:r>
      <w:r>
        <w:rPr>
          <w:rFonts w:ascii="Times New Roman" w:hAnsi="Times New Roman" w:cs="Times New Roman"/>
          <w:kern w:val="0"/>
          <w:szCs w:val="24"/>
        </w:rPr>
        <w:t>-178</w:t>
      </w:r>
      <w:r w:rsidRPr="00AD1D21">
        <w:rPr>
          <w:rFonts w:ascii="Times New Roman" w:hAnsi="Times New Roman" w:cs="Times New Roman"/>
          <w:kern w:val="0"/>
          <w:szCs w:val="24"/>
        </w:rPr>
        <w:t>.</w:t>
      </w:r>
    </w:p>
    <w:p w14:paraId="7F3F54AA" w14:textId="05F107DB" w:rsidR="00C21EEA" w:rsidRPr="00933810" w:rsidRDefault="00C21EEA" w:rsidP="00933810">
      <w:pPr>
        <w:pStyle w:val="a6"/>
        <w:numPr>
          <w:ilvl w:val="0"/>
          <w:numId w:val="22"/>
        </w:numPr>
        <w:autoSpaceDE w:val="0"/>
        <w:autoSpaceDN w:val="0"/>
        <w:ind w:leftChars="0" w:left="616"/>
        <w:jc w:val="both"/>
        <w:rPr>
          <w:rFonts w:ascii="Times New Roman" w:hAnsi="Times New Roman" w:cs="Times New Roman"/>
          <w:kern w:val="0"/>
          <w:szCs w:val="24"/>
        </w:rPr>
      </w:pPr>
      <w:r w:rsidRPr="00C21EEA">
        <w:rPr>
          <w:rFonts w:ascii="Times New Roman" w:hAnsi="Times New Roman" w:cs="Times New Roman"/>
          <w:kern w:val="0"/>
          <w:szCs w:val="24"/>
        </w:rPr>
        <w:t>Wang, L</w:t>
      </w:r>
      <w:r>
        <w:rPr>
          <w:rFonts w:ascii="Times New Roman" w:hAnsi="Times New Roman" w:cs="Times New Roman"/>
          <w:kern w:val="0"/>
          <w:szCs w:val="24"/>
        </w:rPr>
        <w:t>.-</w:t>
      </w:r>
      <w:r w:rsidRPr="00C21EEA">
        <w:rPr>
          <w:rFonts w:ascii="Times New Roman" w:hAnsi="Times New Roman" w:cs="Times New Roman"/>
          <w:kern w:val="0"/>
          <w:szCs w:val="24"/>
        </w:rPr>
        <w:t>H., Chen, B., Hwang, G</w:t>
      </w:r>
      <w:r>
        <w:rPr>
          <w:rFonts w:ascii="Times New Roman" w:hAnsi="Times New Roman" w:cs="Times New Roman"/>
          <w:kern w:val="0"/>
          <w:szCs w:val="24"/>
        </w:rPr>
        <w:t>.-</w:t>
      </w:r>
      <w:r w:rsidRPr="00C21EEA">
        <w:rPr>
          <w:rFonts w:ascii="Times New Roman" w:hAnsi="Times New Roman" w:cs="Times New Roman"/>
          <w:kern w:val="0"/>
          <w:szCs w:val="24"/>
        </w:rPr>
        <w:t>J</w:t>
      </w:r>
      <w:r>
        <w:rPr>
          <w:rFonts w:ascii="Times New Roman" w:hAnsi="Times New Roman" w:cs="Times New Roman"/>
          <w:kern w:val="0"/>
          <w:szCs w:val="24"/>
        </w:rPr>
        <w:t xml:space="preserve">., </w:t>
      </w:r>
      <w:r w:rsidRPr="00C21EEA">
        <w:rPr>
          <w:rFonts w:ascii="Times New Roman" w:hAnsi="Times New Roman" w:cs="Times New Roman"/>
          <w:kern w:val="0"/>
          <w:szCs w:val="24"/>
        </w:rPr>
        <w:t>Guan</w:t>
      </w:r>
      <w:r>
        <w:rPr>
          <w:rFonts w:ascii="Times New Roman" w:hAnsi="Times New Roman" w:cs="Times New Roman"/>
          <w:kern w:val="0"/>
          <w:szCs w:val="24"/>
        </w:rPr>
        <w:t xml:space="preserve">, J.-Q., </w:t>
      </w:r>
      <w:r w:rsidRPr="00C21EEA">
        <w:rPr>
          <w:rFonts w:ascii="Times New Roman" w:hAnsi="Times New Roman" w:cs="Times New Roman"/>
          <w:kern w:val="0"/>
          <w:szCs w:val="24"/>
        </w:rPr>
        <w:t>Wang</w:t>
      </w:r>
      <w:r>
        <w:rPr>
          <w:rFonts w:ascii="Times New Roman" w:hAnsi="Times New Roman" w:cs="Times New Roman"/>
          <w:kern w:val="0"/>
          <w:szCs w:val="24"/>
        </w:rPr>
        <w:t>, Y.-Q. (2022)</w:t>
      </w:r>
      <w:r w:rsidRPr="00C21EEA">
        <w:rPr>
          <w:rFonts w:ascii="Times New Roman" w:hAnsi="Times New Roman" w:cs="Times New Roman"/>
          <w:kern w:val="0"/>
          <w:szCs w:val="24"/>
        </w:rPr>
        <w:t xml:space="preserve">. Effects of digital game-based STEM education on students’ learning achievement: a meta-analysis. International Journal of STEM Education, </w:t>
      </w:r>
      <w:r>
        <w:rPr>
          <w:rFonts w:ascii="Times New Roman" w:hAnsi="Times New Roman" w:cs="Times New Roman"/>
          <w:kern w:val="0"/>
          <w:szCs w:val="24"/>
        </w:rPr>
        <w:t>9(</w:t>
      </w:r>
      <w:r w:rsidRPr="00C21EEA">
        <w:rPr>
          <w:rFonts w:ascii="Times New Roman" w:hAnsi="Times New Roman" w:cs="Times New Roman"/>
          <w:kern w:val="0"/>
          <w:szCs w:val="24"/>
        </w:rPr>
        <w:t>26</w:t>
      </w:r>
      <w:r>
        <w:rPr>
          <w:rFonts w:ascii="Times New Roman" w:hAnsi="Times New Roman" w:cs="Times New Roman"/>
          <w:kern w:val="0"/>
          <w:szCs w:val="24"/>
        </w:rPr>
        <w:t xml:space="preserve">). </w:t>
      </w:r>
      <w:r w:rsidRPr="00C21EEA">
        <w:rPr>
          <w:rFonts w:ascii="Times New Roman" w:hAnsi="Times New Roman" w:cs="Times New Roman"/>
          <w:kern w:val="0"/>
          <w:szCs w:val="24"/>
        </w:rPr>
        <w:t>https://doi.org/10.1186/s40594-022-00344-0 (2022).</w:t>
      </w:r>
    </w:p>
    <w:p w14:paraId="78EFA5DA" w14:textId="1CBA84DF" w:rsidR="00B2406F" w:rsidRDefault="00B2406F" w:rsidP="00B2406F">
      <w:pPr>
        <w:autoSpaceDE w:val="0"/>
        <w:autoSpaceDN w:val="0"/>
        <w:jc w:val="both"/>
        <w:rPr>
          <w:rFonts w:ascii="Times New Roman" w:hAnsi="Times New Roman" w:cs="Times New Roman"/>
          <w:kern w:val="0"/>
          <w:szCs w:val="24"/>
        </w:rPr>
      </w:pPr>
    </w:p>
    <w:sectPr w:rsidR="00B2406F" w:rsidSect="00411162">
      <w:footerReference w:type="first" r:id="rId8"/>
      <w:pgSz w:w="14570" w:h="20636" w:code="12"/>
      <w:pgMar w:top="1440" w:right="1440" w:bottom="1440" w:left="1440"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DE36" w16cex:dateUtc="2023-04-23T1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E019" w14:textId="77777777" w:rsidR="00502702" w:rsidRDefault="00502702" w:rsidP="0058355B">
      <w:r>
        <w:separator/>
      </w:r>
    </w:p>
  </w:endnote>
  <w:endnote w:type="continuationSeparator" w:id="0">
    <w:p w14:paraId="411E0C44" w14:textId="77777777" w:rsidR="00502702" w:rsidRDefault="00502702" w:rsidP="0058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2D80" w14:textId="77777777" w:rsidR="00F31648" w:rsidRPr="00411162" w:rsidRDefault="00F31648" w:rsidP="00411162">
    <w:pPr>
      <w:pStyle w:val="af5"/>
      <w:tabs>
        <w:tab w:val="left" w:pos="4665"/>
      </w:tabs>
    </w:pPr>
    <w:r w:rsidRPr="00411162">
      <w:rPr>
        <w:rStyle w:val="af7"/>
      </w:rPr>
      <w:footnoteRef/>
    </w:r>
    <w:r w:rsidRPr="00411162">
      <w:t>The Department of International Business, Chang Jung Christian University. e-mail:</w:t>
    </w:r>
    <w:r>
      <w:rPr>
        <w:rFonts w:hint="eastAsia"/>
      </w:rPr>
      <w:t xml:space="preserve"> </w:t>
    </w:r>
    <w:r w:rsidRPr="00411162">
      <w:t>liming@mail.cjcu.edu.tw</w:t>
    </w:r>
    <w:r w:rsidRPr="00411162">
      <w:tab/>
    </w:r>
  </w:p>
  <w:p w14:paraId="3B9469A8" w14:textId="18B68D1A" w:rsidR="00F31648" w:rsidRDefault="00F31648" w:rsidP="00411162">
    <w:pPr>
      <w:pStyle w:val="ad"/>
      <w:rPr>
        <w:rFonts w:ascii="Times New Roman" w:hAnsi="Times New Roman" w:cs="Times New Roman"/>
      </w:rPr>
    </w:pPr>
    <w:r>
      <w:rPr>
        <w:rStyle w:val="af7"/>
        <w:rFonts w:ascii="Times New Roman" w:hAnsi="Times New Roman" w:cs="Times New Roman" w:hint="eastAsia"/>
      </w:rPr>
      <w:t>2</w:t>
    </w:r>
    <w:r w:rsidRPr="00411162">
      <w:rPr>
        <w:rFonts w:ascii="Times New Roman" w:hAnsi="Times New Roman" w:cs="Times New Roman"/>
      </w:rPr>
      <w:t xml:space="preserve"> The Ph.D. Program in Business and Operations Management, College of Management,</w:t>
    </w:r>
    <w:r>
      <w:rPr>
        <w:rFonts w:ascii="Times New Roman" w:hAnsi="Times New Roman" w:cs="Times New Roman" w:hint="eastAsia"/>
      </w:rPr>
      <w:t xml:space="preserve"> </w:t>
    </w:r>
    <w:r w:rsidRPr="00411162">
      <w:rPr>
        <w:rFonts w:ascii="Times New Roman" w:hAnsi="Times New Roman" w:cs="Times New Roman"/>
      </w:rPr>
      <w:t>Chang Jung Christian University.</w:t>
    </w:r>
    <w:r>
      <w:rPr>
        <w:rFonts w:ascii="Times New Roman" w:hAnsi="Times New Roman" w:cs="Times New Roman" w:hint="eastAsia"/>
      </w:rPr>
      <w:t xml:space="preserve"> </w:t>
    </w:r>
    <w:r w:rsidRPr="00411162">
      <w:rPr>
        <w:rFonts w:ascii="Times New Roman" w:hAnsi="Times New Roman" w:cs="Times New Roman"/>
      </w:rPr>
      <w:t xml:space="preserve"> </w:t>
    </w:r>
    <w:r>
      <w:rPr>
        <w:rFonts w:ascii="Times New Roman" w:hAnsi="Times New Roman" w:cs="Times New Roman" w:hint="eastAsia"/>
      </w:rPr>
      <w:br/>
    </w:r>
    <w:r w:rsidRPr="00411162">
      <w:rPr>
        <w:rFonts w:ascii="Times New Roman" w:hAnsi="Times New Roman" w:cs="Times New Roman"/>
      </w:rPr>
      <w:t>e-mail:</w:t>
    </w:r>
    <w:r>
      <w:rPr>
        <w:rFonts w:ascii="Times New Roman" w:hAnsi="Times New Roman" w:cs="Times New Roman" w:hint="eastAsia"/>
      </w:rPr>
      <w:t xml:space="preserve"> </w:t>
    </w:r>
    <w:r>
      <w:rPr>
        <w:rFonts w:ascii="Times New Roman" w:hAnsi="Times New Roman" w:cs="Times New Roman"/>
      </w:rPr>
      <w:t>109D00018</w:t>
    </w:r>
    <w:r>
      <w:rPr>
        <w:rFonts w:ascii="Times New Roman" w:hAnsi="Times New Roman" w:cs="Times New Roman" w:hint="eastAsia"/>
      </w:rPr>
      <w:t>@</w:t>
    </w:r>
    <w:r>
      <w:rPr>
        <w:rFonts w:ascii="Times New Roman" w:hAnsi="Times New Roman" w:cs="Times New Roman"/>
      </w:rPr>
      <w:t>mail.cjcu.edu.tw</w:t>
    </w:r>
  </w:p>
  <w:p w14:paraId="1CF7AE3F" w14:textId="0FCA53AE" w:rsidR="00F31648" w:rsidRPr="00411162" w:rsidRDefault="00F31648" w:rsidP="00411162">
    <w:pPr>
      <w:pStyle w:val="ad"/>
      <w:rPr>
        <w:rFonts w:ascii="Times New Roman" w:hAnsi="Times New Roman" w:cs="Times New Roman"/>
      </w:rPr>
    </w:pPr>
    <w:r w:rsidRPr="008907D1">
      <w:rPr>
        <w:rFonts w:ascii="Times New Roman" w:hAnsi="Times New Roman" w:cs="Times New Roman"/>
      </w:rPr>
      <w:t>*Corresponding author</w:t>
    </w:r>
  </w:p>
  <w:p w14:paraId="05E3DA7B" w14:textId="77777777" w:rsidR="00F31648" w:rsidRDefault="00F316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32E6" w14:textId="77777777" w:rsidR="00502702" w:rsidRDefault="00502702" w:rsidP="0058355B">
      <w:r>
        <w:separator/>
      </w:r>
    </w:p>
  </w:footnote>
  <w:footnote w:type="continuationSeparator" w:id="0">
    <w:p w14:paraId="7DEE2A07" w14:textId="77777777" w:rsidR="00502702" w:rsidRDefault="00502702" w:rsidP="00583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845"/>
    <w:multiLevelType w:val="hybridMultilevel"/>
    <w:tmpl w:val="D9AC3ED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070DF"/>
    <w:multiLevelType w:val="hybridMultilevel"/>
    <w:tmpl w:val="038C4AAC"/>
    <w:lvl w:ilvl="0" w:tplc="1730EA60">
      <w:start w:val="2"/>
      <w:numFmt w:val="taiwaneseCountingThousand"/>
      <w:lvlText w:val="%1、"/>
      <w:lvlJc w:val="left"/>
      <w:pPr>
        <w:ind w:left="720" w:hanging="720"/>
      </w:pPr>
      <w:rPr>
        <w:rFonts w:asciiTheme="minorHAnsi"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1A476D"/>
    <w:multiLevelType w:val="hybridMultilevel"/>
    <w:tmpl w:val="EE025BCA"/>
    <w:lvl w:ilvl="0" w:tplc="B1A8F084">
      <w:start w:val="1"/>
      <w:numFmt w:val="taiwaneseCountingThousand"/>
      <w:lvlText w:val="(%1)"/>
      <w:lvlJc w:val="left"/>
      <w:pPr>
        <w:ind w:left="764" w:hanging="48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64B1DBE"/>
    <w:multiLevelType w:val="hybridMultilevel"/>
    <w:tmpl w:val="DE18CD54"/>
    <w:lvl w:ilvl="0" w:tplc="B6849BBA">
      <w:start w:val="1"/>
      <w:numFmt w:val="decimal"/>
      <w:lvlText w:val="(%1)"/>
      <w:lvlJc w:val="center"/>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783558D"/>
    <w:multiLevelType w:val="hybridMultilevel"/>
    <w:tmpl w:val="767CDCCE"/>
    <w:lvl w:ilvl="0" w:tplc="CCFEEA62">
      <w:start w:val="1"/>
      <w:numFmt w:val="low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26647D"/>
    <w:multiLevelType w:val="hybridMultilevel"/>
    <w:tmpl w:val="DD047218"/>
    <w:lvl w:ilvl="0" w:tplc="CEC4EB28">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A73586"/>
    <w:multiLevelType w:val="hybridMultilevel"/>
    <w:tmpl w:val="41469086"/>
    <w:lvl w:ilvl="0" w:tplc="D35030A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8A26F9"/>
    <w:multiLevelType w:val="hybridMultilevel"/>
    <w:tmpl w:val="58B44B1E"/>
    <w:lvl w:ilvl="0" w:tplc="E99482B0">
      <w:start w:val="1"/>
      <w:numFmt w:val="decimal"/>
      <w:lvlText w:val="5.%1"/>
      <w:lvlJc w:val="left"/>
      <w:pPr>
        <w:ind w:left="480" w:hanging="480"/>
      </w:pPr>
      <w:rPr>
        <w:rFonts w:hint="eastAsia"/>
      </w:rPr>
    </w:lvl>
    <w:lvl w:ilvl="1" w:tplc="47B2CFA0">
      <w:start w:val="1"/>
      <w:numFmt w:val="lowerLetter"/>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EA743D"/>
    <w:multiLevelType w:val="hybridMultilevel"/>
    <w:tmpl w:val="4FB8B1C4"/>
    <w:lvl w:ilvl="0" w:tplc="C862E498">
      <w:start w:val="1"/>
      <w:numFmt w:val="decimal"/>
      <w:lvlText w:val="[%1]"/>
      <w:lvlJc w:val="center"/>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76E23"/>
    <w:multiLevelType w:val="hybridMultilevel"/>
    <w:tmpl w:val="75BE6D16"/>
    <w:lvl w:ilvl="0" w:tplc="4B849C4E">
      <w:start w:val="1"/>
      <w:numFmt w:val="ideographLegalTraditional"/>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15:restartNumberingAfterBreak="0">
    <w:nsid w:val="2FAE694F"/>
    <w:multiLevelType w:val="hybridMultilevel"/>
    <w:tmpl w:val="B914E2BA"/>
    <w:lvl w:ilvl="0" w:tplc="B6849BBA">
      <w:start w:val="1"/>
      <w:numFmt w:val="decimal"/>
      <w:lvlText w:val="(%1)"/>
      <w:lvlJc w:val="center"/>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2301492"/>
    <w:multiLevelType w:val="hybridMultilevel"/>
    <w:tmpl w:val="B16896DE"/>
    <w:lvl w:ilvl="0" w:tplc="0409000F">
      <w:start w:val="1"/>
      <w:numFmt w:val="decimal"/>
      <w:lvlText w:val="%1."/>
      <w:lvlJc w:val="left"/>
      <w:pPr>
        <w:ind w:left="480" w:hanging="480"/>
      </w:pPr>
    </w:lvl>
    <w:lvl w:ilvl="1" w:tplc="B6849BBA">
      <w:start w:val="1"/>
      <w:numFmt w:val="decimal"/>
      <w:lvlText w:val="(%2)"/>
      <w:lvlJc w:val="center"/>
      <w:pPr>
        <w:ind w:left="1230" w:hanging="75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CA6A48"/>
    <w:multiLevelType w:val="hybridMultilevel"/>
    <w:tmpl w:val="223EE8B2"/>
    <w:lvl w:ilvl="0" w:tplc="1F347184">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79F1086"/>
    <w:multiLevelType w:val="hybridMultilevel"/>
    <w:tmpl w:val="45425596"/>
    <w:lvl w:ilvl="0" w:tplc="B6849BBA">
      <w:start w:val="1"/>
      <w:numFmt w:val="decimal"/>
      <w:lvlText w:val="(%1)"/>
      <w:lvlJc w:val="center"/>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8F69F8"/>
    <w:multiLevelType w:val="hybridMultilevel"/>
    <w:tmpl w:val="ACB6441E"/>
    <w:lvl w:ilvl="0" w:tplc="B1A8F084">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3CC64991"/>
    <w:multiLevelType w:val="hybridMultilevel"/>
    <w:tmpl w:val="08C6F498"/>
    <w:lvl w:ilvl="0" w:tplc="C154648A">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560DF1"/>
    <w:multiLevelType w:val="hybridMultilevel"/>
    <w:tmpl w:val="600ABE72"/>
    <w:lvl w:ilvl="0" w:tplc="868C2E3E">
      <w:start w:val="1"/>
      <w:numFmt w:val="upperLetter"/>
      <w:lvlText w:val="%1."/>
      <w:lvlJc w:val="left"/>
      <w:pPr>
        <w:ind w:left="360" w:hanging="360"/>
      </w:pPr>
      <w:rPr>
        <w:rFonts w:eastAsia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D352DA"/>
    <w:multiLevelType w:val="hybridMultilevel"/>
    <w:tmpl w:val="57748E26"/>
    <w:lvl w:ilvl="0" w:tplc="63BEE39C">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2D4126"/>
    <w:multiLevelType w:val="hybridMultilevel"/>
    <w:tmpl w:val="B68E0A22"/>
    <w:lvl w:ilvl="0" w:tplc="60E222CE">
      <w:start w:val="1"/>
      <w:numFmt w:val="ideographLegalTradition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03F4255"/>
    <w:multiLevelType w:val="hybridMultilevel"/>
    <w:tmpl w:val="E834BD66"/>
    <w:lvl w:ilvl="0" w:tplc="1F347184">
      <w:start w:val="1"/>
      <w:numFmt w:val="lowerLetter"/>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C5F7E14"/>
    <w:multiLevelType w:val="hybridMultilevel"/>
    <w:tmpl w:val="467674E8"/>
    <w:lvl w:ilvl="0" w:tplc="B6849BBA">
      <w:start w:val="1"/>
      <w:numFmt w:val="decimal"/>
      <w:lvlText w:val="(%1)"/>
      <w:lvlJc w:val="center"/>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18D1C71"/>
    <w:multiLevelType w:val="hybridMultilevel"/>
    <w:tmpl w:val="97BC8058"/>
    <w:lvl w:ilvl="0" w:tplc="1F347184">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8BC3C21"/>
    <w:multiLevelType w:val="hybridMultilevel"/>
    <w:tmpl w:val="FABCA6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69995F02"/>
    <w:multiLevelType w:val="hybridMultilevel"/>
    <w:tmpl w:val="9DCAC4CE"/>
    <w:lvl w:ilvl="0" w:tplc="F72E5170">
      <w:start w:val="1"/>
      <w:numFmt w:val="upperLetter"/>
      <w:lvlText w:val="%1."/>
      <w:lvlJc w:val="left"/>
      <w:pPr>
        <w:ind w:left="360" w:hanging="360"/>
      </w:pPr>
      <w:rPr>
        <w:rFonts w:eastAsia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EC4DBE"/>
    <w:multiLevelType w:val="hybridMultilevel"/>
    <w:tmpl w:val="8C8EC2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73E9003E"/>
    <w:multiLevelType w:val="hybridMultilevel"/>
    <w:tmpl w:val="A66E7C5E"/>
    <w:lvl w:ilvl="0" w:tplc="5964CC4A">
      <w:start w:val="1"/>
      <w:numFmt w:val="upperLetter"/>
      <w:lvlText w:val="%1."/>
      <w:lvlJc w:val="left"/>
      <w:pPr>
        <w:ind w:left="360" w:hanging="360"/>
      </w:pPr>
      <w:rPr>
        <w:rFonts w:eastAsia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3851F6"/>
    <w:multiLevelType w:val="hybridMultilevel"/>
    <w:tmpl w:val="51EC5D40"/>
    <w:lvl w:ilvl="0" w:tplc="9B22EEDE">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27" w15:restartNumberingAfterBreak="0">
    <w:nsid w:val="78B05545"/>
    <w:multiLevelType w:val="hybridMultilevel"/>
    <w:tmpl w:val="A2786F98"/>
    <w:lvl w:ilvl="0" w:tplc="B5644C94">
      <w:start w:val="1"/>
      <w:numFmt w:val="ideographLegalTraditional"/>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7"/>
  </w:num>
  <w:num w:numId="3">
    <w:abstractNumId w:val="18"/>
  </w:num>
  <w:num w:numId="4">
    <w:abstractNumId w:val="6"/>
  </w:num>
  <w:num w:numId="5">
    <w:abstractNumId w:val="9"/>
  </w:num>
  <w:num w:numId="6">
    <w:abstractNumId w:val="0"/>
  </w:num>
  <w:num w:numId="7">
    <w:abstractNumId w:val="14"/>
  </w:num>
  <w:num w:numId="8">
    <w:abstractNumId w:val="2"/>
  </w:num>
  <w:num w:numId="9">
    <w:abstractNumId w:val="1"/>
  </w:num>
  <w:num w:numId="10">
    <w:abstractNumId w:val="11"/>
  </w:num>
  <w:num w:numId="11">
    <w:abstractNumId w:val="17"/>
  </w:num>
  <w:num w:numId="12">
    <w:abstractNumId w:val="15"/>
  </w:num>
  <w:num w:numId="13">
    <w:abstractNumId w:val="25"/>
  </w:num>
  <w:num w:numId="14">
    <w:abstractNumId w:val="7"/>
  </w:num>
  <w:num w:numId="15">
    <w:abstractNumId w:val="16"/>
  </w:num>
  <w:num w:numId="16">
    <w:abstractNumId w:val="5"/>
  </w:num>
  <w:num w:numId="17">
    <w:abstractNumId w:val="23"/>
  </w:num>
  <w:num w:numId="18">
    <w:abstractNumId w:val="3"/>
  </w:num>
  <w:num w:numId="19">
    <w:abstractNumId w:val="13"/>
  </w:num>
  <w:num w:numId="20">
    <w:abstractNumId w:val="20"/>
  </w:num>
  <w:num w:numId="21">
    <w:abstractNumId w:val="10"/>
  </w:num>
  <w:num w:numId="22">
    <w:abstractNumId w:val="8"/>
  </w:num>
  <w:num w:numId="23">
    <w:abstractNumId w:val="24"/>
  </w:num>
  <w:num w:numId="24">
    <w:abstractNumId w:val="12"/>
  </w:num>
  <w:num w:numId="25">
    <w:abstractNumId w:val="4"/>
  </w:num>
  <w:num w:numId="26">
    <w:abstractNumId w:val="21"/>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CA"/>
    <w:rsid w:val="00003978"/>
    <w:rsid w:val="00003A5F"/>
    <w:rsid w:val="00006184"/>
    <w:rsid w:val="000146BA"/>
    <w:rsid w:val="00023CC8"/>
    <w:rsid w:val="00027AE2"/>
    <w:rsid w:val="000304A2"/>
    <w:rsid w:val="00034570"/>
    <w:rsid w:val="00040496"/>
    <w:rsid w:val="00052460"/>
    <w:rsid w:val="00053989"/>
    <w:rsid w:val="00064F5E"/>
    <w:rsid w:val="00065169"/>
    <w:rsid w:val="00066E0E"/>
    <w:rsid w:val="00067AE9"/>
    <w:rsid w:val="00082B10"/>
    <w:rsid w:val="00082D94"/>
    <w:rsid w:val="000951BF"/>
    <w:rsid w:val="000A7E41"/>
    <w:rsid w:val="000C5734"/>
    <w:rsid w:val="000D680B"/>
    <w:rsid w:val="000E3403"/>
    <w:rsid w:val="000F6327"/>
    <w:rsid w:val="00104EDC"/>
    <w:rsid w:val="00105776"/>
    <w:rsid w:val="00111589"/>
    <w:rsid w:val="00120843"/>
    <w:rsid w:val="00122D37"/>
    <w:rsid w:val="001324A4"/>
    <w:rsid w:val="001332C7"/>
    <w:rsid w:val="001376E6"/>
    <w:rsid w:val="00137A64"/>
    <w:rsid w:val="001401E2"/>
    <w:rsid w:val="00140D82"/>
    <w:rsid w:val="00146B71"/>
    <w:rsid w:val="00146E89"/>
    <w:rsid w:val="00151EFC"/>
    <w:rsid w:val="001652A8"/>
    <w:rsid w:val="0017075F"/>
    <w:rsid w:val="00173065"/>
    <w:rsid w:val="00183482"/>
    <w:rsid w:val="00184338"/>
    <w:rsid w:val="001A476F"/>
    <w:rsid w:val="001A7CE1"/>
    <w:rsid w:val="001B28D5"/>
    <w:rsid w:val="001B3E67"/>
    <w:rsid w:val="001C260C"/>
    <w:rsid w:val="001D310D"/>
    <w:rsid w:val="001E397E"/>
    <w:rsid w:val="001F25CE"/>
    <w:rsid w:val="0020328C"/>
    <w:rsid w:val="00206C87"/>
    <w:rsid w:val="00212AB0"/>
    <w:rsid w:val="00224B82"/>
    <w:rsid w:val="00227B71"/>
    <w:rsid w:val="00235A7E"/>
    <w:rsid w:val="002431BC"/>
    <w:rsid w:val="00255C37"/>
    <w:rsid w:val="00257FB6"/>
    <w:rsid w:val="00271FE5"/>
    <w:rsid w:val="002800DE"/>
    <w:rsid w:val="00280A95"/>
    <w:rsid w:val="00281987"/>
    <w:rsid w:val="00283599"/>
    <w:rsid w:val="00295424"/>
    <w:rsid w:val="002A1C8D"/>
    <w:rsid w:val="002A44AA"/>
    <w:rsid w:val="002B77A8"/>
    <w:rsid w:val="002C1240"/>
    <w:rsid w:val="002D61BD"/>
    <w:rsid w:val="002E13F4"/>
    <w:rsid w:val="002E48E8"/>
    <w:rsid w:val="002F19E4"/>
    <w:rsid w:val="002F1D65"/>
    <w:rsid w:val="0030052D"/>
    <w:rsid w:val="00302E8B"/>
    <w:rsid w:val="003041C9"/>
    <w:rsid w:val="00310617"/>
    <w:rsid w:val="003223D0"/>
    <w:rsid w:val="00322E11"/>
    <w:rsid w:val="00325496"/>
    <w:rsid w:val="0033326D"/>
    <w:rsid w:val="003362D5"/>
    <w:rsid w:val="00341B48"/>
    <w:rsid w:val="003427B1"/>
    <w:rsid w:val="00344A73"/>
    <w:rsid w:val="003452FD"/>
    <w:rsid w:val="00346192"/>
    <w:rsid w:val="003601BD"/>
    <w:rsid w:val="0036275A"/>
    <w:rsid w:val="00362A71"/>
    <w:rsid w:val="00367D28"/>
    <w:rsid w:val="003734A6"/>
    <w:rsid w:val="00384431"/>
    <w:rsid w:val="003854FA"/>
    <w:rsid w:val="00387380"/>
    <w:rsid w:val="003918AF"/>
    <w:rsid w:val="003A4A6B"/>
    <w:rsid w:val="003A4DCE"/>
    <w:rsid w:val="003A65B2"/>
    <w:rsid w:val="003A77F4"/>
    <w:rsid w:val="003B0C37"/>
    <w:rsid w:val="003B2108"/>
    <w:rsid w:val="003C40F2"/>
    <w:rsid w:val="003C7FD4"/>
    <w:rsid w:val="003D1F73"/>
    <w:rsid w:val="003D2855"/>
    <w:rsid w:val="003D2B5C"/>
    <w:rsid w:val="003D39E2"/>
    <w:rsid w:val="003D729B"/>
    <w:rsid w:val="003E26F2"/>
    <w:rsid w:val="003E5175"/>
    <w:rsid w:val="003E6874"/>
    <w:rsid w:val="003F232E"/>
    <w:rsid w:val="004009F4"/>
    <w:rsid w:val="004035A8"/>
    <w:rsid w:val="00411162"/>
    <w:rsid w:val="00411296"/>
    <w:rsid w:val="00427919"/>
    <w:rsid w:val="00436231"/>
    <w:rsid w:val="0044401C"/>
    <w:rsid w:val="004571B2"/>
    <w:rsid w:val="00457A2D"/>
    <w:rsid w:val="00457A39"/>
    <w:rsid w:val="00461F5B"/>
    <w:rsid w:val="004639E5"/>
    <w:rsid w:val="00466DC0"/>
    <w:rsid w:val="0046794F"/>
    <w:rsid w:val="00467C2A"/>
    <w:rsid w:val="0047356F"/>
    <w:rsid w:val="00474961"/>
    <w:rsid w:val="00481D26"/>
    <w:rsid w:val="0048650E"/>
    <w:rsid w:val="00490FE4"/>
    <w:rsid w:val="00490FEE"/>
    <w:rsid w:val="00493CEF"/>
    <w:rsid w:val="0049733E"/>
    <w:rsid w:val="004A5278"/>
    <w:rsid w:val="004B0994"/>
    <w:rsid w:val="004C0D15"/>
    <w:rsid w:val="004C26C9"/>
    <w:rsid w:val="004C3231"/>
    <w:rsid w:val="004C6FB1"/>
    <w:rsid w:val="004D35D5"/>
    <w:rsid w:val="004E60D8"/>
    <w:rsid w:val="004F02BE"/>
    <w:rsid w:val="0050029F"/>
    <w:rsid w:val="005011D7"/>
    <w:rsid w:val="00502702"/>
    <w:rsid w:val="005031E5"/>
    <w:rsid w:val="0051106A"/>
    <w:rsid w:val="00516F70"/>
    <w:rsid w:val="005260ED"/>
    <w:rsid w:val="00526F42"/>
    <w:rsid w:val="005319E3"/>
    <w:rsid w:val="00553DDF"/>
    <w:rsid w:val="00553E70"/>
    <w:rsid w:val="00561ADB"/>
    <w:rsid w:val="00564453"/>
    <w:rsid w:val="00565F07"/>
    <w:rsid w:val="00574280"/>
    <w:rsid w:val="0058355B"/>
    <w:rsid w:val="00584E4C"/>
    <w:rsid w:val="00590CD9"/>
    <w:rsid w:val="00591C61"/>
    <w:rsid w:val="005928C8"/>
    <w:rsid w:val="00593C93"/>
    <w:rsid w:val="0059434A"/>
    <w:rsid w:val="00596B80"/>
    <w:rsid w:val="005A0661"/>
    <w:rsid w:val="005A313D"/>
    <w:rsid w:val="005A6AD3"/>
    <w:rsid w:val="005C0EAF"/>
    <w:rsid w:val="005C325D"/>
    <w:rsid w:val="005D3FD1"/>
    <w:rsid w:val="005D4F8B"/>
    <w:rsid w:val="005E54B4"/>
    <w:rsid w:val="005F6FCE"/>
    <w:rsid w:val="006002BA"/>
    <w:rsid w:val="0060579C"/>
    <w:rsid w:val="00607169"/>
    <w:rsid w:val="00610902"/>
    <w:rsid w:val="0061207E"/>
    <w:rsid w:val="006120AA"/>
    <w:rsid w:val="006159C5"/>
    <w:rsid w:val="00616824"/>
    <w:rsid w:val="006170EF"/>
    <w:rsid w:val="006171E8"/>
    <w:rsid w:val="006231C7"/>
    <w:rsid w:val="006252B3"/>
    <w:rsid w:val="00636CA8"/>
    <w:rsid w:val="006452C9"/>
    <w:rsid w:val="00650377"/>
    <w:rsid w:val="00650C14"/>
    <w:rsid w:val="006559FC"/>
    <w:rsid w:val="0065624C"/>
    <w:rsid w:val="0066026E"/>
    <w:rsid w:val="00665A07"/>
    <w:rsid w:val="00666D0D"/>
    <w:rsid w:val="00671B6A"/>
    <w:rsid w:val="0067265B"/>
    <w:rsid w:val="00684868"/>
    <w:rsid w:val="00694704"/>
    <w:rsid w:val="006A1D38"/>
    <w:rsid w:val="006A2574"/>
    <w:rsid w:val="006A4746"/>
    <w:rsid w:val="006A661D"/>
    <w:rsid w:val="006B059A"/>
    <w:rsid w:val="006B1F87"/>
    <w:rsid w:val="006B7633"/>
    <w:rsid w:val="006D39E5"/>
    <w:rsid w:val="006E0D17"/>
    <w:rsid w:val="006E2A99"/>
    <w:rsid w:val="006E5FA4"/>
    <w:rsid w:val="006F128F"/>
    <w:rsid w:val="00704A5C"/>
    <w:rsid w:val="00712362"/>
    <w:rsid w:val="00713E74"/>
    <w:rsid w:val="00722A23"/>
    <w:rsid w:val="007407B2"/>
    <w:rsid w:val="00743284"/>
    <w:rsid w:val="00744CF6"/>
    <w:rsid w:val="00751AF1"/>
    <w:rsid w:val="0075207E"/>
    <w:rsid w:val="0076180E"/>
    <w:rsid w:val="00762230"/>
    <w:rsid w:val="0077143F"/>
    <w:rsid w:val="00784818"/>
    <w:rsid w:val="00787331"/>
    <w:rsid w:val="00787AEC"/>
    <w:rsid w:val="00793AFF"/>
    <w:rsid w:val="007A1610"/>
    <w:rsid w:val="007A25E0"/>
    <w:rsid w:val="007A599F"/>
    <w:rsid w:val="007B3A87"/>
    <w:rsid w:val="007B6F04"/>
    <w:rsid w:val="007C489F"/>
    <w:rsid w:val="007D3224"/>
    <w:rsid w:val="007D3D6F"/>
    <w:rsid w:val="007F06B4"/>
    <w:rsid w:val="007F4DC1"/>
    <w:rsid w:val="007F7FAE"/>
    <w:rsid w:val="00807819"/>
    <w:rsid w:val="00812B2D"/>
    <w:rsid w:val="00823062"/>
    <w:rsid w:val="008372AA"/>
    <w:rsid w:val="00853AD2"/>
    <w:rsid w:val="00861E69"/>
    <w:rsid w:val="008649ED"/>
    <w:rsid w:val="0086728F"/>
    <w:rsid w:val="008826C4"/>
    <w:rsid w:val="00887730"/>
    <w:rsid w:val="008907D1"/>
    <w:rsid w:val="0089605F"/>
    <w:rsid w:val="008A0E0F"/>
    <w:rsid w:val="008A1289"/>
    <w:rsid w:val="008C1C90"/>
    <w:rsid w:val="008E3F46"/>
    <w:rsid w:val="009030E6"/>
    <w:rsid w:val="0090435E"/>
    <w:rsid w:val="00907335"/>
    <w:rsid w:val="00910724"/>
    <w:rsid w:val="009114E2"/>
    <w:rsid w:val="009265F7"/>
    <w:rsid w:val="00933810"/>
    <w:rsid w:val="009514F3"/>
    <w:rsid w:val="00952D92"/>
    <w:rsid w:val="00961BD9"/>
    <w:rsid w:val="00966C73"/>
    <w:rsid w:val="009676E2"/>
    <w:rsid w:val="00973B87"/>
    <w:rsid w:val="00995043"/>
    <w:rsid w:val="009B7A6C"/>
    <w:rsid w:val="009C0F2D"/>
    <w:rsid w:val="009C20C3"/>
    <w:rsid w:val="009C3E4F"/>
    <w:rsid w:val="009C4215"/>
    <w:rsid w:val="009C5EBA"/>
    <w:rsid w:val="009D24BB"/>
    <w:rsid w:val="009E2787"/>
    <w:rsid w:val="009E429C"/>
    <w:rsid w:val="009E4509"/>
    <w:rsid w:val="009E46FF"/>
    <w:rsid w:val="009E6267"/>
    <w:rsid w:val="009E65CB"/>
    <w:rsid w:val="009E6E16"/>
    <w:rsid w:val="009F2535"/>
    <w:rsid w:val="009F67BC"/>
    <w:rsid w:val="009F74E1"/>
    <w:rsid w:val="00A00084"/>
    <w:rsid w:val="00A038A5"/>
    <w:rsid w:val="00A05D8B"/>
    <w:rsid w:val="00A1319D"/>
    <w:rsid w:val="00A14597"/>
    <w:rsid w:val="00A156C5"/>
    <w:rsid w:val="00A20664"/>
    <w:rsid w:val="00A20A63"/>
    <w:rsid w:val="00A23ECF"/>
    <w:rsid w:val="00A246D8"/>
    <w:rsid w:val="00A250B1"/>
    <w:rsid w:val="00A33428"/>
    <w:rsid w:val="00A3546D"/>
    <w:rsid w:val="00A412C2"/>
    <w:rsid w:val="00A501DD"/>
    <w:rsid w:val="00A6203B"/>
    <w:rsid w:val="00A63F1E"/>
    <w:rsid w:val="00A80A1A"/>
    <w:rsid w:val="00A82604"/>
    <w:rsid w:val="00A847FA"/>
    <w:rsid w:val="00A84DA6"/>
    <w:rsid w:val="00A915DE"/>
    <w:rsid w:val="00A9394B"/>
    <w:rsid w:val="00A948ED"/>
    <w:rsid w:val="00A9517E"/>
    <w:rsid w:val="00AA3EDC"/>
    <w:rsid w:val="00AA647D"/>
    <w:rsid w:val="00AC5D92"/>
    <w:rsid w:val="00AD1D21"/>
    <w:rsid w:val="00AD5840"/>
    <w:rsid w:val="00AD7029"/>
    <w:rsid w:val="00AE2ACC"/>
    <w:rsid w:val="00AE7F26"/>
    <w:rsid w:val="00AF1E5D"/>
    <w:rsid w:val="00AF3DDC"/>
    <w:rsid w:val="00AF71EA"/>
    <w:rsid w:val="00B00974"/>
    <w:rsid w:val="00B02BC8"/>
    <w:rsid w:val="00B035CF"/>
    <w:rsid w:val="00B16D99"/>
    <w:rsid w:val="00B23420"/>
    <w:rsid w:val="00B24035"/>
    <w:rsid w:val="00B2406F"/>
    <w:rsid w:val="00B27BFB"/>
    <w:rsid w:val="00B30EF4"/>
    <w:rsid w:val="00B50821"/>
    <w:rsid w:val="00B62A3C"/>
    <w:rsid w:val="00B65BE8"/>
    <w:rsid w:val="00B73B35"/>
    <w:rsid w:val="00B81065"/>
    <w:rsid w:val="00B8161F"/>
    <w:rsid w:val="00B82D3C"/>
    <w:rsid w:val="00B953CE"/>
    <w:rsid w:val="00B96278"/>
    <w:rsid w:val="00BA0D86"/>
    <w:rsid w:val="00BA3AFE"/>
    <w:rsid w:val="00BB47F2"/>
    <w:rsid w:val="00BB6CD5"/>
    <w:rsid w:val="00BC1715"/>
    <w:rsid w:val="00BC1D80"/>
    <w:rsid w:val="00BD7B86"/>
    <w:rsid w:val="00BE271E"/>
    <w:rsid w:val="00BE6D43"/>
    <w:rsid w:val="00BE7851"/>
    <w:rsid w:val="00BE78E0"/>
    <w:rsid w:val="00BF2091"/>
    <w:rsid w:val="00BF6351"/>
    <w:rsid w:val="00C120EE"/>
    <w:rsid w:val="00C2010B"/>
    <w:rsid w:val="00C21EEA"/>
    <w:rsid w:val="00C275E2"/>
    <w:rsid w:val="00C3265C"/>
    <w:rsid w:val="00C427F7"/>
    <w:rsid w:val="00C43592"/>
    <w:rsid w:val="00C4492E"/>
    <w:rsid w:val="00C5041E"/>
    <w:rsid w:val="00C54803"/>
    <w:rsid w:val="00C553DA"/>
    <w:rsid w:val="00C736FF"/>
    <w:rsid w:val="00C73A4B"/>
    <w:rsid w:val="00C753FF"/>
    <w:rsid w:val="00C75796"/>
    <w:rsid w:val="00C771B1"/>
    <w:rsid w:val="00C8233A"/>
    <w:rsid w:val="00C828AD"/>
    <w:rsid w:val="00C87E7D"/>
    <w:rsid w:val="00C915A9"/>
    <w:rsid w:val="00CA0CA3"/>
    <w:rsid w:val="00CA1CC7"/>
    <w:rsid w:val="00CA337B"/>
    <w:rsid w:val="00CA3651"/>
    <w:rsid w:val="00CA3C12"/>
    <w:rsid w:val="00CA59C0"/>
    <w:rsid w:val="00CC1A12"/>
    <w:rsid w:val="00CC256A"/>
    <w:rsid w:val="00CC37B4"/>
    <w:rsid w:val="00CC4A27"/>
    <w:rsid w:val="00CC53DB"/>
    <w:rsid w:val="00CC623D"/>
    <w:rsid w:val="00CD1264"/>
    <w:rsid w:val="00CD1B34"/>
    <w:rsid w:val="00CD4E2A"/>
    <w:rsid w:val="00CD62C3"/>
    <w:rsid w:val="00CE55F7"/>
    <w:rsid w:val="00CE6C67"/>
    <w:rsid w:val="00CF0C56"/>
    <w:rsid w:val="00CF18B6"/>
    <w:rsid w:val="00CF2982"/>
    <w:rsid w:val="00D10B66"/>
    <w:rsid w:val="00D13048"/>
    <w:rsid w:val="00D15F79"/>
    <w:rsid w:val="00D316EE"/>
    <w:rsid w:val="00D51AD2"/>
    <w:rsid w:val="00D5693F"/>
    <w:rsid w:val="00D56F88"/>
    <w:rsid w:val="00D6319C"/>
    <w:rsid w:val="00D6732A"/>
    <w:rsid w:val="00D70CC0"/>
    <w:rsid w:val="00D718A2"/>
    <w:rsid w:val="00D72F73"/>
    <w:rsid w:val="00D740E7"/>
    <w:rsid w:val="00D812A5"/>
    <w:rsid w:val="00D818D1"/>
    <w:rsid w:val="00D83747"/>
    <w:rsid w:val="00D86C4F"/>
    <w:rsid w:val="00D91A63"/>
    <w:rsid w:val="00D9201D"/>
    <w:rsid w:val="00D92774"/>
    <w:rsid w:val="00D96139"/>
    <w:rsid w:val="00DB30ED"/>
    <w:rsid w:val="00DB3605"/>
    <w:rsid w:val="00DB77D3"/>
    <w:rsid w:val="00DC14C3"/>
    <w:rsid w:val="00DE18C3"/>
    <w:rsid w:val="00DE1C22"/>
    <w:rsid w:val="00DE43A2"/>
    <w:rsid w:val="00DE5FCA"/>
    <w:rsid w:val="00DF593F"/>
    <w:rsid w:val="00DF750A"/>
    <w:rsid w:val="00E041DD"/>
    <w:rsid w:val="00E10727"/>
    <w:rsid w:val="00E1088C"/>
    <w:rsid w:val="00E22273"/>
    <w:rsid w:val="00E247E0"/>
    <w:rsid w:val="00E30974"/>
    <w:rsid w:val="00E32A3D"/>
    <w:rsid w:val="00E57D24"/>
    <w:rsid w:val="00E60460"/>
    <w:rsid w:val="00E7047F"/>
    <w:rsid w:val="00E80946"/>
    <w:rsid w:val="00E81D3E"/>
    <w:rsid w:val="00E83D0E"/>
    <w:rsid w:val="00E86BFF"/>
    <w:rsid w:val="00E90E31"/>
    <w:rsid w:val="00E97CF6"/>
    <w:rsid w:val="00EA26AD"/>
    <w:rsid w:val="00EB4647"/>
    <w:rsid w:val="00EB6636"/>
    <w:rsid w:val="00EB6C3D"/>
    <w:rsid w:val="00ED2492"/>
    <w:rsid w:val="00ED69A5"/>
    <w:rsid w:val="00EE23D3"/>
    <w:rsid w:val="00EE4710"/>
    <w:rsid w:val="00F05B18"/>
    <w:rsid w:val="00F1326C"/>
    <w:rsid w:val="00F13C17"/>
    <w:rsid w:val="00F154CC"/>
    <w:rsid w:val="00F16231"/>
    <w:rsid w:val="00F162F2"/>
    <w:rsid w:val="00F230A0"/>
    <w:rsid w:val="00F254BF"/>
    <w:rsid w:val="00F3094F"/>
    <w:rsid w:val="00F31648"/>
    <w:rsid w:val="00F3728B"/>
    <w:rsid w:val="00F42764"/>
    <w:rsid w:val="00F458C6"/>
    <w:rsid w:val="00F56849"/>
    <w:rsid w:val="00F64527"/>
    <w:rsid w:val="00F67B3F"/>
    <w:rsid w:val="00F70D4C"/>
    <w:rsid w:val="00F7302A"/>
    <w:rsid w:val="00F73444"/>
    <w:rsid w:val="00F7356C"/>
    <w:rsid w:val="00F74B2D"/>
    <w:rsid w:val="00F90262"/>
    <w:rsid w:val="00FA1BF2"/>
    <w:rsid w:val="00FB0BBD"/>
    <w:rsid w:val="00FB1495"/>
    <w:rsid w:val="00FB4697"/>
    <w:rsid w:val="00FB4956"/>
    <w:rsid w:val="00FB703C"/>
    <w:rsid w:val="00FC13AE"/>
    <w:rsid w:val="00FC2C8B"/>
    <w:rsid w:val="00FC495F"/>
    <w:rsid w:val="00FD09BB"/>
    <w:rsid w:val="00FE15A0"/>
    <w:rsid w:val="00FE76FD"/>
    <w:rsid w:val="00FF22B7"/>
    <w:rsid w:val="00FF4373"/>
    <w:rsid w:val="00FF69CD"/>
    <w:rsid w:val="00FF7679"/>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94099"/>
  <w15:docId w15:val="{3D2DEC32-E604-4B81-9F32-E3F896A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FCA"/>
    <w:pPr>
      <w:widowControl w:val="0"/>
    </w:pPr>
  </w:style>
  <w:style w:type="paragraph" w:styleId="1">
    <w:name w:val="heading 1"/>
    <w:basedOn w:val="a"/>
    <w:next w:val="a"/>
    <w:link w:val="10"/>
    <w:uiPriority w:val="9"/>
    <w:qFormat/>
    <w:rsid w:val="00CF298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5FCA"/>
    <w:pPr>
      <w:spacing w:after="120" w:line="360" w:lineRule="auto"/>
      <w:ind w:firstLineChars="200" w:firstLine="480"/>
    </w:pPr>
    <w:rPr>
      <w:rFonts w:ascii="Arial" w:eastAsia="標楷體" w:hAnsi="Arial" w:cs="Times New Roman"/>
      <w:szCs w:val="24"/>
    </w:rPr>
  </w:style>
  <w:style w:type="character" w:customStyle="1" w:styleId="a4">
    <w:name w:val="本文 字元"/>
    <w:basedOn w:val="a0"/>
    <w:link w:val="a3"/>
    <w:rsid w:val="00DE5FCA"/>
    <w:rPr>
      <w:rFonts w:ascii="Arial" w:eastAsia="標楷體" w:hAnsi="Arial" w:cs="Times New Roman"/>
      <w:szCs w:val="24"/>
    </w:rPr>
  </w:style>
  <w:style w:type="paragraph" w:customStyle="1" w:styleId="a5">
    <w:name w:val="圖"/>
    <w:basedOn w:val="a"/>
    <w:autoRedefine/>
    <w:rsid w:val="00FE76FD"/>
    <w:pPr>
      <w:spacing w:before="240"/>
      <w:ind w:right="238"/>
      <w:jc w:val="both"/>
    </w:pPr>
    <w:rPr>
      <w:rFonts w:ascii="Times New Roman" w:eastAsia="標楷體" w:hAnsi="Times New Roman" w:cs="Times New Roman"/>
      <w:kern w:val="0"/>
      <w:szCs w:val="24"/>
    </w:rPr>
  </w:style>
  <w:style w:type="paragraph" w:styleId="a6">
    <w:name w:val="List Paragraph"/>
    <w:basedOn w:val="a"/>
    <w:uiPriority w:val="34"/>
    <w:qFormat/>
    <w:rsid w:val="00DE5FCA"/>
    <w:pPr>
      <w:ind w:leftChars="200" w:left="480"/>
    </w:pPr>
  </w:style>
  <w:style w:type="paragraph" w:customStyle="1" w:styleId="Default">
    <w:name w:val="Default"/>
    <w:rsid w:val="00EE23D3"/>
    <w:pPr>
      <w:widowControl w:val="0"/>
      <w:autoSpaceDE w:val="0"/>
      <w:autoSpaceDN w:val="0"/>
      <w:adjustRightInd w:val="0"/>
    </w:pPr>
    <w:rPr>
      <w:rFonts w:ascii="Gill Sans MT" w:hAnsi="Gill Sans MT" w:cs="Gill Sans MT"/>
      <w:color w:val="000000"/>
      <w:kern w:val="0"/>
      <w:szCs w:val="24"/>
    </w:rPr>
  </w:style>
  <w:style w:type="character" w:styleId="a7">
    <w:name w:val="Hyperlink"/>
    <w:basedOn w:val="a0"/>
    <w:uiPriority w:val="99"/>
    <w:unhideWhenUsed/>
    <w:rsid w:val="003F232E"/>
    <w:rPr>
      <w:color w:val="0563C1" w:themeColor="hyperlink"/>
      <w:u w:val="single"/>
    </w:rPr>
  </w:style>
  <w:style w:type="character" w:customStyle="1" w:styleId="11">
    <w:name w:val="未解析的提及1"/>
    <w:basedOn w:val="a0"/>
    <w:uiPriority w:val="99"/>
    <w:semiHidden/>
    <w:unhideWhenUsed/>
    <w:rsid w:val="003F232E"/>
    <w:rPr>
      <w:color w:val="605E5C"/>
      <w:shd w:val="clear" w:color="auto" w:fill="E1DFDD"/>
    </w:rPr>
  </w:style>
  <w:style w:type="paragraph" w:styleId="Web">
    <w:name w:val="Normal (Web)"/>
    <w:basedOn w:val="a"/>
    <w:uiPriority w:val="99"/>
    <w:semiHidden/>
    <w:unhideWhenUsed/>
    <w:rsid w:val="00034570"/>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BE6D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6D43"/>
    <w:rPr>
      <w:rFonts w:asciiTheme="majorHAnsi" w:eastAsiaTheme="majorEastAsia" w:hAnsiTheme="majorHAnsi" w:cstheme="majorBidi"/>
      <w:sz w:val="18"/>
      <w:szCs w:val="18"/>
    </w:rPr>
  </w:style>
  <w:style w:type="character" w:customStyle="1" w:styleId="10">
    <w:name w:val="標題 1 字元"/>
    <w:basedOn w:val="a0"/>
    <w:link w:val="1"/>
    <w:uiPriority w:val="9"/>
    <w:rsid w:val="00CF2982"/>
    <w:rPr>
      <w:rFonts w:asciiTheme="majorHAnsi" w:eastAsiaTheme="majorEastAsia" w:hAnsiTheme="majorHAnsi" w:cstheme="majorBidi"/>
      <w:b/>
      <w:bCs/>
      <w:kern w:val="52"/>
      <w:sz w:val="52"/>
      <w:szCs w:val="52"/>
    </w:rPr>
  </w:style>
  <w:style w:type="table" w:styleId="aa">
    <w:name w:val="Table Grid"/>
    <w:basedOn w:val="a1"/>
    <w:uiPriority w:val="59"/>
    <w:rsid w:val="00173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8355B"/>
    <w:pPr>
      <w:tabs>
        <w:tab w:val="center" w:pos="4153"/>
        <w:tab w:val="right" w:pos="8306"/>
      </w:tabs>
      <w:snapToGrid w:val="0"/>
    </w:pPr>
    <w:rPr>
      <w:sz w:val="20"/>
      <w:szCs w:val="20"/>
    </w:rPr>
  </w:style>
  <w:style w:type="character" w:customStyle="1" w:styleId="ac">
    <w:name w:val="頁首 字元"/>
    <w:basedOn w:val="a0"/>
    <w:link w:val="ab"/>
    <w:uiPriority w:val="99"/>
    <w:rsid w:val="0058355B"/>
    <w:rPr>
      <w:sz w:val="20"/>
      <w:szCs w:val="20"/>
    </w:rPr>
  </w:style>
  <w:style w:type="paragraph" w:styleId="ad">
    <w:name w:val="footer"/>
    <w:basedOn w:val="a"/>
    <w:link w:val="ae"/>
    <w:uiPriority w:val="99"/>
    <w:unhideWhenUsed/>
    <w:rsid w:val="0058355B"/>
    <w:pPr>
      <w:tabs>
        <w:tab w:val="center" w:pos="4153"/>
        <w:tab w:val="right" w:pos="8306"/>
      </w:tabs>
      <w:snapToGrid w:val="0"/>
    </w:pPr>
    <w:rPr>
      <w:sz w:val="20"/>
      <w:szCs w:val="20"/>
    </w:rPr>
  </w:style>
  <w:style w:type="character" w:customStyle="1" w:styleId="ae">
    <w:name w:val="頁尾 字元"/>
    <w:basedOn w:val="a0"/>
    <w:link w:val="ad"/>
    <w:uiPriority w:val="99"/>
    <w:rsid w:val="0058355B"/>
    <w:rPr>
      <w:sz w:val="20"/>
      <w:szCs w:val="20"/>
    </w:rPr>
  </w:style>
  <w:style w:type="paragraph" w:styleId="af">
    <w:name w:val="Revision"/>
    <w:hidden/>
    <w:uiPriority w:val="99"/>
    <w:semiHidden/>
    <w:rsid w:val="004009F4"/>
  </w:style>
  <w:style w:type="character" w:styleId="af0">
    <w:name w:val="annotation reference"/>
    <w:basedOn w:val="a0"/>
    <w:uiPriority w:val="99"/>
    <w:semiHidden/>
    <w:unhideWhenUsed/>
    <w:rsid w:val="00183482"/>
    <w:rPr>
      <w:sz w:val="16"/>
      <w:szCs w:val="16"/>
    </w:rPr>
  </w:style>
  <w:style w:type="paragraph" w:styleId="af1">
    <w:name w:val="annotation text"/>
    <w:basedOn w:val="a"/>
    <w:link w:val="af2"/>
    <w:uiPriority w:val="99"/>
    <w:unhideWhenUsed/>
    <w:rsid w:val="00183482"/>
    <w:rPr>
      <w:sz w:val="20"/>
      <w:szCs w:val="20"/>
    </w:rPr>
  </w:style>
  <w:style w:type="character" w:customStyle="1" w:styleId="af2">
    <w:name w:val="註解文字 字元"/>
    <w:basedOn w:val="a0"/>
    <w:link w:val="af1"/>
    <w:uiPriority w:val="99"/>
    <w:rsid w:val="00183482"/>
    <w:rPr>
      <w:sz w:val="20"/>
      <w:szCs w:val="20"/>
    </w:rPr>
  </w:style>
  <w:style w:type="paragraph" w:styleId="af3">
    <w:name w:val="annotation subject"/>
    <w:basedOn w:val="af1"/>
    <w:next w:val="af1"/>
    <w:link w:val="af4"/>
    <w:uiPriority w:val="99"/>
    <w:semiHidden/>
    <w:unhideWhenUsed/>
    <w:rsid w:val="00183482"/>
    <w:rPr>
      <w:b/>
      <w:bCs/>
    </w:rPr>
  </w:style>
  <w:style w:type="character" w:customStyle="1" w:styleId="af4">
    <w:name w:val="註解主旨 字元"/>
    <w:basedOn w:val="af2"/>
    <w:link w:val="af3"/>
    <w:uiPriority w:val="99"/>
    <w:semiHidden/>
    <w:rsid w:val="00183482"/>
    <w:rPr>
      <w:b/>
      <w:bCs/>
      <w:sz w:val="20"/>
      <w:szCs w:val="20"/>
    </w:rPr>
  </w:style>
  <w:style w:type="paragraph" w:styleId="3">
    <w:name w:val="Body Text 3"/>
    <w:basedOn w:val="a"/>
    <w:link w:val="30"/>
    <w:uiPriority w:val="99"/>
    <w:semiHidden/>
    <w:unhideWhenUsed/>
    <w:rsid w:val="00411162"/>
    <w:pPr>
      <w:spacing w:after="120"/>
    </w:pPr>
    <w:rPr>
      <w:sz w:val="16"/>
      <w:szCs w:val="16"/>
    </w:rPr>
  </w:style>
  <w:style w:type="character" w:customStyle="1" w:styleId="30">
    <w:name w:val="本文 3 字元"/>
    <w:basedOn w:val="a0"/>
    <w:link w:val="3"/>
    <w:uiPriority w:val="99"/>
    <w:semiHidden/>
    <w:rsid w:val="00411162"/>
    <w:rPr>
      <w:sz w:val="16"/>
      <w:szCs w:val="16"/>
    </w:rPr>
  </w:style>
  <w:style w:type="paragraph" w:styleId="af5">
    <w:name w:val="footnote text"/>
    <w:basedOn w:val="a"/>
    <w:link w:val="af6"/>
    <w:semiHidden/>
    <w:rsid w:val="00411162"/>
    <w:pPr>
      <w:adjustRightInd w:val="0"/>
      <w:snapToGrid w:val="0"/>
      <w:textAlignment w:val="baseline"/>
    </w:pPr>
    <w:rPr>
      <w:rFonts w:ascii="Times New Roman" w:eastAsia="新細明體" w:hAnsi="Times New Roman" w:cs="Times New Roman"/>
      <w:kern w:val="0"/>
      <w:sz w:val="20"/>
      <w:szCs w:val="20"/>
    </w:rPr>
  </w:style>
  <w:style w:type="character" w:customStyle="1" w:styleId="af6">
    <w:name w:val="註腳文字 字元"/>
    <w:basedOn w:val="a0"/>
    <w:link w:val="af5"/>
    <w:semiHidden/>
    <w:rsid w:val="00411162"/>
    <w:rPr>
      <w:rFonts w:ascii="Times New Roman" w:eastAsia="新細明體" w:hAnsi="Times New Roman" w:cs="Times New Roman"/>
      <w:kern w:val="0"/>
      <w:sz w:val="20"/>
      <w:szCs w:val="20"/>
    </w:rPr>
  </w:style>
  <w:style w:type="character" w:styleId="af7">
    <w:name w:val="footnote reference"/>
    <w:semiHidden/>
    <w:rsid w:val="00411162"/>
    <w:rPr>
      <w:vertAlign w:val="superscript"/>
    </w:rPr>
  </w:style>
  <w:style w:type="paragraph" w:customStyle="1" w:styleId="ReferencesText">
    <w:name w:val="References Text"/>
    <w:basedOn w:val="a"/>
    <w:qFormat/>
    <w:rsid w:val="00D13048"/>
    <w:pPr>
      <w:widowControl/>
      <w:autoSpaceDE w:val="0"/>
      <w:autoSpaceDN w:val="0"/>
      <w:adjustRightInd w:val="0"/>
      <w:jc w:val="both"/>
      <w:textAlignment w:val="bottom"/>
    </w:pPr>
    <w:rPr>
      <w:rFonts w:ascii="Times New Roman" w:eastAsia="標楷體" w:hAnsi="Times New Roman" w:cs="Times New Roman"/>
      <w:color w:val="000000"/>
      <w:kern w:val="0"/>
      <w:szCs w:val="24"/>
    </w:rPr>
  </w:style>
  <w:style w:type="character" w:styleId="af8">
    <w:name w:val="Unresolved Mention"/>
    <w:basedOn w:val="a0"/>
    <w:uiPriority w:val="99"/>
    <w:semiHidden/>
    <w:unhideWhenUsed/>
    <w:rsid w:val="00B2406F"/>
    <w:rPr>
      <w:color w:val="605E5C"/>
      <w:shd w:val="clear" w:color="auto" w:fill="E1DFDD"/>
    </w:rPr>
  </w:style>
  <w:style w:type="paragraph" w:customStyle="1" w:styleId="figurecaption">
    <w:name w:val="figure caption"/>
    <w:basedOn w:val="a"/>
    <w:link w:val="figurecaptionChar"/>
    <w:qFormat/>
    <w:rsid w:val="00A23ECF"/>
    <w:pPr>
      <w:widowControl/>
      <w:autoSpaceDE w:val="0"/>
      <w:autoSpaceDN w:val="0"/>
      <w:jc w:val="center"/>
    </w:pPr>
    <w:rPr>
      <w:rFonts w:ascii="Times New Roman" w:eastAsia="新細明體" w:hAnsi="Times New Roman" w:cs="Times New Roman"/>
      <w:kern w:val="0"/>
      <w:sz w:val="16"/>
      <w:szCs w:val="16"/>
      <w:lang w:eastAsia="en-US"/>
    </w:rPr>
  </w:style>
  <w:style w:type="character" w:customStyle="1" w:styleId="figurecaptionChar">
    <w:name w:val="figure caption Char"/>
    <w:basedOn w:val="a0"/>
    <w:link w:val="figurecaption"/>
    <w:rsid w:val="00A23ECF"/>
    <w:rPr>
      <w:rFonts w:ascii="Times New Roman" w:eastAsia="新細明體" w:hAnsi="Times New Roman" w:cs="Times New Roman"/>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2307">
      <w:bodyDiv w:val="1"/>
      <w:marLeft w:val="0"/>
      <w:marRight w:val="0"/>
      <w:marTop w:val="0"/>
      <w:marBottom w:val="0"/>
      <w:divBdr>
        <w:top w:val="none" w:sz="0" w:space="0" w:color="auto"/>
        <w:left w:val="none" w:sz="0" w:space="0" w:color="auto"/>
        <w:bottom w:val="none" w:sz="0" w:space="0" w:color="auto"/>
        <w:right w:val="none" w:sz="0" w:space="0" w:color="auto"/>
      </w:divBdr>
    </w:div>
    <w:div w:id="246042255">
      <w:bodyDiv w:val="1"/>
      <w:marLeft w:val="0"/>
      <w:marRight w:val="0"/>
      <w:marTop w:val="0"/>
      <w:marBottom w:val="0"/>
      <w:divBdr>
        <w:top w:val="none" w:sz="0" w:space="0" w:color="auto"/>
        <w:left w:val="none" w:sz="0" w:space="0" w:color="auto"/>
        <w:bottom w:val="none" w:sz="0" w:space="0" w:color="auto"/>
        <w:right w:val="none" w:sz="0" w:space="0" w:color="auto"/>
      </w:divBdr>
    </w:div>
    <w:div w:id="615795575">
      <w:bodyDiv w:val="1"/>
      <w:marLeft w:val="0"/>
      <w:marRight w:val="0"/>
      <w:marTop w:val="0"/>
      <w:marBottom w:val="0"/>
      <w:divBdr>
        <w:top w:val="none" w:sz="0" w:space="0" w:color="auto"/>
        <w:left w:val="none" w:sz="0" w:space="0" w:color="auto"/>
        <w:bottom w:val="none" w:sz="0" w:space="0" w:color="auto"/>
        <w:right w:val="none" w:sz="0" w:space="0" w:color="auto"/>
      </w:divBdr>
    </w:div>
    <w:div w:id="707609919">
      <w:bodyDiv w:val="1"/>
      <w:marLeft w:val="0"/>
      <w:marRight w:val="0"/>
      <w:marTop w:val="0"/>
      <w:marBottom w:val="0"/>
      <w:divBdr>
        <w:top w:val="none" w:sz="0" w:space="0" w:color="auto"/>
        <w:left w:val="none" w:sz="0" w:space="0" w:color="auto"/>
        <w:bottom w:val="none" w:sz="0" w:space="0" w:color="auto"/>
        <w:right w:val="none" w:sz="0" w:space="0" w:color="auto"/>
      </w:divBdr>
    </w:div>
    <w:div w:id="1344893402">
      <w:bodyDiv w:val="1"/>
      <w:marLeft w:val="0"/>
      <w:marRight w:val="0"/>
      <w:marTop w:val="0"/>
      <w:marBottom w:val="0"/>
      <w:divBdr>
        <w:top w:val="none" w:sz="0" w:space="0" w:color="auto"/>
        <w:left w:val="none" w:sz="0" w:space="0" w:color="auto"/>
        <w:bottom w:val="none" w:sz="0" w:space="0" w:color="auto"/>
        <w:right w:val="none" w:sz="0" w:space="0" w:color="auto"/>
      </w:divBdr>
    </w:div>
    <w:div w:id="1404836765">
      <w:bodyDiv w:val="1"/>
      <w:marLeft w:val="0"/>
      <w:marRight w:val="0"/>
      <w:marTop w:val="0"/>
      <w:marBottom w:val="0"/>
      <w:divBdr>
        <w:top w:val="none" w:sz="0" w:space="0" w:color="auto"/>
        <w:left w:val="none" w:sz="0" w:space="0" w:color="auto"/>
        <w:bottom w:val="none" w:sz="0" w:space="0" w:color="auto"/>
        <w:right w:val="none" w:sz="0" w:space="0" w:color="auto"/>
      </w:divBdr>
    </w:div>
    <w:div w:id="17105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87FA-F688-4E80-9F9E-E55A6A43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廷君 武</dc:creator>
  <cp:lastModifiedBy>User</cp:lastModifiedBy>
  <cp:revision>9</cp:revision>
  <cp:lastPrinted>2023-04-17T11:40:00Z</cp:lastPrinted>
  <dcterms:created xsi:type="dcterms:W3CDTF">2023-11-14T12:06:00Z</dcterms:created>
  <dcterms:modified xsi:type="dcterms:W3CDTF">2023-11-21T12:01:00Z</dcterms:modified>
</cp:coreProperties>
</file>