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C3A" w:rsidRPr="00895572" w:rsidRDefault="00D61E29" w:rsidP="00654315">
      <w:pPr>
        <w:pStyle w:val="Default"/>
        <w:ind w:left="960"/>
        <w:jc w:val="center"/>
        <w:rPr>
          <w:rFonts w:eastAsia="Calibri"/>
          <w:b/>
          <w:color w:val="FF0000"/>
          <w:sz w:val="28"/>
          <w:szCs w:val="28"/>
          <w:lang w:eastAsia="en-US"/>
        </w:rPr>
      </w:pPr>
      <w:r w:rsidRPr="00654315">
        <w:rPr>
          <w:rFonts w:eastAsia="Calibri"/>
          <w:b/>
          <w:color w:val="auto"/>
          <w:sz w:val="28"/>
          <w:szCs w:val="28"/>
          <w:lang w:eastAsia="en-US"/>
        </w:rPr>
        <w:t xml:space="preserve">Allowance for </w:t>
      </w:r>
      <w:r w:rsidR="003A6C3A" w:rsidRPr="00654315">
        <w:rPr>
          <w:rFonts w:eastAsia="Calibri"/>
          <w:b/>
          <w:color w:val="auto"/>
          <w:sz w:val="28"/>
          <w:szCs w:val="28"/>
          <w:lang w:eastAsia="en-US"/>
        </w:rPr>
        <w:t>D</w:t>
      </w:r>
      <w:r w:rsidRPr="00654315">
        <w:rPr>
          <w:rFonts w:eastAsia="Calibri"/>
          <w:b/>
          <w:color w:val="auto"/>
          <w:sz w:val="28"/>
          <w:szCs w:val="28"/>
          <w:lang w:eastAsia="en-US"/>
        </w:rPr>
        <w:t xml:space="preserve">oubtful </w:t>
      </w:r>
      <w:r w:rsidR="003A6C3A" w:rsidRPr="00654315">
        <w:rPr>
          <w:rFonts w:eastAsia="Calibri"/>
          <w:b/>
          <w:color w:val="auto"/>
          <w:sz w:val="28"/>
          <w:szCs w:val="28"/>
          <w:lang w:eastAsia="en-US"/>
        </w:rPr>
        <w:t>A</w:t>
      </w:r>
      <w:r w:rsidRPr="00654315">
        <w:rPr>
          <w:rFonts w:eastAsia="Calibri"/>
          <w:b/>
          <w:color w:val="auto"/>
          <w:sz w:val="28"/>
          <w:szCs w:val="28"/>
          <w:lang w:eastAsia="en-US"/>
        </w:rPr>
        <w:t xml:space="preserve">ccounts </w:t>
      </w:r>
      <w:r w:rsidR="00654315" w:rsidRPr="00654315">
        <w:rPr>
          <w:rFonts w:eastAsia="Calibri"/>
          <w:b/>
          <w:color w:val="auto"/>
          <w:sz w:val="28"/>
          <w:szCs w:val="28"/>
          <w:lang w:eastAsia="en-US"/>
        </w:rPr>
        <w:t xml:space="preserve">and </w:t>
      </w:r>
      <w:r w:rsidR="003A6C3A" w:rsidRPr="00654315">
        <w:rPr>
          <w:rFonts w:eastAsia="Calibri"/>
          <w:b/>
          <w:color w:val="auto"/>
          <w:sz w:val="28"/>
          <w:szCs w:val="28"/>
          <w:lang w:eastAsia="en-US"/>
        </w:rPr>
        <w:t>E</w:t>
      </w:r>
      <w:r w:rsidRPr="00654315">
        <w:rPr>
          <w:rFonts w:eastAsia="Calibri"/>
          <w:b/>
          <w:color w:val="auto"/>
          <w:sz w:val="28"/>
          <w:szCs w:val="28"/>
          <w:lang w:eastAsia="en-US"/>
        </w:rPr>
        <w:t xml:space="preserve">arning </w:t>
      </w:r>
      <w:r w:rsidR="003A6C3A" w:rsidRPr="00654315">
        <w:rPr>
          <w:rFonts w:eastAsia="Calibri"/>
          <w:b/>
          <w:color w:val="auto"/>
          <w:sz w:val="28"/>
          <w:szCs w:val="28"/>
          <w:lang w:eastAsia="en-US"/>
        </w:rPr>
        <w:t>M</w:t>
      </w:r>
      <w:r w:rsidRPr="00654315">
        <w:rPr>
          <w:rFonts w:eastAsia="Calibri"/>
          <w:b/>
          <w:color w:val="auto"/>
          <w:sz w:val="28"/>
          <w:szCs w:val="28"/>
          <w:lang w:eastAsia="en-US"/>
        </w:rPr>
        <w:t>anagement</w:t>
      </w:r>
      <w:r w:rsidR="00255E63" w:rsidRPr="00654315">
        <w:rPr>
          <w:rFonts w:eastAsia="Calibri"/>
          <w:b/>
          <w:color w:val="auto"/>
          <w:sz w:val="28"/>
          <w:szCs w:val="28"/>
          <w:lang w:eastAsia="en-US"/>
        </w:rPr>
        <w:t xml:space="preserve">: </w:t>
      </w:r>
      <w:r w:rsidR="00895572" w:rsidRPr="00654315">
        <w:rPr>
          <w:b/>
          <w:bCs/>
          <w:color w:val="auto"/>
          <w:sz w:val="28"/>
          <w:szCs w:val="28"/>
          <w:lang w:val="en-GB" w:eastAsia="en-GB"/>
        </w:rPr>
        <w:t>An</w:t>
      </w:r>
      <w:r w:rsidR="00895572" w:rsidRPr="00654315">
        <w:rPr>
          <w:rFonts w:eastAsia="Calibri"/>
          <w:b/>
          <w:color w:val="auto"/>
          <w:sz w:val="28"/>
          <w:szCs w:val="28"/>
          <w:lang w:eastAsia="en-US"/>
        </w:rPr>
        <w:t xml:space="preserve"> Empirical</w:t>
      </w:r>
      <w:r w:rsidR="00895572" w:rsidRPr="00654315">
        <w:rPr>
          <w:b/>
          <w:bCs/>
          <w:color w:val="auto"/>
          <w:sz w:val="28"/>
          <w:szCs w:val="28"/>
          <w:lang w:val="en-GB" w:eastAsia="en-GB"/>
        </w:rPr>
        <w:t xml:space="preserve"> </w:t>
      </w:r>
      <w:r w:rsidR="00895572" w:rsidRPr="00895572">
        <w:rPr>
          <w:b/>
          <w:bCs/>
          <w:sz w:val="28"/>
          <w:szCs w:val="28"/>
          <w:lang w:val="en-GB" w:eastAsia="en-GB"/>
        </w:rPr>
        <w:t>St</w:t>
      </w:r>
      <w:r w:rsidR="00895572">
        <w:rPr>
          <w:b/>
          <w:bCs/>
          <w:sz w:val="28"/>
          <w:szCs w:val="28"/>
          <w:lang w:val="en-GB" w:eastAsia="en-GB"/>
        </w:rPr>
        <w:t>udy o</w:t>
      </w:r>
      <w:r w:rsidR="00863472">
        <w:rPr>
          <w:b/>
          <w:bCs/>
          <w:sz w:val="28"/>
          <w:szCs w:val="28"/>
          <w:lang w:val="en-GB" w:eastAsia="en-GB"/>
        </w:rPr>
        <w:t>f</w:t>
      </w:r>
      <w:r w:rsidR="00895572">
        <w:rPr>
          <w:b/>
          <w:bCs/>
          <w:sz w:val="28"/>
          <w:szCs w:val="28"/>
          <w:lang w:val="en-GB" w:eastAsia="en-GB"/>
        </w:rPr>
        <w:t xml:space="preserve"> Chinese Listed Companies</w:t>
      </w:r>
    </w:p>
    <w:p w:rsidR="00A92B8D" w:rsidRDefault="00A92B8D" w:rsidP="00D61E29">
      <w:pPr>
        <w:widowControl/>
        <w:spacing w:after="0" w:line="240" w:lineRule="auto"/>
        <w:jc w:val="center"/>
        <w:rPr>
          <w:rFonts w:eastAsia="Calibri"/>
          <w:b/>
          <w:kern w:val="0"/>
          <w:szCs w:val="24"/>
          <w:lang w:eastAsia="en-US"/>
        </w:rPr>
      </w:pPr>
    </w:p>
    <w:p w:rsidR="00A92B8D" w:rsidRPr="003A6C3A" w:rsidRDefault="00A92B8D" w:rsidP="00D61E29">
      <w:pPr>
        <w:widowControl/>
        <w:spacing w:after="0" w:line="240" w:lineRule="auto"/>
        <w:jc w:val="center"/>
        <w:rPr>
          <w:rFonts w:eastAsia="Calibri"/>
          <w:b/>
          <w:kern w:val="0"/>
          <w:szCs w:val="24"/>
          <w:lang w:eastAsia="en-US"/>
        </w:rPr>
      </w:pPr>
    </w:p>
    <w:p w:rsidR="00241B4E" w:rsidRDefault="00241B4E" w:rsidP="00D61E29">
      <w:pPr>
        <w:spacing w:after="0" w:line="240" w:lineRule="auto"/>
        <w:jc w:val="center"/>
        <w:rPr>
          <w:b/>
          <w:szCs w:val="24"/>
        </w:rPr>
      </w:pPr>
    </w:p>
    <w:p w:rsidR="00265E8D" w:rsidRPr="00C36F2D" w:rsidRDefault="00265E8D" w:rsidP="00265E8D">
      <w:pPr>
        <w:spacing w:after="0" w:line="240" w:lineRule="auto"/>
        <w:jc w:val="center"/>
        <w:rPr>
          <w:b/>
          <w:szCs w:val="24"/>
        </w:rPr>
      </w:pPr>
      <w:r w:rsidRPr="00B43FD7">
        <w:rPr>
          <w:b/>
          <w:szCs w:val="24"/>
          <w:lang w:val="fr-FR"/>
        </w:rPr>
        <w:t xml:space="preserve">Christos </w:t>
      </w:r>
      <w:r>
        <w:rPr>
          <w:b/>
          <w:szCs w:val="24"/>
          <w:lang w:val="fr-FR"/>
        </w:rPr>
        <w:t xml:space="preserve">N. </w:t>
      </w:r>
      <w:r w:rsidRPr="00B43FD7">
        <w:rPr>
          <w:b/>
          <w:szCs w:val="24"/>
          <w:lang w:val="fr-FR"/>
        </w:rPr>
        <w:t>Christodoulou-Volos</w:t>
      </w:r>
      <w:r w:rsidRPr="00C36F2D">
        <w:rPr>
          <w:rStyle w:val="FootnoteReference"/>
          <w:szCs w:val="24"/>
        </w:rPr>
        <w:footnoteReference w:id="1"/>
      </w:r>
      <w:r w:rsidRPr="00C36F2D">
        <w:rPr>
          <w:rStyle w:val="FootnoteReference"/>
          <w:szCs w:val="24"/>
        </w:rPr>
        <w:t>*</w:t>
      </w:r>
    </w:p>
    <w:p w:rsidR="007D314C" w:rsidRDefault="007D314C" w:rsidP="00D61E29">
      <w:pPr>
        <w:spacing w:after="0" w:line="240" w:lineRule="auto"/>
        <w:jc w:val="center"/>
        <w:rPr>
          <w:b/>
          <w:szCs w:val="24"/>
        </w:rPr>
      </w:pPr>
    </w:p>
    <w:p w:rsidR="00A92B8D" w:rsidRDefault="00A92B8D" w:rsidP="00D61E29">
      <w:pPr>
        <w:spacing w:after="0" w:line="240" w:lineRule="auto"/>
        <w:jc w:val="center"/>
        <w:rPr>
          <w:b/>
          <w:szCs w:val="24"/>
        </w:rPr>
      </w:pPr>
    </w:p>
    <w:p w:rsidR="00241B4E" w:rsidRDefault="00D61E29" w:rsidP="00D61E29">
      <w:pPr>
        <w:spacing w:after="0" w:line="240" w:lineRule="auto"/>
        <w:jc w:val="center"/>
        <w:rPr>
          <w:b/>
          <w:szCs w:val="24"/>
        </w:rPr>
      </w:pPr>
      <w:r w:rsidRPr="004B5D80">
        <w:rPr>
          <w:b/>
          <w:szCs w:val="24"/>
        </w:rPr>
        <w:t>Abstract</w:t>
      </w:r>
    </w:p>
    <w:p w:rsidR="00D61E29" w:rsidRPr="004B5D80" w:rsidRDefault="00D61E29" w:rsidP="00D61E29">
      <w:pPr>
        <w:spacing w:after="0" w:line="240" w:lineRule="auto"/>
        <w:rPr>
          <w:szCs w:val="24"/>
        </w:rPr>
      </w:pPr>
    </w:p>
    <w:p w:rsidR="00241B4E" w:rsidRPr="00265E8D" w:rsidRDefault="004260EE" w:rsidP="00D61E29">
      <w:pPr>
        <w:spacing w:after="0" w:line="240" w:lineRule="auto"/>
        <w:rPr>
          <w:i/>
          <w:szCs w:val="24"/>
        </w:rPr>
      </w:pPr>
      <w:r w:rsidRPr="00265E8D">
        <w:rPr>
          <w:i/>
          <w:szCs w:val="24"/>
        </w:rPr>
        <w:t xml:space="preserve">This </w:t>
      </w:r>
      <w:r w:rsidR="00F66AF1">
        <w:rPr>
          <w:i/>
          <w:szCs w:val="24"/>
        </w:rPr>
        <w:t xml:space="preserve">empirical </w:t>
      </w:r>
      <w:r w:rsidRPr="00265E8D">
        <w:rPr>
          <w:i/>
          <w:szCs w:val="24"/>
        </w:rPr>
        <w:t xml:space="preserve">study </w:t>
      </w:r>
      <w:r w:rsidR="00696C96">
        <w:rPr>
          <w:i/>
          <w:szCs w:val="24"/>
        </w:rPr>
        <w:t xml:space="preserve">aims </w:t>
      </w:r>
      <w:r w:rsidRPr="00265E8D">
        <w:rPr>
          <w:i/>
          <w:szCs w:val="24"/>
        </w:rPr>
        <w:t xml:space="preserve">to reveal that companies conduct earnings management by the fuzzy zone of allowance policy. </w:t>
      </w:r>
      <w:r w:rsidR="00E4665E" w:rsidRPr="00265E8D">
        <w:rPr>
          <w:i/>
          <w:szCs w:val="24"/>
        </w:rPr>
        <w:t>It</w:t>
      </w:r>
      <w:r w:rsidR="00D61E29" w:rsidRPr="00265E8D">
        <w:rPr>
          <w:i/>
          <w:szCs w:val="24"/>
        </w:rPr>
        <w:t xml:space="preserve"> </w:t>
      </w:r>
      <w:r w:rsidR="00901774" w:rsidRPr="00265E8D">
        <w:rPr>
          <w:i/>
          <w:szCs w:val="24"/>
        </w:rPr>
        <w:t>investigates</w:t>
      </w:r>
      <w:r w:rsidR="00D61E29" w:rsidRPr="00265E8D">
        <w:rPr>
          <w:i/>
          <w:szCs w:val="24"/>
        </w:rPr>
        <w:t xml:space="preserve"> the </w:t>
      </w:r>
      <w:r w:rsidRPr="00265E8D">
        <w:rPr>
          <w:i/>
          <w:szCs w:val="24"/>
        </w:rPr>
        <w:t>inter</w:t>
      </w:r>
      <w:r w:rsidR="00D61E29" w:rsidRPr="00265E8D">
        <w:rPr>
          <w:i/>
          <w:szCs w:val="24"/>
        </w:rPr>
        <w:t xml:space="preserve">relationship between the allowance for doubtful accounts and earning management with </w:t>
      </w:r>
      <w:r w:rsidRPr="00265E8D">
        <w:rPr>
          <w:i/>
          <w:szCs w:val="24"/>
        </w:rPr>
        <w:t xml:space="preserve">the use of </w:t>
      </w:r>
      <w:r w:rsidR="00D61E29" w:rsidRPr="00265E8D">
        <w:rPr>
          <w:i/>
          <w:szCs w:val="24"/>
        </w:rPr>
        <w:t xml:space="preserve">three </w:t>
      </w:r>
      <w:r w:rsidR="00A512A0" w:rsidRPr="00265E8D">
        <w:rPr>
          <w:i/>
          <w:szCs w:val="24"/>
        </w:rPr>
        <w:t>hypotheses</w:t>
      </w:r>
      <w:r w:rsidR="00D61E29" w:rsidRPr="00265E8D">
        <w:rPr>
          <w:i/>
          <w:szCs w:val="24"/>
        </w:rPr>
        <w:t xml:space="preserve">. The data </w:t>
      </w:r>
      <w:r w:rsidR="00CB25AE" w:rsidRPr="00265E8D">
        <w:rPr>
          <w:i/>
          <w:szCs w:val="24"/>
          <w:lang w:val="en-GB"/>
        </w:rPr>
        <w:t>used</w:t>
      </w:r>
      <w:r w:rsidR="00B752FD" w:rsidRPr="00265E8D">
        <w:rPr>
          <w:i/>
          <w:szCs w:val="24"/>
        </w:rPr>
        <w:t xml:space="preserve"> </w:t>
      </w:r>
      <w:r w:rsidR="00A512A0" w:rsidRPr="00265E8D">
        <w:rPr>
          <w:i/>
          <w:szCs w:val="24"/>
        </w:rPr>
        <w:t xml:space="preserve">are </w:t>
      </w:r>
      <w:r w:rsidR="00D61E29" w:rsidRPr="00265E8D">
        <w:rPr>
          <w:i/>
          <w:szCs w:val="24"/>
        </w:rPr>
        <w:t>from Chinese listed companies</w:t>
      </w:r>
      <w:r w:rsidRPr="00265E8D">
        <w:rPr>
          <w:i/>
          <w:szCs w:val="24"/>
        </w:rPr>
        <w:t xml:space="preserve"> </w:t>
      </w:r>
      <w:r w:rsidR="00B752FD" w:rsidRPr="00265E8D">
        <w:rPr>
          <w:i/>
          <w:szCs w:val="24"/>
        </w:rPr>
        <w:t xml:space="preserve">for the period </w:t>
      </w:r>
      <w:r w:rsidR="00CB25AE" w:rsidRPr="00265E8D">
        <w:rPr>
          <w:i/>
          <w:szCs w:val="24"/>
          <w:lang w:val="en-GB"/>
        </w:rPr>
        <w:t>2</w:t>
      </w:r>
      <w:r w:rsidRPr="00265E8D">
        <w:rPr>
          <w:i/>
          <w:szCs w:val="24"/>
        </w:rPr>
        <w:t>00</w:t>
      </w:r>
      <w:r w:rsidR="00AB674D" w:rsidRPr="00265E8D">
        <w:rPr>
          <w:i/>
          <w:szCs w:val="24"/>
        </w:rPr>
        <w:t>8</w:t>
      </w:r>
      <w:r w:rsidR="00CB25AE" w:rsidRPr="00265E8D">
        <w:rPr>
          <w:i/>
          <w:szCs w:val="24"/>
          <w:lang w:val="en-GB"/>
        </w:rPr>
        <w:t>-</w:t>
      </w:r>
      <w:r w:rsidRPr="00265E8D">
        <w:rPr>
          <w:i/>
          <w:szCs w:val="24"/>
        </w:rPr>
        <w:t>2017</w:t>
      </w:r>
      <w:r w:rsidR="00D61E29" w:rsidRPr="00265E8D">
        <w:rPr>
          <w:i/>
          <w:szCs w:val="24"/>
        </w:rPr>
        <w:t xml:space="preserve">. China has made efforts to follow </w:t>
      </w:r>
      <w:r w:rsidR="00AB674D" w:rsidRPr="00265E8D">
        <w:rPr>
          <w:i/>
          <w:szCs w:val="24"/>
        </w:rPr>
        <w:t>t</w:t>
      </w:r>
      <w:r w:rsidR="00AB674D" w:rsidRPr="00265E8D">
        <w:rPr>
          <w:i/>
        </w:rPr>
        <w:t xml:space="preserve">he International Accounting Standards </w:t>
      </w:r>
      <w:r w:rsidR="00D61E29" w:rsidRPr="00265E8D">
        <w:rPr>
          <w:i/>
          <w:szCs w:val="24"/>
        </w:rPr>
        <w:t xml:space="preserve">and </w:t>
      </w:r>
      <w:r w:rsidR="0055210C" w:rsidRPr="00265E8D">
        <w:rPr>
          <w:i/>
          <w:szCs w:val="24"/>
        </w:rPr>
        <w:t xml:space="preserve">the </w:t>
      </w:r>
      <w:r w:rsidR="00D61E29" w:rsidRPr="00265E8D">
        <w:rPr>
          <w:i/>
          <w:szCs w:val="24"/>
        </w:rPr>
        <w:t xml:space="preserve">Chinese accounting standards have experienced two </w:t>
      </w:r>
      <w:r w:rsidR="0055210C" w:rsidRPr="00265E8D">
        <w:rPr>
          <w:i/>
          <w:szCs w:val="24"/>
        </w:rPr>
        <w:t>major</w:t>
      </w:r>
      <w:r w:rsidR="00CB25AE" w:rsidRPr="00265E8D">
        <w:rPr>
          <w:i/>
          <w:szCs w:val="24"/>
        </w:rPr>
        <w:t xml:space="preserve"> </w:t>
      </w:r>
      <w:r w:rsidR="00D61E29" w:rsidRPr="00265E8D">
        <w:rPr>
          <w:i/>
          <w:szCs w:val="24"/>
        </w:rPr>
        <w:t>changes</w:t>
      </w:r>
      <w:r w:rsidR="00CB25AE" w:rsidRPr="00265E8D">
        <w:rPr>
          <w:i/>
          <w:szCs w:val="24"/>
        </w:rPr>
        <w:t>:</w:t>
      </w:r>
      <w:r w:rsidR="00D61E29" w:rsidRPr="00265E8D">
        <w:rPr>
          <w:i/>
          <w:szCs w:val="24"/>
        </w:rPr>
        <w:t xml:space="preserve"> the first one happened in 2007, </w:t>
      </w:r>
      <w:r w:rsidR="00CB25AE" w:rsidRPr="00265E8D">
        <w:rPr>
          <w:i/>
          <w:szCs w:val="24"/>
        </w:rPr>
        <w:t xml:space="preserve">where </w:t>
      </w:r>
      <w:r w:rsidR="00D61E29" w:rsidRPr="00265E8D">
        <w:rPr>
          <w:i/>
          <w:szCs w:val="24"/>
        </w:rPr>
        <w:t xml:space="preserve">assets impairment </w:t>
      </w:r>
      <w:r w:rsidR="0055210C" w:rsidRPr="00265E8D">
        <w:rPr>
          <w:i/>
          <w:szCs w:val="24"/>
        </w:rPr>
        <w:t xml:space="preserve">put forward </w:t>
      </w:r>
      <w:r w:rsidR="00D61E29" w:rsidRPr="00265E8D">
        <w:rPr>
          <w:i/>
          <w:szCs w:val="24"/>
        </w:rPr>
        <w:t>measurement steps</w:t>
      </w:r>
      <w:r w:rsidR="00CB25AE" w:rsidRPr="00265E8D">
        <w:rPr>
          <w:i/>
          <w:szCs w:val="24"/>
        </w:rPr>
        <w:t>, and the second one</w:t>
      </w:r>
      <w:r w:rsidR="00D61E29" w:rsidRPr="00265E8D">
        <w:rPr>
          <w:i/>
          <w:szCs w:val="24"/>
        </w:rPr>
        <w:t xml:space="preserve"> </w:t>
      </w:r>
      <w:r w:rsidR="00CB25AE" w:rsidRPr="00265E8D">
        <w:rPr>
          <w:i/>
          <w:szCs w:val="24"/>
        </w:rPr>
        <w:t>i</w:t>
      </w:r>
      <w:r w:rsidR="00D61E29" w:rsidRPr="00265E8D">
        <w:rPr>
          <w:i/>
          <w:szCs w:val="24"/>
        </w:rPr>
        <w:t xml:space="preserve">n 2014, </w:t>
      </w:r>
      <w:r w:rsidR="0055210C" w:rsidRPr="00265E8D">
        <w:rPr>
          <w:i/>
          <w:szCs w:val="24"/>
        </w:rPr>
        <w:t xml:space="preserve">where </w:t>
      </w:r>
      <w:r w:rsidR="00D61E29" w:rsidRPr="00265E8D">
        <w:rPr>
          <w:i/>
          <w:szCs w:val="24"/>
        </w:rPr>
        <w:t xml:space="preserve">fair value standard </w:t>
      </w:r>
      <w:r w:rsidR="0055210C" w:rsidRPr="00265E8D">
        <w:rPr>
          <w:i/>
          <w:szCs w:val="24"/>
        </w:rPr>
        <w:t xml:space="preserve">introduced to </w:t>
      </w:r>
      <w:r w:rsidR="00D61E29" w:rsidRPr="00265E8D">
        <w:rPr>
          <w:i/>
          <w:szCs w:val="24"/>
        </w:rPr>
        <w:t xml:space="preserve">help enterprises deal with the fair value of account receivables. Because of the </w:t>
      </w:r>
      <w:r w:rsidR="00B752FD" w:rsidRPr="00265E8D">
        <w:rPr>
          <w:i/>
          <w:szCs w:val="24"/>
        </w:rPr>
        <w:t>latter</w:t>
      </w:r>
      <w:r w:rsidR="00D61E29" w:rsidRPr="00265E8D">
        <w:rPr>
          <w:i/>
          <w:szCs w:val="24"/>
        </w:rPr>
        <w:t>, th</w:t>
      </w:r>
      <w:r w:rsidR="0055210C" w:rsidRPr="00265E8D">
        <w:rPr>
          <w:i/>
          <w:szCs w:val="24"/>
        </w:rPr>
        <w:t>is</w:t>
      </w:r>
      <w:r w:rsidR="00D61E29" w:rsidRPr="00265E8D">
        <w:rPr>
          <w:i/>
          <w:szCs w:val="24"/>
        </w:rPr>
        <w:t xml:space="preserve"> study is divided into two parts.</w:t>
      </w:r>
      <w:r w:rsidR="00901774" w:rsidRPr="00265E8D">
        <w:rPr>
          <w:i/>
          <w:szCs w:val="24"/>
        </w:rPr>
        <w:t xml:space="preserve"> </w:t>
      </w:r>
      <w:r w:rsidR="00D61E29" w:rsidRPr="00265E8D">
        <w:rPr>
          <w:i/>
          <w:szCs w:val="24"/>
        </w:rPr>
        <w:t>After this modification</w:t>
      </w:r>
      <w:r w:rsidR="0055210C" w:rsidRPr="00265E8D">
        <w:rPr>
          <w:i/>
          <w:szCs w:val="24"/>
        </w:rPr>
        <w:t xml:space="preserve"> of 2014</w:t>
      </w:r>
      <w:r w:rsidR="00D61E29" w:rsidRPr="00265E8D">
        <w:rPr>
          <w:i/>
          <w:szCs w:val="24"/>
        </w:rPr>
        <w:t>, the allowance for doubtful accounts and the reversal faced a huge difference comparing with previous rules.</w:t>
      </w:r>
      <w:r w:rsidR="006F6E46" w:rsidRPr="00265E8D">
        <w:rPr>
          <w:i/>
          <w:szCs w:val="24"/>
        </w:rPr>
        <w:t xml:space="preserve"> </w:t>
      </w:r>
      <w:r w:rsidR="00D61E29" w:rsidRPr="00265E8D">
        <w:rPr>
          <w:i/>
          <w:szCs w:val="24"/>
        </w:rPr>
        <w:t>The findings prove that before 2014, Chinese listed companies manipulate</w:t>
      </w:r>
      <w:r w:rsidR="0055210C" w:rsidRPr="00265E8D">
        <w:rPr>
          <w:i/>
          <w:szCs w:val="24"/>
        </w:rPr>
        <w:t>d</w:t>
      </w:r>
      <w:r w:rsidR="00D61E29" w:rsidRPr="00265E8D">
        <w:rPr>
          <w:i/>
          <w:szCs w:val="24"/>
        </w:rPr>
        <w:t xml:space="preserve"> the earnings with the help of allowance for doubtful accounts. However, after</w:t>
      </w:r>
      <w:r w:rsidR="00B752FD" w:rsidRPr="00265E8D">
        <w:rPr>
          <w:i/>
          <w:szCs w:val="24"/>
        </w:rPr>
        <w:t>wards</w:t>
      </w:r>
      <w:r w:rsidR="00D61E29" w:rsidRPr="00265E8D">
        <w:rPr>
          <w:i/>
          <w:szCs w:val="24"/>
        </w:rPr>
        <w:t xml:space="preserve"> the possibility of earning management </w:t>
      </w:r>
      <w:r w:rsidR="0055210C" w:rsidRPr="00265E8D">
        <w:rPr>
          <w:i/>
          <w:szCs w:val="24"/>
        </w:rPr>
        <w:t>deteriorates,</w:t>
      </w:r>
      <w:r w:rsidR="00D61E29" w:rsidRPr="00265E8D">
        <w:rPr>
          <w:i/>
          <w:szCs w:val="24"/>
        </w:rPr>
        <w:t xml:space="preserve"> showing the effectiveness of the fair value accounting standard’s improvement. Furthermore, </w:t>
      </w:r>
      <w:r w:rsidR="0055210C" w:rsidRPr="00265E8D">
        <w:rPr>
          <w:i/>
          <w:szCs w:val="24"/>
        </w:rPr>
        <w:t>r</w:t>
      </w:r>
      <w:r w:rsidR="00D61E29" w:rsidRPr="00265E8D">
        <w:rPr>
          <w:i/>
          <w:szCs w:val="24"/>
        </w:rPr>
        <w:t xml:space="preserve">eturn on equity shows less significant relationship with allowance for doubtful accounts. </w:t>
      </w:r>
      <w:r w:rsidR="00A874DD" w:rsidRPr="00265E8D">
        <w:rPr>
          <w:i/>
          <w:szCs w:val="24"/>
        </w:rPr>
        <w:t>A</w:t>
      </w:r>
      <w:r w:rsidR="00D61E29" w:rsidRPr="00265E8D">
        <w:rPr>
          <w:i/>
          <w:szCs w:val="24"/>
        </w:rPr>
        <w:t xml:space="preserve">lthough </w:t>
      </w:r>
      <w:r w:rsidR="00A874DD" w:rsidRPr="00265E8D">
        <w:rPr>
          <w:i/>
          <w:szCs w:val="24"/>
        </w:rPr>
        <w:t xml:space="preserve">a </w:t>
      </w:r>
      <w:r w:rsidR="00D61E29" w:rsidRPr="00265E8D">
        <w:rPr>
          <w:i/>
          <w:szCs w:val="24"/>
        </w:rPr>
        <w:t>previous study considers debt contracts enhance</w:t>
      </w:r>
      <w:r w:rsidR="00A874DD" w:rsidRPr="00265E8D">
        <w:rPr>
          <w:i/>
          <w:szCs w:val="24"/>
        </w:rPr>
        <w:t>s</w:t>
      </w:r>
      <w:r w:rsidR="00D61E29" w:rsidRPr="00265E8D">
        <w:rPr>
          <w:i/>
          <w:szCs w:val="24"/>
        </w:rPr>
        <w:t xml:space="preserve"> the negative relationship with allowance for doubtful accounts, the findings show </w:t>
      </w:r>
      <w:r w:rsidR="00A874DD" w:rsidRPr="00265E8D">
        <w:rPr>
          <w:i/>
          <w:szCs w:val="24"/>
        </w:rPr>
        <w:t xml:space="preserve">instead a </w:t>
      </w:r>
      <w:r w:rsidR="00D61E29" w:rsidRPr="00265E8D">
        <w:rPr>
          <w:i/>
          <w:szCs w:val="24"/>
        </w:rPr>
        <w:t xml:space="preserve">positive </w:t>
      </w:r>
      <w:r w:rsidR="00A874DD" w:rsidRPr="00265E8D">
        <w:rPr>
          <w:i/>
          <w:szCs w:val="24"/>
        </w:rPr>
        <w:t>one</w:t>
      </w:r>
      <w:r w:rsidR="00D61E29" w:rsidRPr="00265E8D">
        <w:rPr>
          <w:i/>
          <w:szCs w:val="24"/>
        </w:rPr>
        <w:t xml:space="preserve">. </w:t>
      </w:r>
      <w:r w:rsidR="00A874DD" w:rsidRPr="00265E8D">
        <w:rPr>
          <w:i/>
          <w:szCs w:val="24"/>
        </w:rPr>
        <w:t>This</w:t>
      </w:r>
      <w:r w:rsidR="00D61E29" w:rsidRPr="00265E8D">
        <w:rPr>
          <w:i/>
          <w:szCs w:val="24"/>
        </w:rPr>
        <w:t xml:space="preserve"> </w:t>
      </w:r>
      <w:r w:rsidR="00A874DD" w:rsidRPr="00265E8D">
        <w:rPr>
          <w:i/>
          <w:szCs w:val="24"/>
        </w:rPr>
        <w:t xml:space="preserve">simply </w:t>
      </w:r>
      <w:r w:rsidR="00D61E29" w:rsidRPr="00265E8D">
        <w:rPr>
          <w:i/>
          <w:szCs w:val="24"/>
        </w:rPr>
        <w:t xml:space="preserve">means </w:t>
      </w:r>
      <w:r w:rsidR="00A874DD" w:rsidRPr="00265E8D">
        <w:rPr>
          <w:i/>
          <w:szCs w:val="24"/>
        </w:rPr>
        <w:t xml:space="preserve">that </w:t>
      </w:r>
      <w:r w:rsidR="00D61E29" w:rsidRPr="00265E8D">
        <w:rPr>
          <w:i/>
          <w:szCs w:val="24"/>
        </w:rPr>
        <w:t>high leverage ratio creates higher allowance for doubtful accounts.</w:t>
      </w:r>
    </w:p>
    <w:p w:rsidR="00D1392A" w:rsidRDefault="00D1392A" w:rsidP="00265E8D">
      <w:pPr>
        <w:widowControl/>
        <w:spacing w:after="0" w:line="240" w:lineRule="auto"/>
        <w:jc w:val="left"/>
        <w:rPr>
          <w:szCs w:val="24"/>
        </w:rPr>
      </w:pPr>
      <w:bookmarkStart w:id="0" w:name="_Toc10818755"/>
    </w:p>
    <w:p w:rsidR="00EE1082" w:rsidRPr="00901774" w:rsidRDefault="00265E8D" w:rsidP="00265E8D">
      <w:pPr>
        <w:widowControl/>
        <w:spacing w:after="0" w:line="240" w:lineRule="auto"/>
        <w:rPr>
          <w:b/>
          <w:szCs w:val="24"/>
        </w:rPr>
      </w:pPr>
      <w:r w:rsidRPr="00F85BE2">
        <w:rPr>
          <w:bCs/>
          <w:i/>
          <w:szCs w:val="24"/>
        </w:rPr>
        <w:t>Keywords</w:t>
      </w:r>
      <w:r w:rsidRPr="00F85BE2">
        <w:rPr>
          <w:szCs w:val="24"/>
        </w:rPr>
        <w:t>:</w:t>
      </w:r>
      <w:r w:rsidR="00EE1082" w:rsidRPr="00901774">
        <w:rPr>
          <w:szCs w:val="24"/>
        </w:rPr>
        <w:t xml:space="preserve"> Earning Management; Allowance for Doubtful Accounts</w:t>
      </w:r>
      <w:r w:rsidR="0054475D">
        <w:rPr>
          <w:szCs w:val="24"/>
        </w:rPr>
        <w:t>; Regression Analysis</w:t>
      </w:r>
    </w:p>
    <w:p w:rsidR="00901774" w:rsidRDefault="00265E8D" w:rsidP="00701963">
      <w:pPr>
        <w:pStyle w:val="Default"/>
        <w:rPr>
          <w:lang w:val="en-GB" w:eastAsia="en-GB"/>
        </w:rPr>
      </w:pPr>
      <w:r w:rsidRPr="00F85BE2">
        <w:rPr>
          <w:i/>
        </w:rPr>
        <w:t>JEL Classifications</w:t>
      </w:r>
      <w:r w:rsidRPr="00F85BE2">
        <w:t>:</w:t>
      </w:r>
      <w:r w:rsidRPr="00701963">
        <w:t xml:space="preserve"> </w:t>
      </w:r>
      <w:r w:rsidR="00701963">
        <w:rPr>
          <w:lang w:val="en-GB" w:eastAsia="en-GB"/>
        </w:rPr>
        <w:t>G</w:t>
      </w:r>
      <w:r w:rsidR="003819BE">
        <w:rPr>
          <w:lang w:val="en-GB" w:eastAsia="en-GB"/>
        </w:rPr>
        <w:t>28</w:t>
      </w:r>
      <w:r w:rsidR="00701963">
        <w:rPr>
          <w:lang w:val="en-GB" w:eastAsia="en-GB"/>
        </w:rPr>
        <w:t>, M41</w:t>
      </w:r>
      <w:r w:rsidR="003819BE">
        <w:rPr>
          <w:lang w:val="en-GB" w:eastAsia="en-GB"/>
        </w:rPr>
        <w:t>, C20</w:t>
      </w:r>
    </w:p>
    <w:p w:rsidR="00701963" w:rsidRDefault="00701963">
      <w:pPr>
        <w:widowControl/>
        <w:spacing w:line="259" w:lineRule="auto"/>
        <w:jc w:val="left"/>
        <w:rPr>
          <w:color w:val="000000"/>
          <w:kern w:val="0"/>
          <w:szCs w:val="24"/>
          <w:lang w:val="en-GB" w:eastAsia="en-GB"/>
        </w:rPr>
      </w:pPr>
      <w:r>
        <w:rPr>
          <w:lang w:val="en-GB" w:eastAsia="en-GB"/>
        </w:rPr>
        <w:br w:type="page"/>
      </w:r>
    </w:p>
    <w:p w:rsidR="00241B4E" w:rsidRPr="004B5D80" w:rsidRDefault="00D61E29" w:rsidP="00050131">
      <w:pPr>
        <w:pStyle w:val="Heading1"/>
        <w:numPr>
          <w:ilvl w:val="0"/>
          <w:numId w:val="5"/>
        </w:numPr>
        <w:spacing w:after="0" w:line="240" w:lineRule="auto"/>
        <w:ind w:left="426"/>
        <w:rPr>
          <w:szCs w:val="24"/>
        </w:rPr>
      </w:pPr>
      <w:r w:rsidRPr="004B5D80">
        <w:rPr>
          <w:szCs w:val="24"/>
        </w:rPr>
        <w:lastRenderedPageBreak/>
        <w:t>Introduction</w:t>
      </w:r>
      <w:bookmarkEnd w:id="0"/>
      <w:r w:rsidR="00DE771C" w:rsidRPr="00DE771C">
        <w:rPr>
          <w:szCs w:val="24"/>
        </w:rPr>
        <w:t xml:space="preserve"> </w:t>
      </w:r>
    </w:p>
    <w:p w:rsidR="003A6C3A" w:rsidRDefault="003A6C3A" w:rsidP="00050131">
      <w:pPr>
        <w:pStyle w:val="Heading2"/>
        <w:spacing w:after="0" w:line="240" w:lineRule="auto"/>
        <w:rPr>
          <w:szCs w:val="24"/>
        </w:rPr>
      </w:pPr>
      <w:bookmarkStart w:id="1" w:name="_Toc10818756"/>
    </w:p>
    <w:p w:rsidR="007E350F" w:rsidRDefault="003A1B7E" w:rsidP="00D61E29">
      <w:pPr>
        <w:spacing w:after="0" w:line="240" w:lineRule="auto"/>
        <w:rPr>
          <w:szCs w:val="24"/>
        </w:rPr>
      </w:pPr>
      <w:r>
        <w:rPr>
          <w:szCs w:val="24"/>
        </w:rPr>
        <w:t>A</w:t>
      </w:r>
      <w:r w:rsidR="006F6E46" w:rsidRPr="004B5D80">
        <w:rPr>
          <w:szCs w:val="24"/>
        </w:rPr>
        <w:t xml:space="preserve">fter </w:t>
      </w:r>
      <w:r>
        <w:rPr>
          <w:szCs w:val="24"/>
        </w:rPr>
        <w:t xml:space="preserve">the </w:t>
      </w:r>
      <w:r w:rsidR="006F6E46" w:rsidRPr="004B5D80">
        <w:rPr>
          <w:szCs w:val="24"/>
        </w:rPr>
        <w:t>financial crisis</w:t>
      </w:r>
      <w:r>
        <w:rPr>
          <w:szCs w:val="24"/>
        </w:rPr>
        <w:t xml:space="preserve"> of 2008</w:t>
      </w:r>
      <w:r w:rsidR="006F6E46" w:rsidRPr="004B5D80">
        <w:rPr>
          <w:szCs w:val="24"/>
        </w:rPr>
        <w:t xml:space="preserve">, global accounting institutions began to researching on the improvement of the rationality and comparability of accounting information. Meanwhile, assets impairment as a significant accounting information has become more and more important with the expansion of the assets. There is uncertainty about the expected future recoverable amount of accounts receivable, and in the disclosure of relevant information, the most core link is the provision for bad debt, write-off and turn back. </w:t>
      </w:r>
      <w:r>
        <w:rPr>
          <w:szCs w:val="24"/>
        </w:rPr>
        <w:t>E</w:t>
      </w:r>
      <w:r w:rsidR="006F6E46" w:rsidRPr="004B5D80">
        <w:rPr>
          <w:szCs w:val="24"/>
        </w:rPr>
        <w:t xml:space="preserve">arnings management was originally put forward as an inevitable and acceptable situation, but managers went beyond the limits of the acceptable extend and blurred the boundary of accounting standards, from managing earnings to manipulating earnings, and even accounting fraud and financial fraud. </w:t>
      </w:r>
      <w:r w:rsidR="007E350F">
        <w:rPr>
          <w:szCs w:val="24"/>
        </w:rPr>
        <w:t>E</w:t>
      </w:r>
      <w:r w:rsidR="007E350F" w:rsidRPr="004B5D80">
        <w:rPr>
          <w:szCs w:val="24"/>
        </w:rPr>
        <w:t xml:space="preserve">arning management has become a normal method which is conducted to modify companies’ profits resulting in lower quality of financial reports. </w:t>
      </w:r>
      <w:r w:rsidR="007F5505">
        <w:rPr>
          <w:szCs w:val="24"/>
        </w:rPr>
        <w:t xml:space="preserve"> </w:t>
      </w:r>
      <w:bookmarkEnd w:id="1"/>
    </w:p>
    <w:p w:rsidR="007E350F" w:rsidRDefault="007E350F" w:rsidP="00D61E29">
      <w:pPr>
        <w:spacing w:after="0" w:line="240" w:lineRule="auto"/>
        <w:rPr>
          <w:szCs w:val="24"/>
        </w:rPr>
      </w:pPr>
    </w:p>
    <w:p w:rsidR="007E350F" w:rsidRPr="004B5D80" w:rsidRDefault="00D61E29" w:rsidP="007E350F">
      <w:pPr>
        <w:spacing w:after="0" w:line="240" w:lineRule="auto"/>
        <w:rPr>
          <w:szCs w:val="24"/>
        </w:rPr>
      </w:pPr>
      <w:r w:rsidRPr="004B5D80">
        <w:rPr>
          <w:szCs w:val="24"/>
        </w:rPr>
        <w:t>In recent years, many enterprises begin to use allowance for doubtful accounts to carry on the earnings management, causing accounting information quality to decline.</w:t>
      </w:r>
      <w:r w:rsidR="007E350F" w:rsidRPr="007E350F">
        <w:rPr>
          <w:szCs w:val="24"/>
        </w:rPr>
        <w:t xml:space="preserve"> </w:t>
      </w:r>
      <w:r w:rsidR="007E350F" w:rsidRPr="004B5D80">
        <w:rPr>
          <w:szCs w:val="24"/>
        </w:rPr>
        <w:t xml:space="preserve">Therefore, studying accounting policy of allowance for doubtful accounts is helpful to establish accounting rules conducive to the healthy development of companies, reduce the distortion of accounting information, and improve the quality of accounting information. </w:t>
      </w:r>
      <w:r w:rsidR="007E350F">
        <w:rPr>
          <w:szCs w:val="24"/>
        </w:rPr>
        <w:t>I</w:t>
      </w:r>
      <w:r w:rsidR="007E350F" w:rsidRPr="004B5D80">
        <w:rPr>
          <w:szCs w:val="24"/>
        </w:rPr>
        <w:t xml:space="preserve">t is </w:t>
      </w:r>
      <w:r w:rsidR="007E350F">
        <w:rPr>
          <w:szCs w:val="24"/>
        </w:rPr>
        <w:t xml:space="preserve">also </w:t>
      </w:r>
      <w:r w:rsidR="007E350F" w:rsidRPr="004B5D80">
        <w:rPr>
          <w:szCs w:val="24"/>
        </w:rPr>
        <w:t>helpful for investors to obtain accurate accounting information, so that investors can correctly judge the quality of companies, and investment decision-making ability of investor</w:t>
      </w:r>
      <w:r w:rsidR="007E350F">
        <w:rPr>
          <w:szCs w:val="24"/>
        </w:rPr>
        <w:t>s will be improved accordingly.</w:t>
      </w:r>
    </w:p>
    <w:p w:rsidR="00D61E29" w:rsidRPr="004B5D80" w:rsidRDefault="00D61E29" w:rsidP="00D61E29">
      <w:pPr>
        <w:spacing w:after="0" w:line="240" w:lineRule="auto"/>
        <w:rPr>
          <w:szCs w:val="24"/>
        </w:rPr>
      </w:pPr>
    </w:p>
    <w:p w:rsidR="00D61E29" w:rsidRDefault="004260EE" w:rsidP="00D61E29">
      <w:pPr>
        <w:spacing w:after="0" w:line="240" w:lineRule="auto"/>
        <w:rPr>
          <w:szCs w:val="24"/>
        </w:rPr>
      </w:pPr>
      <w:r>
        <w:rPr>
          <w:szCs w:val="24"/>
        </w:rPr>
        <w:t>T</w:t>
      </w:r>
      <w:r w:rsidRPr="004260EE">
        <w:t>he International Accounting Standards Board</w:t>
      </w:r>
      <w:r w:rsidRPr="004260EE">
        <w:rPr>
          <w:szCs w:val="24"/>
        </w:rPr>
        <w:t xml:space="preserve"> (IASB)</w:t>
      </w:r>
      <w:r w:rsidR="00D61E29" w:rsidRPr="004B5D80">
        <w:rPr>
          <w:szCs w:val="24"/>
        </w:rPr>
        <w:t xml:space="preserve"> requires companies to make test of the impairment of accounts receivable</w:t>
      </w:r>
      <w:r w:rsidR="00DA1ECF">
        <w:rPr>
          <w:szCs w:val="24"/>
        </w:rPr>
        <w:t>,</w:t>
      </w:r>
      <w:r w:rsidR="00D61E29" w:rsidRPr="004B5D80">
        <w:rPr>
          <w:szCs w:val="24"/>
        </w:rPr>
        <w:t xml:space="preserve"> for the single item of receivables with significant amount, the test shall be conducted separately. If there is objective evidence that the impairment is issued, the impairment loss shall be recognized and the provision for bad debts shall be made according to the difference between the present value of its future cash flow and its book value. For the single significant receivables without impairment after separate side test, they can be divided into groups according to similar credit risk characteristics, and then the impairment loss can be calculated and withdrawn according to a certain percentage of the amounts of these groups. Besides that, standards allow reversal of allowance for doubtful accounts if signals of impairments are disappeared. These rules</w:t>
      </w:r>
      <w:r w:rsidR="00DE771C">
        <w:rPr>
          <w:szCs w:val="24"/>
        </w:rPr>
        <w:t>,</w:t>
      </w:r>
      <w:r w:rsidR="00DE771C" w:rsidRPr="00DE771C">
        <w:rPr>
          <w:szCs w:val="24"/>
        </w:rPr>
        <w:t xml:space="preserve"> </w:t>
      </w:r>
      <w:r w:rsidR="00DE771C" w:rsidRPr="004B5D80">
        <w:rPr>
          <w:szCs w:val="24"/>
        </w:rPr>
        <w:t>on one hand</w:t>
      </w:r>
      <w:r w:rsidR="00DE771C">
        <w:rPr>
          <w:szCs w:val="24"/>
        </w:rPr>
        <w:t>,</w:t>
      </w:r>
      <w:r w:rsidR="00D61E29" w:rsidRPr="004B5D80">
        <w:rPr>
          <w:szCs w:val="24"/>
        </w:rPr>
        <w:t xml:space="preserve"> provide flexibility to companies wh</w:t>
      </w:r>
      <w:r w:rsidR="00DE771C">
        <w:rPr>
          <w:szCs w:val="24"/>
        </w:rPr>
        <w:t>ich</w:t>
      </w:r>
      <w:r w:rsidR="00D61E29" w:rsidRPr="004B5D80">
        <w:rPr>
          <w:szCs w:val="24"/>
        </w:rPr>
        <w:t xml:space="preserve"> can reverse allowance when </w:t>
      </w:r>
      <w:r w:rsidR="00DE771C">
        <w:rPr>
          <w:szCs w:val="24"/>
        </w:rPr>
        <w:t xml:space="preserve">is </w:t>
      </w:r>
      <w:r w:rsidR="00D61E29" w:rsidRPr="004B5D80">
        <w:rPr>
          <w:szCs w:val="24"/>
        </w:rPr>
        <w:t>need</w:t>
      </w:r>
      <w:r w:rsidR="00DE771C">
        <w:rPr>
          <w:szCs w:val="24"/>
        </w:rPr>
        <w:t>ed</w:t>
      </w:r>
      <w:r w:rsidR="00D61E29" w:rsidRPr="004B5D80">
        <w:rPr>
          <w:szCs w:val="24"/>
        </w:rPr>
        <w:t xml:space="preserve">. On the other, although allowance for bad debts is aging, there is still a part that needs to be tested separately, which often accounts for a larger proportion of accounts receivable. </w:t>
      </w:r>
    </w:p>
    <w:p w:rsidR="00050131" w:rsidRPr="004B5D80" w:rsidRDefault="00050131" w:rsidP="00D61E29">
      <w:pPr>
        <w:spacing w:after="0" w:line="240" w:lineRule="auto"/>
        <w:rPr>
          <w:szCs w:val="24"/>
        </w:rPr>
      </w:pPr>
    </w:p>
    <w:p w:rsidR="00096A7C" w:rsidRPr="004B5D80" w:rsidRDefault="00096A7C" w:rsidP="00096A7C">
      <w:pPr>
        <w:spacing w:after="0" w:line="240" w:lineRule="auto"/>
        <w:rPr>
          <w:szCs w:val="24"/>
        </w:rPr>
      </w:pPr>
      <w:r w:rsidRPr="004B5D80">
        <w:rPr>
          <w:szCs w:val="24"/>
        </w:rPr>
        <w:t xml:space="preserve">For years, </w:t>
      </w:r>
      <w:r>
        <w:rPr>
          <w:szCs w:val="24"/>
        </w:rPr>
        <w:t xml:space="preserve">the </w:t>
      </w:r>
      <w:r w:rsidRPr="004B5D80">
        <w:rPr>
          <w:szCs w:val="24"/>
        </w:rPr>
        <w:t>Chinese government is pursuing the balance between the international accounting standards rules and Chinese specific characteristics. In 2007, the Chinese government publishe</w:t>
      </w:r>
      <w:r w:rsidR="003368D1">
        <w:rPr>
          <w:szCs w:val="24"/>
        </w:rPr>
        <w:t>d</w:t>
      </w:r>
      <w:r w:rsidRPr="004B5D80">
        <w:rPr>
          <w:szCs w:val="24"/>
        </w:rPr>
        <w:t xml:space="preserve"> the new accounting standards. The new standard abolishes the provisions that the impairment provision of long-term assets can be reversed which has </w:t>
      </w:r>
      <w:r w:rsidRPr="004B5D80">
        <w:rPr>
          <w:szCs w:val="24"/>
        </w:rPr>
        <w:lastRenderedPageBreak/>
        <w:t xml:space="preserve">been accrued during the previous period. It clearly stipulates that once the impairment of long-term assets is determined, it shall not be reversed in the subsequent accounting period. This rule, to a certain extent, restrains the bad phenomenon of enterprises using asset impairment reserve to carry out earnings management, and more embodies the principle of prudence. </w:t>
      </w:r>
    </w:p>
    <w:p w:rsidR="00096A7C" w:rsidRPr="004B5D80" w:rsidRDefault="00096A7C" w:rsidP="00096A7C">
      <w:pPr>
        <w:spacing w:after="0" w:line="240" w:lineRule="auto"/>
        <w:rPr>
          <w:szCs w:val="24"/>
        </w:rPr>
      </w:pPr>
    </w:p>
    <w:p w:rsidR="00096A7C" w:rsidRPr="004B5D80" w:rsidRDefault="00096A7C" w:rsidP="00096A7C">
      <w:pPr>
        <w:spacing w:after="0" w:line="240" w:lineRule="auto"/>
        <w:rPr>
          <w:szCs w:val="24"/>
        </w:rPr>
      </w:pPr>
      <w:r w:rsidRPr="004B5D80">
        <w:rPr>
          <w:szCs w:val="24"/>
        </w:rPr>
        <w:t xml:space="preserve">In 2014, </w:t>
      </w:r>
      <w:r>
        <w:rPr>
          <w:szCs w:val="24"/>
        </w:rPr>
        <w:t xml:space="preserve">the </w:t>
      </w:r>
      <w:r w:rsidRPr="004B5D80">
        <w:rPr>
          <w:szCs w:val="24"/>
        </w:rPr>
        <w:t>Chinese government issued a number of revised versions of the standards</w:t>
      </w:r>
      <w:r w:rsidR="003368D1">
        <w:rPr>
          <w:szCs w:val="24"/>
        </w:rPr>
        <w:t xml:space="preserve">, </w:t>
      </w:r>
      <w:r w:rsidR="003368D1" w:rsidRPr="004B5D80">
        <w:rPr>
          <w:szCs w:val="24"/>
        </w:rPr>
        <w:t xml:space="preserve">in order to meet the needs of the </w:t>
      </w:r>
      <w:r w:rsidR="003368D1">
        <w:rPr>
          <w:szCs w:val="24"/>
        </w:rPr>
        <w:t xml:space="preserve">rapidly growing </w:t>
      </w:r>
      <w:r w:rsidR="003368D1" w:rsidRPr="004B5D80">
        <w:rPr>
          <w:szCs w:val="24"/>
        </w:rPr>
        <w:t>economy and further standardize accounting measurement methods.</w:t>
      </w:r>
      <w:r w:rsidRPr="004B5D80">
        <w:rPr>
          <w:szCs w:val="24"/>
        </w:rPr>
        <w:t xml:space="preserve"> These new standards are basically in line with the international financial reporting standards (</w:t>
      </w:r>
      <w:proofErr w:type="spellStart"/>
      <w:r w:rsidRPr="004B5D80">
        <w:rPr>
          <w:szCs w:val="24"/>
        </w:rPr>
        <w:t>Peaple</w:t>
      </w:r>
      <w:proofErr w:type="spellEnd"/>
      <w:r w:rsidRPr="004B5D80">
        <w:rPr>
          <w:szCs w:val="24"/>
        </w:rPr>
        <w:t xml:space="preserve">, 2018). In </w:t>
      </w:r>
      <w:r w:rsidR="003368D1">
        <w:rPr>
          <w:szCs w:val="24"/>
        </w:rPr>
        <w:t xml:space="preserve">the </w:t>
      </w:r>
      <w:r w:rsidRPr="004B5D80">
        <w:rPr>
          <w:szCs w:val="24"/>
        </w:rPr>
        <w:t>modification of 2014, the Chinese government detailed introduced the concept of fair value which had been used in many accounting standards before. Receivables as a kind of financial assets should be followed the rule of fair value standard. In this newly modified standard, the measurement of fair value is clearly regulated with the concept of orderly trading. The value of assets depends on the fair value of assets at that time point. Fair and voluntary market transaction value is preferred for the fair value, followed by the present value estimation of future cash flows. Since there is usually no active market for accounts receivable, its value can only be based on estimating the present value of future cash flows. Therefore, clear regulation in the fair value accounting standard will help accountants predict the rational value of account receivables.</w:t>
      </w:r>
      <w:r>
        <w:rPr>
          <w:szCs w:val="24"/>
        </w:rPr>
        <w:t xml:space="preserve"> </w:t>
      </w:r>
    </w:p>
    <w:p w:rsidR="00096A7C" w:rsidRDefault="00096A7C" w:rsidP="00E95EA8">
      <w:pPr>
        <w:spacing w:after="0" w:line="240" w:lineRule="auto"/>
        <w:rPr>
          <w:rFonts w:eastAsia="Times New Roman"/>
          <w:szCs w:val="24"/>
          <w:lang w:val="en" w:eastAsia="en-GB"/>
        </w:rPr>
      </w:pPr>
      <w:bookmarkStart w:id="2" w:name="_Toc10818760"/>
    </w:p>
    <w:p w:rsidR="00DB4934" w:rsidRDefault="00DB4934" w:rsidP="00DB4934">
      <w:pPr>
        <w:widowControl/>
        <w:autoSpaceDE w:val="0"/>
        <w:autoSpaceDN w:val="0"/>
        <w:adjustRightInd w:val="0"/>
        <w:spacing w:after="0" w:line="240" w:lineRule="auto"/>
        <w:rPr>
          <w:szCs w:val="24"/>
        </w:rPr>
      </w:pPr>
      <w:r w:rsidRPr="00C74C85">
        <w:rPr>
          <w:szCs w:val="24"/>
        </w:rPr>
        <w:t xml:space="preserve">This study </w:t>
      </w:r>
      <w:r>
        <w:rPr>
          <w:szCs w:val="24"/>
        </w:rPr>
        <w:t xml:space="preserve">investigates </w:t>
      </w:r>
      <w:r w:rsidRPr="00C74C85">
        <w:rPr>
          <w:szCs w:val="24"/>
        </w:rPr>
        <w:t xml:space="preserve">the relationship between </w:t>
      </w:r>
      <w:r w:rsidRPr="00C74C85">
        <w:rPr>
          <w:kern w:val="0"/>
          <w:szCs w:val="24"/>
          <w:lang w:val="en-GB" w:eastAsia="en-GB"/>
        </w:rPr>
        <w:t>policy of allowance for doubtful accounts of</w:t>
      </w:r>
      <w:r>
        <w:rPr>
          <w:kern w:val="0"/>
          <w:szCs w:val="24"/>
          <w:lang w:val="en-GB" w:eastAsia="en-GB"/>
        </w:rPr>
        <w:t xml:space="preserve"> </w:t>
      </w:r>
      <w:r w:rsidRPr="00C74C85">
        <w:rPr>
          <w:kern w:val="0"/>
          <w:szCs w:val="24"/>
          <w:lang w:val="en-GB" w:eastAsia="en-GB"/>
        </w:rPr>
        <w:t>companies and earning management inclination</w:t>
      </w:r>
      <w:r>
        <w:rPr>
          <w:kern w:val="0"/>
          <w:szCs w:val="24"/>
          <w:lang w:val="en-GB" w:eastAsia="en-GB"/>
        </w:rPr>
        <w:t xml:space="preserve">, </w:t>
      </w:r>
      <w:r w:rsidRPr="00206832">
        <w:rPr>
          <w:rFonts w:eastAsia="Times New Roman"/>
          <w:szCs w:val="24"/>
          <w:lang w:val="en" w:eastAsia="en-GB"/>
        </w:rPr>
        <w:t>as a mean of earnings management to meet these benchmarks</w:t>
      </w:r>
      <w:r>
        <w:rPr>
          <w:kern w:val="0"/>
          <w:szCs w:val="24"/>
          <w:lang w:val="en-GB" w:eastAsia="en-GB"/>
        </w:rPr>
        <w:t xml:space="preserve">. It </w:t>
      </w:r>
      <w:r w:rsidRPr="00C74C85">
        <w:rPr>
          <w:szCs w:val="24"/>
        </w:rPr>
        <w:t>only focuses on allowance for doubtful assets from account receivables</w:t>
      </w:r>
      <w:r>
        <w:rPr>
          <w:szCs w:val="24"/>
        </w:rPr>
        <w:t>,</w:t>
      </w:r>
      <w:r w:rsidRPr="00C74C85">
        <w:rPr>
          <w:szCs w:val="24"/>
        </w:rPr>
        <w:t xml:space="preserve"> which is</w:t>
      </w:r>
      <w:r w:rsidRPr="004B5D80">
        <w:rPr>
          <w:szCs w:val="24"/>
        </w:rPr>
        <w:t xml:space="preserve"> a kind of short-term asset.</w:t>
      </w:r>
      <w:r>
        <w:rPr>
          <w:szCs w:val="24"/>
        </w:rPr>
        <w:t xml:space="preserve"> </w:t>
      </w:r>
    </w:p>
    <w:p w:rsidR="00DB4934" w:rsidRPr="00DB4934" w:rsidRDefault="00DB4934" w:rsidP="00E95EA8">
      <w:pPr>
        <w:spacing w:after="0" w:line="240" w:lineRule="auto"/>
        <w:rPr>
          <w:rFonts w:eastAsia="Times New Roman"/>
          <w:szCs w:val="24"/>
          <w:lang w:eastAsia="en-GB"/>
        </w:rPr>
      </w:pPr>
    </w:p>
    <w:p w:rsidR="00E95EA8" w:rsidRPr="001801C9" w:rsidRDefault="00E95EA8" w:rsidP="00E95EA8">
      <w:pPr>
        <w:spacing w:after="0" w:line="240" w:lineRule="auto"/>
        <w:rPr>
          <w:rFonts w:eastAsia="Times New Roman"/>
          <w:szCs w:val="24"/>
          <w:lang w:val="en" w:eastAsia="en-GB"/>
        </w:rPr>
      </w:pPr>
      <w:r w:rsidRPr="00AB674D">
        <w:rPr>
          <w:rFonts w:eastAsia="Times New Roman"/>
          <w:szCs w:val="24"/>
          <w:lang w:val="en" w:eastAsia="en-GB"/>
        </w:rPr>
        <w:t xml:space="preserve">The remainder of the paper is organized as follows. Section 2 reviews the relevant literature and develops the hypotheses. Section 3 describes the research methods and the selection of the sample. Section 4 presents the analysis </w:t>
      </w:r>
      <w:r w:rsidR="007E350F">
        <w:rPr>
          <w:rFonts w:eastAsia="Times New Roman"/>
          <w:szCs w:val="24"/>
          <w:lang w:val="en" w:eastAsia="en-GB"/>
        </w:rPr>
        <w:t xml:space="preserve">of </w:t>
      </w:r>
      <w:r w:rsidRPr="00AB674D">
        <w:rPr>
          <w:rFonts w:eastAsia="Times New Roman"/>
          <w:szCs w:val="24"/>
          <w:lang w:val="en" w:eastAsia="en-GB"/>
        </w:rPr>
        <w:t xml:space="preserve">results and Section 5 concludes </w:t>
      </w:r>
      <w:r w:rsidRPr="001801C9">
        <w:rPr>
          <w:rFonts w:eastAsia="Times New Roman"/>
          <w:szCs w:val="24"/>
          <w:lang w:val="en" w:eastAsia="en-GB"/>
        </w:rPr>
        <w:t>the study.</w:t>
      </w:r>
    </w:p>
    <w:p w:rsidR="00E95EA8" w:rsidRPr="001801C9" w:rsidRDefault="00E95EA8" w:rsidP="00E95EA8">
      <w:pPr>
        <w:spacing w:after="0" w:line="240" w:lineRule="auto"/>
        <w:rPr>
          <w:rFonts w:eastAsia="Times New Roman"/>
          <w:color w:val="FF0000"/>
          <w:szCs w:val="24"/>
          <w:lang w:val="en" w:eastAsia="en-GB"/>
        </w:rPr>
      </w:pPr>
    </w:p>
    <w:bookmarkEnd w:id="2"/>
    <w:p w:rsidR="003F112F" w:rsidRPr="007E350F" w:rsidRDefault="00FB7B7F" w:rsidP="00D61E29">
      <w:pPr>
        <w:pStyle w:val="Heading1"/>
        <w:numPr>
          <w:ilvl w:val="0"/>
          <w:numId w:val="5"/>
        </w:numPr>
        <w:spacing w:after="0" w:line="240" w:lineRule="auto"/>
        <w:ind w:left="426"/>
        <w:rPr>
          <w:szCs w:val="24"/>
        </w:rPr>
      </w:pPr>
      <w:r w:rsidRPr="001801C9">
        <w:rPr>
          <w:rFonts w:eastAsia="Times New Roman"/>
          <w:szCs w:val="24"/>
          <w:lang w:val="en" w:eastAsia="en-GB"/>
        </w:rPr>
        <w:t xml:space="preserve">Previous </w:t>
      </w:r>
      <w:r w:rsidR="00D30210">
        <w:rPr>
          <w:rFonts w:eastAsia="Times New Roman"/>
          <w:szCs w:val="24"/>
          <w:lang w:val="en" w:eastAsia="en-GB"/>
        </w:rPr>
        <w:t>R</w:t>
      </w:r>
      <w:r w:rsidRPr="001801C9">
        <w:rPr>
          <w:rFonts w:eastAsia="Times New Roman"/>
          <w:szCs w:val="24"/>
          <w:lang w:val="en" w:eastAsia="en-GB"/>
        </w:rPr>
        <w:t xml:space="preserve">esearch and </w:t>
      </w:r>
      <w:r w:rsidR="00D30210">
        <w:rPr>
          <w:rFonts w:eastAsia="Times New Roman"/>
          <w:szCs w:val="24"/>
          <w:lang w:val="en" w:eastAsia="en-GB"/>
        </w:rPr>
        <w:t>H</w:t>
      </w:r>
      <w:r w:rsidRPr="001801C9">
        <w:rPr>
          <w:rFonts w:eastAsia="Times New Roman"/>
          <w:szCs w:val="24"/>
          <w:lang w:val="en" w:eastAsia="en-GB"/>
        </w:rPr>
        <w:t xml:space="preserve">ypotheses </w:t>
      </w:r>
      <w:r w:rsidR="00D30210">
        <w:rPr>
          <w:rFonts w:eastAsia="Times New Roman"/>
          <w:szCs w:val="24"/>
          <w:lang w:val="en" w:eastAsia="en-GB"/>
        </w:rPr>
        <w:t>D</w:t>
      </w:r>
      <w:r w:rsidRPr="001801C9">
        <w:rPr>
          <w:rFonts w:eastAsia="Times New Roman"/>
          <w:szCs w:val="24"/>
          <w:lang w:val="en" w:eastAsia="en-GB"/>
        </w:rPr>
        <w:t>evelopment</w:t>
      </w:r>
      <w:bookmarkStart w:id="3" w:name="_Toc10818761"/>
    </w:p>
    <w:p w:rsidR="00FB7B7F" w:rsidRPr="001801C9" w:rsidRDefault="00FB7B7F" w:rsidP="001801C9">
      <w:pPr>
        <w:pStyle w:val="ListParagraph"/>
        <w:numPr>
          <w:ilvl w:val="1"/>
          <w:numId w:val="16"/>
        </w:numPr>
        <w:spacing w:after="100" w:afterAutospacing="1" w:line="240" w:lineRule="auto"/>
        <w:outlineLvl w:val="2"/>
        <w:rPr>
          <w:rFonts w:eastAsia="Times New Roman"/>
          <w:szCs w:val="24"/>
          <w:lang w:val="en" w:eastAsia="en-GB"/>
        </w:rPr>
      </w:pPr>
      <w:r w:rsidRPr="001801C9">
        <w:rPr>
          <w:rFonts w:eastAsia="Times New Roman"/>
          <w:b/>
          <w:szCs w:val="24"/>
          <w:lang w:val="en" w:eastAsia="en-GB"/>
        </w:rPr>
        <w:t xml:space="preserve">Previous </w:t>
      </w:r>
      <w:r w:rsidR="00D30210">
        <w:rPr>
          <w:rFonts w:eastAsia="Times New Roman"/>
          <w:b/>
          <w:szCs w:val="24"/>
          <w:lang w:val="en" w:eastAsia="en-GB"/>
        </w:rPr>
        <w:t>R</w:t>
      </w:r>
      <w:r w:rsidRPr="001801C9">
        <w:rPr>
          <w:rFonts w:eastAsia="Times New Roman"/>
          <w:b/>
          <w:szCs w:val="24"/>
          <w:lang w:val="en" w:eastAsia="en-GB"/>
        </w:rPr>
        <w:t>esearch</w:t>
      </w:r>
    </w:p>
    <w:bookmarkEnd w:id="3"/>
    <w:p w:rsidR="007E350F" w:rsidRPr="00003E1B" w:rsidRDefault="003F112F" w:rsidP="007E350F">
      <w:pPr>
        <w:spacing w:after="0" w:line="240" w:lineRule="auto"/>
        <w:rPr>
          <w:szCs w:val="24"/>
        </w:rPr>
      </w:pPr>
      <w:r w:rsidRPr="001801C9">
        <w:rPr>
          <w:szCs w:val="24"/>
        </w:rPr>
        <w:t xml:space="preserve">Researchers have been analyzing and studying the problems of enterprise impairment and earnings management for a long time, and </w:t>
      </w:r>
      <w:r w:rsidR="007E350F">
        <w:rPr>
          <w:szCs w:val="24"/>
        </w:rPr>
        <w:t xml:space="preserve">the </w:t>
      </w:r>
      <w:r w:rsidRPr="001801C9">
        <w:rPr>
          <w:szCs w:val="24"/>
        </w:rPr>
        <w:t>relevant literature is abundant. Their investigation verifies that enterprises realize earnings management by selecting allowance and reversal</w:t>
      </w:r>
      <w:r w:rsidRPr="004B5D80">
        <w:rPr>
          <w:szCs w:val="24"/>
        </w:rPr>
        <w:t xml:space="preserve"> of accounts. Their behaviors have impact on various aspects such as companies’ financial indicators</w:t>
      </w:r>
      <w:r w:rsidRPr="00003E1B">
        <w:rPr>
          <w:szCs w:val="24"/>
        </w:rPr>
        <w:t>.</w:t>
      </w:r>
      <w:r w:rsidR="007E350F" w:rsidRPr="00003E1B">
        <w:rPr>
          <w:szCs w:val="24"/>
        </w:rPr>
        <w:t xml:space="preserve"> </w:t>
      </w:r>
      <w:r w:rsidR="00700DD6" w:rsidRPr="00003E1B">
        <w:rPr>
          <w:szCs w:val="24"/>
        </w:rPr>
        <w:t>E</w:t>
      </w:r>
      <w:r w:rsidR="007E350F" w:rsidRPr="00003E1B">
        <w:rPr>
          <w:szCs w:val="24"/>
        </w:rPr>
        <w:t>arning management has evolved as the process in which the managers make judgments and accounting choices when preparing financial reports and modify transaction items to change financial reports in order to mislead other accounting information users to understand the business performance based on accounting information.</w:t>
      </w:r>
    </w:p>
    <w:p w:rsidR="003F112F" w:rsidRDefault="003F112F" w:rsidP="00D61E29">
      <w:pPr>
        <w:spacing w:after="0" w:line="240" w:lineRule="auto"/>
        <w:rPr>
          <w:szCs w:val="24"/>
        </w:rPr>
      </w:pPr>
    </w:p>
    <w:p w:rsidR="00EA3EFB" w:rsidRDefault="00C83C2C" w:rsidP="00434348">
      <w:pPr>
        <w:spacing w:after="0" w:line="240" w:lineRule="auto"/>
        <w:rPr>
          <w:rFonts w:eastAsia="Times New Roman"/>
          <w:szCs w:val="24"/>
          <w:lang w:val="en" w:eastAsia="en-GB"/>
        </w:rPr>
      </w:pPr>
      <w:r w:rsidRPr="001C525F">
        <w:rPr>
          <w:rFonts w:eastAsia="Times New Roman"/>
          <w:szCs w:val="24"/>
          <w:lang w:val="en" w:eastAsia="en-GB"/>
        </w:rPr>
        <w:t xml:space="preserve">Ma (1988) </w:t>
      </w:r>
      <w:r w:rsidRPr="00206832">
        <w:rPr>
          <w:rFonts w:eastAsia="Times New Roman"/>
          <w:szCs w:val="24"/>
          <w:lang w:val="en" w:eastAsia="en-GB"/>
        </w:rPr>
        <w:t>investigates whether US commercial banks utilize loan loss provisions to smooth earnings. He finds that bank managers tend to raise (lower) loan loss provisions in periods of high (low) operating income to achieve income smoothing.</w:t>
      </w:r>
      <w:r w:rsidR="00B43873">
        <w:rPr>
          <w:rFonts w:eastAsia="Times New Roman"/>
          <w:szCs w:val="24"/>
          <w:lang w:val="en" w:eastAsia="en-GB"/>
        </w:rPr>
        <w:t xml:space="preserve"> </w:t>
      </w:r>
      <w:r w:rsidR="00434348" w:rsidRPr="001C525F">
        <w:rPr>
          <w:rFonts w:eastAsia="Times New Roman"/>
          <w:szCs w:val="24"/>
          <w:lang w:val="en" w:eastAsia="en-GB"/>
        </w:rPr>
        <w:t xml:space="preserve">McNicholson and Wilson (1988) </w:t>
      </w:r>
      <w:r>
        <w:rPr>
          <w:rFonts w:eastAsia="Times New Roman"/>
          <w:szCs w:val="24"/>
          <w:lang w:val="en" w:eastAsia="en-GB"/>
        </w:rPr>
        <w:t>investigate</w:t>
      </w:r>
      <w:r w:rsidR="00434348" w:rsidRPr="00206832">
        <w:rPr>
          <w:rFonts w:eastAsia="Times New Roman"/>
          <w:szCs w:val="24"/>
          <w:lang w:val="en" w:eastAsia="en-GB"/>
        </w:rPr>
        <w:t xml:space="preserve"> the allowance for uncollectible accounts in non-financial firms </w:t>
      </w:r>
      <w:r w:rsidRPr="00206832">
        <w:rPr>
          <w:rFonts w:eastAsia="Times New Roman"/>
          <w:szCs w:val="24"/>
          <w:lang w:val="en" w:eastAsia="en-GB"/>
        </w:rPr>
        <w:t>as a function of three economic determinants, which explain the non-discretionary portion of th</w:t>
      </w:r>
      <w:r>
        <w:rPr>
          <w:rFonts w:eastAsia="Times New Roman"/>
          <w:szCs w:val="24"/>
          <w:lang w:val="en" w:eastAsia="en-GB"/>
        </w:rPr>
        <w:t>e variation in bad debt expense</w:t>
      </w:r>
      <w:r w:rsidRPr="00206832">
        <w:rPr>
          <w:rFonts w:eastAsia="Times New Roman"/>
          <w:szCs w:val="24"/>
          <w:lang w:val="en" w:eastAsia="en-GB"/>
        </w:rPr>
        <w:t xml:space="preserve"> </w:t>
      </w:r>
      <w:r w:rsidR="00434348" w:rsidRPr="00206832">
        <w:rPr>
          <w:rFonts w:eastAsia="Times New Roman"/>
          <w:szCs w:val="24"/>
          <w:lang w:val="en" w:eastAsia="en-GB"/>
        </w:rPr>
        <w:t xml:space="preserve">and </w:t>
      </w:r>
      <w:r>
        <w:rPr>
          <w:rFonts w:eastAsia="Times New Roman"/>
          <w:szCs w:val="24"/>
          <w:lang w:val="en" w:eastAsia="en-GB"/>
        </w:rPr>
        <w:t xml:space="preserve">conclude </w:t>
      </w:r>
      <w:r w:rsidR="00434348" w:rsidRPr="00206832">
        <w:rPr>
          <w:rFonts w:eastAsia="Times New Roman"/>
          <w:szCs w:val="24"/>
          <w:lang w:val="en" w:eastAsia="en-GB"/>
        </w:rPr>
        <w:t xml:space="preserve">that </w:t>
      </w:r>
      <w:r>
        <w:rPr>
          <w:rFonts w:eastAsia="Times New Roman"/>
          <w:szCs w:val="24"/>
          <w:lang w:val="en" w:eastAsia="en-GB"/>
        </w:rPr>
        <w:t>companies</w:t>
      </w:r>
      <w:r w:rsidR="00434348" w:rsidRPr="00206832">
        <w:rPr>
          <w:rFonts w:eastAsia="Times New Roman"/>
          <w:szCs w:val="24"/>
          <w:lang w:val="en" w:eastAsia="en-GB"/>
        </w:rPr>
        <w:t xml:space="preserve"> with extreme ROA tend to record income-increasing bad debt expense. </w:t>
      </w:r>
      <w:r w:rsidR="00EA3EFB" w:rsidRPr="00206832">
        <w:rPr>
          <w:rFonts w:eastAsia="Times New Roman"/>
          <w:szCs w:val="24"/>
          <w:lang w:val="en" w:eastAsia="en-GB"/>
        </w:rPr>
        <w:t>They document that the discretionary portion of bad debt expense is greater for firms that experience an extreme decrease or increase in earnings. Their results suggest that firms record income-decreasing discretionary bad debt expense to manage extreme earnings</w:t>
      </w:r>
      <w:r w:rsidR="00EA3EFB">
        <w:rPr>
          <w:rFonts w:eastAsia="Times New Roman"/>
          <w:szCs w:val="24"/>
          <w:lang w:val="en" w:eastAsia="en-GB"/>
        </w:rPr>
        <w:t xml:space="preserve"> </w:t>
      </w:r>
    </w:p>
    <w:p w:rsidR="00EA3EFB" w:rsidRDefault="00EA3EFB" w:rsidP="00434348">
      <w:pPr>
        <w:spacing w:after="0" w:line="240" w:lineRule="auto"/>
        <w:rPr>
          <w:rFonts w:eastAsia="Times New Roman"/>
          <w:szCs w:val="24"/>
          <w:lang w:val="en" w:eastAsia="en-GB"/>
        </w:rPr>
      </w:pPr>
    </w:p>
    <w:p w:rsidR="00D30210" w:rsidRDefault="00434348" w:rsidP="00D61E29">
      <w:pPr>
        <w:spacing w:after="0" w:line="240" w:lineRule="auto"/>
        <w:rPr>
          <w:szCs w:val="24"/>
        </w:rPr>
      </w:pPr>
      <w:r w:rsidRPr="001C525F">
        <w:rPr>
          <w:rFonts w:eastAsia="Times New Roman"/>
          <w:szCs w:val="24"/>
          <w:lang w:val="en" w:eastAsia="en-GB"/>
        </w:rPr>
        <w:t xml:space="preserve">Jackson and Liu (2010) </w:t>
      </w:r>
      <w:r w:rsidR="00C83C2C">
        <w:rPr>
          <w:rFonts w:eastAsia="Times New Roman"/>
          <w:szCs w:val="24"/>
          <w:lang w:val="en" w:eastAsia="en-GB"/>
        </w:rPr>
        <w:t>examine</w:t>
      </w:r>
      <w:r w:rsidRPr="00206832">
        <w:rPr>
          <w:rFonts w:eastAsia="Times New Roman"/>
          <w:szCs w:val="24"/>
          <w:lang w:val="en" w:eastAsia="en-GB"/>
        </w:rPr>
        <w:t xml:space="preserve"> the interrelation between conservatism and earnings management by </w:t>
      </w:r>
      <w:r w:rsidR="00C83C2C">
        <w:rPr>
          <w:rFonts w:eastAsia="Times New Roman"/>
          <w:szCs w:val="24"/>
          <w:lang w:val="en" w:eastAsia="en-GB"/>
        </w:rPr>
        <w:t xml:space="preserve">analyzing </w:t>
      </w:r>
      <w:r w:rsidRPr="00206832">
        <w:rPr>
          <w:rFonts w:eastAsia="Times New Roman"/>
          <w:szCs w:val="24"/>
          <w:lang w:val="en" w:eastAsia="en-GB"/>
        </w:rPr>
        <w:t xml:space="preserve">the allowance for uncollectible accounts and bad debt expense. </w:t>
      </w:r>
      <w:r w:rsidR="00C83C2C" w:rsidRPr="00206832">
        <w:rPr>
          <w:rFonts w:eastAsia="Times New Roman"/>
          <w:szCs w:val="24"/>
          <w:lang w:val="en" w:eastAsia="en-GB"/>
        </w:rPr>
        <w:t>They find that the allowance for bad debts has grown more conservative over time. They also find that firms manage bad debt expense downward to meet or beat analysts’ earnings forecasts and that conservative allowance accentuates the extent to which firms manage bad debt expense.</w:t>
      </w:r>
      <w:r w:rsidR="00B43873">
        <w:rPr>
          <w:rFonts w:eastAsia="Times New Roman"/>
          <w:szCs w:val="24"/>
          <w:lang w:val="en" w:eastAsia="en-GB"/>
        </w:rPr>
        <w:t xml:space="preserve"> </w:t>
      </w:r>
      <w:r w:rsidR="00D61E29" w:rsidRPr="004B5D80">
        <w:rPr>
          <w:szCs w:val="24"/>
        </w:rPr>
        <w:t xml:space="preserve">Baker, Rue and </w:t>
      </w:r>
      <w:proofErr w:type="spellStart"/>
      <w:r w:rsidR="00D61E29" w:rsidRPr="004B5D80">
        <w:rPr>
          <w:szCs w:val="24"/>
        </w:rPr>
        <w:t>Volkan</w:t>
      </w:r>
      <w:proofErr w:type="spellEnd"/>
      <w:r w:rsidR="00D61E29" w:rsidRPr="004B5D80">
        <w:rPr>
          <w:szCs w:val="24"/>
        </w:rPr>
        <w:t xml:space="preserve"> (2000) </w:t>
      </w:r>
      <w:r w:rsidR="00D30210">
        <w:rPr>
          <w:szCs w:val="24"/>
        </w:rPr>
        <w:t>examined</w:t>
      </w:r>
      <w:r w:rsidR="00D61E29" w:rsidRPr="004B5D80">
        <w:rPr>
          <w:szCs w:val="24"/>
        </w:rPr>
        <w:t xml:space="preserve"> 634 </w:t>
      </w:r>
      <w:r w:rsidR="00D30210">
        <w:rPr>
          <w:szCs w:val="24"/>
        </w:rPr>
        <w:t>companies</w:t>
      </w:r>
      <w:r w:rsidR="00D61E29" w:rsidRPr="004B5D80">
        <w:rPr>
          <w:szCs w:val="24"/>
        </w:rPr>
        <w:t xml:space="preserve"> with asset impairment as samples. The results show that the stock returns of the sample companies with asset impairment are lower than those of other companies in the same industry in the control group. The average level of profit margin in the same industry is significantly higher than that of companies with asset impairment. This fact proves that these companies do postpone asset impairment. The</w:t>
      </w:r>
      <w:r w:rsidR="00D30210">
        <w:rPr>
          <w:szCs w:val="24"/>
        </w:rPr>
        <w:t>y</w:t>
      </w:r>
      <w:r w:rsidR="00D61E29" w:rsidRPr="004B5D80">
        <w:rPr>
          <w:szCs w:val="24"/>
        </w:rPr>
        <w:t xml:space="preserve"> also conclude that before the sampled companies anno</w:t>
      </w:r>
      <w:r w:rsidR="00D30210">
        <w:rPr>
          <w:szCs w:val="24"/>
        </w:rPr>
        <w:t>unce</w:t>
      </w:r>
      <w:r w:rsidR="00D61E29" w:rsidRPr="004B5D80">
        <w:rPr>
          <w:szCs w:val="24"/>
        </w:rPr>
        <w:t xml:space="preserve"> the asset impairment, the companies’ asset value had declined in the trading market, indicating that these companies do not timely provision for the asset impairment, but have a tendency to defer.</w:t>
      </w:r>
      <w:r w:rsidR="007F5505">
        <w:rPr>
          <w:szCs w:val="24"/>
        </w:rPr>
        <w:t xml:space="preserve"> </w:t>
      </w:r>
    </w:p>
    <w:p w:rsidR="00D30210" w:rsidRDefault="00D30210" w:rsidP="00D61E29">
      <w:pPr>
        <w:spacing w:after="0" w:line="240" w:lineRule="auto"/>
        <w:rPr>
          <w:szCs w:val="24"/>
        </w:rPr>
      </w:pPr>
    </w:p>
    <w:p w:rsidR="00B43873" w:rsidRPr="00DB2079" w:rsidRDefault="00D61E29" w:rsidP="00D61E29">
      <w:pPr>
        <w:spacing w:after="0" w:line="240" w:lineRule="auto"/>
        <w:rPr>
          <w:szCs w:val="24"/>
        </w:rPr>
      </w:pPr>
      <w:proofErr w:type="spellStart"/>
      <w:r w:rsidRPr="00DB2079">
        <w:rPr>
          <w:szCs w:val="24"/>
        </w:rPr>
        <w:t>Kirschenheiter</w:t>
      </w:r>
      <w:proofErr w:type="spellEnd"/>
      <w:r w:rsidRPr="00DB2079">
        <w:rPr>
          <w:szCs w:val="24"/>
        </w:rPr>
        <w:t xml:space="preserve"> and N</w:t>
      </w:r>
      <w:r w:rsidR="00B43873" w:rsidRPr="00DB2079">
        <w:rPr>
          <w:szCs w:val="24"/>
        </w:rPr>
        <w:t xml:space="preserve">. D. </w:t>
      </w:r>
      <w:proofErr w:type="spellStart"/>
      <w:r w:rsidR="00B43873" w:rsidRPr="00DB2079">
        <w:rPr>
          <w:szCs w:val="24"/>
        </w:rPr>
        <w:t>M</w:t>
      </w:r>
      <w:r w:rsidRPr="00DB2079">
        <w:rPr>
          <w:szCs w:val="24"/>
        </w:rPr>
        <w:t>melumad</w:t>
      </w:r>
      <w:proofErr w:type="spellEnd"/>
      <w:r w:rsidR="00713217" w:rsidRPr="00DB2079">
        <w:rPr>
          <w:szCs w:val="24"/>
        </w:rPr>
        <w:t xml:space="preserve"> </w:t>
      </w:r>
      <w:r w:rsidRPr="00DB2079">
        <w:rPr>
          <w:szCs w:val="24"/>
        </w:rPr>
        <w:t xml:space="preserve">(2002) </w:t>
      </w:r>
      <w:r w:rsidR="00B43873" w:rsidRPr="00DB2079">
        <w:t>studied a model of financial reporting where investors infer the precision of reported earnings</w:t>
      </w:r>
      <w:r w:rsidR="00DB2079" w:rsidRPr="00DB2079">
        <w:t>. Reporting a larger earnings surprise reduces the inferred earnings precision, dampening the impact on firm value of reporting higher earnings, and providing a natural demand for smoother earnings.</w:t>
      </w:r>
      <w:r w:rsidR="00B43873" w:rsidRPr="00DB2079">
        <w:rPr>
          <w:szCs w:val="24"/>
        </w:rPr>
        <w:t xml:space="preserve"> </w:t>
      </w:r>
      <w:r w:rsidR="00DB2079" w:rsidRPr="00DB2079">
        <w:rPr>
          <w:szCs w:val="24"/>
        </w:rPr>
        <w:t xml:space="preserve">They </w:t>
      </w:r>
      <w:r w:rsidRPr="00DB2079">
        <w:rPr>
          <w:szCs w:val="24"/>
        </w:rPr>
        <w:t>conclude</w:t>
      </w:r>
      <w:r w:rsidR="00DB2079" w:rsidRPr="00DB2079">
        <w:rPr>
          <w:szCs w:val="24"/>
        </w:rPr>
        <w:t xml:space="preserve">d that </w:t>
      </w:r>
      <w:r w:rsidRPr="00DB2079">
        <w:rPr>
          <w:szCs w:val="24"/>
        </w:rPr>
        <w:t>if there is good news in favor of listed companies, senior managers will often choose the method of asset impairment for the purpose of smoothing profits. If bad news appears, senior managers prefer to a better future growth by taking impairment to reduce current profits.</w:t>
      </w:r>
      <w:r w:rsidR="007F5505" w:rsidRPr="00DB2079">
        <w:rPr>
          <w:szCs w:val="24"/>
        </w:rPr>
        <w:t xml:space="preserve"> </w:t>
      </w:r>
    </w:p>
    <w:p w:rsidR="00B43873" w:rsidRPr="00DB2079" w:rsidRDefault="00B43873" w:rsidP="00D61E29">
      <w:pPr>
        <w:spacing w:after="0" w:line="240" w:lineRule="auto"/>
        <w:rPr>
          <w:szCs w:val="24"/>
        </w:rPr>
      </w:pPr>
    </w:p>
    <w:p w:rsidR="00241B4E" w:rsidRPr="004B5D80" w:rsidRDefault="00D61E29" w:rsidP="00D61E29">
      <w:pPr>
        <w:spacing w:after="0" w:line="240" w:lineRule="auto"/>
        <w:rPr>
          <w:szCs w:val="24"/>
        </w:rPr>
      </w:pPr>
      <w:proofErr w:type="spellStart"/>
      <w:r w:rsidRPr="004B5D80">
        <w:rPr>
          <w:szCs w:val="24"/>
        </w:rPr>
        <w:t>Riedl</w:t>
      </w:r>
      <w:proofErr w:type="spellEnd"/>
      <w:r w:rsidR="003F112F">
        <w:rPr>
          <w:szCs w:val="24"/>
        </w:rPr>
        <w:t xml:space="preserve"> </w:t>
      </w:r>
      <w:r w:rsidRPr="004B5D80">
        <w:rPr>
          <w:szCs w:val="24"/>
        </w:rPr>
        <w:t xml:space="preserve">(2004) demonstrates the motivation and consequences of enterprise asset impairment activities. The results show that compared with old accounting standards about impairment, newly impairment of assets is more closely related to the company's </w:t>
      </w:r>
      <w:r w:rsidR="00A12873">
        <w:rPr>
          <w:szCs w:val="24"/>
        </w:rPr>
        <w:t>“</w:t>
      </w:r>
      <w:r w:rsidRPr="004B5D80">
        <w:rPr>
          <w:szCs w:val="24"/>
        </w:rPr>
        <w:t>great purge</w:t>
      </w:r>
      <w:r w:rsidR="00A12873">
        <w:rPr>
          <w:szCs w:val="24"/>
        </w:rPr>
        <w:t>”</w:t>
      </w:r>
      <w:r w:rsidRPr="004B5D80">
        <w:rPr>
          <w:szCs w:val="24"/>
        </w:rPr>
        <w:t>, but less related to economic factors. Reversal of impairments are not capable of reflecting economic performance of companies with lower quality of financial information.</w:t>
      </w:r>
    </w:p>
    <w:p w:rsidR="00D61E29" w:rsidRPr="004B5D80" w:rsidRDefault="00D61E29" w:rsidP="00D61E29">
      <w:pPr>
        <w:spacing w:after="0" w:line="240" w:lineRule="auto"/>
        <w:rPr>
          <w:szCs w:val="24"/>
        </w:rPr>
      </w:pPr>
    </w:p>
    <w:p w:rsidR="00241B4E" w:rsidRPr="004B5D80" w:rsidRDefault="00D61E29" w:rsidP="00D61E29">
      <w:pPr>
        <w:spacing w:after="0" w:line="240" w:lineRule="auto"/>
        <w:rPr>
          <w:szCs w:val="24"/>
        </w:rPr>
      </w:pPr>
      <w:r w:rsidRPr="004B5D80">
        <w:rPr>
          <w:szCs w:val="24"/>
        </w:rPr>
        <w:lastRenderedPageBreak/>
        <w:t xml:space="preserve">Afterman (2011) </w:t>
      </w:r>
      <w:r w:rsidR="00582925">
        <w:rPr>
          <w:szCs w:val="24"/>
        </w:rPr>
        <w:t>analyzes</w:t>
      </w:r>
      <w:r w:rsidRPr="004B5D80">
        <w:rPr>
          <w:szCs w:val="24"/>
        </w:rPr>
        <w:t xml:space="preserve"> health care entities to study allowance for doubtful accounts and provisions for bad bets. </w:t>
      </w:r>
      <w:r w:rsidR="00582925">
        <w:rPr>
          <w:szCs w:val="24"/>
        </w:rPr>
        <w:t>He</w:t>
      </w:r>
      <w:r w:rsidRPr="004B5D80">
        <w:rPr>
          <w:szCs w:val="24"/>
        </w:rPr>
        <w:t xml:space="preserve"> select</w:t>
      </w:r>
      <w:r w:rsidR="00582925">
        <w:rPr>
          <w:szCs w:val="24"/>
        </w:rPr>
        <w:t>ed</w:t>
      </w:r>
      <w:r w:rsidRPr="004B5D80">
        <w:rPr>
          <w:szCs w:val="24"/>
        </w:rPr>
        <w:t xml:space="preserve"> </w:t>
      </w:r>
      <w:r w:rsidR="00582925">
        <w:rPr>
          <w:szCs w:val="24"/>
        </w:rPr>
        <w:t>organizations</w:t>
      </w:r>
      <w:r w:rsidRPr="004B5D80">
        <w:rPr>
          <w:szCs w:val="24"/>
        </w:rPr>
        <w:t xml:space="preserve"> that did not record asset impairment during the same period as the control gr</w:t>
      </w:r>
      <w:r w:rsidR="00582925">
        <w:rPr>
          <w:szCs w:val="24"/>
        </w:rPr>
        <w:t xml:space="preserve">oup. </w:t>
      </w:r>
      <w:r w:rsidRPr="004B5D80">
        <w:rPr>
          <w:szCs w:val="24"/>
        </w:rPr>
        <w:t>By analy</w:t>
      </w:r>
      <w:r w:rsidR="00582925">
        <w:rPr>
          <w:szCs w:val="24"/>
        </w:rPr>
        <w:t>zing</w:t>
      </w:r>
      <w:r w:rsidRPr="004B5D80">
        <w:rPr>
          <w:szCs w:val="24"/>
        </w:rPr>
        <w:t xml:space="preserve"> P/E ratio, </w:t>
      </w:r>
      <w:r w:rsidR="00582925">
        <w:rPr>
          <w:szCs w:val="24"/>
        </w:rPr>
        <w:t>ROE</w:t>
      </w:r>
      <w:r w:rsidRPr="004B5D80">
        <w:rPr>
          <w:szCs w:val="24"/>
        </w:rPr>
        <w:t xml:space="preserve">, cash flow per share, return on share and other financial indicators, </w:t>
      </w:r>
      <w:r w:rsidR="00582925">
        <w:rPr>
          <w:szCs w:val="24"/>
        </w:rPr>
        <w:t>he</w:t>
      </w:r>
      <w:r w:rsidRPr="004B5D80">
        <w:rPr>
          <w:szCs w:val="24"/>
        </w:rPr>
        <w:t xml:space="preserve"> conclu</w:t>
      </w:r>
      <w:r w:rsidR="00582925">
        <w:rPr>
          <w:szCs w:val="24"/>
        </w:rPr>
        <w:t>ded that</w:t>
      </w:r>
      <w:r w:rsidRPr="004B5D80">
        <w:rPr>
          <w:szCs w:val="24"/>
        </w:rPr>
        <w:t xml:space="preserve"> when leaders change, </w:t>
      </w:r>
      <w:r w:rsidR="00582925">
        <w:rPr>
          <w:szCs w:val="24"/>
        </w:rPr>
        <w:t>enterprises</w:t>
      </w:r>
      <w:r w:rsidRPr="004B5D80">
        <w:rPr>
          <w:szCs w:val="24"/>
        </w:rPr>
        <w:t xml:space="preserve"> </w:t>
      </w:r>
      <w:r w:rsidR="00582925">
        <w:rPr>
          <w:szCs w:val="24"/>
        </w:rPr>
        <w:t xml:space="preserve">are </w:t>
      </w:r>
      <w:r w:rsidRPr="004B5D80">
        <w:rPr>
          <w:szCs w:val="24"/>
        </w:rPr>
        <w:t>incline</w:t>
      </w:r>
      <w:r w:rsidR="00582925">
        <w:rPr>
          <w:szCs w:val="24"/>
        </w:rPr>
        <w:t>d</w:t>
      </w:r>
      <w:r w:rsidRPr="004B5D80">
        <w:rPr>
          <w:szCs w:val="24"/>
        </w:rPr>
        <w:t xml:space="preserve"> to make huge impairment provision in order to build a solid foundation for the future improving business performance. As a result, the changes of financial indicators in the sample group are significantly smoother than those in the control group, because sample groups are rarely seen at the highest and lowest levels. </w:t>
      </w:r>
      <w:r w:rsidR="00582925">
        <w:rPr>
          <w:szCs w:val="24"/>
        </w:rPr>
        <w:t>C</w:t>
      </w:r>
      <w:r w:rsidRPr="004B5D80">
        <w:rPr>
          <w:szCs w:val="24"/>
        </w:rPr>
        <w:t xml:space="preserve">ompanies do have the motivation to utilize asset impairment for a targeted profit. </w:t>
      </w:r>
      <w:r w:rsidR="00582925">
        <w:rPr>
          <w:szCs w:val="24"/>
        </w:rPr>
        <w:t>The</w:t>
      </w:r>
      <w:r w:rsidRPr="004B5D80">
        <w:rPr>
          <w:szCs w:val="24"/>
        </w:rPr>
        <w:t xml:space="preserve"> author </w:t>
      </w:r>
      <w:r w:rsidR="00582925">
        <w:rPr>
          <w:szCs w:val="24"/>
        </w:rPr>
        <w:t>also</w:t>
      </w:r>
      <w:r w:rsidRPr="004B5D80">
        <w:rPr>
          <w:szCs w:val="24"/>
        </w:rPr>
        <w:t xml:space="preserve"> finds that before impairment announced, companies’ stock price has a relatively large earning, but once impairment issued, stock price begins to decline.</w:t>
      </w:r>
    </w:p>
    <w:p w:rsidR="00D61E29" w:rsidRPr="004B5D80" w:rsidRDefault="00D61E29" w:rsidP="00D61E29">
      <w:pPr>
        <w:spacing w:after="0" w:line="240" w:lineRule="auto"/>
        <w:rPr>
          <w:szCs w:val="24"/>
        </w:rPr>
      </w:pPr>
    </w:p>
    <w:p w:rsidR="00DB2079" w:rsidRDefault="00D61E29" w:rsidP="00DB2079">
      <w:pPr>
        <w:spacing w:after="0" w:line="240" w:lineRule="auto"/>
        <w:rPr>
          <w:szCs w:val="24"/>
        </w:rPr>
      </w:pPr>
      <w:r w:rsidRPr="004B5D80">
        <w:rPr>
          <w:szCs w:val="24"/>
        </w:rPr>
        <w:t xml:space="preserve">Wang and </w:t>
      </w:r>
      <w:proofErr w:type="spellStart"/>
      <w:r w:rsidRPr="004B5D80">
        <w:rPr>
          <w:szCs w:val="24"/>
        </w:rPr>
        <w:t>Qiu</w:t>
      </w:r>
      <w:proofErr w:type="spellEnd"/>
      <w:r w:rsidRPr="004B5D80">
        <w:rPr>
          <w:szCs w:val="24"/>
        </w:rPr>
        <w:t xml:space="preserve"> (2011)</w:t>
      </w:r>
      <w:r w:rsidR="00582925">
        <w:rPr>
          <w:szCs w:val="24"/>
        </w:rPr>
        <w:t>,</w:t>
      </w:r>
      <w:r w:rsidRPr="004B5D80">
        <w:rPr>
          <w:szCs w:val="24"/>
        </w:rPr>
        <w:t xml:space="preserve"> </w:t>
      </w:r>
      <w:r w:rsidR="00582925">
        <w:rPr>
          <w:szCs w:val="24"/>
        </w:rPr>
        <w:t>using</w:t>
      </w:r>
      <w:r w:rsidRPr="004B5D80">
        <w:rPr>
          <w:szCs w:val="24"/>
        </w:rPr>
        <w:t xml:space="preserve"> Chinese listed companies as samples</w:t>
      </w:r>
      <w:r w:rsidR="00582925">
        <w:rPr>
          <w:szCs w:val="24"/>
        </w:rPr>
        <w:t>,</w:t>
      </w:r>
      <w:r w:rsidRPr="004B5D80">
        <w:rPr>
          <w:szCs w:val="24"/>
        </w:rPr>
        <w:t xml:space="preserve"> find that the proportion of net provision for impairment of long-term assets and short-term assets of listed companies are mainly determined by economic factors and earnings management. In particular, listed companies </w:t>
      </w:r>
      <w:r w:rsidR="00582925">
        <w:rPr>
          <w:szCs w:val="24"/>
        </w:rPr>
        <w:t xml:space="preserve">are </w:t>
      </w:r>
      <w:r w:rsidRPr="004B5D80">
        <w:rPr>
          <w:szCs w:val="24"/>
        </w:rPr>
        <w:t>motivat</w:t>
      </w:r>
      <w:r w:rsidR="00582925">
        <w:rPr>
          <w:szCs w:val="24"/>
        </w:rPr>
        <w:t>ed</w:t>
      </w:r>
      <w:r w:rsidRPr="004B5D80">
        <w:rPr>
          <w:szCs w:val="24"/>
        </w:rPr>
        <w:t xml:space="preserve"> to </w:t>
      </w:r>
      <w:r w:rsidR="00582925">
        <w:rPr>
          <w:szCs w:val="24"/>
        </w:rPr>
        <w:t>change</w:t>
      </w:r>
      <w:r w:rsidRPr="004B5D80">
        <w:rPr>
          <w:szCs w:val="24"/>
        </w:rPr>
        <w:t xml:space="preserve"> the value of accounts by reducing or increasing the impairment provision of assets to avoid losses, turn losses into profits, smooth profits and other earnings management purposes. Every time the accounting standards </w:t>
      </w:r>
      <w:r w:rsidR="00582925">
        <w:rPr>
          <w:szCs w:val="24"/>
        </w:rPr>
        <w:t xml:space="preserve">is </w:t>
      </w:r>
      <w:r w:rsidRPr="004B5D80">
        <w:rPr>
          <w:szCs w:val="24"/>
        </w:rPr>
        <w:t>modif</w:t>
      </w:r>
      <w:r w:rsidR="00582925">
        <w:rPr>
          <w:szCs w:val="24"/>
        </w:rPr>
        <w:t>ied</w:t>
      </w:r>
      <w:r w:rsidRPr="004B5D80">
        <w:rPr>
          <w:szCs w:val="24"/>
        </w:rPr>
        <w:t xml:space="preserve"> for a better financial information disclosure, although the phenomenon of the listed companies manipulating asset impairment has been controlled to a certain extent, it is still unavoidable to manipulate assets provisions to avoid losses, turn losses into profits and smooth profits.</w:t>
      </w:r>
      <w:r w:rsidR="00DB2079" w:rsidRPr="00DB2079">
        <w:rPr>
          <w:szCs w:val="24"/>
        </w:rPr>
        <w:t xml:space="preserve"> </w:t>
      </w:r>
      <w:r w:rsidR="00DB2079" w:rsidRPr="004B5D80">
        <w:rPr>
          <w:szCs w:val="24"/>
        </w:rPr>
        <w:t>Anon (2014) takes the Chinese company “</w:t>
      </w:r>
      <w:proofErr w:type="spellStart"/>
      <w:r w:rsidR="00DB2079" w:rsidRPr="004B5D80">
        <w:rPr>
          <w:szCs w:val="24"/>
        </w:rPr>
        <w:t>Datang</w:t>
      </w:r>
      <w:proofErr w:type="spellEnd"/>
      <w:r w:rsidR="00DB2079" w:rsidRPr="004B5D80">
        <w:rPr>
          <w:szCs w:val="24"/>
        </w:rPr>
        <w:t xml:space="preserve"> International Power Generation Company </w:t>
      </w:r>
      <w:proofErr w:type="spellStart"/>
      <w:r w:rsidR="00DB2079" w:rsidRPr="004B5D80">
        <w:rPr>
          <w:szCs w:val="24"/>
        </w:rPr>
        <w:t>Ld</w:t>
      </w:r>
      <w:proofErr w:type="spellEnd"/>
      <w:r w:rsidR="00DB2079" w:rsidRPr="004B5D80">
        <w:rPr>
          <w:szCs w:val="24"/>
        </w:rPr>
        <w:t xml:space="preserve">” as example to study the assets impairment, write-off and retirement. </w:t>
      </w:r>
      <w:r w:rsidR="00DB2079">
        <w:rPr>
          <w:szCs w:val="24"/>
        </w:rPr>
        <w:t xml:space="preserve">After the modification of </w:t>
      </w:r>
      <w:r w:rsidR="00DB2079" w:rsidRPr="004B5D80">
        <w:rPr>
          <w:szCs w:val="24"/>
        </w:rPr>
        <w:t>accounting standards</w:t>
      </w:r>
      <w:r w:rsidR="00DB2079">
        <w:rPr>
          <w:szCs w:val="24"/>
        </w:rPr>
        <w:t>,</w:t>
      </w:r>
      <w:r w:rsidR="00DB2079" w:rsidRPr="004B5D80">
        <w:rPr>
          <w:szCs w:val="24"/>
        </w:rPr>
        <w:t xml:space="preserve"> </w:t>
      </w:r>
      <w:r w:rsidR="00DB2079">
        <w:rPr>
          <w:szCs w:val="24"/>
        </w:rPr>
        <w:t>i</w:t>
      </w:r>
      <w:r w:rsidR="00DB2079" w:rsidRPr="004B5D80">
        <w:rPr>
          <w:szCs w:val="24"/>
        </w:rPr>
        <w:t xml:space="preserve">n 2014, </w:t>
      </w:r>
      <w:r w:rsidR="00DB2079">
        <w:rPr>
          <w:szCs w:val="24"/>
        </w:rPr>
        <w:t>the</w:t>
      </w:r>
      <w:r w:rsidR="00DB2079" w:rsidRPr="004B5D80">
        <w:rPr>
          <w:szCs w:val="24"/>
        </w:rPr>
        <w:t xml:space="preserve"> company recognized the impairments of assets including bad debt provisions based on the accounting standard.</w:t>
      </w:r>
    </w:p>
    <w:p w:rsidR="00D61E29" w:rsidRPr="004B5D80" w:rsidRDefault="00D61E29" w:rsidP="00D61E29">
      <w:pPr>
        <w:spacing w:after="0" w:line="240" w:lineRule="auto"/>
        <w:rPr>
          <w:szCs w:val="24"/>
        </w:rPr>
      </w:pPr>
    </w:p>
    <w:p w:rsidR="00241B4E" w:rsidRPr="004B5D80" w:rsidRDefault="00D61E29" w:rsidP="00D61E29">
      <w:pPr>
        <w:spacing w:after="0" w:line="240" w:lineRule="auto"/>
        <w:rPr>
          <w:szCs w:val="24"/>
        </w:rPr>
      </w:pPr>
      <w:r w:rsidRPr="004B5D80">
        <w:rPr>
          <w:szCs w:val="24"/>
        </w:rPr>
        <w:t xml:space="preserve">Riley and </w:t>
      </w:r>
      <w:proofErr w:type="spellStart"/>
      <w:r w:rsidRPr="004B5D80">
        <w:rPr>
          <w:szCs w:val="24"/>
        </w:rPr>
        <w:t>Pasewark</w:t>
      </w:r>
      <w:proofErr w:type="spellEnd"/>
      <w:r w:rsidRPr="004B5D80">
        <w:rPr>
          <w:szCs w:val="24"/>
        </w:rPr>
        <w:t xml:space="preserve"> (2009) use </w:t>
      </w:r>
      <w:r w:rsidR="00700DD6">
        <w:rPr>
          <w:szCs w:val="24"/>
        </w:rPr>
        <w:t xml:space="preserve">the </w:t>
      </w:r>
      <w:r w:rsidRPr="004B5D80">
        <w:rPr>
          <w:szCs w:val="24"/>
        </w:rPr>
        <w:t xml:space="preserve">Tobin model to analyze two important factors that interfere with companies’ allowance for impairment of assets: value destruction and earnings manipulation. </w:t>
      </w:r>
      <w:r w:rsidR="0080214A">
        <w:rPr>
          <w:szCs w:val="24"/>
        </w:rPr>
        <w:t>T</w:t>
      </w:r>
      <w:r w:rsidRPr="004B5D80">
        <w:rPr>
          <w:szCs w:val="24"/>
        </w:rPr>
        <w:t>he</w:t>
      </w:r>
      <w:r w:rsidR="0080214A">
        <w:rPr>
          <w:szCs w:val="24"/>
        </w:rPr>
        <w:t>y</w:t>
      </w:r>
      <w:r w:rsidRPr="004B5D80">
        <w:rPr>
          <w:szCs w:val="24"/>
        </w:rPr>
        <w:t xml:space="preserve"> conclu</w:t>
      </w:r>
      <w:r w:rsidR="0080214A">
        <w:rPr>
          <w:szCs w:val="24"/>
        </w:rPr>
        <w:t>ded</w:t>
      </w:r>
      <w:r w:rsidRPr="004B5D80">
        <w:rPr>
          <w:szCs w:val="24"/>
        </w:rPr>
        <w:t xml:space="preserve"> that earnings manipulation factor is the secondary motivation of decisions for impairment, and value destruction factor is the main reason. After removing the interference of this factor, when the asset impairment was withdrawn in previous years and the main leaders change, the enterprises usually provide more asset impairment in financial report, while the impact of big cleaning and profit smoothing motivation on the enterprise's asset impairment provision is not significant. </w:t>
      </w:r>
      <w:r w:rsidR="0080214A">
        <w:rPr>
          <w:szCs w:val="24"/>
        </w:rPr>
        <w:t>By u</w:t>
      </w:r>
      <w:r w:rsidRPr="004B5D80">
        <w:rPr>
          <w:szCs w:val="24"/>
        </w:rPr>
        <w:t xml:space="preserve">sing sensitivity analysis to analyze earnings manipulation factors, </w:t>
      </w:r>
      <w:r w:rsidR="0080214A">
        <w:rPr>
          <w:szCs w:val="24"/>
        </w:rPr>
        <w:t>they also</w:t>
      </w:r>
      <w:r w:rsidRPr="004B5D80">
        <w:rPr>
          <w:szCs w:val="24"/>
        </w:rPr>
        <w:t xml:space="preserve"> concluded that earnings manipulation factors have a great impact on manipulating goodwill, asset restructuring expenses, but have little impact on fixed assets, inventory and other assets impairment.</w:t>
      </w:r>
    </w:p>
    <w:p w:rsidR="0080214A" w:rsidRPr="004B5D80" w:rsidRDefault="0080214A" w:rsidP="00D61E29">
      <w:pPr>
        <w:spacing w:after="0" w:line="240" w:lineRule="auto"/>
        <w:rPr>
          <w:szCs w:val="24"/>
        </w:rPr>
      </w:pPr>
    </w:p>
    <w:p w:rsidR="00241B4E" w:rsidRPr="004B5D80" w:rsidRDefault="00D61E29" w:rsidP="00D61E29">
      <w:pPr>
        <w:spacing w:after="0" w:line="240" w:lineRule="auto"/>
        <w:rPr>
          <w:szCs w:val="24"/>
        </w:rPr>
      </w:pPr>
      <w:r w:rsidRPr="004B5D80">
        <w:rPr>
          <w:szCs w:val="24"/>
        </w:rPr>
        <w:t>Finger (2010) analyzes allowance for doubtful accounts and impairment tendency of targeted companies. The results show that</w:t>
      </w:r>
      <w:r w:rsidR="0080214A">
        <w:rPr>
          <w:szCs w:val="24"/>
        </w:rPr>
        <w:t xml:space="preserve">, </w:t>
      </w:r>
      <w:r w:rsidRPr="004B5D80">
        <w:rPr>
          <w:szCs w:val="24"/>
        </w:rPr>
        <w:t xml:space="preserve">63% of sample companies choose the fourth </w:t>
      </w:r>
      <w:r w:rsidRPr="004B5D80">
        <w:rPr>
          <w:szCs w:val="24"/>
        </w:rPr>
        <w:lastRenderedPageBreak/>
        <w:t>quarter to recognize asset impairment allowance and disclose in the report, which is closely related to the annual report audit requirements</w:t>
      </w:r>
      <w:r w:rsidR="0080214A">
        <w:rPr>
          <w:szCs w:val="24"/>
        </w:rPr>
        <w:t>;</w:t>
      </w:r>
      <w:r w:rsidRPr="004B5D80">
        <w:rPr>
          <w:szCs w:val="24"/>
        </w:rPr>
        <w:t xml:space="preserve"> 8.2% of total assets of these sample companies is the median of asset impairment</w:t>
      </w:r>
      <w:r w:rsidR="0080214A">
        <w:rPr>
          <w:szCs w:val="24"/>
        </w:rPr>
        <w:t>;</w:t>
      </w:r>
      <w:r w:rsidRPr="004B5D80">
        <w:rPr>
          <w:szCs w:val="24"/>
        </w:rPr>
        <w:t xml:space="preserve"> in the previous three </w:t>
      </w:r>
      <w:r w:rsidR="00713217" w:rsidRPr="004B5D80">
        <w:rPr>
          <w:szCs w:val="24"/>
        </w:rPr>
        <w:t>years</w:t>
      </w:r>
      <w:r w:rsidRPr="004B5D80">
        <w:rPr>
          <w:szCs w:val="24"/>
        </w:rPr>
        <w:t xml:space="preserve"> before impairment executed, the median of the industry about ROE is larger than that of companies who take allowance for doubtful accounts</w:t>
      </w:r>
      <w:r w:rsidR="0080214A">
        <w:rPr>
          <w:szCs w:val="24"/>
        </w:rPr>
        <w:t xml:space="preserve">; </w:t>
      </w:r>
      <w:r w:rsidRPr="004B5D80">
        <w:rPr>
          <w:szCs w:val="24"/>
        </w:rPr>
        <w:t>these impaired companies’ P/E ratio and growth rates of assets decline</w:t>
      </w:r>
      <w:r w:rsidR="0080214A">
        <w:rPr>
          <w:szCs w:val="24"/>
        </w:rPr>
        <w:t xml:space="preserve">; </w:t>
      </w:r>
      <w:r w:rsidRPr="004B5D80">
        <w:rPr>
          <w:szCs w:val="24"/>
        </w:rPr>
        <w:t>non-impairment companies’ return on assets are better than those companies who measure allowance for doubtful accounts</w:t>
      </w:r>
      <w:r w:rsidR="0080214A">
        <w:rPr>
          <w:szCs w:val="24"/>
        </w:rPr>
        <w:t xml:space="preserve">,; and </w:t>
      </w:r>
      <w:r w:rsidRPr="004B5D80">
        <w:rPr>
          <w:szCs w:val="24"/>
        </w:rPr>
        <w:t>those companies with leaders changing are more inclined to recognize allowance for doubtful accounts.</w:t>
      </w:r>
    </w:p>
    <w:p w:rsidR="00D61E29" w:rsidRPr="004B5D80" w:rsidRDefault="00D61E29" w:rsidP="00D61E29">
      <w:pPr>
        <w:spacing w:after="0" w:line="240" w:lineRule="auto"/>
        <w:rPr>
          <w:szCs w:val="24"/>
        </w:rPr>
      </w:pPr>
    </w:p>
    <w:p w:rsidR="0080214A" w:rsidRPr="00206832" w:rsidRDefault="0080214A" w:rsidP="0080214A">
      <w:pPr>
        <w:spacing w:after="0" w:line="240" w:lineRule="auto"/>
        <w:rPr>
          <w:szCs w:val="24"/>
        </w:rPr>
      </w:pPr>
      <w:r w:rsidRPr="0080214A">
        <w:rPr>
          <w:rFonts w:eastAsia="Times New Roman"/>
          <w:szCs w:val="24"/>
          <w:lang w:val="en" w:eastAsia="en-GB"/>
        </w:rPr>
        <w:t>Hyun-Ah Lee</w:t>
      </w:r>
      <w:r w:rsidR="00A12873">
        <w:rPr>
          <w:rFonts w:eastAsia="Times New Roman"/>
          <w:szCs w:val="24"/>
          <w:lang w:val="en" w:eastAsia="en-GB"/>
        </w:rPr>
        <w:t xml:space="preserve"> and</w:t>
      </w:r>
      <w:r w:rsidRPr="0080214A">
        <w:rPr>
          <w:rFonts w:eastAsia="Times New Roman"/>
          <w:szCs w:val="24"/>
          <w:lang w:val="en" w:eastAsia="en-GB"/>
        </w:rPr>
        <w:t xml:space="preserve"> Won-</w:t>
      </w:r>
      <w:proofErr w:type="spellStart"/>
      <w:r w:rsidRPr="0080214A">
        <w:rPr>
          <w:rFonts w:eastAsia="Times New Roman"/>
          <w:szCs w:val="24"/>
          <w:lang w:val="en" w:eastAsia="en-GB"/>
        </w:rPr>
        <w:t>Wook</w:t>
      </w:r>
      <w:proofErr w:type="spellEnd"/>
      <w:r w:rsidRPr="0080214A">
        <w:rPr>
          <w:rFonts w:eastAsia="Times New Roman"/>
          <w:szCs w:val="24"/>
          <w:lang w:val="en" w:eastAsia="en-GB"/>
        </w:rPr>
        <w:t xml:space="preserve"> Choi (2016) </w:t>
      </w:r>
      <w:r w:rsidRPr="0080214A">
        <w:rPr>
          <w:szCs w:val="24"/>
        </w:rPr>
        <w:t>inv</w:t>
      </w:r>
      <w:r w:rsidRPr="00206832">
        <w:rPr>
          <w:szCs w:val="24"/>
        </w:rPr>
        <w:t xml:space="preserve">estigate how non-financial firms in Korea manage the allowance for uncollectible accounts to meet important earnings benchmarks. By analyzing non-financial firms listed in the Korea Stock Exchange from 2000 to 2012, </w:t>
      </w:r>
      <w:r>
        <w:rPr>
          <w:szCs w:val="24"/>
        </w:rPr>
        <w:t>they</w:t>
      </w:r>
      <w:r w:rsidRPr="00206832">
        <w:rPr>
          <w:szCs w:val="24"/>
        </w:rPr>
        <w:t xml:space="preserve"> find that firms tend to manage bad debt expense downward to avoid losses, sustain prior years’ earnings or meet analysts’ forecasts. </w:t>
      </w:r>
      <w:r>
        <w:rPr>
          <w:szCs w:val="24"/>
        </w:rPr>
        <w:t>They</w:t>
      </w:r>
      <w:r w:rsidRPr="00206832">
        <w:rPr>
          <w:szCs w:val="24"/>
        </w:rPr>
        <w:t xml:space="preserve"> also find that understatement of bad debt expense to meet past year’s earnings or analysts’ forecasts is greater for firms with high tax costs. This result indicates that firms using an allowance in excess of the tax deductible limit to meet earnings benchmarks can achieve their goals without incurring additional tax costs.</w:t>
      </w:r>
    </w:p>
    <w:p w:rsidR="0080214A" w:rsidRDefault="0080214A" w:rsidP="00C83C2C">
      <w:pPr>
        <w:spacing w:after="0" w:line="240" w:lineRule="auto"/>
        <w:rPr>
          <w:szCs w:val="24"/>
        </w:rPr>
      </w:pPr>
    </w:p>
    <w:p w:rsidR="00700DD6" w:rsidRDefault="00700DD6" w:rsidP="00700DD6">
      <w:pPr>
        <w:spacing w:after="0" w:line="240" w:lineRule="auto"/>
        <w:rPr>
          <w:szCs w:val="24"/>
        </w:rPr>
      </w:pPr>
      <w:r w:rsidRPr="004B5D80">
        <w:rPr>
          <w:szCs w:val="24"/>
        </w:rPr>
        <w:t xml:space="preserve">Banker, </w:t>
      </w:r>
      <w:proofErr w:type="spellStart"/>
      <w:r w:rsidRPr="004B5D80">
        <w:rPr>
          <w:szCs w:val="24"/>
        </w:rPr>
        <w:t>Basu</w:t>
      </w:r>
      <w:proofErr w:type="spellEnd"/>
      <w:r w:rsidRPr="004B5D80">
        <w:rPr>
          <w:szCs w:val="24"/>
        </w:rPr>
        <w:t xml:space="preserve"> and </w:t>
      </w:r>
      <w:proofErr w:type="spellStart"/>
      <w:r w:rsidRPr="004B5D80">
        <w:rPr>
          <w:szCs w:val="24"/>
        </w:rPr>
        <w:t>Byzalov</w:t>
      </w:r>
      <w:proofErr w:type="spellEnd"/>
      <w:r w:rsidRPr="004B5D80">
        <w:rPr>
          <w:szCs w:val="24"/>
        </w:rPr>
        <w:t xml:space="preserve"> (2017) study allowance for doubtful accounts when examining whether enterprises ha</w:t>
      </w:r>
      <w:r>
        <w:rPr>
          <w:szCs w:val="24"/>
        </w:rPr>
        <w:t>ve</w:t>
      </w:r>
      <w:r w:rsidRPr="004B5D80">
        <w:rPr>
          <w:szCs w:val="24"/>
        </w:rPr>
        <w:t xml:space="preserve"> earnings management behavior. The results show that if an enterprise has unusually high or low profits, it will generally adjust its profits by reversing bad debts. This phenomenon shows that the enterprise’s managers do have the motivation to choose allowance for doubtful accounts to carry out the earnings management of liquidation and profit smoothing.</w:t>
      </w:r>
      <w:r>
        <w:rPr>
          <w:szCs w:val="24"/>
        </w:rPr>
        <w:t xml:space="preserve"> </w:t>
      </w:r>
      <w:proofErr w:type="spellStart"/>
      <w:r w:rsidRPr="004B5D80">
        <w:rPr>
          <w:szCs w:val="24"/>
        </w:rPr>
        <w:t>Latifah</w:t>
      </w:r>
      <w:proofErr w:type="spellEnd"/>
      <w:r w:rsidRPr="004B5D80">
        <w:rPr>
          <w:szCs w:val="24"/>
        </w:rPr>
        <w:t xml:space="preserve"> and </w:t>
      </w:r>
      <w:proofErr w:type="spellStart"/>
      <w:r w:rsidRPr="004B5D80">
        <w:rPr>
          <w:szCs w:val="24"/>
        </w:rPr>
        <w:t>Siti</w:t>
      </w:r>
      <w:proofErr w:type="spellEnd"/>
      <w:r w:rsidRPr="004B5D80">
        <w:rPr>
          <w:szCs w:val="24"/>
        </w:rPr>
        <w:t xml:space="preserve"> (2018) choose listed companies to study the related between accrual account and earning management during the year of 2001-2019. The results show that many companies only recognized impairment for asset in the fourth quarter, and the total amount of asset impairment is significantly related with operating income, respectively. </w:t>
      </w:r>
    </w:p>
    <w:p w:rsidR="00700DD6" w:rsidRDefault="00700DD6" w:rsidP="00C83C2C">
      <w:pPr>
        <w:spacing w:after="0" w:line="240" w:lineRule="auto"/>
        <w:rPr>
          <w:szCs w:val="24"/>
        </w:rPr>
      </w:pPr>
    </w:p>
    <w:p w:rsidR="00AE2DA4" w:rsidRPr="00AE2DA4" w:rsidRDefault="00050131" w:rsidP="00C83C2C">
      <w:pPr>
        <w:pStyle w:val="ListParagraph"/>
        <w:numPr>
          <w:ilvl w:val="1"/>
          <w:numId w:val="5"/>
        </w:numPr>
        <w:spacing w:after="0" w:line="240" w:lineRule="auto"/>
        <w:ind w:left="426"/>
        <w:outlineLvl w:val="2"/>
        <w:rPr>
          <w:rFonts w:eastAsia="Times New Roman"/>
          <w:b/>
          <w:szCs w:val="24"/>
          <w:lang w:val="en" w:eastAsia="en-GB"/>
        </w:rPr>
      </w:pPr>
      <w:r>
        <w:rPr>
          <w:rFonts w:eastAsia="Times New Roman"/>
          <w:b/>
          <w:szCs w:val="24"/>
          <w:lang w:val="en" w:eastAsia="en-GB"/>
        </w:rPr>
        <w:t>D</w:t>
      </w:r>
      <w:r w:rsidRPr="00AE2DA4">
        <w:rPr>
          <w:rFonts w:eastAsia="Times New Roman"/>
          <w:b/>
          <w:szCs w:val="24"/>
          <w:lang w:val="en" w:eastAsia="en-GB"/>
        </w:rPr>
        <w:t xml:space="preserve">evelopment </w:t>
      </w:r>
      <w:r>
        <w:rPr>
          <w:rFonts w:eastAsia="Times New Roman"/>
          <w:b/>
          <w:szCs w:val="24"/>
          <w:lang w:val="en" w:eastAsia="en-GB"/>
        </w:rPr>
        <w:t xml:space="preserve">of </w:t>
      </w:r>
      <w:r w:rsidR="00AE2DA4" w:rsidRPr="00AE2DA4">
        <w:rPr>
          <w:rFonts w:eastAsia="Times New Roman"/>
          <w:b/>
          <w:szCs w:val="24"/>
          <w:lang w:val="en" w:eastAsia="en-GB"/>
        </w:rPr>
        <w:t xml:space="preserve">Hypotheses </w:t>
      </w:r>
    </w:p>
    <w:p w:rsidR="00C83C2C" w:rsidRDefault="00C83C2C" w:rsidP="00C83C2C">
      <w:pPr>
        <w:spacing w:after="0" w:line="240" w:lineRule="auto"/>
        <w:rPr>
          <w:szCs w:val="24"/>
        </w:rPr>
      </w:pPr>
    </w:p>
    <w:p w:rsidR="00C83C2C" w:rsidRDefault="00F66B8D" w:rsidP="00C83C2C">
      <w:pPr>
        <w:spacing w:after="0" w:line="240" w:lineRule="auto"/>
        <w:rPr>
          <w:szCs w:val="24"/>
        </w:rPr>
      </w:pPr>
      <w:r w:rsidRPr="00206832">
        <w:rPr>
          <w:rFonts w:eastAsia="Times New Roman"/>
          <w:szCs w:val="24"/>
          <w:lang w:val="en" w:eastAsia="en-GB"/>
        </w:rPr>
        <w:t>Generally</w:t>
      </w:r>
      <w:r>
        <w:rPr>
          <w:rFonts w:eastAsia="Times New Roman"/>
          <w:szCs w:val="24"/>
          <w:lang w:val="en" w:eastAsia="en-GB"/>
        </w:rPr>
        <w:t>,</w:t>
      </w:r>
      <w:r w:rsidRPr="00206832">
        <w:rPr>
          <w:rFonts w:eastAsia="Times New Roman"/>
          <w:szCs w:val="24"/>
          <w:lang w:val="en" w:eastAsia="en-GB"/>
        </w:rPr>
        <w:t xml:space="preserve"> </w:t>
      </w:r>
      <w:r>
        <w:rPr>
          <w:rFonts w:eastAsia="Times New Roman"/>
          <w:szCs w:val="24"/>
          <w:lang w:val="en" w:eastAsia="en-GB"/>
        </w:rPr>
        <w:t>m</w:t>
      </w:r>
      <w:r w:rsidR="00C83C2C" w:rsidRPr="00206832">
        <w:rPr>
          <w:rFonts w:eastAsia="Times New Roman"/>
          <w:szCs w:val="24"/>
          <w:lang w:val="en" w:eastAsia="en-GB"/>
        </w:rPr>
        <w:t>arket participants assess firm performance based on threshold benchmark such as zero earnings, prior years’ earnings and analysts’ forecast (</w:t>
      </w:r>
      <w:proofErr w:type="spellStart"/>
      <w:r w:rsidR="00C83C2C" w:rsidRPr="00613962">
        <w:rPr>
          <w:rFonts w:eastAsia="Times New Roman"/>
          <w:szCs w:val="24"/>
          <w:lang w:val="en" w:eastAsia="en-GB"/>
        </w:rPr>
        <w:t>Degeorge</w:t>
      </w:r>
      <w:proofErr w:type="spellEnd"/>
      <w:r w:rsidR="00C83C2C" w:rsidRPr="00613962">
        <w:rPr>
          <w:rFonts w:eastAsia="Times New Roman"/>
          <w:szCs w:val="24"/>
          <w:lang w:val="en" w:eastAsia="en-GB"/>
        </w:rPr>
        <w:t xml:space="preserve"> </w:t>
      </w:r>
      <w:r w:rsidR="00C83C2C" w:rsidRPr="00613962">
        <w:rPr>
          <w:rFonts w:eastAsia="Times New Roman"/>
          <w:i/>
          <w:iCs/>
          <w:szCs w:val="24"/>
          <w:lang w:val="en" w:eastAsia="en-GB"/>
        </w:rPr>
        <w:t>et al.</w:t>
      </w:r>
      <w:r w:rsidR="00C83C2C" w:rsidRPr="00613962">
        <w:rPr>
          <w:rFonts w:eastAsia="Times New Roman"/>
          <w:szCs w:val="24"/>
          <w:lang w:val="en" w:eastAsia="en-GB"/>
        </w:rPr>
        <w:t>, 1999</w:t>
      </w:r>
      <w:r w:rsidR="00C83C2C" w:rsidRPr="00206832">
        <w:rPr>
          <w:rFonts w:eastAsia="Times New Roman"/>
          <w:szCs w:val="24"/>
          <w:lang w:val="en" w:eastAsia="en-GB"/>
        </w:rPr>
        <w:t>).</w:t>
      </w:r>
      <w:r w:rsidRPr="00F66B8D">
        <w:rPr>
          <w:rFonts w:eastAsia="Times New Roman"/>
          <w:szCs w:val="24"/>
          <w:lang w:val="en" w:eastAsia="en-GB"/>
        </w:rPr>
        <w:t xml:space="preserve"> </w:t>
      </w:r>
      <w:r w:rsidRPr="00206832">
        <w:rPr>
          <w:rFonts w:eastAsia="Times New Roman"/>
          <w:szCs w:val="24"/>
          <w:lang w:val="en" w:eastAsia="en-GB"/>
        </w:rPr>
        <w:t>Reporting losses, a decrease in earnings compared to the prior year or missing analysts’ forecasts is interpreted as evidence of problems related to firm performance and may even hurt stock valuation.</w:t>
      </w:r>
    </w:p>
    <w:p w:rsidR="00C83C2C" w:rsidRPr="00C74C85" w:rsidRDefault="00C83C2C" w:rsidP="00AE2DA4">
      <w:pPr>
        <w:spacing w:after="0" w:line="240" w:lineRule="auto"/>
        <w:rPr>
          <w:szCs w:val="24"/>
        </w:rPr>
      </w:pPr>
    </w:p>
    <w:p w:rsidR="00C74C85" w:rsidRPr="00206832" w:rsidRDefault="00C74C85" w:rsidP="00C74C85">
      <w:pPr>
        <w:spacing w:after="0" w:line="240" w:lineRule="auto"/>
        <w:rPr>
          <w:rFonts w:eastAsia="Times New Roman"/>
          <w:szCs w:val="24"/>
          <w:lang w:val="en" w:eastAsia="en-GB"/>
        </w:rPr>
      </w:pPr>
      <w:r>
        <w:rPr>
          <w:rFonts w:eastAsia="Times New Roman"/>
          <w:szCs w:val="24"/>
          <w:lang w:val="en" w:eastAsia="en-GB"/>
        </w:rPr>
        <w:t>T</w:t>
      </w:r>
      <w:r w:rsidRPr="00206832">
        <w:rPr>
          <w:rFonts w:eastAsia="Times New Roman"/>
          <w:szCs w:val="24"/>
          <w:lang w:val="en" w:eastAsia="en-GB"/>
        </w:rPr>
        <w:t xml:space="preserve">he allowance of uncollectible accounts should be recognized based on objective assessment when collectability for credit sales is uncertain. In practice, managers estimate the allowance for uncollectible accounts by applying a methodology based on the historical bad debt ratio and assessing the collectability of specific receivables. </w:t>
      </w:r>
      <w:r w:rsidRPr="00206832">
        <w:rPr>
          <w:rFonts w:eastAsia="Times New Roman"/>
          <w:szCs w:val="24"/>
          <w:lang w:val="en" w:eastAsia="en-GB"/>
        </w:rPr>
        <w:lastRenderedPageBreak/>
        <w:t>However, the process of computing the historical bad debt ratio or assessing the collectability of receivables involves managerial discretion, thereby enabling managers to utilize the allowance for uncollectible accounts to manage earnings. Specifically, the underestimation of the allowance inflates earnings, as its income statement counterpart, bad debt expense, is adjusted downward</w:t>
      </w:r>
      <w:r w:rsidR="00DB4934">
        <w:rPr>
          <w:rFonts w:eastAsia="Times New Roman"/>
          <w:szCs w:val="24"/>
          <w:lang w:val="en" w:eastAsia="en-GB"/>
        </w:rPr>
        <w:t>;</w:t>
      </w:r>
      <w:r w:rsidRPr="00206832">
        <w:rPr>
          <w:rFonts w:eastAsia="Times New Roman"/>
          <w:szCs w:val="24"/>
          <w:lang w:val="en" w:eastAsia="en-GB"/>
        </w:rPr>
        <w:t xml:space="preserve"> </w:t>
      </w:r>
      <w:r w:rsidR="00DB4934">
        <w:rPr>
          <w:rFonts w:eastAsia="Times New Roman"/>
          <w:szCs w:val="24"/>
          <w:lang w:val="en" w:eastAsia="en-GB"/>
        </w:rPr>
        <w:t>t</w:t>
      </w:r>
      <w:r w:rsidRPr="00206832">
        <w:rPr>
          <w:rFonts w:eastAsia="Times New Roman"/>
          <w:szCs w:val="24"/>
          <w:lang w:val="en" w:eastAsia="en-GB"/>
        </w:rPr>
        <w:t>he overestimation of the allowance for uncollectible accounts dampens earnings, as its income statement counterpart, bad debt expense, is adjusted upward.</w:t>
      </w:r>
    </w:p>
    <w:p w:rsidR="00814C75" w:rsidRDefault="00814C75" w:rsidP="00C74C85">
      <w:pPr>
        <w:widowControl/>
        <w:autoSpaceDE w:val="0"/>
        <w:autoSpaceDN w:val="0"/>
        <w:adjustRightInd w:val="0"/>
        <w:spacing w:after="0" w:line="240" w:lineRule="auto"/>
        <w:rPr>
          <w:szCs w:val="24"/>
          <w:lang w:val="en"/>
        </w:rPr>
      </w:pPr>
    </w:p>
    <w:p w:rsidR="00AE2DA4" w:rsidRPr="00E72978" w:rsidRDefault="00AE2DA4" w:rsidP="001C525F">
      <w:pPr>
        <w:widowControl/>
        <w:autoSpaceDE w:val="0"/>
        <w:autoSpaceDN w:val="0"/>
        <w:adjustRightInd w:val="0"/>
        <w:spacing w:after="0" w:line="240" w:lineRule="auto"/>
        <w:rPr>
          <w:szCs w:val="24"/>
        </w:rPr>
      </w:pPr>
      <w:r w:rsidRPr="004B5D80">
        <w:rPr>
          <w:szCs w:val="24"/>
        </w:rPr>
        <w:t xml:space="preserve">In 2014, Chinese government modified the accounting standards, </w:t>
      </w:r>
      <w:r w:rsidR="004C1153" w:rsidRPr="004B5D80">
        <w:rPr>
          <w:szCs w:val="24"/>
        </w:rPr>
        <w:t>especially;</w:t>
      </w:r>
      <w:r w:rsidRPr="004B5D80">
        <w:rPr>
          <w:szCs w:val="24"/>
        </w:rPr>
        <w:t xml:space="preserve"> it introduces largely the concept of fair value in the recognition and measurement of assets. The allowance for double accounts is inevitably affected by new rules. </w:t>
      </w:r>
      <w:r w:rsidR="001C525F" w:rsidRPr="004B5D80">
        <w:rPr>
          <w:szCs w:val="24"/>
        </w:rPr>
        <w:t>Because of th</w:t>
      </w:r>
      <w:r w:rsidR="001C525F">
        <w:rPr>
          <w:szCs w:val="24"/>
        </w:rPr>
        <w:t>e</w:t>
      </w:r>
      <w:r w:rsidR="001C525F" w:rsidRPr="004B5D80">
        <w:rPr>
          <w:szCs w:val="24"/>
        </w:rPr>
        <w:t xml:space="preserve"> modification, the findings should be divided into two parts. </w:t>
      </w:r>
      <w:r w:rsidRPr="004B5D80">
        <w:rPr>
          <w:szCs w:val="24"/>
        </w:rPr>
        <w:t xml:space="preserve">Therefore, we </w:t>
      </w:r>
      <w:r w:rsidR="00DB4934">
        <w:rPr>
          <w:szCs w:val="24"/>
        </w:rPr>
        <w:t>hypothesize</w:t>
      </w:r>
      <w:r w:rsidR="00050131">
        <w:rPr>
          <w:szCs w:val="24"/>
        </w:rPr>
        <w:t xml:space="preserve"> </w:t>
      </w:r>
      <w:r w:rsidRPr="004B5D80">
        <w:rPr>
          <w:szCs w:val="24"/>
        </w:rPr>
        <w:t>that after modification, the situation of allowance for doubtful accounts w</w:t>
      </w:r>
      <w:r w:rsidR="00DB4934">
        <w:rPr>
          <w:szCs w:val="24"/>
        </w:rPr>
        <w:t>ould</w:t>
      </w:r>
      <w:r w:rsidRPr="004B5D80">
        <w:rPr>
          <w:szCs w:val="24"/>
        </w:rPr>
        <w:t xml:space="preserve"> face huge differences</w:t>
      </w:r>
      <w:r w:rsidR="00050131">
        <w:rPr>
          <w:szCs w:val="24"/>
        </w:rPr>
        <w:t xml:space="preserve"> (</w:t>
      </w:r>
      <w:r w:rsidR="00050131" w:rsidRPr="00AE2DA4">
        <w:rPr>
          <w:i/>
          <w:szCs w:val="24"/>
        </w:rPr>
        <w:t>H1</w:t>
      </w:r>
      <w:r w:rsidR="00050131">
        <w:rPr>
          <w:szCs w:val="24"/>
        </w:rPr>
        <w:t>)</w:t>
      </w:r>
      <w:r w:rsidRPr="004B5D80">
        <w:rPr>
          <w:szCs w:val="24"/>
        </w:rPr>
        <w:t>.</w:t>
      </w:r>
      <w:r w:rsidR="00D65333">
        <w:rPr>
          <w:szCs w:val="24"/>
        </w:rPr>
        <w:t xml:space="preserve"> </w:t>
      </w:r>
      <w:r w:rsidR="00E72978" w:rsidRPr="00E72978">
        <w:rPr>
          <w:szCs w:val="24"/>
        </w:rPr>
        <w:t>We believe the information quality will improve after 2014; managers have less space to conduct earning management.</w:t>
      </w:r>
    </w:p>
    <w:p w:rsidR="00050131" w:rsidRPr="00E72978" w:rsidRDefault="00050131" w:rsidP="00AE2DA4">
      <w:pPr>
        <w:spacing w:after="0" w:line="240" w:lineRule="auto"/>
        <w:rPr>
          <w:szCs w:val="24"/>
        </w:rPr>
      </w:pPr>
    </w:p>
    <w:p w:rsidR="001C525F" w:rsidRPr="00E72978" w:rsidRDefault="001C525F" w:rsidP="00E72978">
      <w:pPr>
        <w:widowControl/>
        <w:autoSpaceDE w:val="0"/>
        <w:autoSpaceDN w:val="0"/>
        <w:adjustRightInd w:val="0"/>
        <w:spacing w:after="0" w:line="240" w:lineRule="auto"/>
        <w:rPr>
          <w:rFonts w:eastAsia="Times New Roman"/>
          <w:szCs w:val="24"/>
          <w:lang w:val="en" w:eastAsia="en-GB"/>
        </w:rPr>
      </w:pPr>
      <w:r w:rsidRPr="00E72978">
        <w:rPr>
          <w:kern w:val="0"/>
          <w:szCs w:val="24"/>
          <w:lang w:val="en-GB" w:eastAsia="en-GB"/>
        </w:rPr>
        <w:t>Managers are</w:t>
      </w:r>
      <w:r w:rsidRPr="00E72978">
        <w:rPr>
          <w:rFonts w:eastAsia="Times New Roman"/>
          <w:szCs w:val="24"/>
          <w:lang w:val="en" w:eastAsia="en-GB"/>
        </w:rPr>
        <w:t xml:space="preserve"> strongly stimulated by their desire to avoid losses, sustain prior years’ earnin</w:t>
      </w:r>
      <w:r w:rsidR="009554AF" w:rsidRPr="00E72978">
        <w:rPr>
          <w:rFonts w:eastAsia="Times New Roman"/>
          <w:szCs w:val="24"/>
          <w:lang w:val="en" w:eastAsia="en-GB"/>
        </w:rPr>
        <w:t xml:space="preserve">gs and meet analysts’ forecasts, because </w:t>
      </w:r>
      <w:r w:rsidR="009554AF" w:rsidRPr="00E72978">
        <w:rPr>
          <w:szCs w:val="24"/>
        </w:rPr>
        <w:t>the investor evaluates managers’ ability by relevant information, including financial information, so as to gain the confidence of the investor.</w:t>
      </w:r>
      <w:r w:rsidRPr="00E72978">
        <w:rPr>
          <w:kern w:val="0"/>
          <w:szCs w:val="24"/>
          <w:lang w:val="en-GB" w:eastAsia="en-GB"/>
        </w:rPr>
        <w:t xml:space="preserve"> </w:t>
      </w:r>
      <w:r w:rsidR="00774175" w:rsidRPr="00E72978">
        <w:rPr>
          <w:szCs w:val="24"/>
        </w:rPr>
        <w:t xml:space="preserve">In order to make the published information beneficial to their own interests, managers have the motivation to choose accounting policies. </w:t>
      </w:r>
      <w:r w:rsidRPr="00E72978">
        <w:rPr>
          <w:kern w:val="0"/>
          <w:szCs w:val="24"/>
          <w:lang w:val="en-GB" w:eastAsia="en-GB"/>
        </w:rPr>
        <w:t xml:space="preserve">Accounting policy of bad debts facilitates this tendency, that is, managers have the possibility of using allowance for doubtful accounts to smooth profits. When managers try to smooth profits from one year to the next, firms will take more provisions for bad debts. But when the </w:t>
      </w:r>
      <w:r w:rsidR="00E72978">
        <w:rPr>
          <w:kern w:val="0"/>
          <w:szCs w:val="24"/>
          <w:lang w:val="en-GB" w:eastAsia="en-GB"/>
        </w:rPr>
        <w:t>firm</w:t>
      </w:r>
      <w:r w:rsidRPr="00E72978">
        <w:rPr>
          <w:kern w:val="0"/>
          <w:szCs w:val="24"/>
          <w:lang w:val="en-GB" w:eastAsia="en-GB"/>
        </w:rPr>
        <w:t xml:space="preserve"> appears to decrease its profit, it will increase its expenses by recognizing new allowance for doubtful accounts. </w:t>
      </w:r>
      <w:r w:rsidRPr="00E72978">
        <w:rPr>
          <w:rFonts w:eastAsia="Times New Roman"/>
          <w:szCs w:val="24"/>
          <w:lang w:val="en" w:eastAsia="en-GB"/>
        </w:rPr>
        <w:t xml:space="preserve">Taken together, we hypothesize that firms </w:t>
      </w:r>
      <w:r w:rsidR="00774175" w:rsidRPr="00E72978">
        <w:rPr>
          <w:szCs w:val="24"/>
        </w:rPr>
        <w:t>are inclined to use the policy of bad debt provision for earnings management (</w:t>
      </w:r>
      <w:r w:rsidR="00774175" w:rsidRPr="00E72978">
        <w:rPr>
          <w:i/>
          <w:szCs w:val="24"/>
        </w:rPr>
        <w:t>H2</w:t>
      </w:r>
      <w:r w:rsidR="00774175" w:rsidRPr="00E72978">
        <w:rPr>
          <w:szCs w:val="24"/>
        </w:rPr>
        <w:t>)</w:t>
      </w:r>
      <w:r w:rsidR="00E72978" w:rsidRPr="00E72978">
        <w:rPr>
          <w:szCs w:val="24"/>
        </w:rPr>
        <w:t xml:space="preserve"> and that </w:t>
      </w:r>
      <w:r w:rsidR="00E72978" w:rsidRPr="00E72978">
        <w:rPr>
          <w:kern w:val="0"/>
          <w:szCs w:val="24"/>
          <w:lang w:val="en-GB" w:eastAsia="en-GB"/>
        </w:rPr>
        <w:t xml:space="preserve">there is a negative correlation between allowance for doubtful accounts and its surplus </w:t>
      </w:r>
      <w:r w:rsidR="00E72978" w:rsidRPr="00E72978">
        <w:rPr>
          <w:szCs w:val="24"/>
        </w:rPr>
        <w:t>(</w:t>
      </w:r>
      <w:r w:rsidR="00E72978" w:rsidRPr="00E72978">
        <w:rPr>
          <w:i/>
          <w:szCs w:val="24"/>
        </w:rPr>
        <w:t>H3</w:t>
      </w:r>
      <w:r w:rsidR="00E72978" w:rsidRPr="00E72978">
        <w:rPr>
          <w:szCs w:val="24"/>
        </w:rPr>
        <w:t>)</w:t>
      </w:r>
      <w:r w:rsidR="00774175" w:rsidRPr="00E72978">
        <w:rPr>
          <w:szCs w:val="24"/>
        </w:rPr>
        <w:t>. However, with the modification of accounting standards, we believe the information quality will improve after 2014; managers have less space to conduct earning management.</w:t>
      </w:r>
      <w:r w:rsidRPr="00E72978">
        <w:rPr>
          <w:rFonts w:eastAsia="Times New Roman"/>
          <w:szCs w:val="24"/>
          <w:lang w:val="en" w:eastAsia="en-GB"/>
        </w:rPr>
        <w:t xml:space="preserve"> </w:t>
      </w:r>
    </w:p>
    <w:p w:rsidR="001C525F" w:rsidRPr="00E72978" w:rsidRDefault="001C525F" w:rsidP="00AE2DA4">
      <w:pPr>
        <w:spacing w:after="0" w:line="240" w:lineRule="auto"/>
        <w:rPr>
          <w:szCs w:val="24"/>
          <w:lang w:val="en"/>
        </w:rPr>
      </w:pPr>
    </w:p>
    <w:p w:rsidR="00D65333" w:rsidRPr="00E72978" w:rsidRDefault="00E72978" w:rsidP="00AE2DA4">
      <w:pPr>
        <w:spacing w:after="0" w:line="240" w:lineRule="auto"/>
        <w:rPr>
          <w:szCs w:val="24"/>
        </w:rPr>
      </w:pPr>
      <w:r w:rsidRPr="00E72978">
        <w:rPr>
          <w:szCs w:val="24"/>
        </w:rPr>
        <w:t>In summary, t</w:t>
      </w:r>
      <w:r w:rsidR="00D65333" w:rsidRPr="00E72978">
        <w:rPr>
          <w:szCs w:val="24"/>
        </w:rPr>
        <w:t xml:space="preserve">he three hypotheses are </w:t>
      </w:r>
    </w:p>
    <w:p w:rsidR="00D65333" w:rsidRPr="00E72978" w:rsidRDefault="00D65333" w:rsidP="00AE2DA4">
      <w:pPr>
        <w:spacing w:after="0" w:line="240" w:lineRule="auto"/>
        <w:rPr>
          <w:szCs w:val="24"/>
        </w:rPr>
      </w:pPr>
    </w:p>
    <w:p w:rsidR="00050131" w:rsidRPr="00AE2DA4" w:rsidRDefault="00050131" w:rsidP="00050131">
      <w:pPr>
        <w:spacing w:after="0" w:line="240" w:lineRule="auto"/>
        <w:rPr>
          <w:i/>
          <w:szCs w:val="24"/>
        </w:rPr>
      </w:pPr>
      <w:r w:rsidRPr="00AE2DA4">
        <w:rPr>
          <w:i/>
          <w:szCs w:val="24"/>
        </w:rPr>
        <w:t>H</w:t>
      </w:r>
      <w:r>
        <w:rPr>
          <w:i/>
          <w:szCs w:val="24"/>
        </w:rPr>
        <w:t>1</w:t>
      </w:r>
      <w:r w:rsidRPr="00AE2DA4">
        <w:rPr>
          <w:i/>
          <w:szCs w:val="24"/>
        </w:rPr>
        <w:t>: The allowance for doubtful accounts is affected by new rules</w:t>
      </w:r>
    </w:p>
    <w:p w:rsidR="00050131" w:rsidRPr="00AE2DA4" w:rsidRDefault="00050131" w:rsidP="00050131">
      <w:pPr>
        <w:spacing w:after="0" w:line="240" w:lineRule="auto"/>
        <w:rPr>
          <w:i/>
          <w:szCs w:val="24"/>
        </w:rPr>
      </w:pPr>
      <w:r w:rsidRPr="00AE2DA4">
        <w:rPr>
          <w:i/>
          <w:szCs w:val="24"/>
        </w:rPr>
        <w:t xml:space="preserve">H2: </w:t>
      </w:r>
      <w:r w:rsidR="00E72978">
        <w:rPr>
          <w:i/>
          <w:szCs w:val="24"/>
        </w:rPr>
        <w:t>Firms</w:t>
      </w:r>
      <w:r w:rsidRPr="00AE2DA4">
        <w:rPr>
          <w:i/>
          <w:szCs w:val="24"/>
        </w:rPr>
        <w:t xml:space="preserve"> are inclined to use the policy of bad debt provision for earnings management</w:t>
      </w:r>
    </w:p>
    <w:p w:rsidR="00AE2DA4" w:rsidRPr="00AE2DA4" w:rsidRDefault="00AE2DA4" w:rsidP="00AE2DA4">
      <w:pPr>
        <w:spacing w:after="0" w:line="240" w:lineRule="auto"/>
        <w:rPr>
          <w:i/>
          <w:szCs w:val="24"/>
        </w:rPr>
      </w:pPr>
      <w:r w:rsidRPr="00AE2DA4">
        <w:rPr>
          <w:i/>
          <w:szCs w:val="24"/>
        </w:rPr>
        <w:t>H3: There is a negative correlation between allowance for doubtful accounts and its surplus</w:t>
      </w:r>
    </w:p>
    <w:p w:rsidR="00AE2DA4" w:rsidRDefault="00AE2DA4" w:rsidP="00AE2DA4">
      <w:pPr>
        <w:spacing w:after="0" w:line="240" w:lineRule="auto"/>
        <w:rPr>
          <w:szCs w:val="24"/>
        </w:rPr>
      </w:pPr>
    </w:p>
    <w:p w:rsidR="00FB7B7F" w:rsidRPr="00054CB5" w:rsidRDefault="004C1153" w:rsidP="001801C9">
      <w:pPr>
        <w:pStyle w:val="Heading1"/>
        <w:numPr>
          <w:ilvl w:val="0"/>
          <w:numId w:val="16"/>
        </w:numPr>
        <w:spacing w:after="100" w:afterAutospacing="1" w:line="240" w:lineRule="auto"/>
        <w:rPr>
          <w:rFonts w:eastAsia="Times New Roman"/>
          <w:szCs w:val="24"/>
          <w:lang w:val="en" w:eastAsia="en-GB"/>
        </w:rPr>
      </w:pPr>
      <w:bookmarkStart w:id="4" w:name="_Toc10818766"/>
      <w:r w:rsidRPr="00054CB5">
        <w:rPr>
          <w:rFonts w:eastAsia="Times New Roman"/>
          <w:szCs w:val="24"/>
          <w:lang w:val="en" w:eastAsia="en-GB"/>
        </w:rPr>
        <w:t>Research M</w:t>
      </w:r>
      <w:r w:rsidR="00FB7B7F" w:rsidRPr="00054CB5">
        <w:rPr>
          <w:rFonts w:eastAsia="Times New Roman"/>
          <w:szCs w:val="24"/>
          <w:lang w:val="en" w:eastAsia="en-GB"/>
        </w:rPr>
        <w:t xml:space="preserve">ethod and </w:t>
      </w:r>
      <w:r w:rsidRPr="00054CB5">
        <w:rPr>
          <w:rFonts w:eastAsia="Times New Roman"/>
          <w:szCs w:val="24"/>
          <w:lang w:val="en" w:eastAsia="en-GB"/>
        </w:rPr>
        <w:t>S</w:t>
      </w:r>
      <w:r w:rsidR="00FB7B7F" w:rsidRPr="00054CB5">
        <w:rPr>
          <w:rFonts w:eastAsia="Times New Roman"/>
          <w:szCs w:val="24"/>
          <w:lang w:val="en" w:eastAsia="en-GB"/>
        </w:rPr>
        <w:t xml:space="preserve">ample </w:t>
      </w:r>
      <w:r w:rsidRPr="00054CB5">
        <w:rPr>
          <w:rFonts w:eastAsia="Times New Roman"/>
          <w:szCs w:val="24"/>
          <w:lang w:val="en" w:eastAsia="en-GB"/>
        </w:rPr>
        <w:t>S</w:t>
      </w:r>
      <w:r w:rsidR="00FB7B7F" w:rsidRPr="00054CB5">
        <w:rPr>
          <w:rFonts w:eastAsia="Times New Roman"/>
          <w:szCs w:val="24"/>
          <w:lang w:val="en" w:eastAsia="en-GB"/>
        </w:rPr>
        <w:t>election</w:t>
      </w:r>
    </w:p>
    <w:bookmarkEnd w:id="4"/>
    <w:p w:rsidR="005E012F" w:rsidRPr="00054CB5" w:rsidRDefault="00D61E29" w:rsidP="00C9032B">
      <w:pPr>
        <w:spacing w:after="0" w:line="240" w:lineRule="auto"/>
        <w:rPr>
          <w:szCs w:val="24"/>
        </w:rPr>
      </w:pPr>
      <w:r w:rsidRPr="00054CB5">
        <w:rPr>
          <w:szCs w:val="24"/>
        </w:rPr>
        <w:t>Accounts receivable, as an asset of the enterprise, represents the creditor</w:t>
      </w:r>
      <w:r w:rsidR="00C9032B" w:rsidRPr="00054CB5">
        <w:rPr>
          <w:szCs w:val="24"/>
        </w:rPr>
        <w:t>’</w:t>
      </w:r>
      <w:r w:rsidRPr="00054CB5">
        <w:rPr>
          <w:szCs w:val="24"/>
        </w:rPr>
        <w:t xml:space="preserve">s rights of the enterprise and reflects the future cash inflow of the enterprise. There is some </w:t>
      </w:r>
      <w:r w:rsidRPr="00054CB5">
        <w:rPr>
          <w:szCs w:val="24"/>
        </w:rPr>
        <w:lastRenderedPageBreak/>
        <w:t xml:space="preserve">arbitrariness in the provision of bad debt as the allowance. For the personal purpose of managers, in order to meet the regulatory requirements, and obtain investor attention, bad allowance for doubtful accounts often become a means to adjust corporate profits. This is bound to affect the quality of information disclosure of listed companies, to the detriment of the interests of information users. </w:t>
      </w:r>
    </w:p>
    <w:p w:rsidR="00FB7B7F" w:rsidRPr="00054CB5" w:rsidRDefault="00FB7B7F" w:rsidP="00D61E29">
      <w:pPr>
        <w:spacing w:after="0" w:line="240" w:lineRule="auto"/>
        <w:rPr>
          <w:szCs w:val="24"/>
        </w:rPr>
      </w:pPr>
    </w:p>
    <w:p w:rsidR="004C1153" w:rsidRPr="004B5D80" w:rsidRDefault="004C1153" w:rsidP="004C1153">
      <w:pPr>
        <w:pStyle w:val="Heading2"/>
        <w:numPr>
          <w:ilvl w:val="1"/>
          <w:numId w:val="16"/>
        </w:numPr>
        <w:spacing w:after="0" w:line="240" w:lineRule="auto"/>
        <w:rPr>
          <w:szCs w:val="24"/>
        </w:rPr>
      </w:pPr>
      <w:r w:rsidRPr="004B5D80">
        <w:rPr>
          <w:szCs w:val="24"/>
        </w:rPr>
        <w:t>Research Sample</w:t>
      </w:r>
    </w:p>
    <w:p w:rsidR="004C1153" w:rsidRDefault="004C1153" w:rsidP="004C1153">
      <w:pPr>
        <w:spacing w:after="0" w:line="240" w:lineRule="auto"/>
        <w:rPr>
          <w:szCs w:val="24"/>
        </w:rPr>
      </w:pPr>
    </w:p>
    <w:p w:rsidR="004C1153" w:rsidRPr="004B5D80" w:rsidRDefault="004C1153" w:rsidP="004C1153">
      <w:pPr>
        <w:spacing w:after="0" w:line="240" w:lineRule="auto"/>
        <w:rPr>
          <w:szCs w:val="24"/>
        </w:rPr>
      </w:pPr>
      <w:r w:rsidRPr="004B5D80">
        <w:rPr>
          <w:szCs w:val="24"/>
        </w:rPr>
        <w:t>China is a rapid development country whose inclination on earning management could represent emerging countries’ preference.</w:t>
      </w:r>
      <w:r>
        <w:rPr>
          <w:szCs w:val="24"/>
        </w:rPr>
        <w:t xml:space="preserve"> Thus, </w:t>
      </w:r>
      <w:r w:rsidRPr="004260EE">
        <w:rPr>
          <w:szCs w:val="24"/>
        </w:rPr>
        <w:t xml:space="preserve">Chinese companies are chosen as samples. </w:t>
      </w:r>
      <w:r>
        <w:rPr>
          <w:szCs w:val="24"/>
        </w:rPr>
        <w:t xml:space="preserve">The </w:t>
      </w:r>
      <w:r w:rsidRPr="00206832">
        <w:rPr>
          <w:szCs w:val="24"/>
        </w:rPr>
        <w:t xml:space="preserve">sample consists of </w:t>
      </w:r>
      <w:r w:rsidRPr="004B5D80">
        <w:rPr>
          <w:szCs w:val="24"/>
        </w:rPr>
        <w:t>companies</w:t>
      </w:r>
      <w:r w:rsidRPr="00206832">
        <w:rPr>
          <w:szCs w:val="24"/>
        </w:rPr>
        <w:t xml:space="preserve"> listed on the </w:t>
      </w:r>
      <w:r>
        <w:rPr>
          <w:szCs w:val="24"/>
        </w:rPr>
        <w:t>Chinese</w:t>
      </w:r>
      <w:r w:rsidRPr="00206832">
        <w:rPr>
          <w:szCs w:val="24"/>
        </w:rPr>
        <w:t xml:space="preserve"> Stock Exchang</w:t>
      </w:r>
      <w:r>
        <w:rPr>
          <w:szCs w:val="24"/>
        </w:rPr>
        <w:t>e during the period between 2008</w:t>
      </w:r>
      <w:r w:rsidRPr="00206832">
        <w:rPr>
          <w:szCs w:val="24"/>
        </w:rPr>
        <w:t xml:space="preserve"> and 201</w:t>
      </w:r>
      <w:r>
        <w:rPr>
          <w:szCs w:val="24"/>
        </w:rPr>
        <w:t xml:space="preserve">7, </w:t>
      </w:r>
      <w:r w:rsidRPr="004B5D80">
        <w:rPr>
          <w:szCs w:val="24"/>
        </w:rPr>
        <w:t xml:space="preserve">which published their financial </w:t>
      </w:r>
      <w:r>
        <w:rPr>
          <w:szCs w:val="24"/>
        </w:rPr>
        <w:t>information</w:t>
      </w:r>
      <w:r w:rsidRPr="004B5D80">
        <w:rPr>
          <w:szCs w:val="24"/>
        </w:rPr>
        <w:t xml:space="preserve">. Because different industries enjoy various accounting policies, we analyze targeted data with different industries. In addition, </w:t>
      </w:r>
      <w:r>
        <w:rPr>
          <w:szCs w:val="24"/>
        </w:rPr>
        <w:t xml:space="preserve">it </w:t>
      </w:r>
      <w:r w:rsidRPr="004B5D80">
        <w:rPr>
          <w:szCs w:val="24"/>
        </w:rPr>
        <w:t>does the following disposal for listed manufacturing companies to eliminate the samples with incomplete data. First, the abnormal value is removed. The abnormal value refers to the data that are too different from the mean value in indicators such as income index and bad debt allowance ratio. Second, companies that have been listed for less than a year</w:t>
      </w:r>
      <w:r w:rsidRPr="007F47C4">
        <w:rPr>
          <w:szCs w:val="24"/>
        </w:rPr>
        <w:t xml:space="preserve"> </w:t>
      </w:r>
      <w:r>
        <w:rPr>
          <w:szCs w:val="24"/>
        </w:rPr>
        <w:t>are</w:t>
      </w:r>
      <w:r w:rsidRPr="004B5D80">
        <w:rPr>
          <w:szCs w:val="24"/>
        </w:rPr>
        <w:t xml:space="preserve"> exclud</w:t>
      </w:r>
      <w:r>
        <w:rPr>
          <w:szCs w:val="24"/>
        </w:rPr>
        <w:t>ed</w:t>
      </w:r>
      <w:r w:rsidRPr="004B5D80">
        <w:rPr>
          <w:szCs w:val="24"/>
        </w:rPr>
        <w:t>, because the newly listed companies have some special characteristics and are not generally persuasive.</w:t>
      </w:r>
      <w:r w:rsidRPr="00A430B7">
        <w:rPr>
          <w:szCs w:val="24"/>
        </w:rPr>
        <w:t xml:space="preserve"> </w:t>
      </w:r>
      <w:r w:rsidRPr="00206832">
        <w:rPr>
          <w:szCs w:val="24"/>
        </w:rPr>
        <w:t xml:space="preserve">Samples created with the available data yield </w:t>
      </w:r>
      <w:r w:rsidRPr="004B5D80">
        <w:rPr>
          <w:szCs w:val="24"/>
        </w:rPr>
        <w:t>14</w:t>
      </w:r>
      <w:r>
        <w:rPr>
          <w:szCs w:val="24"/>
        </w:rPr>
        <w:t>,</w:t>
      </w:r>
      <w:r w:rsidRPr="004B5D80">
        <w:rPr>
          <w:szCs w:val="24"/>
        </w:rPr>
        <w:t>886</w:t>
      </w:r>
      <w:r w:rsidRPr="00206832">
        <w:rPr>
          <w:szCs w:val="24"/>
        </w:rPr>
        <w:t xml:space="preserve"> for inclusion in the analysis.</w:t>
      </w:r>
    </w:p>
    <w:p w:rsidR="004C1153" w:rsidRDefault="004C1153" w:rsidP="004C1153">
      <w:pPr>
        <w:spacing w:after="0" w:line="240" w:lineRule="auto"/>
        <w:rPr>
          <w:szCs w:val="24"/>
        </w:rPr>
      </w:pPr>
    </w:p>
    <w:p w:rsidR="004C1153" w:rsidRPr="002861C7" w:rsidRDefault="004C1153" w:rsidP="004C1153">
      <w:pPr>
        <w:spacing w:after="0" w:line="240" w:lineRule="auto"/>
        <w:rPr>
          <w:color w:val="FF0000"/>
          <w:szCs w:val="24"/>
        </w:rPr>
      </w:pPr>
      <w:r w:rsidRPr="004B5D80">
        <w:rPr>
          <w:szCs w:val="24"/>
        </w:rPr>
        <w:t xml:space="preserve">Nowadays, </w:t>
      </w:r>
      <w:r>
        <w:rPr>
          <w:szCs w:val="24"/>
        </w:rPr>
        <w:t xml:space="preserve">the </w:t>
      </w:r>
      <w:r w:rsidRPr="004B5D80">
        <w:rPr>
          <w:szCs w:val="24"/>
        </w:rPr>
        <w:t xml:space="preserve">Chinese government is encouraging companies to follow the rules of IFRS by introducing the ideas of IASB in </w:t>
      </w:r>
      <w:r>
        <w:rPr>
          <w:szCs w:val="24"/>
        </w:rPr>
        <w:t xml:space="preserve">the </w:t>
      </w:r>
      <w:r w:rsidRPr="004B5D80">
        <w:rPr>
          <w:szCs w:val="24"/>
        </w:rPr>
        <w:t xml:space="preserve">Chinese accounting </w:t>
      </w:r>
      <w:r w:rsidRPr="00280C61">
        <w:rPr>
          <w:szCs w:val="24"/>
        </w:rPr>
        <w:t>standards</w:t>
      </w:r>
      <w:r>
        <w:rPr>
          <w:szCs w:val="24"/>
        </w:rPr>
        <w:t xml:space="preserve"> (CAS)</w:t>
      </w:r>
      <w:r w:rsidRPr="00280C61">
        <w:rPr>
          <w:szCs w:val="24"/>
        </w:rPr>
        <w:t>, to boost its economy by declining the cost of accounting information. Especially</w:t>
      </w:r>
      <w:r w:rsidRPr="004B5D80">
        <w:rPr>
          <w:szCs w:val="24"/>
        </w:rPr>
        <w:t xml:space="preserve">, </w:t>
      </w:r>
      <w:r>
        <w:rPr>
          <w:szCs w:val="24"/>
        </w:rPr>
        <w:t>CAS</w:t>
      </w:r>
      <w:r w:rsidRPr="004B5D80">
        <w:rPr>
          <w:szCs w:val="24"/>
        </w:rPr>
        <w:t xml:space="preserve"> of account receivables is the same with the international accounting standards. In addition, the reason why </w:t>
      </w:r>
      <w:r>
        <w:rPr>
          <w:szCs w:val="24"/>
        </w:rPr>
        <w:t xml:space="preserve">the </w:t>
      </w:r>
      <w:r w:rsidRPr="004B5D80">
        <w:rPr>
          <w:szCs w:val="24"/>
        </w:rPr>
        <w:t>listed manufacturing companies are chosen is that the bad debt provision policies of listed companies vary greatly among industries and are not comparable. On the other hand, the sample size of</w:t>
      </w:r>
      <w:r>
        <w:rPr>
          <w:szCs w:val="24"/>
        </w:rPr>
        <w:t xml:space="preserve"> the</w:t>
      </w:r>
      <w:r w:rsidRPr="004B5D80">
        <w:rPr>
          <w:szCs w:val="24"/>
        </w:rPr>
        <w:t xml:space="preserve"> Chinese listed companies in the manufacturing industry is sufficient with complete data and show strong representativeness. Moreover, there are no significant differences in the</w:t>
      </w:r>
      <w:r>
        <w:rPr>
          <w:szCs w:val="24"/>
        </w:rPr>
        <w:t>ir</w:t>
      </w:r>
      <w:r w:rsidRPr="004B5D80">
        <w:rPr>
          <w:szCs w:val="24"/>
        </w:rPr>
        <w:t xml:space="preserve"> governance structure. The data from the manufacture industry will make the results more convincing.</w:t>
      </w:r>
    </w:p>
    <w:p w:rsidR="004C1153" w:rsidRPr="004260EE" w:rsidRDefault="004C1153" w:rsidP="00D61E29">
      <w:pPr>
        <w:spacing w:after="0" w:line="240" w:lineRule="auto"/>
        <w:rPr>
          <w:szCs w:val="24"/>
        </w:rPr>
      </w:pPr>
    </w:p>
    <w:p w:rsidR="00FB7B7F" w:rsidRPr="004C1153" w:rsidRDefault="00FB7B7F" w:rsidP="004C1153">
      <w:pPr>
        <w:pStyle w:val="ListParagraph"/>
        <w:numPr>
          <w:ilvl w:val="1"/>
          <w:numId w:val="16"/>
        </w:numPr>
        <w:spacing w:after="100" w:afterAutospacing="1" w:line="240" w:lineRule="auto"/>
        <w:outlineLvl w:val="2"/>
        <w:rPr>
          <w:rFonts w:eastAsia="Times New Roman"/>
          <w:szCs w:val="24"/>
          <w:lang w:val="en" w:eastAsia="en-GB"/>
        </w:rPr>
      </w:pPr>
      <w:r w:rsidRPr="004C1153">
        <w:rPr>
          <w:rFonts w:eastAsia="Times New Roman"/>
          <w:b/>
          <w:szCs w:val="24"/>
          <w:lang w:val="en" w:eastAsia="en-GB"/>
        </w:rPr>
        <w:t xml:space="preserve">Research </w:t>
      </w:r>
      <w:r w:rsidR="00895572" w:rsidRPr="004C1153">
        <w:rPr>
          <w:rFonts w:eastAsia="Times New Roman"/>
          <w:b/>
          <w:szCs w:val="24"/>
          <w:lang w:val="en" w:eastAsia="en-GB"/>
        </w:rPr>
        <w:t>M</w:t>
      </w:r>
      <w:r w:rsidRPr="004C1153">
        <w:rPr>
          <w:rFonts w:eastAsia="Times New Roman"/>
          <w:b/>
          <w:szCs w:val="24"/>
          <w:lang w:val="en" w:eastAsia="en-GB"/>
        </w:rPr>
        <w:t>ethod</w:t>
      </w:r>
    </w:p>
    <w:p w:rsidR="00241B4E" w:rsidRPr="004B5D80" w:rsidRDefault="005E132F" w:rsidP="004C1153">
      <w:pPr>
        <w:spacing w:after="0" w:line="240" w:lineRule="auto"/>
        <w:rPr>
          <w:szCs w:val="24"/>
        </w:rPr>
      </w:pPr>
      <w:r w:rsidRPr="004C1153">
        <w:rPr>
          <w:szCs w:val="24"/>
        </w:rPr>
        <w:t xml:space="preserve">In order to test </w:t>
      </w:r>
      <w:r w:rsidRPr="004C1153">
        <w:rPr>
          <w:i/>
          <w:szCs w:val="24"/>
        </w:rPr>
        <w:t>H</w:t>
      </w:r>
      <w:r w:rsidR="00D65333" w:rsidRPr="004C1153">
        <w:rPr>
          <w:i/>
          <w:szCs w:val="24"/>
        </w:rPr>
        <w:t>1</w:t>
      </w:r>
      <w:r w:rsidRPr="004C1153">
        <w:rPr>
          <w:szCs w:val="24"/>
        </w:rPr>
        <w:t xml:space="preserve">, we conduct descriptive statistics year by year, so as to draw a conclusion. </w:t>
      </w:r>
      <w:r w:rsidRPr="004C1153">
        <w:rPr>
          <w:rFonts w:eastAsia="Times New Roman"/>
          <w:szCs w:val="24"/>
          <w:lang w:val="en" w:eastAsia="en-GB"/>
        </w:rPr>
        <w:t xml:space="preserve">To test </w:t>
      </w:r>
      <w:r w:rsidR="00D65333" w:rsidRPr="004C1153">
        <w:rPr>
          <w:i/>
          <w:szCs w:val="24"/>
        </w:rPr>
        <w:t>H</w:t>
      </w:r>
      <w:r w:rsidR="00D65333" w:rsidRPr="004C1153">
        <w:rPr>
          <w:szCs w:val="24"/>
        </w:rPr>
        <w:t>2</w:t>
      </w:r>
      <w:r w:rsidRPr="004C1153">
        <w:rPr>
          <w:rFonts w:eastAsia="Times New Roman"/>
          <w:szCs w:val="24"/>
          <w:lang w:val="en" w:eastAsia="en-GB"/>
        </w:rPr>
        <w:t xml:space="preserve"> and </w:t>
      </w:r>
      <w:r w:rsidR="00D65333" w:rsidRPr="004C1153">
        <w:rPr>
          <w:i/>
          <w:szCs w:val="24"/>
        </w:rPr>
        <w:t>H3</w:t>
      </w:r>
      <w:r w:rsidRPr="004C1153">
        <w:rPr>
          <w:rFonts w:eastAsia="Times New Roman"/>
          <w:szCs w:val="24"/>
          <w:lang w:val="en" w:eastAsia="en-GB"/>
        </w:rPr>
        <w:t xml:space="preserve">, we develop a regression model that uses </w:t>
      </w:r>
      <w:r w:rsidRPr="004C1153">
        <w:rPr>
          <w:szCs w:val="24"/>
        </w:rPr>
        <w:t xml:space="preserve">allowance for doubtful accounts </w:t>
      </w:r>
      <w:r w:rsidRPr="004C1153">
        <w:rPr>
          <w:rFonts w:eastAsia="Times New Roman"/>
          <w:szCs w:val="24"/>
          <w:lang w:val="en" w:eastAsia="en-GB"/>
        </w:rPr>
        <w:t xml:space="preserve">as a dependent variable, following the method of </w:t>
      </w:r>
      <w:r w:rsidR="00CF7884" w:rsidRPr="004C1153">
        <w:rPr>
          <w:rFonts w:eastAsia="Times New Roman"/>
          <w:szCs w:val="24"/>
          <w:lang w:val="en" w:eastAsia="en-GB"/>
        </w:rPr>
        <w:t xml:space="preserve">McNicholson and Wilson (1988), Frank and </w:t>
      </w:r>
      <w:proofErr w:type="spellStart"/>
      <w:r w:rsidR="00CF7884" w:rsidRPr="004C1153">
        <w:rPr>
          <w:rFonts w:eastAsia="Times New Roman"/>
          <w:szCs w:val="24"/>
          <w:lang w:val="en" w:eastAsia="en-GB"/>
        </w:rPr>
        <w:t>Rego</w:t>
      </w:r>
      <w:proofErr w:type="spellEnd"/>
      <w:r w:rsidR="00CF7884" w:rsidRPr="004C1153">
        <w:rPr>
          <w:rFonts w:eastAsia="Times New Roman"/>
          <w:szCs w:val="24"/>
          <w:lang w:val="en" w:eastAsia="en-GB"/>
        </w:rPr>
        <w:t xml:space="preserve"> (2006), and Jackson and Liu (2010)</w:t>
      </w:r>
      <w:r w:rsidRPr="004C1153">
        <w:rPr>
          <w:szCs w:val="24"/>
        </w:rPr>
        <w:t xml:space="preserve">. </w:t>
      </w:r>
      <w:r w:rsidR="00CF7884" w:rsidRPr="004C1153">
        <w:rPr>
          <w:rFonts w:eastAsia="Times New Roman"/>
          <w:szCs w:val="24"/>
          <w:lang w:val="en" w:eastAsia="en-GB"/>
        </w:rPr>
        <w:t xml:space="preserve">They suggest an effective approach in which single specific items instead of aggregate discretionary accruals are examined. It allows more precise detection of earnings management and decreases measurement error by </w:t>
      </w:r>
      <w:r w:rsidR="00CF7884" w:rsidRPr="00827DFF">
        <w:rPr>
          <w:rFonts w:eastAsia="Times New Roman"/>
          <w:szCs w:val="24"/>
          <w:lang w:val="en" w:eastAsia="en-GB"/>
        </w:rPr>
        <w:t xml:space="preserve">allowing researchers to select variables closely related </w:t>
      </w:r>
      <w:r w:rsidR="00CF7884" w:rsidRPr="00827DFF">
        <w:rPr>
          <w:rFonts w:eastAsia="Times New Roman"/>
          <w:szCs w:val="24"/>
          <w:lang w:val="en" w:eastAsia="en-GB"/>
        </w:rPr>
        <w:lastRenderedPageBreak/>
        <w:t>to the adjusted item and effectively eliminating non-discretionary portions. Though the single-accrual approach has the disadvantage that earnings management can be detected only if a specific item is adjusted, it provides a more profound understanding of earnings management behavior and can be helpful in establishing a related accounting policy. Thus, the single-accrual approach is adopted in this study, and incentives for earnings management and management behavior are investigated with a focus on the allowance for doubtful accounts.</w:t>
      </w:r>
      <w:r w:rsidR="00EA3EFB" w:rsidRPr="00827DFF">
        <w:rPr>
          <w:rFonts w:eastAsia="Times New Roman"/>
          <w:szCs w:val="24"/>
          <w:lang w:val="en" w:eastAsia="en-GB"/>
        </w:rPr>
        <w:t xml:space="preserve"> </w:t>
      </w:r>
      <w:r w:rsidR="00150F76">
        <w:rPr>
          <w:szCs w:val="24"/>
        </w:rPr>
        <w:t xml:space="preserve">The </w:t>
      </w:r>
      <w:r w:rsidR="00D61E29" w:rsidRPr="004B5D80">
        <w:rPr>
          <w:szCs w:val="24"/>
        </w:rPr>
        <w:t xml:space="preserve">specific accrual model </w:t>
      </w:r>
      <w:r w:rsidR="00EA3EFB">
        <w:rPr>
          <w:szCs w:val="24"/>
        </w:rPr>
        <w:t xml:space="preserve">that is utilized </w:t>
      </w:r>
      <w:r w:rsidR="00D61E29" w:rsidRPr="004B5D80">
        <w:rPr>
          <w:szCs w:val="24"/>
        </w:rPr>
        <w:t xml:space="preserve">to </w:t>
      </w:r>
      <w:r w:rsidR="00EA3EFB" w:rsidRPr="004B5D80">
        <w:rPr>
          <w:szCs w:val="24"/>
        </w:rPr>
        <w:t xml:space="preserve">test the behaviors of listed companies using bad debt provision to manipulate earnings </w:t>
      </w:r>
      <w:r w:rsidR="00827DFF">
        <w:rPr>
          <w:szCs w:val="24"/>
        </w:rPr>
        <w:t xml:space="preserve">is </w:t>
      </w:r>
      <w:r w:rsidR="00F62441">
        <w:rPr>
          <w:szCs w:val="24"/>
        </w:rPr>
        <w:t>the following</w:t>
      </w:r>
      <w:r w:rsidR="00827DFF">
        <w:rPr>
          <w:szCs w:val="24"/>
        </w:rPr>
        <w:t>,</w:t>
      </w:r>
    </w:p>
    <w:p w:rsidR="00241B4E" w:rsidRDefault="00241B4E" w:rsidP="004C1153">
      <w:pPr>
        <w:spacing w:after="0" w:line="240" w:lineRule="auto"/>
        <w:rPr>
          <w:szCs w:val="24"/>
        </w:rPr>
      </w:pPr>
    </w:p>
    <w:p w:rsidR="00F62441" w:rsidRDefault="00F62441" w:rsidP="004C1153">
      <w:pPr>
        <w:spacing w:after="0" w:line="240" w:lineRule="auto"/>
        <w:ind w:firstLine="420"/>
      </w:pPr>
      <w:r w:rsidRPr="00A03B21">
        <w:rPr>
          <w:position w:val="-12"/>
        </w:rPr>
        <w:object w:dxaOrig="60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8pt" o:ole="">
            <v:imagedata r:id="rId9" o:title=""/>
          </v:shape>
          <o:OLEObject Type="Embed" ProgID="Equation.3" ShapeID="_x0000_i1025" DrawAspect="Content" ObjectID="_1654420002" r:id="rId10"/>
        </w:object>
      </w:r>
      <w:r>
        <w:tab/>
      </w:r>
      <w:r>
        <w:tab/>
      </w:r>
      <w:r>
        <w:tab/>
        <w:t>(1)</w:t>
      </w:r>
    </w:p>
    <w:p w:rsidR="00F62441" w:rsidRDefault="00F62441" w:rsidP="004C1153">
      <w:pPr>
        <w:spacing w:after="0" w:line="240" w:lineRule="auto"/>
        <w:rPr>
          <w:szCs w:val="24"/>
        </w:rPr>
      </w:pPr>
    </w:p>
    <w:p w:rsidR="00825D3E" w:rsidRPr="004B5D80" w:rsidRDefault="00713217" w:rsidP="004C1153">
      <w:pPr>
        <w:spacing w:after="0" w:line="240" w:lineRule="auto"/>
        <w:rPr>
          <w:szCs w:val="24"/>
        </w:rPr>
      </w:pPr>
      <w:r>
        <w:rPr>
          <w:szCs w:val="24"/>
        </w:rPr>
        <w:t xml:space="preserve">Where </w:t>
      </w:r>
      <w:r w:rsidR="00F62441">
        <w:rPr>
          <w:szCs w:val="24"/>
        </w:rPr>
        <w:tab/>
      </w:r>
      <w:r w:rsidR="00D61E29" w:rsidRPr="004B5D80">
        <w:rPr>
          <w:szCs w:val="24"/>
        </w:rPr>
        <w:t xml:space="preserve">P </w:t>
      </w:r>
      <w:r>
        <w:rPr>
          <w:szCs w:val="24"/>
        </w:rPr>
        <w:t>=</w:t>
      </w:r>
      <w:r w:rsidR="00D61E29" w:rsidRPr="004B5D80">
        <w:rPr>
          <w:szCs w:val="24"/>
        </w:rPr>
        <w:t xml:space="preserve"> additi</w:t>
      </w:r>
      <w:r>
        <w:rPr>
          <w:szCs w:val="24"/>
        </w:rPr>
        <w:t>on of bad debts during period T</w:t>
      </w:r>
      <w:r w:rsidR="00F62441">
        <w:rPr>
          <w:szCs w:val="24"/>
        </w:rPr>
        <w:t xml:space="preserve">; </w:t>
      </w:r>
      <w:proofErr w:type="spellStart"/>
      <w:r w:rsidR="00D61E29" w:rsidRPr="004B5D80">
        <w:rPr>
          <w:szCs w:val="24"/>
        </w:rPr>
        <w:t>BgBL</w:t>
      </w:r>
      <w:r w:rsidR="00D61E29" w:rsidRPr="004B5D80">
        <w:rPr>
          <w:szCs w:val="24"/>
          <w:vertAlign w:val="subscript"/>
        </w:rPr>
        <w:t>t</w:t>
      </w:r>
      <w:proofErr w:type="spellEnd"/>
      <w:r w:rsidR="00D61E29" w:rsidRPr="00713217">
        <w:rPr>
          <w:szCs w:val="24"/>
        </w:rPr>
        <w:t xml:space="preserve"> </w:t>
      </w:r>
      <w:r w:rsidRPr="00713217">
        <w:rPr>
          <w:szCs w:val="24"/>
        </w:rPr>
        <w:t>=</w:t>
      </w:r>
      <w:r w:rsidR="00D61E29" w:rsidRPr="004B5D80">
        <w:rPr>
          <w:szCs w:val="24"/>
        </w:rPr>
        <w:t xml:space="preserve"> bad </w:t>
      </w:r>
      <w:r w:rsidR="00F62441">
        <w:rPr>
          <w:szCs w:val="24"/>
        </w:rPr>
        <w:t xml:space="preserve">debt provision at the beginning; </w:t>
      </w:r>
      <w:proofErr w:type="spellStart"/>
      <w:r w:rsidR="00D61E29" w:rsidRPr="004B5D80">
        <w:rPr>
          <w:szCs w:val="24"/>
        </w:rPr>
        <w:t>Write_off</w:t>
      </w:r>
      <w:r w:rsidR="00D61E29" w:rsidRPr="004B5D80">
        <w:rPr>
          <w:szCs w:val="24"/>
          <w:vertAlign w:val="subscript"/>
        </w:rPr>
        <w:t>t</w:t>
      </w:r>
      <w:proofErr w:type="spellEnd"/>
      <w:r w:rsidR="00D61E29" w:rsidRPr="004B5D80">
        <w:rPr>
          <w:szCs w:val="24"/>
        </w:rPr>
        <w:t xml:space="preserve"> </w:t>
      </w:r>
      <w:r>
        <w:rPr>
          <w:szCs w:val="24"/>
        </w:rPr>
        <w:t>=</w:t>
      </w:r>
      <w:r w:rsidR="00D61E29" w:rsidRPr="004B5D80">
        <w:rPr>
          <w:szCs w:val="24"/>
        </w:rPr>
        <w:t xml:space="preserve"> the amount of bad debt provision to be rolled back at the period of T</w:t>
      </w:r>
      <w:r w:rsidR="00F62441">
        <w:rPr>
          <w:szCs w:val="24"/>
        </w:rPr>
        <w:t xml:space="preserve">; </w:t>
      </w:r>
      <w:r w:rsidR="00D61E29" w:rsidRPr="004B5D80">
        <w:rPr>
          <w:szCs w:val="24"/>
        </w:rPr>
        <w:t>Write_off</w:t>
      </w:r>
      <w:r w:rsidR="00D61E29" w:rsidRPr="004B5D80">
        <w:rPr>
          <w:szCs w:val="24"/>
          <w:vertAlign w:val="subscript"/>
        </w:rPr>
        <w:t>t+1</w:t>
      </w:r>
      <w:r w:rsidR="00D61E29" w:rsidRPr="004B5D80">
        <w:rPr>
          <w:szCs w:val="24"/>
        </w:rPr>
        <w:t xml:space="preserve"> </w:t>
      </w:r>
      <w:r>
        <w:rPr>
          <w:szCs w:val="24"/>
        </w:rPr>
        <w:t>=</w:t>
      </w:r>
      <w:r w:rsidR="00D61E29" w:rsidRPr="004B5D80">
        <w:rPr>
          <w:szCs w:val="24"/>
        </w:rPr>
        <w:t xml:space="preserve"> the amount of bad debt provision to be rolled back at the period of T+1</w:t>
      </w:r>
      <w:r w:rsidR="00F62441">
        <w:rPr>
          <w:szCs w:val="24"/>
        </w:rPr>
        <w:t xml:space="preserve">; </w:t>
      </w:r>
      <w:proofErr w:type="spellStart"/>
      <w:r w:rsidR="00D61E29" w:rsidRPr="004B5D80">
        <w:rPr>
          <w:szCs w:val="24"/>
        </w:rPr>
        <w:t>Resprovt</w:t>
      </w:r>
      <w:proofErr w:type="spellEnd"/>
      <w:r w:rsidR="00D61E29" w:rsidRPr="004B5D80">
        <w:rPr>
          <w:szCs w:val="24"/>
        </w:rPr>
        <w:t xml:space="preserve"> </w:t>
      </w:r>
      <w:r>
        <w:rPr>
          <w:szCs w:val="24"/>
        </w:rPr>
        <w:t xml:space="preserve">= </w:t>
      </w:r>
      <w:r w:rsidR="00825D3E">
        <w:rPr>
          <w:szCs w:val="24"/>
        </w:rPr>
        <w:t xml:space="preserve">the amount of error term which </w:t>
      </w:r>
      <w:r w:rsidR="00825D3E" w:rsidRPr="004B5D80">
        <w:rPr>
          <w:szCs w:val="24"/>
        </w:rPr>
        <w:t xml:space="preserve">is used to test the existence of earning management. </w:t>
      </w:r>
    </w:p>
    <w:p w:rsidR="00825D3E" w:rsidRPr="004B5D80" w:rsidRDefault="00825D3E" w:rsidP="00D61E29">
      <w:pPr>
        <w:spacing w:after="0" w:line="240" w:lineRule="auto"/>
        <w:rPr>
          <w:szCs w:val="24"/>
        </w:rPr>
      </w:pPr>
    </w:p>
    <w:p w:rsidR="00241B4E" w:rsidRDefault="00D61E29" w:rsidP="00D61E29">
      <w:pPr>
        <w:spacing w:after="0" w:line="240" w:lineRule="auto"/>
        <w:rPr>
          <w:szCs w:val="24"/>
        </w:rPr>
      </w:pPr>
      <w:r w:rsidRPr="004B5D80">
        <w:rPr>
          <w:szCs w:val="24"/>
        </w:rPr>
        <w:t xml:space="preserve">In this model, </w:t>
      </w:r>
      <w:proofErr w:type="spellStart"/>
      <w:r w:rsidRPr="004B5D80">
        <w:rPr>
          <w:szCs w:val="24"/>
        </w:rPr>
        <w:t>Prov</w:t>
      </w:r>
      <w:r w:rsidRPr="001C525F">
        <w:rPr>
          <w:szCs w:val="24"/>
          <w:vertAlign w:val="subscript"/>
        </w:rPr>
        <w:t>t</w:t>
      </w:r>
      <w:proofErr w:type="spellEnd"/>
      <w:r w:rsidRPr="004B5D80">
        <w:rPr>
          <w:szCs w:val="24"/>
        </w:rPr>
        <w:t xml:space="preserve"> of the current period is taken as the dependent variable, and </w:t>
      </w:r>
      <w:proofErr w:type="spellStart"/>
      <w:r w:rsidRPr="004B5D80">
        <w:rPr>
          <w:szCs w:val="24"/>
        </w:rPr>
        <w:t>BgBL</w:t>
      </w:r>
      <w:proofErr w:type="spellEnd"/>
      <w:r w:rsidRPr="004B5D80">
        <w:rPr>
          <w:szCs w:val="24"/>
        </w:rPr>
        <w:t xml:space="preserve">, </w:t>
      </w:r>
      <w:proofErr w:type="spellStart"/>
      <w:r w:rsidRPr="004B5D80">
        <w:rPr>
          <w:szCs w:val="24"/>
        </w:rPr>
        <w:t>Write_off</w:t>
      </w:r>
      <w:r w:rsidRPr="001C525F">
        <w:rPr>
          <w:szCs w:val="24"/>
          <w:vertAlign w:val="subscript"/>
        </w:rPr>
        <w:t>t</w:t>
      </w:r>
      <w:proofErr w:type="spellEnd"/>
      <w:r w:rsidRPr="004B5D80">
        <w:rPr>
          <w:szCs w:val="24"/>
        </w:rPr>
        <w:t xml:space="preserve"> and Write_off</w:t>
      </w:r>
      <w:r w:rsidRPr="001C525F">
        <w:rPr>
          <w:szCs w:val="24"/>
          <w:vertAlign w:val="subscript"/>
        </w:rPr>
        <w:t xml:space="preserve">t+1 </w:t>
      </w:r>
      <w:r w:rsidRPr="004B5D80">
        <w:rPr>
          <w:szCs w:val="24"/>
        </w:rPr>
        <w:t>are taken as independent variables, thus forming a linear function. Among them, the bad debt provision brought back in the future period is taken as the substitution variable of the expected bad debt. The model uses the error term ‘</w:t>
      </w:r>
      <w:proofErr w:type="spellStart"/>
      <w:r w:rsidRPr="004B5D80">
        <w:rPr>
          <w:szCs w:val="24"/>
        </w:rPr>
        <w:t>Resprov</w:t>
      </w:r>
      <w:r w:rsidRPr="001C525F">
        <w:rPr>
          <w:szCs w:val="24"/>
          <w:vertAlign w:val="subscript"/>
        </w:rPr>
        <w:t>t</w:t>
      </w:r>
      <w:proofErr w:type="spellEnd"/>
      <w:r w:rsidRPr="004B5D80">
        <w:rPr>
          <w:szCs w:val="24"/>
        </w:rPr>
        <w:t xml:space="preserve">’ to express the existence of earnings management. If the sample company does not have any earnings management phenomenon, in this case the error term is zero; </w:t>
      </w:r>
      <w:r w:rsidR="005A357D" w:rsidRPr="004B5D80">
        <w:rPr>
          <w:szCs w:val="24"/>
        </w:rPr>
        <w:t>if</w:t>
      </w:r>
      <w:r w:rsidRPr="004B5D80">
        <w:rPr>
          <w:szCs w:val="24"/>
        </w:rPr>
        <w:t xml:space="preserve"> the error term is detected, it proves that the sample company has more or less earnings management behavior. The degree of earnings management is reflected by the value of ‘</w:t>
      </w:r>
      <w:proofErr w:type="spellStart"/>
      <w:r w:rsidRPr="004B5D80">
        <w:rPr>
          <w:szCs w:val="24"/>
        </w:rPr>
        <w:t>Resprov</w:t>
      </w:r>
      <w:r w:rsidRPr="001C525F">
        <w:rPr>
          <w:szCs w:val="24"/>
          <w:vertAlign w:val="subscript"/>
        </w:rPr>
        <w:t>t</w:t>
      </w:r>
      <w:proofErr w:type="spellEnd"/>
      <w:r w:rsidRPr="004B5D80">
        <w:rPr>
          <w:szCs w:val="24"/>
        </w:rPr>
        <w:t>’.</w:t>
      </w:r>
    </w:p>
    <w:p w:rsidR="00964756" w:rsidRPr="00964756" w:rsidRDefault="00964756" w:rsidP="00D61E29">
      <w:pPr>
        <w:spacing w:after="0" w:line="240" w:lineRule="auto"/>
        <w:rPr>
          <w:szCs w:val="24"/>
        </w:rPr>
      </w:pPr>
    </w:p>
    <w:p w:rsidR="00964756" w:rsidRPr="00964756" w:rsidRDefault="00964756" w:rsidP="00964756">
      <w:pPr>
        <w:spacing w:after="0" w:line="240" w:lineRule="auto"/>
        <w:rPr>
          <w:bCs/>
          <w:szCs w:val="24"/>
        </w:rPr>
      </w:pPr>
      <w:r w:rsidRPr="00964756">
        <w:rPr>
          <w:szCs w:val="24"/>
        </w:rPr>
        <w:t>For H2.3, the regression design is</w:t>
      </w:r>
    </w:p>
    <w:p w:rsidR="00D61E29" w:rsidRPr="00964756" w:rsidRDefault="00D61E29" w:rsidP="00D61E29">
      <w:pPr>
        <w:spacing w:after="0" w:line="240" w:lineRule="auto"/>
        <w:rPr>
          <w:szCs w:val="24"/>
        </w:rPr>
      </w:pPr>
    </w:p>
    <w:p w:rsidR="00F62441" w:rsidRDefault="003E3020" w:rsidP="00D1392A">
      <w:pPr>
        <w:spacing w:after="0" w:line="240" w:lineRule="auto"/>
        <w:ind w:firstLine="420"/>
        <w:rPr>
          <w:szCs w:val="24"/>
        </w:rPr>
      </w:pPr>
      <w:r w:rsidRPr="00A03B21">
        <w:rPr>
          <w:position w:val="-12"/>
        </w:rPr>
        <w:object w:dxaOrig="4959" w:dyaOrig="360">
          <v:shape id="_x0000_i1026" type="#_x0000_t75" style="width:248.25pt;height:18pt" o:ole="">
            <v:imagedata r:id="rId11" o:title=""/>
          </v:shape>
          <o:OLEObject Type="Embed" ProgID="Equation.3" ShapeID="_x0000_i1026" DrawAspect="Content" ObjectID="_1654420003" r:id="rId12"/>
        </w:object>
      </w:r>
      <w:r w:rsidR="00F62441">
        <w:tab/>
      </w:r>
      <w:r w:rsidR="00F62441">
        <w:tab/>
      </w:r>
      <w:r w:rsidR="00F62441">
        <w:tab/>
      </w:r>
      <w:r w:rsidR="00F62441">
        <w:tab/>
      </w:r>
      <w:r w:rsidR="00F62441">
        <w:tab/>
      </w:r>
      <w:r w:rsidR="00F62441">
        <w:tab/>
        <w:t>(2)</w:t>
      </w:r>
    </w:p>
    <w:p w:rsidR="00D1392A" w:rsidRDefault="00D1392A" w:rsidP="00F62441">
      <w:pPr>
        <w:spacing w:after="0" w:line="240" w:lineRule="auto"/>
        <w:rPr>
          <w:szCs w:val="24"/>
        </w:rPr>
      </w:pPr>
    </w:p>
    <w:p w:rsidR="00241B4E" w:rsidRPr="004B5D80" w:rsidRDefault="00964756" w:rsidP="00F62441">
      <w:pPr>
        <w:spacing w:after="0" w:line="240" w:lineRule="auto"/>
        <w:rPr>
          <w:szCs w:val="24"/>
        </w:rPr>
      </w:pPr>
      <w:r>
        <w:rPr>
          <w:szCs w:val="24"/>
        </w:rPr>
        <w:t>w</w:t>
      </w:r>
      <w:r w:rsidR="00713217">
        <w:rPr>
          <w:szCs w:val="24"/>
        </w:rPr>
        <w:t xml:space="preserve">here </w:t>
      </w:r>
      <w:r w:rsidR="00F62441">
        <w:rPr>
          <w:szCs w:val="24"/>
        </w:rPr>
        <w:tab/>
      </w:r>
      <w:r w:rsidR="00D61E29" w:rsidRPr="004B5D80">
        <w:rPr>
          <w:szCs w:val="24"/>
        </w:rPr>
        <w:t xml:space="preserve">P </w:t>
      </w:r>
      <w:r w:rsidR="00713217">
        <w:rPr>
          <w:szCs w:val="24"/>
        </w:rPr>
        <w:t>=</w:t>
      </w:r>
      <w:r w:rsidR="00D61E29" w:rsidRPr="004B5D80">
        <w:rPr>
          <w:szCs w:val="24"/>
        </w:rPr>
        <w:t xml:space="preserve"> allowance for doubtful accounts</w:t>
      </w:r>
      <w:r w:rsidR="00F62441">
        <w:rPr>
          <w:szCs w:val="24"/>
        </w:rPr>
        <w:t xml:space="preserve">; </w:t>
      </w:r>
      <w:r w:rsidR="00D61E29" w:rsidRPr="004B5D80">
        <w:rPr>
          <w:szCs w:val="24"/>
        </w:rPr>
        <w:t xml:space="preserve">ROE </w:t>
      </w:r>
      <w:r w:rsidR="00713217">
        <w:rPr>
          <w:szCs w:val="24"/>
        </w:rPr>
        <w:t>=</w:t>
      </w:r>
      <w:r w:rsidR="00D61E29" w:rsidRPr="004B5D80">
        <w:rPr>
          <w:szCs w:val="24"/>
        </w:rPr>
        <w:t xml:space="preserve"> return of equity</w:t>
      </w:r>
      <w:r w:rsidR="00F62441">
        <w:rPr>
          <w:szCs w:val="24"/>
        </w:rPr>
        <w:t xml:space="preserve">; </w:t>
      </w:r>
      <w:r w:rsidR="00D61E29" w:rsidRPr="004B5D80">
        <w:rPr>
          <w:szCs w:val="24"/>
        </w:rPr>
        <w:t>Log(</w:t>
      </w:r>
      <w:r w:rsidR="003E3020">
        <w:rPr>
          <w:szCs w:val="24"/>
        </w:rPr>
        <w:t>TA</w:t>
      </w:r>
      <w:r w:rsidR="00D61E29" w:rsidRPr="004B5D80">
        <w:rPr>
          <w:szCs w:val="24"/>
        </w:rPr>
        <w:t xml:space="preserve">) </w:t>
      </w:r>
      <w:r w:rsidR="00713217">
        <w:rPr>
          <w:szCs w:val="24"/>
        </w:rPr>
        <w:t>=</w:t>
      </w:r>
      <w:r w:rsidR="00D61E29" w:rsidRPr="004B5D80">
        <w:rPr>
          <w:szCs w:val="24"/>
        </w:rPr>
        <w:t xml:space="preserve"> </w:t>
      </w:r>
      <w:r w:rsidR="003E3020" w:rsidRPr="00206832">
        <w:rPr>
          <w:szCs w:val="24"/>
        </w:rPr>
        <w:t>Log value of total assets</w:t>
      </w:r>
      <w:r w:rsidR="003E3020">
        <w:rPr>
          <w:szCs w:val="24"/>
        </w:rPr>
        <w:t xml:space="preserve">; </w:t>
      </w:r>
      <w:r w:rsidR="003E3020" w:rsidRPr="004B5D80">
        <w:rPr>
          <w:szCs w:val="24"/>
        </w:rPr>
        <w:t xml:space="preserve">Lev </w:t>
      </w:r>
      <w:r w:rsidR="003E3020">
        <w:rPr>
          <w:szCs w:val="24"/>
        </w:rPr>
        <w:t>=</w:t>
      </w:r>
      <w:r w:rsidR="003E3020" w:rsidRPr="004B5D80">
        <w:rPr>
          <w:szCs w:val="24"/>
        </w:rPr>
        <w:t xml:space="preserve"> g</w:t>
      </w:r>
      <w:r w:rsidR="003E3020">
        <w:rPr>
          <w:szCs w:val="24"/>
        </w:rPr>
        <w:t>earing ratio (</w:t>
      </w:r>
      <w:r w:rsidR="003E3020" w:rsidRPr="00206832">
        <w:rPr>
          <w:szCs w:val="24"/>
        </w:rPr>
        <w:t>Debt divided by total assets</w:t>
      </w:r>
      <w:r w:rsidR="003E3020">
        <w:rPr>
          <w:szCs w:val="24"/>
        </w:rPr>
        <w:t>);</w:t>
      </w:r>
      <w:r w:rsidR="00B81F15">
        <w:rPr>
          <w:szCs w:val="24"/>
        </w:rPr>
        <w:t xml:space="preserve"> CFO = </w:t>
      </w:r>
      <w:r w:rsidR="003E3020">
        <w:rPr>
          <w:szCs w:val="24"/>
        </w:rPr>
        <w:t>c</w:t>
      </w:r>
      <w:r w:rsidR="00B81F15" w:rsidRPr="00206832">
        <w:rPr>
          <w:szCs w:val="24"/>
        </w:rPr>
        <w:t>ash flow from operations divided by sales</w:t>
      </w:r>
      <w:r w:rsidR="00F62441">
        <w:rPr>
          <w:szCs w:val="24"/>
        </w:rPr>
        <w:t>.</w:t>
      </w:r>
    </w:p>
    <w:p w:rsidR="00241B4E" w:rsidRPr="004B5D80" w:rsidRDefault="00241B4E" w:rsidP="00D61E29">
      <w:pPr>
        <w:spacing w:after="0" w:line="240" w:lineRule="auto"/>
        <w:rPr>
          <w:szCs w:val="24"/>
        </w:rPr>
      </w:pPr>
    </w:p>
    <w:p w:rsidR="00FB7B7F" w:rsidRPr="00FB7B7F" w:rsidRDefault="00FB7B7F" w:rsidP="004C1153">
      <w:pPr>
        <w:pStyle w:val="Heading1"/>
        <w:numPr>
          <w:ilvl w:val="0"/>
          <w:numId w:val="16"/>
        </w:numPr>
        <w:spacing w:after="0" w:line="240" w:lineRule="auto"/>
      </w:pPr>
      <w:bookmarkStart w:id="5" w:name="_Toc10818777"/>
      <w:r w:rsidRPr="00FB7B7F">
        <w:rPr>
          <w:szCs w:val="24"/>
        </w:rPr>
        <w:t xml:space="preserve">Empirical </w:t>
      </w:r>
      <w:r w:rsidR="00764948">
        <w:rPr>
          <w:szCs w:val="24"/>
        </w:rPr>
        <w:t>R</w:t>
      </w:r>
      <w:r w:rsidRPr="00FB7B7F">
        <w:rPr>
          <w:szCs w:val="24"/>
        </w:rPr>
        <w:t>esults</w:t>
      </w:r>
    </w:p>
    <w:bookmarkEnd w:id="5"/>
    <w:p w:rsidR="00241B4E" w:rsidRPr="004B5D80" w:rsidRDefault="00241B4E" w:rsidP="00D61E29">
      <w:pPr>
        <w:spacing w:after="0" w:line="240" w:lineRule="auto"/>
        <w:rPr>
          <w:szCs w:val="24"/>
        </w:rPr>
      </w:pPr>
    </w:p>
    <w:p w:rsidR="00241B4E" w:rsidRPr="00764948" w:rsidRDefault="002F45CC" w:rsidP="00764948">
      <w:pPr>
        <w:pStyle w:val="Heading2"/>
        <w:numPr>
          <w:ilvl w:val="1"/>
          <w:numId w:val="17"/>
        </w:numPr>
        <w:spacing w:after="0" w:line="240" w:lineRule="auto"/>
        <w:rPr>
          <w:b w:val="0"/>
          <w:szCs w:val="24"/>
        </w:rPr>
      </w:pPr>
      <w:bookmarkStart w:id="6" w:name="_Toc10818779"/>
      <w:r w:rsidRPr="00764948">
        <w:rPr>
          <w:b w:val="0"/>
          <w:szCs w:val="24"/>
        </w:rPr>
        <w:t>Hypothesis</w:t>
      </w:r>
      <w:r w:rsidR="00D61E29" w:rsidRPr="00764948">
        <w:rPr>
          <w:b w:val="0"/>
          <w:szCs w:val="24"/>
        </w:rPr>
        <w:t xml:space="preserve"> 1</w:t>
      </w:r>
      <w:bookmarkEnd w:id="6"/>
    </w:p>
    <w:p w:rsidR="00432086" w:rsidRDefault="00432086" w:rsidP="00D61E29">
      <w:pPr>
        <w:spacing w:after="0" w:line="240" w:lineRule="auto"/>
        <w:rPr>
          <w:szCs w:val="24"/>
        </w:rPr>
      </w:pPr>
    </w:p>
    <w:p w:rsidR="00984C13" w:rsidRDefault="003C0019" w:rsidP="00D61E29">
      <w:pPr>
        <w:spacing w:after="0" w:line="240" w:lineRule="auto"/>
        <w:rPr>
          <w:szCs w:val="24"/>
        </w:rPr>
      </w:pPr>
      <w:r>
        <w:rPr>
          <w:szCs w:val="24"/>
        </w:rPr>
        <w:t xml:space="preserve">Tables 1, 2, 3, and 4 </w:t>
      </w:r>
      <w:r w:rsidRPr="00206832">
        <w:rPr>
          <w:szCs w:val="24"/>
        </w:rPr>
        <w:t xml:space="preserve">present descriptive statistics for the variables used to analyze the </w:t>
      </w:r>
      <w:r w:rsidRPr="00206832">
        <w:rPr>
          <w:szCs w:val="24"/>
        </w:rPr>
        <w:lastRenderedPageBreak/>
        <w:t>management of bad debt expense.</w:t>
      </w:r>
      <w:r>
        <w:rPr>
          <w:szCs w:val="24"/>
        </w:rPr>
        <w:t xml:space="preserve"> </w:t>
      </w:r>
    </w:p>
    <w:p w:rsidR="00691C86" w:rsidRDefault="00691C86" w:rsidP="00D61E29">
      <w:pPr>
        <w:spacing w:after="0" w:line="240" w:lineRule="auto"/>
        <w:rPr>
          <w:szCs w:val="24"/>
        </w:rPr>
      </w:pPr>
    </w:p>
    <w:tbl>
      <w:tblPr>
        <w:tblW w:w="0" w:type="auto"/>
        <w:jc w:val="center"/>
        <w:tblLook w:val="04A0" w:firstRow="1" w:lastRow="0" w:firstColumn="1" w:lastColumn="0" w:noHBand="0" w:noVBand="1"/>
      </w:tblPr>
      <w:tblGrid>
        <w:gridCol w:w="616"/>
        <w:gridCol w:w="916"/>
        <w:gridCol w:w="833"/>
        <w:gridCol w:w="916"/>
        <w:gridCol w:w="1016"/>
        <w:gridCol w:w="894"/>
        <w:gridCol w:w="766"/>
      </w:tblGrid>
      <w:tr w:rsidR="00825D3E" w:rsidRPr="005A357D" w:rsidTr="00A12873">
        <w:trPr>
          <w:trHeight w:val="276"/>
          <w:jc w:val="center"/>
        </w:trPr>
        <w:tc>
          <w:tcPr>
            <w:tcW w:w="0" w:type="auto"/>
            <w:gridSpan w:val="7"/>
            <w:tcBorders>
              <w:top w:val="nil"/>
              <w:left w:val="nil"/>
              <w:bottom w:val="nil"/>
              <w:right w:val="nil"/>
            </w:tcBorders>
            <w:vAlign w:val="center"/>
          </w:tcPr>
          <w:p w:rsidR="00241B4E" w:rsidRPr="005A357D" w:rsidRDefault="00D61E29" w:rsidP="00825D3E">
            <w:pPr>
              <w:widowControl/>
              <w:spacing w:after="0" w:line="240" w:lineRule="auto"/>
              <w:jc w:val="center"/>
              <w:rPr>
                <w:rFonts w:eastAsia="PMingLiU"/>
                <w:b/>
                <w:bCs/>
                <w:kern w:val="0"/>
                <w:szCs w:val="24"/>
              </w:rPr>
            </w:pPr>
            <w:r w:rsidRPr="005A357D">
              <w:rPr>
                <w:b/>
                <w:szCs w:val="24"/>
              </w:rPr>
              <w:t>Table 1</w:t>
            </w:r>
            <w:r w:rsidR="00825D3E" w:rsidRPr="005A357D">
              <w:rPr>
                <w:b/>
                <w:szCs w:val="24"/>
              </w:rPr>
              <w:t xml:space="preserve">: </w:t>
            </w:r>
            <w:r w:rsidRPr="005A357D">
              <w:rPr>
                <w:rFonts w:eastAsia="PMingLiU"/>
                <w:b/>
                <w:bCs/>
                <w:kern w:val="0"/>
                <w:szCs w:val="24"/>
              </w:rPr>
              <w:t>Increased allowance( mil)</w:t>
            </w:r>
          </w:p>
        </w:tc>
      </w:tr>
      <w:tr w:rsidR="00825D3E" w:rsidRPr="005A357D" w:rsidTr="00B520A4">
        <w:trPr>
          <w:trHeight w:val="444"/>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41B4E" w:rsidRPr="005A357D" w:rsidRDefault="00241B4E" w:rsidP="00B520A4">
            <w:pPr>
              <w:widowControl/>
              <w:spacing w:after="0" w:line="240" w:lineRule="auto"/>
              <w:jc w:val="center"/>
              <w:rPr>
                <w:rFonts w:eastAsia="PMingLiU"/>
                <w:b/>
                <w:bCs/>
                <w:kern w:val="0"/>
                <w:sz w:val="20"/>
                <w:szCs w:val="20"/>
              </w:rPr>
            </w:pPr>
          </w:p>
        </w:tc>
        <w:tc>
          <w:tcPr>
            <w:tcW w:w="0" w:type="auto"/>
            <w:tcBorders>
              <w:top w:val="single" w:sz="4" w:space="0" w:color="auto"/>
              <w:left w:val="nil"/>
              <w:bottom w:val="single" w:sz="4" w:space="0" w:color="auto"/>
              <w:right w:val="single" w:sz="4" w:space="0" w:color="auto"/>
            </w:tcBorders>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N</w:t>
            </w:r>
          </w:p>
        </w:tc>
        <w:tc>
          <w:tcPr>
            <w:tcW w:w="0" w:type="auto"/>
            <w:tcBorders>
              <w:top w:val="single" w:sz="4" w:space="0" w:color="auto"/>
              <w:left w:val="nil"/>
              <w:bottom w:val="single" w:sz="4" w:space="0" w:color="auto"/>
              <w:right w:val="single" w:sz="4" w:space="0" w:color="auto"/>
            </w:tcBorders>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Min</w:t>
            </w:r>
          </w:p>
        </w:tc>
        <w:tc>
          <w:tcPr>
            <w:tcW w:w="0" w:type="auto"/>
            <w:tcBorders>
              <w:top w:val="single" w:sz="4" w:space="0" w:color="auto"/>
              <w:left w:val="nil"/>
              <w:bottom w:val="single" w:sz="4" w:space="0" w:color="auto"/>
              <w:right w:val="single" w:sz="4" w:space="0" w:color="auto"/>
            </w:tcBorders>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Max</w:t>
            </w:r>
          </w:p>
        </w:tc>
        <w:tc>
          <w:tcPr>
            <w:tcW w:w="0" w:type="auto"/>
            <w:tcBorders>
              <w:top w:val="single" w:sz="4" w:space="0" w:color="auto"/>
              <w:left w:val="nil"/>
              <w:bottom w:val="single" w:sz="4" w:space="0" w:color="auto"/>
              <w:right w:val="single" w:sz="4" w:space="0" w:color="auto"/>
            </w:tcBorders>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Sum</w:t>
            </w:r>
          </w:p>
        </w:tc>
        <w:tc>
          <w:tcPr>
            <w:tcW w:w="0" w:type="auto"/>
            <w:tcBorders>
              <w:top w:val="single" w:sz="4" w:space="0" w:color="auto"/>
              <w:left w:val="nil"/>
              <w:bottom w:val="single" w:sz="4" w:space="0" w:color="auto"/>
              <w:right w:val="single" w:sz="4" w:space="0" w:color="auto"/>
            </w:tcBorders>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Average</w:t>
            </w:r>
          </w:p>
        </w:tc>
        <w:tc>
          <w:tcPr>
            <w:tcW w:w="0" w:type="auto"/>
            <w:tcBorders>
              <w:top w:val="single" w:sz="4" w:space="0" w:color="auto"/>
              <w:left w:val="nil"/>
              <w:bottom w:val="single" w:sz="4" w:space="0" w:color="auto"/>
              <w:right w:val="single" w:sz="4" w:space="0" w:color="auto"/>
            </w:tcBorders>
            <w:vAlign w:val="center"/>
          </w:tcPr>
          <w:p w:rsidR="00241B4E" w:rsidRPr="005A357D" w:rsidRDefault="003C0019" w:rsidP="00B520A4">
            <w:pPr>
              <w:widowControl/>
              <w:spacing w:after="0" w:line="240" w:lineRule="auto"/>
              <w:jc w:val="center"/>
              <w:rPr>
                <w:rFonts w:eastAsia="SimSun"/>
                <w:kern w:val="0"/>
                <w:sz w:val="20"/>
                <w:szCs w:val="20"/>
              </w:rPr>
            </w:pPr>
            <w:r w:rsidRPr="005A357D">
              <w:rPr>
                <w:rFonts w:eastAsia="SimSun"/>
                <w:kern w:val="0"/>
                <w:sz w:val="20"/>
                <w:szCs w:val="20"/>
              </w:rPr>
              <w:t>SD</w:t>
            </w:r>
          </w:p>
        </w:tc>
      </w:tr>
      <w:tr w:rsidR="00825D3E" w:rsidRPr="005A357D"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2009</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2,196.00</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-18.88</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596.61</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27,242.22</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12.41</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45.48</w:t>
            </w:r>
          </w:p>
        </w:tc>
      </w:tr>
      <w:tr w:rsidR="00825D3E" w:rsidRPr="005A357D"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2010</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2,532.00</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-30.40</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1,104.65</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28,867.80</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11.40</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45.71</w:t>
            </w:r>
          </w:p>
        </w:tc>
      </w:tr>
      <w:tr w:rsidR="00825D3E" w:rsidRPr="005A357D"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2011</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2,798.00</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-43.09</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1,353.95</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33,009.56</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11.80</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55.08</w:t>
            </w:r>
          </w:p>
        </w:tc>
      </w:tr>
      <w:tr w:rsidR="00825D3E" w:rsidRPr="005A357D"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2012</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2,862.00</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-95.97</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1,305.62</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41,835.32</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14.62</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56.89</w:t>
            </w:r>
          </w:p>
        </w:tc>
      </w:tr>
      <w:tr w:rsidR="00825D3E" w:rsidRPr="005A357D"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2013</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3,028.00</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-345.51</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1,271.09</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54,523.38</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18.01</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74.57</w:t>
            </w:r>
          </w:p>
        </w:tc>
      </w:tr>
      <w:tr w:rsidR="00825D3E" w:rsidRPr="005A357D"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2014</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524.00</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-13.22</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758.33</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12,850.06</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24.52</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77.75</w:t>
            </w:r>
          </w:p>
        </w:tc>
      </w:tr>
      <w:tr w:rsidR="00825D3E" w:rsidRPr="005A357D"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2015</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392.00</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-37.64</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1,820.37</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23,586.56</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60.17</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216.60</w:t>
            </w:r>
          </w:p>
        </w:tc>
      </w:tr>
      <w:tr w:rsidR="00825D3E" w:rsidRPr="005A357D"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2016</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310.00</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-2.39</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3,207.91</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30,877.36</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99.60</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388.09</w:t>
            </w:r>
          </w:p>
        </w:tc>
      </w:tr>
      <w:tr w:rsidR="00825D3E" w:rsidRPr="005A357D"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2017</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244.00</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-0.58</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2,520.78</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24,367.72</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99.87</w:t>
            </w:r>
          </w:p>
        </w:tc>
        <w:tc>
          <w:tcPr>
            <w:tcW w:w="0" w:type="auto"/>
            <w:tcBorders>
              <w:top w:val="nil"/>
              <w:left w:val="nil"/>
              <w:bottom w:val="single" w:sz="4" w:space="0" w:color="auto"/>
              <w:right w:val="single" w:sz="4" w:space="0" w:color="auto"/>
            </w:tcBorders>
            <w:noWrap/>
            <w:vAlign w:val="center"/>
          </w:tcPr>
          <w:p w:rsidR="00241B4E" w:rsidRPr="005A357D" w:rsidRDefault="00D61E29" w:rsidP="00B520A4">
            <w:pPr>
              <w:widowControl/>
              <w:spacing w:after="0" w:line="240" w:lineRule="auto"/>
              <w:jc w:val="center"/>
              <w:rPr>
                <w:rFonts w:eastAsia="MingLiU"/>
                <w:kern w:val="0"/>
                <w:sz w:val="20"/>
                <w:szCs w:val="20"/>
              </w:rPr>
            </w:pPr>
            <w:r w:rsidRPr="005A357D">
              <w:rPr>
                <w:rFonts w:eastAsia="MingLiU"/>
                <w:kern w:val="0"/>
                <w:sz w:val="20"/>
                <w:szCs w:val="20"/>
              </w:rPr>
              <w:t>316.86</w:t>
            </w:r>
          </w:p>
        </w:tc>
      </w:tr>
    </w:tbl>
    <w:p w:rsidR="00241B4E" w:rsidRDefault="00241B4E" w:rsidP="00D61E29">
      <w:pPr>
        <w:spacing w:after="0" w:line="240" w:lineRule="auto"/>
        <w:rPr>
          <w:sz w:val="22"/>
        </w:rPr>
      </w:pPr>
    </w:p>
    <w:p w:rsidR="00691C86" w:rsidRPr="004B5D80" w:rsidRDefault="003255EC" w:rsidP="00691C86">
      <w:pPr>
        <w:spacing w:after="0" w:line="240" w:lineRule="auto"/>
        <w:rPr>
          <w:szCs w:val="24"/>
        </w:rPr>
      </w:pPr>
      <w:r>
        <w:rPr>
          <w:szCs w:val="24"/>
        </w:rPr>
        <w:t>T</w:t>
      </w:r>
      <w:r w:rsidR="00691C86">
        <w:rPr>
          <w:szCs w:val="24"/>
        </w:rPr>
        <w:t>able</w:t>
      </w:r>
      <w:r w:rsidR="00691C86" w:rsidRPr="004B5D80">
        <w:rPr>
          <w:szCs w:val="24"/>
        </w:rPr>
        <w:t xml:space="preserve"> 1 </w:t>
      </w:r>
      <w:r w:rsidR="00691C86">
        <w:rPr>
          <w:szCs w:val="24"/>
        </w:rPr>
        <w:t>s</w:t>
      </w:r>
      <w:r>
        <w:rPr>
          <w:szCs w:val="24"/>
        </w:rPr>
        <w:t>hows</w:t>
      </w:r>
      <w:r w:rsidR="00691C86" w:rsidRPr="004B5D80">
        <w:rPr>
          <w:szCs w:val="24"/>
        </w:rPr>
        <w:t xml:space="preserve"> that the number of samples abruptly decreased after 2014</w:t>
      </w:r>
      <w:r w:rsidR="00691C86">
        <w:rPr>
          <w:szCs w:val="24"/>
        </w:rPr>
        <w:t>,</w:t>
      </w:r>
      <w:r w:rsidR="00691C86" w:rsidRPr="004B5D80">
        <w:rPr>
          <w:szCs w:val="24"/>
        </w:rPr>
        <w:t xml:space="preserve"> because </w:t>
      </w:r>
      <w:r w:rsidR="00691C86">
        <w:rPr>
          <w:szCs w:val="24"/>
        </w:rPr>
        <w:t xml:space="preserve">the </w:t>
      </w:r>
      <w:r w:rsidR="00691C86" w:rsidRPr="004B5D80">
        <w:rPr>
          <w:szCs w:val="24"/>
        </w:rPr>
        <w:t xml:space="preserve">Chinese government modified </w:t>
      </w:r>
      <w:r w:rsidR="00691C86">
        <w:rPr>
          <w:szCs w:val="24"/>
        </w:rPr>
        <w:t>its accounting standards in that year</w:t>
      </w:r>
      <w:r w:rsidR="00691C86" w:rsidRPr="004B5D80">
        <w:rPr>
          <w:szCs w:val="24"/>
        </w:rPr>
        <w:t xml:space="preserve">. The year of 2014 has become the watershed. </w:t>
      </w:r>
      <w:r w:rsidR="00691C86">
        <w:rPr>
          <w:szCs w:val="24"/>
        </w:rPr>
        <w:t>A</w:t>
      </w:r>
      <w:r w:rsidR="00691C86" w:rsidRPr="004B5D80">
        <w:rPr>
          <w:szCs w:val="24"/>
        </w:rPr>
        <w:t>fter 201</w:t>
      </w:r>
      <w:r w:rsidR="00691C86">
        <w:rPr>
          <w:szCs w:val="24"/>
        </w:rPr>
        <w:t>4</w:t>
      </w:r>
      <w:r w:rsidR="00691C86" w:rsidRPr="004B5D80">
        <w:rPr>
          <w:szCs w:val="24"/>
        </w:rPr>
        <w:t>, the number of targeted companies gradually decreased year by year</w:t>
      </w:r>
      <w:r w:rsidR="00691C86">
        <w:rPr>
          <w:szCs w:val="24"/>
        </w:rPr>
        <w:t xml:space="preserve"> and</w:t>
      </w:r>
      <w:r w:rsidR="00691C86" w:rsidRPr="004B5D80">
        <w:rPr>
          <w:szCs w:val="24"/>
        </w:rPr>
        <w:t xml:space="preserve"> the average of increased/decreased allowance for doubtful accounts was around 20 million. </w:t>
      </w:r>
      <w:r w:rsidR="00691C86">
        <w:rPr>
          <w:szCs w:val="24"/>
        </w:rPr>
        <w:t>T</w:t>
      </w:r>
      <w:r w:rsidR="00691C86" w:rsidRPr="004B5D80">
        <w:rPr>
          <w:szCs w:val="24"/>
        </w:rPr>
        <w:t>he average volume of recognized allowance in the year increased from 24.53 million in 2014 to 99.87 million in 2017. What</w:t>
      </w:r>
      <w:r w:rsidR="00691C86">
        <w:rPr>
          <w:szCs w:val="24"/>
        </w:rPr>
        <w:t xml:space="preserve"> is</w:t>
      </w:r>
      <w:r w:rsidR="00691C86" w:rsidRPr="004B5D80">
        <w:rPr>
          <w:szCs w:val="24"/>
        </w:rPr>
        <w:t xml:space="preserve"> more, the standard deviation of each year has changed a lot after 2014. Especially, the divergence has been becoming larger and larger. The smallest standard deviation happened in 2009, as 45.48, but in 2017, this number has increased to 316.86. </w:t>
      </w:r>
      <w:r w:rsidR="00691C86">
        <w:rPr>
          <w:szCs w:val="24"/>
        </w:rPr>
        <w:t>This simply</w:t>
      </w:r>
      <w:r w:rsidR="00691C86" w:rsidRPr="004B5D80">
        <w:rPr>
          <w:szCs w:val="24"/>
        </w:rPr>
        <w:t xml:space="preserve"> means t</w:t>
      </w:r>
      <w:r w:rsidR="00691C86">
        <w:rPr>
          <w:szCs w:val="24"/>
        </w:rPr>
        <w:t>hat Chinese listed companies have</w:t>
      </w:r>
      <w:r w:rsidR="00691C86" w:rsidRPr="004B5D80">
        <w:rPr>
          <w:szCs w:val="24"/>
        </w:rPr>
        <w:t xml:space="preserve"> enjoyed more differences in allowance for doubtful accounts.</w:t>
      </w:r>
    </w:p>
    <w:p w:rsidR="00691C86" w:rsidRPr="003C681E" w:rsidRDefault="00691C86" w:rsidP="00D61E29">
      <w:pPr>
        <w:spacing w:after="0" w:line="240" w:lineRule="auto"/>
        <w:rPr>
          <w:sz w:val="22"/>
        </w:rPr>
      </w:pPr>
    </w:p>
    <w:p w:rsidR="00984C13" w:rsidRDefault="00D61E29" w:rsidP="00984C13">
      <w:pPr>
        <w:spacing w:after="0" w:line="240" w:lineRule="auto"/>
        <w:rPr>
          <w:szCs w:val="24"/>
        </w:rPr>
      </w:pPr>
      <w:r w:rsidRPr="004B5D80">
        <w:rPr>
          <w:szCs w:val="24"/>
        </w:rPr>
        <w:t>As to reversal of bad debts provisions</w:t>
      </w:r>
      <w:r w:rsidR="002861C7">
        <w:rPr>
          <w:szCs w:val="24"/>
        </w:rPr>
        <w:t xml:space="preserve"> (table 2)</w:t>
      </w:r>
      <w:r w:rsidRPr="004B5D80">
        <w:rPr>
          <w:szCs w:val="24"/>
        </w:rPr>
        <w:t>, they show similar trends with increased/decreased allowance. After 2014, the number of companies wh</w:t>
      </w:r>
      <w:r w:rsidR="00825D3E">
        <w:rPr>
          <w:szCs w:val="24"/>
        </w:rPr>
        <w:t>ich</w:t>
      </w:r>
      <w:r w:rsidRPr="004B5D80">
        <w:rPr>
          <w:szCs w:val="24"/>
        </w:rPr>
        <w:t xml:space="preserve"> conducts reversal has been declining with the number of companies recognizing allowance for doubtful accounts. Especially, the average of reversal amount abruptly increased after 2014. In 2017, the average reversal of targeted companies increased to 53.49 million from 5.96 million in 2009. </w:t>
      </w:r>
      <w:r w:rsidR="00825D3E">
        <w:rPr>
          <w:szCs w:val="24"/>
        </w:rPr>
        <w:t xml:space="preserve">This </w:t>
      </w:r>
      <w:r w:rsidRPr="004B5D80">
        <w:rPr>
          <w:szCs w:val="24"/>
        </w:rPr>
        <w:t>means that</w:t>
      </w:r>
      <w:r w:rsidR="003C0019">
        <w:rPr>
          <w:szCs w:val="24"/>
        </w:rPr>
        <w:t>,</w:t>
      </w:r>
      <w:r w:rsidRPr="004B5D80">
        <w:rPr>
          <w:szCs w:val="24"/>
        </w:rPr>
        <w:t xml:space="preserve"> perhaps</w:t>
      </w:r>
      <w:r w:rsidR="003C0019">
        <w:rPr>
          <w:szCs w:val="24"/>
        </w:rPr>
        <w:t>,</w:t>
      </w:r>
      <w:r w:rsidRPr="004B5D80">
        <w:rPr>
          <w:szCs w:val="24"/>
        </w:rPr>
        <w:t xml:space="preserve"> in 2016 and 2017, the targeted companies had motivation and conditions to operate earning management for smoothing profits. Concerning to standard deviation</w:t>
      </w:r>
      <w:r w:rsidR="002861C7" w:rsidRPr="002861C7">
        <w:rPr>
          <w:szCs w:val="24"/>
        </w:rPr>
        <w:t xml:space="preserve"> </w:t>
      </w:r>
      <w:r w:rsidR="002861C7" w:rsidRPr="004B5D80">
        <w:rPr>
          <w:szCs w:val="24"/>
        </w:rPr>
        <w:t>of reversal</w:t>
      </w:r>
      <w:r w:rsidR="002861C7">
        <w:rPr>
          <w:szCs w:val="24"/>
        </w:rPr>
        <w:t>,</w:t>
      </w:r>
      <w:r w:rsidRPr="004B5D80">
        <w:rPr>
          <w:szCs w:val="24"/>
        </w:rPr>
        <w:t xml:space="preserve"> which is the indication to show the divergent extent of companies’ reversal amount, has exceeded 100 and climbed year by year.</w:t>
      </w:r>
    </w:p>
    <w:p w:rsidR="00984C13" w:rsidRDefault="00984C13" w:rsidP="00984C13">
      <w:pPr>
        <w:spacing w:after="0" w:line="240" w:lineRule="auto"/>
        <w:rPr>
          <w:szCs w:val="24"/>
        </w:rPr>
      </w:pPr>
    </w:p>
    <w:tbl>
      <w:tblPr>
        <w:tblW w:w="0" w:type="auto"/>
        <w:jc w:val="center"/>
        <w:tblLook w:val="04A0" w:firstRow="1" w:lastRow="0" w:firstColumn="1" w:lastColumn="0" w:noHBand="0" w:noVBand="1"/>
      </w:tblPr>
      <w:tblGrid>
        <w:gridCol w:w="616"/>
        <w:gridCol w:w="916"/>
        <w:gridCol w:w="733"/>
        <w:gridCol w:w="916"/>
        <w:gridCol w:w="1016"/>
        <w:gridCol w:w="894"/>
        <w:gridCol w:w="766"/>
      </w:tblGrid>
      <w:tr w:rsidR="00825D3E" w:rsidRPr="004B5D80" w:rsidTr="00D74384">
        <w:trPr>
          <w:trHeight w:val="276"/>
          <w:jc w:val="center"/>
        </w:trPr>
        <w:tc>
          <w:tcPr>
            <w:tcW w:w="0" w:type="auto"/>
            <w:gridSpan w:val="7"/>
            <w:tcBorders>
              <w:top w:val="nil"/>
              <w:left w:val="nil"/>
              <w:bottom w:val="nil"/>
              <w:right w:val="nil"/>
            </w:tcBorders>
            <w:vAlign w:val="center"/>
          </w:tcPr>
          <w:p w:rsidR="00241B4E" w:rsidRPr="004B5D80" w:rsidRDefault="00D61E29" w:rsidP="00825D3E">
            <w:pPr>
              <w:widowControl/>
              <w:spacing w:after="0" w:line="240" w:lineRule="auto"/>
              <w:jc w:val="center"/>
              <w:rPr>
                <w:rFonts w:eastAsia="PMingLiU"/>
                <w:b/>
                <w:bCs/>
                <w:kern w:val="0"/>
                <w:sz w:val="20"/>
                <w:szCs w:val="20"/>
              </w:rPr>
            </w:pPr>
            <w:r w:rsidRPr="004B5D80">
              <w:rPr>
                <w:rFonts w:eastAsia="PMingLiU"/>
                <w:b/>
                <w:bCs/>
                <w:kern w:val="0"/>
                <w:szCs w:val="24"/>
              </w:rPr>
              <w:t>Table 2</w:t>
            </w:r>
            <w:r w:rsidR="00825D3E" w:rsidRPr="00825D3E">
              <w:rPr>
                <w:rFonts w:eastAsia="PMingLiU"/>
                <w:b/>
                <w:bCs/>
                <w:kern w:val="0"/>
                <w:szCs w:val="24"/>
              </w:rPr>
              <w:t xml:space="preserve">: </w:t>
            </w:r>
            <w:r w:rsidRPr="00825D3E">
              <w:rPr>
                <w:rFonts w:eastAsia="PMingLiU"/>
                <w:b/>
                <w:bCs/>
                <w:kern w:val="0"/>
                <w:szCs w:val="24"/>
              </w:rPr>
              <w:t>Reversal of bad debts(mil)</w:t>
            </w:r>
          </w:p>
        </w:tc>
      </w:tr>
      <w:tr w:rsidR="00825D3E" w:rsidRPr="004B5D80" w:rsidTr="00B520A4">
        <w:trPr>
          <w:trHeight w:val="444"/>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41B4E" w:rsidRPr="004B5D80" w:rsidRDefault="00241B4E" w:rsidP="00B520A4">
            <w:pPr>
              <w:widowControl/>
              <w:spacing w:after="0" w:line="240" w:lineRule="auto"/>
              <w:jc w:val="center"/>
              <w:rPr>
                <w:rFonts w:eastAsia="PMingLiU"/>
                <w:b/>
                <w:bCs/>
                <w:kern w:val="0"/>
                <w:sz w:val="20"/>
                <w:szCs w:val="20"/>
              </w:rPr>
            </w:pPr>
          </w:p>
        </w:tc>
        <w:tc>
          <w:tcPr>
            <w:tcW w:w="0" w:type="auto"/>
            <w:tcBorders>
              <w:top w:val="single" w:sz="4" w:space="0" w:color="auto"/>
              <w:left w:val="nil"/>
              <w:bottom w:val="single" w:sz="4" w:space="0" w:color="auto"/>
              <w:right w:val="single" w:sz="4" w:space="0" w:color="auto"/>
            </w:tcBorders>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N</w:t>
            </w:r>
          </w:p>
        </w:tc>
        <w:tc>
          <w:tcPr>
            <w:tcW w:w="0" w:type="auto"/>
            <w:tcBorders>
              <w:top w:val="single" w:sz="4" w:space="0" w:color="auto"/>
              <w:left w:val="nil"/>
              <w:bottom w:val="single" w:sz="4" w:space="0" w:color="auto"/>
              <w:right w:val="single" w:sz="4" w:space="0" w:color="auto"/>
            </w:tcBorders>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Min</w:t>
            </w:r>
          </w:p>
        </w:tc>
        <w:tc>
          <w:tcPr>
            <w:tcW w:w="0" w:type="auto"/>
            <w:tcBorders>
              <w:top w:val="single" w:sz="4" w:space="0" w:color="auto"/>
              <w:left w:val="nil"/>
              <w:bottom w:val="single" w:sz="4" w:space="0" w:color="auto"/>
              <w:right w:val="single" w:sz="4" w:space="0" w:color="auto"/>
            </w:tcBorders>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Max</w:t>
            </w:r>
          </w:p>
        </w:tc>
        <w:tc>
          <w:tcPr>
            <w:tcW w:w="0" w:type="auto"/>
            <w:tcBorders>
              <w:top w:val="single" w:sz="4" w:space="0" w:color="auto"/>
              <w:left w:val="nil"/>
              <w:bottom w:val="single" w:sz="4" w:space="0" w:color="auto"/>
              <w:right w:val="single" w:sz="4" w:space="0" w:color="auto"/>
            </w:tcBorders>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Sum</w:t>
            </w:r>
          </w:p>
        </w:tc>
        <w:tc>
          <w:tcPr>
            <w:tcW w:w="0" w:type="auto"/>
            <w:tcBorders>
              <w:top w:val="single" w:sz="4" w:space="0" w:color="auto"/>
              <w:left w:val="nil"/>
              <w:bottom w:val="single" w:sz="4" w:space="0" w:color="auto"/>
              <w:right w:val="single" w:sz="4" w:space="0" w:color="auto"/>
            </w:tcBorders>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Average</w:t>
            </w:r>
          </w:p>
        </w:tc>
        <w:tc>
          <w:tcPr>
            <w:tcW w:w="0" w:type="auto"/>
            <w:tcBorders>
              <w:top w:val="single" w:sz="4" w:space="0" w:color="auto"/>
              <w:left w:val="nil"/>
              <w:bottom w:val="single" w:sz="4" w:space="0" w:color="auto"/>
              <w:right w:val="single" w:sz="4" w:space="0" w:color="auto"/>
            </w:tcBorders>
            <w:vAlign w:val="center"/>
          </w:tcPr>
          <w:p w:rsidR="00241B4E" w:rsidRPr="004B5D80" w:rsidRDefault="003C0019" w:rsidP="00B520A4">
            <w:pPr>
              <w:widowControl/>
              <w:spacing w:after="0" w:line="240" w:lineRule="auto"/>
              <w:jc w:val="center"/>
              <w:rPr>
                <w:rFonts w:eastAsia="SimSun"/>
                <w:kern w:val="0"/>
                <w:sz w:val="20"/>
                <w:szCs w:val="20"/>
              </w:rPr>
            </w:pPr>
            <w:r>
              <w:rPr>
                <w:rFonts w:eastAsia="SimSun"/>
                <w:kern w:val="0"/>
                <w:sz w:val="20"/>
                <w:szCs w:val="20"/>
              </w:rPr>
              <w:t>SD</w:t>
            </w:r>
          </w:p>
        </w:tc>
      </w:tr>
      <w:tr w:rsidR="00825D3E" w:rsidRPr="004B5D80"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2009</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2,196.00</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-3.04</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366.77</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13,091.06</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5.96</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22.03</w:t>
            </w:r>
          </w:p>
        </w:tc>
      </w:tr>
      <w:tr w:rsidR="00825D3E" w:rsidRPr="004B5D80"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2010</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2,532.00</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-5.13</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676.43</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15,536.64</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6.14</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29.88</w:t>
            </w:r>
          </w:p>
        </w:tc>
      </w:tr>
      <w:tr w:rsidR="00825D3E" w:rsidRPr="004B5D80"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2011</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2,798.00</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-1.02</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2,288.30</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22,747.88</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8.13</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72.43</w:t>
            </w:r>
          </w:p>
        </w:tc>
      </w:tr>
      <w:tr w:rsidR="00825D3E" w:rsidRPr="004B5D80"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lastRenderedPageBreak/>
              <w:t>2012</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2,862.00</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-20.65</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1,055.05</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20,216.62</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7.06</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43.61</w:t>
            </w:r>
          </w:p>
        </w:tc>
      </w:tr>
      <w:tr w:rsidR="00825D3E" w:rsidRPr="004B5D80"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2013</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3,028.00</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-4.55</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1,568.24</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25,378.72</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8.38</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57.41</w:t>
            </w:r>
          </w:p>
        </w:tc>
      </w:tr>
      <w:tr w:rsidR="00825D3E" w:rsidRPr="004B5D80"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2014</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524.00</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-3.02</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1,074.01</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7,924.96</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15.12</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78.86</w:t>
            </w:r>
          </w:p>
        </w:tc>
      </w:tr>
      <w:tr w:rsidR="00825D3E" w:rsidRPr="004B5D80"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2015</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392.00</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-0.25</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1,591.14</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7,585.36</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19.35</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120.79</w:t>
            </w:r>
          </w:p>
        </w:tc>
      </w:tr>
      <w:tr w:rsidR="00825D3E" w:rsidRPr="004B5D80"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2016</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310.00</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-0.06</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1,253.10</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9,190.12</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29.65</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118.26</w:t>
            </w:r>
          </w:p>
        </w:tc>
      </w:tr>
      <w:tr w:rsidR="00825D3E" w:rsidRPr="004B5D80"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2017</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244.00</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0.00</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1,479.13</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13,050.76</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53.49</w:t>
            </w:r>
          </w:p>
        </w:tc>
        <w:tc>
          <w:tcPr>
            <w:tcW w:w="0" w:type="auto"/>
            <w:tcBorders>
              <w:top w:val="nil"/>
              <w:left w:val="nil"/>
              <w:bottom w:val="single" w:sz="4" w:space="0" w:color="auto"/>
              <w:right w:val="single" w:sz="4" w:space="0" w:color="auto"/>
            </w:tcBorders>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192.19</w:t>
            </w:r>
          </w:p>
        </w:tc>
      </w:tr>
    </w:tbl>
    <w:p w:rsidR="00D61E29" w:rsidRPr="004B5D80" w:rsidRDefault="00D61E29" w:rsidP="00D61E29">
      <w:pPr>
        <w:spacing w:after="0" w:line="240" w:lineRule="auto"/>
        <w:rPr>
          <w:szCs w:val="24"/>
        </w:rPr>
      </w:pPr>
    </w:p>
    <w:p w:rsidR="00241B4E" w:rsidRPr="004B5D80" w:rsidRDefault="00D61E29" w:rsidP="00D61E29">
      <w:pPr>
        <w:spacing w:after="0" w:line="240" w:lineRule="auto"/>
        <w:rPr>
          <w:szCs w:val="24"/>
        </w:rPr>
      </w:pPr>
      <w:r w:rsidRPr="004B5D80">
        <w:rPr>
          <w:szCs w:val="24"/>
        </w:rPr>
        <w:t>Bad debts at the end of period show the accumulated amount of bad debts</w:t>
      </w:r>
      <w:r w:rsidR="00460127">
        <w:rPr>
          <w:szCs w:val="24"/>
        </w:rPr>
        <w:t xml:space="preserve"> (table 3)</w:t>
      </w:r>
      <w:r w:rsidRPr="004B5D80">
        <w:rPr>
          <w:szCs w:val="24"/>
        </w:rPr>
        <w:t>. It shows s</w:t>
      </w:r>
      <w:r w:rsidR="00460127">
        <w:rPr>
          <w:szCs w:val="24"/>
        </w:rPr>
        <w:t>imilar t</w:t>
      </w:r>
      <w:r w:rsidRPr="004B5D80">
        <w:rPr>
          <w:szCs w:val="24"/>
        </w:rPr>
        <w:t xml:space="preserve">rends with previous figures. The average amount of bad debts abnormally increased in the year of 2014. </w:t>
      </w:r>
      <w:r w:rsidR="00460127">
        <w:rPr>
          <w:szCs w:val="24"/>
        </w:rPr>
        <w:t>It can be seen i</w:t>
      </w:r>
      <w:r w:rsidR="00984C13">
        <w:rPr>
          <w:szCs w:val="24"/>
        </w:rPr>
        <w:t xml:space="preserve">n table </w:t>
      </w:r>
      <w:r w:rsidRPr="004B5D80">
        <w:rPr>
          <w:szCs w:val="24"/>
        </w:rPr>
        <w:t>3</w:t>
      </w:r>
      <w:r w:rsidR="00460127">
        <w:rPr>
          <w:szCs w:val="24"/>
        </w:rPr>
        <w:t xml:space="preserve"> </w:t>
      </w:r>
      <w:r w:rsidRPr="004B5D80">
        <w:rPr>
          <w:szCs w:val="24"/>
        </w:rPr>
        <w:t>that in 2014, the average of bad debts increased 50.78%. However, in 2014, this amount only increased by 14.23%. Regularly, the companies are not allowed to change their accounting policy for allowance for doubtful accounts. Th</w:t>
      </w:r>
      <w:r w:rsidR="00460127">
        <w:rPr>
          <w:szCs w:val="24"/>
        </w:rPr>
        <w:t>us</w:t>
      </w:r>
      <w:r w:rsidRPr="004B5D80">
        <w:rPr>
          <w:szCs w:val="24"/>
        </w:rPr>
        <w:t xml:space="preserve">, bad debts should </w:t>
      </w:r>
      <w:r w:rsidR="00460127">
        <w:rPr>
          <w:szCs w:val="24"/>
        </w:rPr>
        <w:t>be</w:t>
      </w:r>
      <w:r w:rsidRPr="004B5D80">
        <w:rPr>
          <w:szCs w:val="24"/>
        </w:rPr>
        <w:t xml:space="preserve"> </w:t>
      </w:r>
      <w:r w:rsidR="00460127">
        <w:rPr>
          <w:szCs w:val="24"/>
        </w:rPr>
        <w:t>in</w:t>
      </w:r>
      <w:r w:rsidRPr="004B5D80">
        <w:rPr>
          <w:szCs w:val="24"/>
        </w:rPr>
        <w:t xml:space="preserve"> </w:t>
      </w:r>
      <w:r w:rsidR="00460127">
        <w:rPr>
          <w:szCs w:val="24"/>
        </w:rPr>
        <w:t xml:space="preserve">the </w:t>
      </w:r>
      <w:r w:rsidRPr="004B5D80">
        <w:rPr>
          <w:szCs w:val="24"/>
        </w:rPr>
        <w:t>s</w:t>
      </w:r>
      <w:r w:rsidR="00460127">
        <w:rPr>
          <w:szCs w:val="24"/>
        </w:rPr>
        <w:t>ame</w:t>
      </w:r>
      <w:r w:rsidRPr="004B5D80">
        <w:rPr>
          <w:szCs w:val="24"/>
        </w:rPr>
        <w:t xml:space="preserve"> proportion of account receivables resulting in a similar increased rate. However, bad debts abnormally increased a lot after 2014. In 2017, the increased rate decreased to 38.46% from 57.21% in 2016. That’s perhaps because the reversal in 2017 climbed a lot in </w:t>
      </w:r>
      <w:r w:rsidR="00984C13">
        <w:rPr>
          <w:szCs w:val="24"/>
        </w:rPr>
        <w:t>table</w:t>
      </w:r>
      <w:r w:rsidRPr="004B5D80">
        <w:rPr>
          <w:szCs w:val="24"/>
        </w:rPr>
        <w:t xml:space="preserve"> 2 which is counteractive to bad debts at the end.</w:t>
      </w:r>
    </w:p>
    <w:p w:rsidR="00241B4E" w:rsidRPr="004B5D80" w:rsidRDefault="00241B4E" w:rsidP="00D61E29">
      <w:pPr>
        <w:spacing w:after="0" w:line="240" w:lineRule="auto"/>
        <w:rPr>
          <w:szCs w:val="24"/>
        </w:rPr>
      </w:pPr>
    </w:p>
    <w:p w:rsidR="00241B4E" w:rsidRPr="00825D3E" w:rsidRDefault="00D61E29" w:rsidP="00825D3E">
      <w:pPr>
        <w:spacing w:after="0" w:line="240" w:lineRule="auto"/>
        <w:jc w:val="center"/>
        <w:rPr>
          <w:rFonts w:eastAsia="PMingLiU"/>
          <w:b/>
          <w:bCs/>
          <w:kern w:val="0"/>
          <w:szCs w:val="24"/>
        </w:rPr>
      </w:pPr>
      <w:r w:rsidRPr="00825D3E">
        <w:rPr>
          <w:b/>
          <w:bCs/>
          <w:kern w:val="0"/>
          <w:szCs w:val="24"/>
        </w:rPr>
        <w:t xml:space="preserve">Table </w:t>
      </w:r>
      <w:r w:rsidRPr="00825D3E">
        <w:rPr>
          <w:rFonts w:eastAsia="PMingLiU"/>
          <w:b/>
          <w:bCs/>
          <w:kern w:val="0"/>
          <w:szCs w:val="24"/>
        </w:rPr>
        <w:t>3</w:t>
      </w:r>
      <w:r w:rsidR="00825D3E" w:rsidRPr="00825D3E">
        <w:rPr>
          <w:rFonts w:eastAsia="PMingLiU"/>
          <w:b/>
          <w:bCs/>
          <w:kern w:val="0"/>
          <w:szCs w:val="24"/>
        </w:rPr>
        <w:t>: Bad debts at the end of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916"/>
        <w:gridCol w:w="566"/>
        <w:gridCol w:w="916"/>
        <w:gridCol w:w="1116"/>
        <w:gridCol w:w="894"/>
        <w:gridCol w:w="2162"/>
        <w:gridCol w:w="916"/>
      </w:tblGrid>
      <w:tr w:rsidR="00825D3E" w:rsidRPr="005C21FF" w:rsidTr="00B520A4">
        <w:trPr>
          <w:trHeight w:val="444"/>
        </w:trPr>
        <w:tc>
          <w:tcPr>
            <w:tcW w:w="0" w:type="auto"/>
            <w:noWrap/>
            <w:vAlign w:val="center"/>
          </w:tcPr>
          <w:p w:rsidR="00241B4E" w:rsidRPr="005C21FF" w:rsidRDefault="00241B4E" w:rsidP="00B520A4">
            <w:pPr>
              <w:widowControl/>
              <w:spacing w:after="0" w:line="240" w:lineRule="auto"/>
              <w:jc w:val="center"/>
              <w:rPr>
                <w:rFonts w:eastAsia="PMingLiU"/>
                <w:b/>
                <w:bCs/>
                <w:kern w:val="0"/>
                <w:sz w:val="20"/>
                <w:szCs w:val="20"/>
              </w:rPr>
            </w:pPr>
          </w:p>
        </w:tc>
        <w:tc>
          <w:tcPr>
            <w:tcW w:w="0" w:type="auto"/>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kern w:val="0"/>
                <w:sz w:val="20"/>
                <w:szCs w:val="20"/>
              </w:rPr>
              <w:t>N</w:t>
            </w:r>
          </w:p>
        </w:tc>
        <w:tc>
          <w:tcPr>
            <w:tcW w:w="0" w:type="auto"/>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kern w:val="0"/>
                <w:sz w:val="20"/>
                <w:szCs w:val="20"/>
              </w:rPr>
              <w:t>Min</w:t>
            </w:r>
          </w:p>
        </w:tc>
        <w:tc>
          <w:tcPr>
            <w:tcW w:w="0" w:type="auto"/>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kern w:val="0"/>
                <w:sz w:val="20"/>
                <w:szCs w:val="20"/>
              </w:rPr>
              <w:t>Max</w:t>
            </w:r>
          </w:p>
        </w:tc>
        <w:tc>
          <w:tcPr>
            <w:tcW w:w="0" w:type="auto"/>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kern w:val="0"/>
                <w:sz w:val="20"/>
                <w:szCs w:val="20"/>
              </w:rPr>
              <w:t>Sum</w:t>
            </w:r>
          </w:p>
        </w:tc>
        <w:tc>
          <w:tcPr>
            <w:tcW w:w="0" w:type="auto"/>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kern w:val="0"/>
                <w:sz w:val="20"/>
                <w:szCs w:val="20"/>
              </w:rPr>
              <w:t>Average</w:t>
            </w:r>
          </w:p>
        </w:tc>
        <w:tc>
          <w:tcPr>
            <w:tcW w:w="0" w:type="auto"/>
            <w:vAlign w:val="center"/>
          </w:tcPr>
          <w:p w:rsidR="00241B4E" w:rsidRPr="005C21FF" w:rsidRDefault="00460127" w:rsidP="00B520A4">
            <w:pPr>
              <w:widowControl/>
              <w:spacing w:after="0" w:line="240" w:lineRule="auto"/>
              <w:jc w:val="center"/>
              <w:rPr>
                <w:rFonts w:eastAsia="SimSun"/>
                <w:kern w:val="0"/>
                <w:sz w:val="20"/>
                <w:szCs w:val="20"/>
              </w:rPr>
            </w:pPr>
            <w:r w:rsidRPr="005C21FF">
              <w:rPr>
                <w:sz w:val="20"/>
                <w:szCs w:val="20"/>
              </w:rPr>
              <w:t>Rate of Average Change</w:t>
            </w:r>
          </w:p>
        </w:tc>
        <w:tc>
          <w:tcPr>
            <w:tcW w:w="0" w:type="auto"/>
            <w:vAlign w:val="center"/>
          </w:tcPr>
          <w:p w:rsidR="00241B4E" w:rsidRPr="005C21FF" w:rsidRDefault="00460127" w:rsidP="00B520A4">
            <w:pPr>
              <w:widowControl/>
              <w:spacing w:after="0" w:line="240" w:lineRule="auto"/>
              <w:jc w:val="center"/>
              <w:rPr>
                <w:rFonts w:eastAsia="SimSun"/>
                <w:kern w:val="0"/>
                <w:sz w:val="20"/>
                <w:szCs w:val="20"/>
              </w:rPr>
            </w:pPr>
            <w:r w:rsidRPr="005C21FF">
              <w:rPr>
                <w:rFonts w:eastAsia="SimSun"/>
                <w:kern w:val="0"/>
                <w:sz w:val="20"/>
                <w:szCs w:val="20"/>
              </w:rPr>
              <w:t>SD</w:t>
            </w:r>
          </w:p>
        </w:tc>
      </w:tr>
      <w:tr w:rsidR="00825D3E" w:rsidRPr="005C21FF" w:rsidTr="00B520A4">
        <w:trPr>
          <w:trHeight w:val="276"/>
        </w:trPr>
        <w:tc>
          <w:tcPr>
            <w:tcW w:w="0" w:type="auto"/>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kern w:val="0"/>
                <w:sz w:val="20"/>
                <w:szCs w:val="20"/>
              </w:rPr>
              <w:t>2009</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2,196.00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0.00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2,557.30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137,463.66</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62.60</w:t>
            </w:r>
          </w:p>
        </w:tc>
        <w:tc>
          <w:tcPr>
            <w:tcW w:w="0" w:type="auto"/>
            <w:vAlign w:val="center"/>
          </w:tcPr>
          <w:p w:rsidR="00241B4E" w:rsidRPr="005C21FF" w:rsidRDefault="00241B4E" w:rsidP="00B520A4">
            <w:pPr>
              <w:widowControl/>
              <w:spacing w:after="0" w:line="240" w:lineRule="auto"/>
              <w:jc w:val="center"/>
              <w:rPr>
                <w:rFonts w:eastAsia="MingLiU"/>
                <w:sz w:val="20"/>
                <w:szCs w:val="20"/>
              </w:rPr>
            </w:pP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171.62</w:t>
            </w:r>
          </w:p>
        </w:tc>
      </w:tr>
      <w:tr w:rsidR="00825D3E" w:rsidRPr="005C21FF" w:rsidTr="00B520A4">
        <w:trPr>
          <w:trHeight w:val="276"/>
        </w:trPr>
        <w:tc>
          <w:tcPr>
            <w:tcW w:w="0" w:type="auto"/>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kern w:val="0"/>
                <w:sz w:val="20"/>
                <w:szCs w:val="20"/>
              </w:rPr>
              <w:t>2010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2,532.00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0.00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2,758.48</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153,164.58</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60.49</w:t>
            </w:r>
          </w:p>
        </w:tc>
        <w:tc>
          <w:tcPr>
            <w:tcW w:w="0" w:type="auto"/>
            <w:vAlign w:val="center"/>
          </w:tcPr>
          <w:p w:rsidR="00241B4E" w:rsidRPr="005C21FF" w:rsidRDefault="00D61E29" w:rsidP="00B520A4">
            <w:pPr>
              <w:widowControl/>
              <w:spacing w:after="0" w:line="240" w:lineRule="auto"/>
              <w:jc w:val="center"/>
              <w:rPr>
                <w:rFonts w:eastAsia="MingLiU"/>
                <w:sz w:val="20"/>
                <w:szCs w:val="20"/>
              </w:rPr>
            </w:pPr>
            <w:r w:rsidRPr="005C21FF">
              <w:rPr>
                <w:sz w:val="20"/>
                <w:szCs w:val="20"/>
              </w:rPr>
              <w:t>-3.37%</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180.04</w:t>
            </w:r>
          </w:p>
        </w:tc>
      </w:tr>
      <w:tr w:rsidR="00825D3E" w:rsidRPr="005C21FF" w:rsidTr="00B520A4">
        <w:trPr>
          <w:trHeight w:val="276"/>
        </w:trPr>
        <w:tc>
          <w:tcPr>
            <w:tcW w:w="0" w:type="auto"/>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kern w:val="0"/>
                <w:sz w:val="20"/>
                <w:szCs w:val="20"/>
              </w:rPr>
              <w:t>2011</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2,798.00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0.00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3,677.70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167,300.56</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59.79</w:t>
            </w:r>
          </w:p>
        </w:tc>
        <w:tc>
          <w:tcPr>
            <w:tcW w:w="0" w:type="auto"/>
            <w:vAlign w:val="center"/>
          </w:tcPr>
          <w:p w:rsidR="00241B4E" w:rsidRPr="005C21FF" w:rsidRDefault="00D61E29" w:rsidP="00B520A4">
            <w:pPr>
              <w:widowControl/>
              <w:spacing w:after="0" w:line="240" w:lineRule="auto"/>
              <w:jc w:val="center"/>
              <w:rPr>
                <w:rFonts w:eastAsia="MingLiU"/>
                <w:sz w:val="20"/>
                <w:szCs w:val="20"/>
              </w:rPr>
            </w:pPr>
            <w:r w:rsidRPr="005C21FF">
              <w:rPr>
                <w:sz w:val="20"/>
                <w:szCs w:val="20"/>
              </w:rPr>
              <w:t>-1.16%</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190.10</w:t>
            </w:r>
          </w:p>
        </w:tc>
      </w:tr>
      <w:tr w:rsidR="00825D3E" w:rsidRPr="005C21FF" w:rsidTr="00B520A4">
        <w:trPr>
          <w:trHeight w:val="276"/>
        </w:trPr>
        <w:tc>
          <w:tcPr>
            <w:tcW w:w="0" w:type="auto"/>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kern w:val="0"/>
                <w:sz w:val="20"/>
                <w:szCs w:val="20"/>
              </w:rPr>
              <w:t>2012</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2,862.00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0.00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4,342.46</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187,233.06</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65.42</w:t>
            </w:r>
          </w:p>
        </w:tc>
        <w:tc>
          <w:tcPr>
            <w:tcW w:w="0" w:type="auto"/>
            <w:vAlign w:val="center"/>
          </w:tcPr>
          <w:p w:rsidR="00241B4E" w:rsidRPr="005C21FF" w:rsidRDefault="00D61E29" w:rsidP="00B520A4">
            <w:pPr>
              <w:widowControl/>
              <w:spacing w:after="0" w:line="240" w:lineRule="auto"/>
              <w:jc w:val="center"/>
              <w:rPr>
                <w:rFonts w:eastAsia="MingLiU"/>
                <w:sz w:val="20"/>
                <w:szCs w:val="20"/>
              </w:rPr>
            </w:pPr>
            <w:r w:rsidRPr="005C21FF">
              <w:rPr>
                <w:sz w:val="20"/>
                <w:szCs w:val="20"/>
              </w:rPr>
              <w:t>9.42%</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211.13</w:t>
            </w:r>
          </w:p>
        </w:tc>
      </w:tr>
      <w:tr w:rsidR="00825D3E" w:rsidRPr="005C21FF" w:rsidTr="00B520A4">
        <w:trPr>
          <w:trHeight w:val="276"/>
        </w:trPr>
        <w:tc>
          <w:tcPr>
            <w:tcW w:w="0" w:type="auto"/>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kern w:val="0"/>
                <w:sz w:val="20"/>
                <w:szCs w:val="20"/>
              </w:rPr>
              <w:t>2013</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3,028.00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0.00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5,175.56</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226,294.50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74.73</w:t>
            </w:r>
          </w:p>
        </w:tc>
        <w:tc>
          <w:tcPr>
            <w:tcW w:w="0" w:type="auto"/>
            <w:vAlign w:val="center"/>
          </w:tcPr>
          <w:p w:rsidR="00241B4E" w:rsidRPr="005C21FF" w:rsidRDefault="00D61E29" w:rsidP="00B520A4">
            <w:pPr>
              <w:widowControl/>
              <w:spacing w:after="0" w:line="240" w:lineRule="auto"/>
              <w:jc w:val="center"/>
              <w:rPr>
                <w:rFonts w:eastAsia="MingLiU"/>
                <w:sz w:val="20"/>
                <w:szCs w:val="20"/>
              </w:rPr>
            </w:pPr>
            <w:r w:rsidRPr="005C21FF">
              <w:rPr>
                <w:sz w:val="20"/>
                <w:szCs w:val="20"/>
              </w:rPr>
              <w:t>14.23%</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240.63</w:t>
            </w:r>
          </w:p>
        </w:tc>
      </w:tr>
      <w:tr w:rsidR="00825D3E" w:rsidRPr="005C21FF" w:rsidTr="00B520A4">
        <w:trPr>
          <w:trHeight w:val="276"/>
        </w:trPr>
        <w:tc>
          <w:tcPr>
            <w:tcW w:w="0" w:type="auto"/>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kern w:val="0"/>
                <w:sz w:val="20"/>
                <w:szCs w:val="20"/>
              </w:rPr>
              <w:t>2014</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524.00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0.00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4,523.49</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59,045.92</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112.68</w:t>
            </w:r>
          </w:p>
        </w:tc>
        <w:tc>
          <w:tcPr>
            <w:tcW w:w="0" w:type="auto"/>
            <w:vAlign w:val="center"/>
          </w:tcPr>
          <w:p w:rsidR="00241B4E" w:rsidRPr="005C21FF" w:rsidRDefault="00D61E29" w:rsidP="00B520A4">
            <w:pPr>
              <w:widowControl/>
              <w:spacing w:after="0" w:line="240" w:lineRule="auto"/>
              <w:jc w:val="center"/>
              <w:rPr>
                <w:rFonts w:eastAsia="MingLiU"/>
                <w:sz w:val="20"/>
                <w:szCs w:val="20"/>
              </w:rPr>
            </w:pPr>
            <w:r w:rsidRPr="005C21FF">
              <w:rPr>
                <w:sz w:val="20"/>
                <w:szCs w:val="20"/>
              </w:rPr>
              <w:t>50.78%</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419.81</w:t>
            </w:r>
          </w:p>
        </w:tc>
      </w:tr>
      <w:tr w:rsidR="00825D3E" w:rsidRPr="005C21FF" w:rsidTr="00B520A4">
        <w:trPr>
          <w:trHeight w:val="276"/>
        </w:trPr>
        <w:tc>
          <w:tcPr>
            <w:tcW w:w="0" w:type="auto"/>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kern w:val="0"/>
                <w:sz w:val="20"/>
                <w:szCs w:val="20"/>
              </w:rPr>
              <w:t>2015</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392.00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0.03</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5,802.19</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72,438.16</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184.79</w:t>
            </w:r>
          </w:p>
        </w:tc>
        <w:tc>
          <w:tcPr>
            <w:tcW w:w="0" w:type="auto"/>
            <w:vAlign w:val="center"/>
          </w:tcPr>
          <w:p w:rsidR="00241B4E" w:rsidRPr="005C21FF" w:rsidRDefault="00D61E29" w:rsidP="00B520A4">
            <w:pPr>
              <w:widowControl/>
              <w:spacing w:after="0" w:line="240" w:lineRule="auto"/>
              <w:jc w:val="center"/>
              <w:rPr>
                <w:rFonts w:eastAsia="MingLiU"/>
                <w:sz w:val="20"/>
                <w:szCs w:val="20"/>
              </w:rPr>
            </w:pPr>
            <w:r w:rsidRPr="005C21FF">
              <w:rPr>
                <w:sz w:val="20"/>
                <w:szCs w:val="20"/>
              </w:rPr>
              <w:t>64.00%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591.57</w:t>
            </w:r>
          </w:p>
        </w:tc>
      </w:tr>
      <w:tr w:rsidR="00825D3E" w:rsidRPr="005C21FF" w:rsidTr="00B520A4">
        <w:trPr>
          <w:trHeight w:val="276"/>
        </w:trPr>
        <w:tc>
          <w:tcPr>
            <w:tcW w:w="0" w:type="auto"/>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kern w:val="0"/>
                <w:sz w:val="20"/>
                <w:szCs w:val="20"/>
              </w:rPr>
              <w:t>2016</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310.00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0.00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7,786.89</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90,057.72</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290.51</w:t>
            </w:r>
          </w:p>
        </w:tc>
        <w:tc>
          <w:tcPr>
            <w:tcW w:w="0" w:type="auto"/>
            <w:vAlign w:val="center"/>
          </w:tcPr>
          <w:p w:rsidR="00241B4E" w:rsidRPr="005C21FF" w:rsidRDefault="00D61E29" w:rsidP="00B520A4">
            <w:pPr>
              <w:widowControl/>
              <w:spacing w:after="0" w:line="240" w:lineRule="auto"/>
              <w:jc w:val="center"/>
              <w:rPr>
                <w:rFonts w:eastAsia="MingLiU"/>
                <w:sz w:val="20"/>
                <w:szCs w:val="20"/>
              </w:rPr>
            </w:pPr>
            <w:r w:rsidRPr="005C21FF">
              <w:rPr>
                <w:sz w:val="20"/>
                <w:szCs w:val="20"/>
              </w:rPr>
              <w:t>57.21%</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887.99</w:t>
            </w:r>
          </w:p>
        </w:tc>
      </w:tr>
      <w:tr w:rsidR="00825D3E" w:rsidRPr="005C21FF" w:rsidTr="00B520A4">
        <w:trPr>
          <w:trHeight w:val="276"/>
        </w:trPr>
        <w:tc>
          <w:tcPr>
            <w:tcW w:w="0" w:type="auto"/>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kern w:val="0"/>
                <w:sz w:val="20"/>
                <w:szCs w:val="20"/>
              </w:rPr>
              <w:t>2017</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244.00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0.00</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9,175.35</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98,144.58</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402.23</w:t>
            </w:r>
          </w:p>
        </w:tc>
        <w:tc>
          <w:tcPr>
            <w:tcW w:w="0" w:type="auto"/>
            <w:vAlign w:val="center"/>
          </w:tcPr>
          <w:p w:rsidR="00241B4E" w:rsidRPr="005C21FF" w:rsidRDefault="00D61E29" w:rsidP="00B520A4">
            <w:pPr>
              <w:widowControl/>
              <w:spacing w:after="0" w:line="240" w:lineRule="auto"/>
              <w:jc w:val="center"/>
              <w:rPr>
                <w:rFonts w:eastAsia="MingLiU"/>
                <w:sz w:val="20"/>
                <w:szCs w:val="20"/>
              </w:rPr>
            </w:pPr>
            <w:r w:rsidRPr="005C21FF">
              <w:rPr>
                <w:sz w:val="20"/>
                <w:szCs w:val="20"/>
              </w:rPr>
              <w:t>38.46%</w:t>
            </w:r>
          </w:p>
        </w:tc>
        <w:tc>
          <w:tcPr>
            <w:tcW w:w="0" w:type="auto"/>
            <w:noWrap/>
            <w:vAlign w:val="center"/>
          </w:tcPr>
          <w:p w:rsidR="00241B4E" w:rsidRPr="005C21FF" w:rsidRDefault="00D61E29" w:rsidP="00B520A4">
            <w:pPr>
              <w:widowControl/>
              <w:spacing w:after="0" w:line="240" w:lineRule="auto"/>
              <w:jc w:val="center"/>
              <w:rPr>
                <w:rFonts w:eastAsia="MingLiU"/>
                <w:kern w:val="0"/>
                <w:sz w:val="20"/>
                <w:szCs w:val="20"/>
              </w:rPr>
            </w:pPr>
            <w:r w:rsidRPr="005C21FF">
              <w:rPr>
                <w:rFonts w:eastAsia="MingLiU"/>
                <w:sz w:val="20"/>
                <w:szCs w:val="20"/>
              </w:rPr>
              <w:t>1,145.34</w:t>
            </w:r>
          </w:p>
        </w:tc>
      </w:tr>
    </w:tbl>
    <w:p w:rsidR="00241B4E" w:rsidRPr="004B5D80" w:rsidRDefault="00241B4E" w:rsidP="00D61E29">
      <w:pPr>
        <w:spacing w:after="0" w:line="240" w:lineRule="auto"/>
        <w:rPr>
          <w:szCs w:val="24"/>
        </w:rPr>
      </w:pPr>
    </w:p>
    <w:p w:rsidR="00241B4E" w:rsidRPr="004B5D80" w:rsidRDefault="00D61E29" w:rsidP="00D61E29">
      <w:pPr>
        <w:spacing w:after="0" w:line="240" w:lineRule="auto"/>
        <w:rPr>
          <w:szCs w:val="24"/>
        </w:rPr>
      </w:pPr>
      <w:r w:rsidRPr="004B5D80">
        <w:rPr>
          <w:szCs w:val="24"/>
        </w:rPr>
        <w:t>To further analyze the reasons of bad debts’ change, we discuss the changes of total assets of targeted companies</w:t>
      </w:r>
      <w:r w:rsidR="00D74384">
        <w:rPr>
          <w:szCs w:val="24"/>
        </w:rPr>
        <w:t>. T</w:t>
      </w:r>
      <w:r w:rsidR="00460127">
        <w:rPr>
          <w:szCs w:val="24"/>
        </w:rPr>
        <w:t>able 4</w:t>
      </w:r>
      <w:r w:rsidRPr="004B5D80">
        <w:rPr>
          <w:szCs w:val="24"/>
        </w:rPr>
        <w:t xml:space="preserve"> show</w:t>
      </w:r>
      <w:r w:rsidR="00D74384">
        <w:rPr>
          <w:szCs w:val="24"/>
        </w:rPr>
        <w:t>s</w:t>
      </w:r>
      <w:r w:rsidRPr="004B5D80">
        <w:rPr>
          <w:szCs w:val="24"/>
        </w:rPr>
        <w:t xml:space="preserve"> that t</w:t>
      </w:r>
      <w:r w:rsidR="00260130">
        <w:rPr>
          <w:szCs w:val="24"/>
        </w:rPr>
        <w:t>otal</w:t>
      </w:r>
      <w:r w:rsidRPr="004B5D80">
        <w:rPr>
          <w:szCs w:val="24"/>
        </w:rPr>
        <w:t xml:space="preserve"> assets have increased after 2014 as well.</w:t>
      </w:r>
      <w:r w:rsidR="00260130">
        <w:rPr>
          <w:szCs w:val="24"/>
        </w:rPr>
        <w:t xml:space="preserve"> T</w:t>
      </w:r>
      <w:r w:rsidRPr="004B5D80">
        <w:rPr>
          <w:szCs w:val="24"/>
        </w:rPr>
        <w:t>he standard deviation also climbed just like the trend of bad debts.</w:t>
      </w:r>
      <w:r w:rsidR="00460127">
        <w:rPr>
          <w:szCs w:val="24"/>
        </w:rPr>
        <w:t xml:space="preserve"> </w:t>
      </w:r>
      <w:r w:rsidR="00260130">
        <w:rPr>
          <w:szCs w:val="24"/>
        </w:rPr>
        <w:t xml:space="preserve">The last column of the table </w:t>
      </w:r>
      <w:r w:rsidRPr="004B5D80">
        <w:rPr>
          <w:szCs w:val="24"/>
        </w:rPr>
        <w:t>compare</w:t>
      </w:r>
      <w:r w:rsidR="00260130">
        <w:rPr>
          <w:szCs w:val="24"/>
        </w:rPr>
        <w:t>s</w:t>
      </w:r>
      <w:r w:rsidRPr="004B5D80">
        <w:rPr>
          <w:szCs w:val="24"/>
        </w:rPr>
        <w:t xml:space="preserve"> the proportion of bad debts and total assets. In 2014 to 2017, although the proportion of bad debts in total assets has increased, the extent was acceptable. In 2013, the proportion was 1.09%, while the number increased to 1.23%. It </w:t>
      </w:r>
      <w:r w:rsidR="00460127">
        <w:rPr>
          <w:szCs w:val="24"/>
        </w:rPr>
        <w:t xml:space="preserve">may </w:t>
      </w:r>
      <w:r w:rsidRPr="004B5D80">
        <w:rPr>
          <w:szCs w:val="24"/>
        </w:rPr>
        <w:t>mean that because of the modified accounting standards, bad debts policy is changing with the changing trend of the total assets.</w:t>
      </w:r>
    </w:p>
    <w:p w:rsidR="004B5D80" w:rsidRDefault="004B5D80" w:rsidP="00D61E29">
      <w:pPr>
        <w:spacing w:after="0" w:line="240" w:lineRule="auto"/>
        <w:rPr>
          <w:szCs w:val="24"/>
        </w:rPr>
      </w:pPr>
    </w:p>
    <w:p w:rsidR="00D74384" w:rsidRPr="00260130" w:rsidRDefault="00D74384" w:rsidP="00D74384">
      <w:pPr>
        <w:spacing w:after="0" w:line="240" w:lineRule="auto"/>
        <w:jc w:val="center"/>
        <w:rPr>
          <w:szCs w:val="24"/>
        </w:rPr>
      </w:pPr>
      <w:r w:rsidRPr="00260130">
        <w:rPr>
          <w:b/>
          <w:bCs/>
          <w:kern w:val="0"/>
          <w:szCs w:val="24"/>
        </w:rPr>
        <w:t xml:space="preserve">Table 4: </w:t>
      </w:r>
      <w:r w:rsidRPr="00260130">
        <w:rPr>
          <w:rFonts w:eastAsia="PMingLiU"/>
          <w:b/>
          <w:bCs/>
          <w:kern w:val="0"/>
          <w:szCs w:val="24"/>
        </w:rPr>
        <w:t>Total assets</w:t>
      </w:r>
    </w:p>
    <w:tbl>
      <w:tblPr>
        <w:tblW w:w="0" w:type="auto"/>
        <w:jc w:val="center"/>
        <w:tblLook w:val="04A0" w:firstRow="1" w:lastRow="0" w:firstColumn="1" w:lastColumn="0" w:noHBand="0" w:noVBand="1"/>
      </w:tblPr>
      <w:tblGrid>
        <w:gridCol w:w="616"/>
        <w:gridCol w:w="966"/>
        <w:gridCol w:w="966"/>
        <w:gridCol w:w="2117"/>
      </w:tblGrid>
      <w:tr w:rsidR="00D74384" w:rsidRPr="005C21FF" w:rsidTr="00B520A4">
        <w:trPr>
          <w:trHeight w:val="444"/>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PMingLiU"/>
                <w:b/>
                <w:bCs/>
                <w:kern w:val="0"/>
                <w:sz w:val="20"/>
                <w:szCs w:val="20"/>
              </w:rPr>
            </w:pPr>
          </w:p>
        </w:tc>
        <w:tc>
          <w:tcPr>
            <w:tcW w:w="0" w:type="auto"/>
            <w:tcBorders>
              <w:top w:val="single" w:sz="4" w:space="0" w:color="auto"/>
              <w:left w:val="nil"/>
              <w:bottom w:val="single" w:sz="4" w:space="0" w:color="auto"/>
              <w:right w:val="single" w:sz="4" w:space="0" w:color="auto"/>
            </w:tcBorders>
            <w:vAlign w:val="center"/>
          </w:tcPr>
          <w:p w:rsidR="00D74384" w:rsidRPr="005C21FF" w:rsidRDefault="00D74384" w:rsidP="00B520A4">
            <w:pPr>
              <w:widowControl/>
              <w:spacing w:after="0" w:line="240" w:lineRule="auto"/>
              <w:jc w:val="center"/>
              <w:rPr>
                <w:rFonts w:eastAsia="MingLiU"/>
                <w:b/>
                <w:kern w:val="0"/>
                <w:sz w:val="20"/>
                <w:szCs w:val="20"/>
              </w:rPr>
            </w:pPr>
            <w:r w:rsidRPr="005C21FF">
              <w:rPr>
                <w:rFonts w:eastAsia="MingLiU"/>
                <w:b/>
                <w:kern w:val="0"/>
                <w:sz w:val="20"/>
                <w:szCs w:val="20"/>
              </w:rPr>
              <w:t>Average</w:t>
            </w:r>
          </w:p>
        </w:tc>
        <w:tc>
          <w:tcPr>
            <w:tcW w:w="0" w:type="auto"/>
            <w:tcBorders>
              <w:top w:val="single" w:sz="4" w:space="0" w:color="auto"/>
              <w:left w:val="nil"/>
              <w:bottom w:val="single" w:sz="4" w:space="0" w:color="auto"/>
              <w:right w:val="single" w:sz="4" w:space="0" w:color="auto"/>
            </w:tcBorders>
            <w:vAlign w:val="center"/>
          </w:tcPr>
          <w:p w:rsidR="00D74384" w:rsidRPr="005C21FF" w:rsidRDefault="00D74384" w:rsidP="00B520A4">
            <w:pPr>
              <w:widowControl/>
              <w:spacing w:after="0" w:line="240" w:lineRule="auto"/>
              <w:jc w:val="center"/>
              <w:rPr>
                <w:rFonts w:eastAsia="SimSun"/>
                <w:b/>
                <w:kern w:val="0"/>
                <w:sz w:val="20"/>
                <w:szCs w:val="20"/>
              </w:rPr>
            </w:pPr>
            <w:r w:rsidRPr="005C21FF">
              <w:rPr>
                <w:rFonts w:eastAsia="SimSun"/>
                <w:b/>
                <w:kern w:val="0"/>
                <w:sz w:val="20"/>
                <w:szCs w:val="20"/>
              </w:rPr>
              <w:t>SD</w:t>
            </w:r>
          </w:p>
        </w:tc>
        <w:tc>
          <w:tcPr>
            <w:tcW w:w="0" w:type="auto"/>
            <w:tcBorders>
              <w:top w:val="single" w:sz="4" w:space="0" w:color="auto"/>
              <w:left w:val="nil"/>
              <w:bottom w:val="single" w:sz="4" w:space="0" w:color="auto"/>
              <w:right w:val="single" w:sz="4" w:space="0" w:color="auto"/>
            </w:tcBorders>
            <w:vAlign w:val="center"/>
          </w:tcPr>
          <w:p w:rsidR="00D74384" w:rsidRPr="005C21FF" w:rsidRDefault="00260130" w:rsidP="00B520A4">
            <w:pPr>
              <w:widowControl/>
              <w:spacing w:after="0" w:line="240" w:lineRule="auto"/>
              <w:jc w:val="center"/>
              <w:rPr>
                <w:b/>
                <w:kern w:val="0"/>
                <w:sz w:val="20"/>
                <w:szCs w:val="20"/>
              </w:rPr>
            </w:pPr>
            <w:r w:rsidRPr="005C21FF">
              <w:rPr>
                <w:b/>
                <w:kern w:val="0"/>
                <w:sz w:val="20"/>
                <w:szCs w:val="20"/>
              </w:rPr>
              <w:t>Bad debts/</w:t>
            </w:r>
            <w:r w:rsidR="00D74384" w:rsidRPr="005C21FF">
              <w:rPr>
                <w:b/>
                <w:kern w:val="0"/>
                <w:sz w:val="20"/>
                <w:szCs w:val="20"/>
              </w:rPr>
              <w:t>Total assets</w:t>
            </w:r>
          </w:p>
        </w:tc>
      </w:tr>
      <w:tr w:rsidR="00D74384" w:rsidRPr="005C21FF"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2009</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4442.84</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11908.22</w:t>
            </w:r>
          </w:p>
        </w:tc>
        <w:tc>
          <w:tcPr>
            <w:tcW w:w="0" w:type="auto"/>
            <w:tcBorders>
              <w:top w:val="nil"/>
              <w:left w:val="nil"/>
              <w:bottom w:val="single" w:sz="4" w:space="0" w:color="auto"/>
              <w:right w:val="single" w:sz="4" w:space="0" w:color="auto"/>
            </w:tcBorders>
            <w:vAlign w:val="center"/>
          </w:tcPr>
          <w:p w:rsidR="00D74384" w:rsidRPr="005C21FF" w:rsidRDefault="00D74384" w:rsidP="00B520A4">
            <w:pPr>
              <w:widowControl/>
              <w:spacing w:after="0" w:line="240" w:lineRule="auto"/>
              <w:jc w:val="center"/>
              <w:rPr>
                <w:kern w:val="0"/>
                <w:sz w:val="20"/>
                <w:szCs w:val="20"/>
              </w:rPr>
            </w:pPr>
            <w:r w:rsidRPr="005C21FF">
              <w:rPr>
                <w:kern w:val="0"/>
                <w:sz w:val="20"/>
                <w:szCs w:val="20"/>
              </w:rPr>
              <w:t>1.41%</w:t>
            </w:r>
          </w:p>
        </w:tc>
      </w:tr>
      <w:tr w:rsidR="00D74384" w:rsidRPr="005C21FF"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lastRenderedPageBreak/>
              <w:t>2010</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5034.48</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13619.55</w:t>
            </w:r>
          </w:p>
        </w:tc>
        <w:tc>
          <w:tcPr>
            <w:tcW w:w="0" w:type="auto"/>
            <w:tcBorders>
              <w:top w:val="nil"/>
              <w:left w:val="nil"/>
              <w:bottom w:val="single" w:sz="4" w:space="0" w:color="auto"/>
              <w:right w:val="single" w:sz="4" w:space="0" w:color="auto"/>
            </w:tcBorders>
            <w:vAlign w:val="center"/>
          </w:tcPr>
          <w:p w:rsidR="00D74384" w:rsidRPr="005C21FF" w:rsidRDefault="00D74384" w:rsidP="00B520A4">
            <w:pPr>
              <w:widowControl/>
              <w:spacing w:after="0" w:line="240" w:lineRule="auto"/>
              <w:jc w:val="center"/>
              <w:rPr>
                <w:kern w:val="0"/>
                <w:sz w:val="20"/>
                <w:szCs w:val="20"/>
              </w:rPr>
            </w:pPr>
            <w:r w:rsidRPr="005C21FF">
              <w:rPr>
                <w:kern w:val="0"/>
                <w:sz w:val="20"/>
                <w:szCs w:val="20"/>
              </w:rPr>
              <w:t>1.20%</w:t>
            </w:r>
          </w:p>
        </w:tc>
      </w:tr>
      <w:tr w:rsidR="00D74384" w:rsidRPr="005C21FF"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2011</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5602.86</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16122.84</w:t>
            </w:r>
          </w:p>
        </w:tc>
        <w:tc>
          <w:tcPr>
            <w:tcW w:w="0" w:type="auto"/>
            <w:tcBorders>
              <w:top w:val="nil"/>
              <w:left w:val="nil"/>
              <w:bottom w:val="single" w:sz="4" w:space="0" w:color="auto"/>
              <w:right w:val="single" w:sz="4" w:space="0" w:color="auto"/>
            </w:tcBorders>
            <w:vAlign w:val="center"/>
          </w:tcPr>
          <w:p w:rsidR="00D74384" w:rsidRPr="005C21FF" w:rsidRDefault="00D74384" w:rsidP="00B520A4">
            <w:pPr>
              <w:widowControl/>
              <w:spacing w:after="0" w:line="240" w:lineRule="auto"/>
              <w:jc w:val="center"/>
              <w:rPr>
                <w:kern w:val="0"/>
                <w:sz w:val="20"/>
                <w:szCs w:val="20"/>
              </w:rPr>
            </w:pPr>
            <w:r w:rsidRPr="005C21FF">
              <w:rPr>
                <w:kern w:val="0"/>
                <w:sz w:val="20"/>
                <w:szCs w:val="20"/>
              </w:rPr>
              <w:t>1.07%</w:t>
            </w:r>
          </w:p>
        </w:tc>
      </w:tr>
      <w:tr w:rsidR="00D74384" w:rsidRPr="005C21FF"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2012</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6088.49</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16586.20</w:t>
            </w:r>
          </w:p>
        </w:tc>
        <w:tc>
          <w:tcPr>
            <w:tcW w:w="0" w:type="auto"/>
            <w:tcBorders>
              <w:top w:val="nil"/>
              <w:left w:val="nil"/>
              <w:bottom w:val="single" w:sz="4" w:space="0" w:color="auto"/>
              <w:right w:val="single" w:sz="4" w:space="0" w:color="auto"/>
            </w:tcBorders>
            <w:vAlign w:val="center"/>
          </w:tcPr>
          <w:p w:rsidR="00D74384" w:rsidRPr="005C21FF" w:rsidRDefault="00D74384" w:rsidP="00B520A4">
            <w:pPr>
              <w:widowControl/>
              <w:spacing w:after="0" w:line="240" w:lineRule="auto"/>
              <w:jc w:val="center"/>
              <w:rPr>
                <w:kern w:val="0"/>
                <w:sz w:val="20"/>
                <w:szCs w:val="20"/>
              </w:rPr>
            </w:pPr>
            <w:r w:rsidRPr="005C21FF">
              <w:rPr>
                <w:kern w:val="0"/>
                <w:sz w:val="20"/>
                <w:szCs w:val="20"/>
              </w:rPr>
              <w:t>1.07%</w:t>
            </w:r>
          </w:p>
        </w:tc>
      </w:tr>
      <w:tr w:rsidR="00D74384" w:rsidRPr="005C21FF"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2013</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6851.05</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18653.61</w:t>
            </w:r>
          </w:p>
        </w:tc>
        <w:tc>
          <w:tcPr>
            <w:tcW w:w="0" w:type="auto"/>
            <w:tcBorders>
              <w:top w:val="nil"/>
              <w:left w:val="nil"/>
              <w:bottom w:val="single" w:sz="4" w:space="0" w:color="auto"/>
              <w:right w:val="single" w:sz="4" w:space="0" w:color="auto"/>
            </w:tcBorders>
            <w:vAlign w:val="center"/>
          </w:tcPr>
          <w:p w:rsidR="00D74384" w:rsidRPr="005C21FF" w:rsidRDefault="00D74384" w:rsidP="00B520A4">
            <w:pPr>
              <w:widowControl/>
              <w:spacing w:after="0" w:line="240" w:lineRule="auto"/>
              <w:jc w:val="center"/>
              <w:rPr>
                <w:kern w:val="0"/>
                <w:sz w:val="20"/>
                <w:szCs w:val="20"/>
              </w:rPr>
            </w:pPr>
            <w:r w:rsidRPr="005C21FF">
              <w:rPr>
                <w:kern w:val="0"/>
                <w:sz w:val="20"/>
                <w:szCs w:val="20"/>
              </w:rPr>
              <w:t>1.09%</w:t>
            </w:r>
          </w:p>
        </w:tc>
      </w:tr>
      <w:tr w:rsidR="00D74384" w:rsidRPr="005C21FF"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2014</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9176.15</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22684.18</w:t>
            </w:r>
          </w:p>
        </w:tc>
        <w:tc>
          <w:tcPr>
            <w:tcW w:w="0" w:type="auto"/>
            <w:tcBorders>
              <w:top w:val="nil"/>
              <w:left w:val="nil"/>
              <w:bottom w:val="single" w:sz="4" w:space="0" w:color="auto"/>
              <w:right w:val="single" w:sz="4" w:space="0" w:color="auto"/>
            </w:tcBorders>
            <w:vAlign w:val="center"/>
          </w:tcPr>
          <w:p w:rsidR="00D74384" w:rsidRPr="005C21FF" w:rsidRDefault="00D74384" w:rsidP="00B520A4">
            <w:pPr>
              <w:widowControl/>
              <w:spacing w:after="0" w:line="240" w:lineRule="auto"/>
              <w:jc w:val="center"/>
              <w:rPr>
                <w:kern w:val="0"/>
                <w:sz w:val="20"/>
                <w:szCs w:val="20"/>
              </w:rPr>
            </w:pPr>
            <w:r w:rsidRPr="005C21FF">
              <w:rPr>
                <w:kern w:val="0"/>
                <w:sz w:val="20"/>
                <w:szCs w:val="20"/>
              </w:rPr>
              <w:t>1.23%</w:t>
            </w:r>
          </w:p>
        </w:tc>
      </w:tr>
      <w:tr w:rsidR="00D74384" w:rsidRPr="005C21FF"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2015</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13768.07</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29790.94</w:t>
            </w:r>
          </w:p>
        </w:tc>
        <w:tc>
          <w:tcPr>
            <w:tcW w:w="0" w:type="auto"/>
            <w:tcBorders>
              <w:top w:val="nil"/>
              <w:left w:val="nil"/>
              <w:bottom w:val="single" w:sz="4" w:space="0" w:color="auto"/>
              <w:right w:val="single" w:sz="4" w:space="0" w:color="auto"/>
            </w:tcBorders>
            <w:vAlign w:val="center"/>
          </w:tcPr>
          <w:p w:rsidR="00D74384" w:rsidRPr="005C21FF" w:rsidRDefault="00D74384" w:rsidP="00B520A4">
            <w:pPr>
              <w:widowControl/>
              <w:spacing w:after="0" w:line="240" w:lineRule="auto"/>
              <w:jc w:val="center"/>
              <w:rPr>
                <w:kern w:val="0"/>
                <w:sz w:val="20"/>
                <w:szCs w:val="20"/>
              </w:rPr>
            </w:pPr>
            <w:r w:rsidRPr="005C21FF">
              <w:rPr>
                <w:kern w:val="0"/>
                <w:sz w:val="20"/>
                <w:szCs w:val="20"/>
              </w:rPr>
              <w:t>1.34%</w:t>
            </w:r>
          </w:p>
        </w:tc>
      </w:tr>
      <w:tr w:rsidR="00D74384" w:rsidRPr="005C21FF"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2016</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22510.26</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46275.53</w:t>
            </w:r>
          </w:p>
        </w:tc>
        <w:tc>
          <w:tcPr>
            <w:tcW w:w="0" w:type="auto"/>
            <w:tcBorders>
              <w:top w:val="nil"/>
              <w:left w:val="nil"/>
              <w:bottom w:val="single" w:sz="4" w:space="0" w:color="auto"/>
              <w:right w:val="single" w:sz="4" w:space="0" w:color="auto"/>
            </w:tcBorders>
            <w:vAlign w:val="center"/>
          </w:tcPr>
          <w:p w:rsidR="00D74384" w:rsidRPr="005C21FF" w:rsidRDefault="00D74384" w:rsidP="00B520A4">
            <w:pPr>
              <w:widowControl/>
              <w:spacing w:after="0" w:line="240" w:lineRule="auto"/>
              <w:jc w:val="center"/>
              <w:rPr>
                <w:kern w:val="0"/>
                <w:sz w:val="20"/>
                <w:szCs w:val="20"/>
              </w:rPr>
            </w:pPr>
            <w:r w:rsidRPr="005C21FF">
              <w:rPr>
                <w:kern w:val="0"/>
                <w:sz w:val="20"/>
                <w:szCs w:val="20"/>
              </w:rPr>
              <w:t>1.29%</w:t>
            </w:r>
          </w:p>
        </w:tc>
      </w:tr>
      <w:tr w:rsidR="00D74384" w:rsidRPr="005C21FF" w:rsidTr="00B520A4">
        <w:trPr>
          <w:trHeight w:val="276"/>
          <w:jc w:val="center"/>
        </w:trPr>
        <w:tc>
          <w:tcPr>
            <w:tcW w:w="0" w:type="auto"/>
            <w:tcBorders>
              <w:top w:val="nil"/>
              <w:left w:val="single" w:sz="4" w:space="0" w:color="auto"/>
              <w:bottom w:val="single" w:sz="4" w:space="0" w:color="auto"/>
              <w:right w:val="single" w:sz="4" w:space="0" w:color="auto"/>
            </w:tcBorders>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2017</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31826.78</w:t>
            </w:r>
          </w:p>
        </w:tc>
        <w:tc>
          <w:tcPr>
            <w:tcW w:w="0" w:type="auto"/>
            <w:tcBorders>
              <w:top w:val="nil"/>
              <w:left w:val="nil"/>
              <w:bottom w:val="single" w:sz="4" w:space="0" w:color="auto"/>
              <w:right w:val="single" w:sz="4" w:space="0" w:color="auto"/>
            </w:tcBorders>
            <w:noWrap/>
            <w:vAlign w:val="center"/>
          </w:tcPr>
          <w:p w:rsidR="00D74384" w:rsidRPr="005C21FF" w:rsidRDefault="00D74384" w:rsidP="00B520A4">
            <w:pPr>
              <w:widowControl/>
              <w:spacing w:after="0" w:line="240" w:lineRule="auto"/>
              <w:jc w:val="center"/>
              <w:rPr>
                <w:rFonts w:eastAsia="MingLiU"/>
                <w:kern w:val="0"/>
                <w:sz w:val="20"/>
                <w:szCs w:val="20"/>
              </w:rPr>
            </w:pPr>
            <w:r w:rsidRPr="005C21FF">
              <w:rPr>
                <w:rFonts w:eastAsia="MingLiU"/>
                <w:kern w:val="0"/>
                <w:sz w:val="20"/>
                <w:szCs w:val="20"/>
              </w:rPr>
              <w:t>60313.16</w:t>
            </w:r>
          </w:p>
        </w:tc>
        <w:tc>
          <w:tcPr>
            <w:tcW w:w="0" w:type="auto"/>
            <w:tcBorders>
              <w:top w:val="nil"/>
              <w:left w:val="nil"/>
              <w:bottom w:val="single" w:sz="4" w:space="0" w:color="auto"/>
              <w:right w:val="single" w:sz="4" w:space="0" w:color="auto"/>
            </w:tcBorders>
            <w:vAlign w:val="center"/>
          </w:tcPr>
          <w:p w:rsidR="00D74384" w:rsidRPr="005C21FF" w:rsidRDefault="00D74384" w:rsidP="00B520A4">
            <w:pPr>
              <w:widowControl/>
              <w:spacing w:after="0" w:line="240" w:lineRule="auto"/>
              <w:jc w:val="center"/>
              <w:rPr>
                <w:kern w:val="0"/>
                <w:sz w:val="20"/>
                <w:szCs w:val="20"/>
              </w:rPr>
            </w:pPr>
            <w:r w:rsidRPr="005C21FF">
              <w:rPr>
                <w:kern w:val="0"/>
                <w:sz w:val="20"/>
                <w:szCs w:val="20"/>
              </w:rPr>
              <w:t>1.26%</w:t>
            </w:r>
          </w:p>
        </w:tc>
      </w:tr>
    </w:tbl>
    <w:p w:rsidR="00241B4E" w:rsidRDefault="00241B4E" w:rsidP="00D61E29">
      <w:pPr>
        <w:spacing w:after="0" w:line="240" w:lineRule="auto"/>
        <w:rPr>
          <w:szCs w:val="24"/>
        </w:rPr>
      </w:pPr>
    </w:p>
    <w:p w:rsidR="00065AD1" w:rsidRDefault="00D61E29" w:rsidP="00984C13">
      <w:pPr>
        <w:spacing w:after="0" w:line="240" w:lineRule="auto"/>
        <w:rPr>
          <w:szCs w:val="24"/>
        </w:rPr>
      </w:pPr>
      <w:r w:rsidRPr="004B5D80">
        <w:rPr>
          <w:szCs w:val="24"/>
        </w:rPr>
        <w:t xml:space="preserve">In </w:t>
      </w:r>
      <w:r w:rsidR="00065AD1">
        <w:rPr>
          <w:szCs w:val="24"/>
        </w:rPr>
        <w:t>sum</w:t>
      </w:r>
      <w:r w:rsidRPr="004B5D80">
        <w:rPr>
          <w:szCs w:val="24"/>
        </w:rPr>
        <w:t xml:space="preserve">, the modification of the accounting standards has </w:t>
      </w:r>
      <w:r w:rsidR="00065AD1">
        <w:rPr>
          <w:szCs w:val="24"/>
        </w:rPr>
        <w:t>a</w:t>
      </w:r>
      <w:r w:rsidRPr="004B5D80">
        <w:rPr>
          <w:szCs w:val="24"/>
        </w:rPr>
        <w:t xml:space="preserve"> significant impact on allowance for doubtful assets. The amount of increased/decreased allowance, reversal, final accumulated bad debts and total assets have changed a lot after 2014 in which Chinese government modifies the rules of accounting. In fact, this modification is an advanced step of Chinese accounting standards to international accounting standards. The </w:t>
      </w:r>
      <w:r w:rsidR="00065AD1" w:rsidRPr="00D74384">
        <w:rPr>
          <w:i/>
          <w:szCs w:val="24"/>
        </w:rPr>
        <w:t>H</w:t>
      </w:r>
      <w:r w:rsidR="00D74384" w:rsidRPr="00D74384">
        <w:rPr>
          <w:i/>
          <w:szCs w:val="24"/>
        </w:rPr>
        <w:t>1</w:t>
      </w:r>
      <w:r w:rsidRPr="004B5D80">
        <w:rPr>
          <w:szCs w:val="24"/>
        </w:rPr>
        <w:t xml:space="preserve"> which </w:t>
      </w:r>
      <w:r w:rsidR="005A357D">
        <w:rPr>
          <w:szCs w:val="24"/>
        </w:rPr>
        <w:t>hypothesizes</w:t>
      </w:r>
      <w:r w:rsidRPr="004B5D80">
        <w:rPr>
          <w:szCs w:val="24"/>
        </w:rPr>
        <w:t xml:space="preserve"> that </w:t>
      </w:r>
      <w:r w:rsidR="005A357D">
        <w:rPr>
          <w:szCs w:val="24"/>
        </w:rPr>
        <w:t xml:space="preserve">the </w:t>
      </w:r>
      <w:r w:rsidRPr="004B5D80">
        <w:rPr>
          <w:szCs w:val="24"/>
        </w:rPr>
        <w:t xml:space="preserve">modification of standards would affect the final results of allowance for doubtful debts is illustrated to be true. </w:t>
      </w:r>
    </w:p>
    <w:p w:rsidR="00065AD1" w:rsidRDefault="00065AD1" w:rsidP="00984C13">
      <w:pPr>
        <w:spacing w:after="0" w:line="240" w:lineRule="auto"/>
        <w:rPr>
          <w:szCs w:val="24"/>
        </w:rPr>
      </w:pPr>
    </w:p>
    <w:p w:rsidR="00065AD1" w:rsidRPr="00764948" w:rsidRDefault="00065AD1" w:rsidP="00341E11">
      <w:pPr>
        <w:pStyle w:val="Heading2"/>
        <w:numPr>
          <w:ilvl w:val="1"/>
          <w:numId w:val="11"/>
        </w:numPr>
        <w:spacing w:after="0" w:line="240" w:lineRule="auto"/>
        <w:rPr>
          <w:b w:val="0"/>
          <w:szCs w:val="24"/>
        </w:rPr>
      </w:pPr>
      <w:r w:rsidRPr="00764948">
        <w:rPr>
          <w:b w:val="0"/>
          <w:szCs w:val="24"/>
        </w:rPr>
        <w:t>Hypothesis 2</w:t>
      </w:r>
    </w:p>
    <w:p w:rsidR="00065AD1" w:rsidRDefault="00065AD1" w:rsidP="00984C13">
      <w:pPr>
        <w:spacing w:after="0" w:line="240" w:lineRule="auto"/>
        <w:rPr>
          <w:szCs w:val="24"/>
        </w:rPr>
      </w:pPr>
    </w:p>
    <w:p w:rsidR="008646DF" w:rsidRDefault="005A357D" w:rsidP="008646DF">
      <w:pPr>
        <w:spacing w:after="0" w:line="240" w:lineRule="auto"/>
        <w:rPr>
          <w:szCs w:val="24"/>
        </w:rPr>
      </w:pPr>
      <w:r>
        <w:rPr>
          <w:szCs w:val="24"/>
        </w:rPr>
        <w:t>R</w:t>
      </w:r>
      <w:r w:rsidRPr="004B5D80">
        <w:rPr>
          <w:szCs w:val="24"/>
        </w:rPr>
        <w:t>egres</w:t>
      </w:r>
      <w:r>
        <w:rPr>
          <w:szCs w:val="24"/>
        </w:rPr>
        <w:t>sion analysis is employed</w:t>
      </w:r>
      <w:r w:rsidRPr="004B5D80">
        <w:rPr>
          <w:szCs w:val="24"/>
        </w:rPr>
        <w:t xml:space="preserve"> </w:t>
      </w:r>
      <w:r>
        <w:rPr>
          <w:szCs w:val="24"/>
        </w:rPr>
        <w:t>t</w:t>
      </w:r>
      <w:r w:rsidR="00D61E29" w:rsidRPr="004B5D80">
        <w:rPr>
          <w:szCs w:val="24"/>
        </w:rPr>
        <w:t xml:space="preserve">o </w:t>
      </w:r>
      <w:r w:rsidR="00460127">
        <w:rPr>
          <w:szCs w:val="24"/>
        </w:rPr>
        <w:t xml:space="preserve">examine </w:t>
      </w:r>
      <w:r w:rsidR="003C681E" w:rsidRPr="00260130">
        <w:rPr>
          <w:i/>
          <w:szCs w:val="24"/>
        </w:rPr>
        <w:t>H</w:t>
      </w:r>
      <w:r w:rsidR="00260130" w:rsidRPr="00260130">
        <w:rPr>
          <w:i/>
          <w:szCs w:val="24"/>
        </w:rPr>
        <w:t>2</w:t>
      </w:r>
      <w:r w:rsidR="00407FD2">
        <w:rPr>
          <w:szCs w:val="24"/>
        </w:rPr>
        <w:t>.</w:t>
      </w:r>
      <w:r w:rsidR="00D61E29" w:rsidRPr="004B5D80">
        <w:rPr>
          <w:szCs w:val="24"/>
        </w:rPr>
        <w:t xml:space="preserve"> </w:t>
      </w:r>
      <w:r w:rsidR="003C681E">
        <w:rPr>
          <w:szCs w:val="24"/>
        </w:rPr>
        <w:t>T</w:t>
      </w:r>
      <w:r w:rsidR="00984C13">
        <w:rPr>
          <w:szCs w:val="24"/>
        </w:rPr>
        <w:t>able</w:t>
      </w:r>
      <w:r w:rsidR="005867DE">
        <w:rPr>
          <w:szCs w:val="24"/>
        </w:rPr>
        <w:t>s</w:t>
      </w:r>
      <w:r w:rsidR="00D61E29" w:rsidRPr="004B5D80">
        <w:rPr>
          <w:szCs w:val="24"/>
        </w:rPr>
        <w:t xml:space="preserve"> 6</w:t>
      </w:r>
      <w:r w:rsidR="005867DE">
        <w:rPr>
          <w:szCs w:val="24"/>
        </w:rPr>
        <w:t>a and 6b</w:t>
      </w:r>
      <w:r w:rsidR="003C681E">
        <w:rPr>
          <w:szCs w:val="24"/>
        </w:rPr>
        <w:t xml:space="preserve"> indicate that </w:t>
      </w:r>
      <w:r w:rsidR="00D61E29" w:rsidRPr="004B5D80">
        <w:rPr>
          <w:szCs w:val="24"/>
        </w:rPr>
        <w:t xml:space="preserve">nearly all variables in each year </w:t>
      </w:r>
      <w:r w:rsidR="00432086">
        <w:rPr>
          <w:szCs w:val="24"/>
        </w:rPr>
        <w:t>are</w:t>
      </w:r>
      <w:r w:rsidR="00D61E29" w:rsidRPr="004B5D80">
        <w:rPr>
          <w:szCs w:val="24"/>
        </w:rPr>
        <w:t xml:space="preserve"> </w:t>
      </w:r>
      <w:r w:rsidR="00B6422A">
        <w:rPr>
          <w:szCs w:val="24"/>
        </w:rPr>
        <w:t xml:space="preserve">statistically </w:t>
      </w:r>
      <w:r w:rsidR="00D61E29" w:rsidRPr="004B5D80">
        <w:rPr>
          <w:szCs w:val="24"/>
        </w:rPr>
        <w:t>significant</w:t>
      </w:r>
      <w:r w:rsidR="00B6422A">
        <w:rPr>
          <w:szCs w:val="24"/>
        </w:rPr>
        <w:t xml:space="preserve"> at the 5% </w:t>
      </w:r>
      <w:r w:rsidR="009C17C4">
        <w:rPr>
          <w:szCs w:val="24"/>
        </w:rPr>
        <w:t>or less,</w:t>
      </w:r>
      <w:r w:rsidR="00B6422A">
        <w:rPr>
          <w:szCs w:val="24"/>
        </w:rPr>
        <w:t xml:space="preserve"> based on two-tailed tests</w:t>
      </w:r>
      <w:r w:rsidR="00D61E29" w:rsidRPr="004B5D80">
        <w:rPr>
          <w:szCs w:val="24"/>
        </w:rPr>
        <w:t xml:space="preserve">. </w:t>
      </w:r>
      <w:proofErr w:type="spellStart"/>
      <w:r w:rsidR="008646DF" w:rsidRPr="004B5D80">
        <w:rPr>
          <w:szCs w:val="24"/>
        </w:rPr>
        <w:t>BgBL</w:t>
      </w:r>
      <w:r w:rsidR="008646DF" w:rsidRPr="00B6422A">
        <w:rPr>
          <w:szCs w:val="24"/>
          <w:vertAlign w:val="subscript"/>
        </w:rPr>
        <w:t>t</w:t>
      </w:r>
      <w:proofErr w:type="spellEnd"/>
      <w:r w:rsidR="008646DF">
        <w:rPr>
          <w:szCs w:val="24"/>
        </w:rPr>
        <w:t xml:space="preserve"> </w:t>
      </w:r>
      <w:r w:rsidR="008646DF" w:rsidRPr="004B5D80">
        <w:rPr>
          <w:szCs w:val="24"/>
        </w:rPr>
        <w:t>(Bad debts at the beginning of the year</w:t>
      </w:r>
      <w:r w:rsidR="008646DF">
        <w:rPr>
          <w:szCs w:val="24"/>
        </w:rPr>
        <w:t xml:space="preserve">) is </w:t>
      </w:r>
      <w:r w:rsidR="008646DF" w:rsidRPr="004B5D80">
        <w:rPr>
          <w:szCs w:val="24"/>
        </w:rPr>
        <w:t>significant</w:t>
      </w:r>
      <w:r w:rsidR="008646DF">
        <w:rPr>
          <w:szCs w:val="24"/>
        </w:rPr>
        <w:t xml:space="preserve"> in all years except 2016. Similarly, </w:t>
      </w:r>
      <w:proofErr w:type="spellStart"/>
      <w:r w:rsidR="008646DF">
        <w:rPr>
          <w:szCs w:val="24"/>
        </w:rPr>
        <w:t>W</w:t>
      </w:r>
      <w:r w:rsidR="008646DF" w:rsidRPr="004B5D80">
        <w:rPr>
          <w:szCs w:val="24"/>
        </w:rPr>
        <w:t>rite_off</w:t>
      </w:r>
      <w:r w:rsidR="008646DF" w:rsidRPr="00B6422A">
        <w:rPr>
          <w:szCs w:val="24"/>
          <w:vertAlign w:val="subscript"/>
        </w:rPr>
        <w:t>t</w:t>
      </w:r>
      <w:proofErr w:type="spellEnd"/>
      <w:r w:rsidR="008646DF">
        <w:rPr>
          <w:szCs w:val="24"/>
        </w:rPr>
        <w:t xml:space="preserve"> </w:t>
      </w:r>
      <w:r w:rsidR="008646DF" w:rsidRPr="004B5D80">
        <w:rPr>
          <w:szCs w:val="24"/>
        </w:rPr>
        <w:t xml:space="preserve">(reversal in this year) </w:t>
      </w:r>
      <w:r w:rsidR="008646DF">
        <w:rPr>
          <w:szCs w:val="24"/>
        </w:rPr>
        <w:t xml:space="preserve">is </w:t>
      </w:r>
      <w:r w:rsidR="008646DF" w:rsidRPr="004B5D80">
        <w:rPr>
          <w:szCs w:val="24"/>
        </w:rPr>
        <w:t>significant</w:t>
      </w:r>
      <w:r w:rsidR="008646DF">
        <w:rPr>
          <w:szCs w:val="24"/>
        </w:rPr>
        <w:t xml:space="preserve"> in all years except 2013 and marginally in 2017.</w:t>
      </w:r>
      <w:r w:rsidR="008646DF" w:rsidRPr="008646DF">
        <w:rPr>
          <w:szCs w:val="24"/>
        </w:rPr>
        <w:t xml:space="preserve"> </w:t>
      </w:r>
      <w:r w:rsidR="008646DF" w:rsidRPr="004B5D80">
        <w:rPr>
          <w:szCs w:val="24"/>
        </w:rPr>
        <w:t>Write_off</w:t>
      </w:r>
      <w:r w:rsidR="008646DF" w:rsidRPr="00B6422A">
        <w:rPr>
          <w:szCs w:val="24"/>
          <w:vertAlign w:val="subscript"/>
        </w:rPr>
        <w:t>t+1</w:t>
      </w:r>
      <w:r w:rsidR="008646DF">
        <w:rPr>
          <w:szCs w:val="24"/>
        </w:rPr>
        <w:t xml:space="preserve"> </w:t>
      </w:r>
      <w:r w:rsidR="008646DF" w:rsidRPr="004B5D80">
        <w:rPr>
          <w:szCs w:val="24"/>
        </w:rPr>
        <w:t>(reversal in the next period)</w:t>
      </w:r>
      <w:r w:rsidR="008646DF">
        <w:rPr>
          <w:szCs w:val="24"/>
        </w:rPr>
        <w:t xml:space="preserve"> is statistically </w:t>
      </w:r>
      <w:r w:rsidR="008646DF" w:rsidRPr="004B5D80">
        <w:rPr>
          <w:szCs w:val="24"/>
        </w:rPr>
        <w:t>significant</w:t>
      </w:r>
      <w:r w:rsidR="008646DF">
        <w:rPr>
          <w:szCs w:val="24"/>
        </w:rPr>
        <w:t xml:space="preserve"> in all years. Thus</w:t>
      </w:r>
      <w:r w:rsidR="00D61E29" w:rsidRPr="004B5D80">
        <w:rPr>
          <w:szCs w:val="24"/>
        </w:rPr>
        <w:t xml:space="preserve">, variables of </w:t>
      </w:r>
      <w:proofErr w:type="spellStart"/>
      <w:r w:rsidR="00D61E29" w:rsidRPr="004B5D80">
        <w:rPr>
          <w:szCs w:val="24"/>
        </w:rPr>
        <w:t>BgBL</w:t>
      </w:r>
      <w:r w:rsidR="00D61E29" w:rsidRPr="00B6422A">
        <w:rPr>
          <w:szCs w:val="24"/>
          <w:vertAlign w:val="subscript"/>
        </w:rPr>
        <w:t>t</w:t>
      </w:r>
      <w:proofErr w:type="spellEnd"/>
      <w:r w:rsidR="00D61E29" w:rsidRPr="004B5D80">
        <w:rPr>
          <w:szCs w:val="24"/>
        </w:rPr>
        <w:t xml:space="preserve">, </w:t>
      </w:r>
      <w:proofErr w:type="spellStart"/>
      <w:r w:rsidR="00B6422A">
        <w:rPr>
          <w:szCs w:val="24"/>
        </w:rPr>
        <w:t>W</w:t>
      </w:r>
      <w:r w:rsidR="00D61E29" w:rsidRPr="004B5D80">
        <w:rPr>
          <w:szCs w:val="24"/>
        </w:rPr>
        <w:t>rite_off</w:t>
      </w:r>
      <w:r w:rsidR="00B6422A" w:rsidRPr="00B6422A">
        <w:rPr>
          <w:szCs w:val="24"/>
          <w:vertAlign w:val="subscript"/>
        </w:rPr>
        <w:t>t</w:t>
      </w:r>
      <w:proofErr w:type="spellEnd"/>
      <w:r w:rsidR="008646DF">
        <w:rPr>
          <w:szCs w:val="24"/>
        </w:rPr>
        <w:t xml:space="preserve">, </w:t>
      </w:r>
      <w:r w:rsidR="00D61E29" w:rsidRPr="004B5D80">
        <w:rPr>
          <w:szCs w:val="24"/>
        </w:rPr>
        <w:t>and Write_off</w:t>
      </w:r>
      <w:r w:rsidR="00D61E29" w:rsidRPr="00B6422A">
        <w:rPr>
          <w:szCs w:val="24"/>
          <w:vertAlign w:val="subscript"/>
        </w:rPr>
        <w:t>t+1</w:t>
      </w:r>
      <w:r w:rsidR="00174429">
        <w:rPr>
          <w:szCs w:val="24"/>
        </w:rPr>
        <w:t xml:space="preserve"> </w:t>
      </w:r>
      <w:r w:rsidR="00D61E29" w:rsidRPr="004B5D80">
        <w:rPr>
          <w:szCs w:val="24"/>
        </w:rPr>
        <w:t>have the significant impact on the final result of the recognized allowance in this period. Although</w:t>
      </w:r>
      <w:r w:rsidR="008646DF">
        <w:rPr>
          <w:szCs w:val="24"/>
        </w:rPr>
        <w:t>, in some years</w:t>
      </w:r>
      <w:r w:rsidR="00D61E29" w:rsidRPr="004B5D80">
        <w:rPr>
          <w:szCs w:val="24"/>
        </w:rPr>
        <w:t xml:space="preserve">, the variable of </w:t>
      </w:r>
      <w:proofErr w:type="spellStart"/>
      <w:r w:rsidR="00B6422A">
        <w:rPr>
          <w:szCs w:val="24"/>
        </w:rPr>
        <w:t>W</w:t>
      </w:r>
      <w:r w:rsidR="00B6422A" w:rsidRPr="004B5D80">
        <w:rPr>
          <w:szCs w:val="24"/>
        </w:rPr>
        <w:t>rite_off</w:t>
      </w:r>
      <w:r w:rsidR="00B6422A" w:rsidRPr="00B6422A">
        <w:rPr>
          <w:szCs w:val="24"/>
          <w:vertAlign w:val="subscript"/>
        </w:rPr>
        <w:t>t</w:t>
      </w:r>
      <w:proofErr w:type="spellEnd"/>
      <w:r w:rsidR="00D61E29" w:rsidRPr="004B5D80">
        <w:rPr>
          <w:szCs w:val="24"/>
        </w:rPr>
        <w:t xml:space="preserve"> is not significant </w:t>
      </w:r>
      <w:r w:rsidR="008646DF">
        <w:rPr>
          <w:szCs w:val="24"/>
        </w:rPr>
        <w:t xml:space="preserve">not even </w:t>
      </w:r>
      <w:r w:rsidR="00D61E29" w:rsidRPr="004B5D80">
        <w:rPr>
          <w:szCs w:val="24"/>
        </w:rPr>
        <w:t xml:space="preserve">at the </w:t>
      </w:r>
      <w:r w:rsidR="008646DF">
        <w:rPr>
          <w:szCs w:val="24"/>
        </w:rPr>
        <w:t xml:space="preserve">10% </w:t>
      </w:r>
      <w:r w:rsidR="00D61E29" w:rsidRPr="004B5D80">
        <w:rPr>
          <w:szCs w:val="24"/>
        </w:rPr>
        <w:t>level</w:t>
      </w:r>
      <w:r w:rsidR="008646DF">
        <w:rPr>
          <w:szCs w:val="24"/>
        </w:rPr>
        <w:t>.</w:t>
      </w:r>
      <w:r w:rsidR="00D61E29" w:rsidRPr="004B5D80">
        <w:rPr>
          <w:szCs w:val="24"/>
        </w:rPr>
        <w:t xml:space="preserve"> However, there are other variables encouraging the degree of fitting to the formula with the result of bad debt provision for the current period. </w:t>
      </w:r>
    </w:p>
    <w:p w:rsidR="00341E11" w:rsidRPr="004B5D80" w:rsidRDefault="00341E11" w:rsidP="00D61E29">
      <w:pPr>
        <w:spacing w:after="0" w:line="240" w:lineRule="auto"/>
        <w:rPr>
          <w:szCs w:val="24"/>
        </w:rPr>
      </w:pPr>
    </w:p>
    <w:p w:rsidR="00241B4E" w:rsidRPr="00825D3E" w:rsidRDefault="00825D3E" w:rsidP="00825D3E">
      <w:pPr>
        <w:spacing w:after="0" w:line="240" w:lineRule="auto"/>
        <w:jc w:val="center"/>
        <w:rPr>
          <w:b/>
          <w:szCs w:val="24"/>
        </w:rPr>
      </w:pPr>
      <w:r>
        <w:rPr>
          <w:b/>
          <w:szCs w:val="24"/>
        </w:rPr>
        <w:t>Table 6</w:t>
      </w:r>
      <w:r w:rsidR="005867DE">
        <w:rPr>
          <w:b/>
          <w:szCs w:val="24"/>
        </w:rPr>
        <w:t>a</w:t>
      </w:r>
      <w:r>
        <w:rPr>
          <w:b/>
          <w:szCs w:val="24"/>
        </w:rPr>
        <w:t xml:space="preserve">: </w:t>
      </w:r>
      <w:r w:rsidR="00984C13" w:rsidRPr="00825D3E">
        <w:rPr>
          <w:b/>
          <w:szCs w:val="24"/>
        </w:rPr>
        <w:t>F</w:t>
      </w:r>
      <w:r w:rsidR="00D61E29" w:rsidRPr="00825D3E">
        <w:rPr>
          <w:b/>
          <w:szCs w:val="24"/>
        </w:rPr>
        <w:t xml:space="preserve">indings of </w:t>
      </w:r>
      <w:r w:rsidR="009C17C4">
        <w:rPr>
          <w:b/>
          <w:szCs w:val="24"/>
        </w:rPr>
        <w:t>E</w:t>
      </w:r>
      <w:r w:rsidR="00D61E29" w:rsidRPr="00825D3E">
        <w:rPr>
          <w:b/>
          <w:szCs w:val="24"/>
        </w:rPr>
        <w:t xml:space="preserve">ach </w:t>
      </w:r>
      <w:r w:rsidR="009C17C4">
        <w:rPr>
          <w:b/>
          <w:szCs w:val="24"/>
        </w:rPr>
        <w:t>V</w:t>
      </w:r>
      <w:r w:rsidR="00D61E29" w:rsidRPr="00825D3E">
        <w:rPr>
          <w:b/>
          <w:szCs w:val="24"/>
        </w:rPr>
        <w:t>ariable</w:t>
      </w:r>
    </w:p>
    <w:tbl>
      <w:tblPr>
        <w:tblW w:w="5000" w:type="pct"/>
        <w:jc w:val="center"/>
        <w:tblLook w:val="04A0" w:firstRow="1" w:lastRow="0" w:firstColumn="1" w:lastColumn="0" w:noHBand="0" w:noVBand="1"/>
      </w:tblPr>
      <w:tblGrid>
        <w:gridCol w:w="1098"/>
        <w:gridCol w:w="627"/>
        <w:gridCol w:w="763"/>
        <w:gridCol w:w="689"/>
        <w:gridCol w:w="763"/>
        <w:gridCol w:w="689"/>
        <w:gridCol w:w="763"/>
        <w:gridCol w:w="689"/>
        <w:gridCol w:w="763"/>
        <w:gridCol w:w="689"/>
        <w:gridCol w:w="763"/>
      </w:tblGrid>
      <w:tr w:rsidR="005867DE" w:rsidRPr="00A12873" w:rsidTr="00B520A4">
        <w:trPr>
          <w:trHeight w:val="276"/>
          <w:jc w:val="center"/>
        </w:trPr>
        <w:tc>
          <w:tcPr>
            <w:tcW w:w="661" w:type="pct"/>
            <w:tcBorders>
              <w:top w:val="single" w:sz="4" w:space="0" w:color="auto"/>
              <w:left w:val="single" w:sz="4" w:space="0" w:color="auto"/>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p>
        </w:tc>
        <w:tc>
          <w:tcPr>
            <w:tcW w:w="838" w:type="pct"/>
            <w:gridSpan w:val="2"/>
            <w:tcBorders>
              <w:top w:val="single" w:sz="4" w:space="0" w:color="auto"/>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2009</w:t>
            </w:r>
          </w:p>
        </w:tc>
        <w:tc>
          <w:tcPr>
            <w:tcW w:w="875" w:type="pct"/>
            <w:gridSpan w:val="2"/>
            <w:tcBorders>
              <w:top w:val="single" w:sz="4" w:space="0" w:color="auto"/>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2010</w:t>
            </w:r>
          </w:p>
        </w:tc>
        <w:tc>
          <w:tcPr>
            <w:tcW w:w="875" w:type="pct"/>
            <w:gridSpan w:val="2"/>
            <w:tcBorders>
              <w:top w:val="single" w:sz="4" w:space="0" w:color="auto"/>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2011</w:t>
            </w:r>
          </w:p>
        </w:tc>
        <w:tc>
          <w:tcPr>
            <w:tcW w:w="875" w:type="pct"/>
            <w:gridSpan w:val="2"/>
            <w:tcBorders>
              <w:top w:val="single" w:sz="4" w:space="0" w:color="auto"/>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2012</w:t>
            </w:r>
          </w:p>
        </w:tc>
        <w:tc>
          <w:tcPr>
            <w:tcW w:w="875" w:type="pct"/>
            <w:gridSpan w:val="2"/>
            <w:tcBorders>
              <w:top w:val="single" w:sz="4" w:space="0" w:color="auto"/>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2013</w:t>
            </w:r>
          </w:p>
        </w:tc>
      </w:tr>
      <w:tr w:rsidR="005867DE" w:rsidRPr="00A12873" w:rsidTr="00B520A4">
        <w:trPr>
          <w:trHeight w:val="276"/>
          <w:jc w:val="center"/>
        </w:trPr>
        <w:tc>
          <w:tcPr>
            <w:tcW w:w="661" w:type="pct"/>
            <w:tcBorders>
              <w:top w:val="nil"/>
              <w:left w:val="single" w:sz="4" w:space="0" w:color="auto"/>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p>
        </w:tc>
        <w:tc>
          <w:tcPr>
            <w:tcW w:w="378" w:type="pct"/>
            <w:tcBorders>
              <w:top w:val="nil"/>
              <w:left w:val="nil"/>
              <w:bottom w:val="single" w:sz="4" w:space="0" w:color="auto"/>
              <w:right w:val="single" w:sz="4" w:space="0" w:color="auto"/>
            </w:tcBorders>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B</w:t>
            </w:r>
          </w:p>
        </w:tc>
        <w:tc>
          <w:tcPr>
            <w:tcW w:w="460" w:type="pct"/>
            <w:tcBorders>
              <w:top w:val="nil"/>
              <w:left w:val="nil"/>
              <w:bottom w:val="single" w:sz="4" w:space="0" w:color="auto"/>
              <w:right w:val="single" w:sz="4" w:space="0" w:color="auto"/>
            </w:tcBorders>
            <w:noWrap/>
            <w:vAlign w:val="center"/>
          </w:tcPr>
          <w:p w:rsidR="005867DE" w:rsidRPr="00A12873" w:rsidRDefault="009C17C4" w:rsidP="00B520A4">
            <w:pPr>
              <w:widowControl/>
              <w:spacing w:after="0" w:line="240" w:lineRule="auto"/>
              <w:jc w:val="center"/>
              <w:rPr>
                <w:kern w:val="0"/>
                <w:sz w:val="18"/>
                <w:szCs w:val="18"/>
              </w:rPr>
            </w:pPr>
            <w:r w:rsidRPr="00A12873">
              <w:rPr>
                <w:color w:val="333333"/>
                <w:sz w:val="18"/>
                <w:szCs w:val="18"/>
              </w:rPr>
              <w:t>p-value</w:t>
            </w:r>
          </w:p>
        </w:tc>
        <w:tc>
          <w:tcPr>
            <w:tcW w:w="415" w:type="pct"/>
            <w:tcBorders>
              <w:top w:val="nil"/>
              <w:left w:val="nil"/>
              <w:bottom w:val="single" w:sz="4" w:space="0" w:color="auto"/>
              <w:right w:val="single" w:sz="4" w:space="0" w:color="auto"/>
            </w:tcBorders>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B</w:t>
            </w:r>
          </w:p>
        </w:tc>
        <w:tc>
          <w:tcPr>
            <w:tcW w:w="460" w:type="pct"/>
            <w:tcBorders>
              <w:top w:val="nil"/>
              <w:left w:val="nil"/>
              <w:bottom w:val="single" w:sz="4" w:space="0" w:color="auto"/>
              <w:right w:val="single" w:sz="4" w:space="0" w:color="auto"/>
            </w:tcBorders>
            <w:noWrap/>
            <w:vAlign w:val="center"/>
          </w:tcPr>
          <w:p w:rsidR="005867DE" w:rsidRPr="00A12873" w:rsidRDefault="009C17C4" w:rsidP="00B520A4">
            <w:pPr>
              <w:widowControl/>
              <w:spacing w:after="0" w:line="240" w:lineRule="auto"/>
              <w:jc w:val="center"/>
              <w:rPr>
                <w:kern w:val="0"/>
                <w:sz w:val="18"/>
                <w:szCs w:val="18"/>
              </w:rPr>
            </w:pPr>
            <w:r w:rsidRPr="00A12873">
              <w:rPr>
                <w:color w:val="333333"/>
                <w:sz w:val="18"/>
                <w:szCs w:val="18"/>
              </w:rPr>
              <w:t>p-value</w:t>
            </w:r>
          </w:p>
        </w:tc>
        <w:tc>
          <w:tcPr>
            <w:tcW w:w="415" w:type="pct"/>
            <w:tcBorders>
              <w:top w:val="nil"/>
              <w:left w:val="nil"/>
              <w:bottom w:val="single" w:sz="4" w:space="0" w:color="auto"/>
              <w:right w:val="single" w:sz="4" w:space="0" w:color="auto"/>
            </w:tcBorders>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B</w:t>
            </w:r>
          </w:p>
        </w:tc>
        <w:tc>
          <w:tcPr>
            <w:tcW w:w="460" w:type="pct"/>
            <w:tcBorders>
              <w:top w:val="nil"/>
              <w:left w:val="nil"/>
              <w:bottom w:val="single" w:sz="4" w:space="0" w:color="auto"/>
              <w:right w:val="single" w:sz="4" w:space="0" w:color="auto"/>
            </w:tcBorders>
            <w:noWrap/>
            <w:vAlign w:val="center"/>
          </w:tcPr>
          <w:p w:rsidR="005867DE" w:rsidRPr="00A12873" w:rsidRDefault="009C17C4" w:rsidP="00B520A4">
            <w:pPr>
              <w:widowControl/>
              <w:spacing w:after="0" w:line="240" w:lineRule="auto"/>
              <w:jc w:val="center"/>
              <w:rPr>
                <w:kern w:val="0"/>
                <w:sz w:val="18"/>
                <w:szCs w:val="18"/>
              </w:rPr>
            </w:pPr>
            <w:r w:rsidRPr="00A12873">
              <w:rPr>
                <w:color w:val="333333"/>
                <w:sz w:val="18"/>
                <w:szCs w:val="18"/>
              </w:rPr>
              <w:t>p-value</w:t>
            </w:r>
          </w:p>
        </w:tc>
        <w:tc>
          <w:tcPr>
            <w:tcW w:w="415" w:type="pct"/>
            <w:tcBorders>
              <w:top w:val="nil"/>
              <w:left w:val="nil"/>
              <w:bottom w:val="single" w:sz="4" w:space="0" w:color="auto"/>
              <w:right w:val="single" w:sz="4" w:space="0" w:color="auto"/>
            </w:tcBorders>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B</w:t>
            </w:r>
          </w:p>
        </w:tc>
        <w:tc>
          <w:tcPr>
            <w:tcW w:w="460" w:type="pct"/>
            <w:tcBorders>
              <w:top w:val="nil"/>
              <w:left w:val="nil"/>
              <w:bottom w:val="single" w:sz="4" w:space="0" w:color="auto"/>
              <w:right w:val="single" w:sz="4" w:space="0" w:color="auto"/>
            </w:tcBorders>
            <w:noWrap/>
            <w:vAlign w:val="center"/>
          </w:tcPr>
          <w:p w:rsidR="005867DE" w:rsidRPr="00A12873" w:rsidRDefault="009C17C4" w:rsidP="00B520A4">
            <w:pPr>
              <w:widowControl/>
              <w:spacing w:after="0" w:line="240" w:lineRule="auto"/>
              <w:jc w:val="center"/>
              <w:rPr>
                <w:kern w:val="0"/>
                <w:sz w:val="18"/>
                <w:szCs w:val="18"/>
              </w:rPr>
            </w:pPr>
            <w:r w:rsidRPr="00A12873">
              <w:rPr>
                <w:color w:val="333333"/>
                <w:sz w:val="18"/>
                <w:szCs w:val="18"/>
              </w:rPr>
              <w:t>p-value</w:t>
            </w:r>
          </w:p>
        </w:tc>
        <w:tc>
          <w:tcPr>
            <w:tcW w:w="415" w:type="pct"/>
            <w:tcBorders>
              <w:top w:val="nil"/>
              <w:left w:val="nil"/>
              <w:bottom w:val="single" w:sz="4" w:space="0" w:color="auto"/>
              <w:right w:val="single" w:sz="4" w:space="0" w:color="auto"/>
            </w:tcBorders>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B</w:t>
            </w:r>
          </w:p>
        </w:tc>
        <w:tc>
          <w:tcPr>
            <w:tcW w:w="460" w:type="pct"/>
            <w:tcBorders>
              <w:top w:val="nil"/>
              <w:left w:val="nil"/>
              <w:bottom w:val="single" w:sz="4" w:space="0" w:color="auto"/>
              <w:right w:val="single" w:sz="4" w:space="0" w:color="auto"/>
            </w:tcBorders>
            <w:noWrap/>
            <w:vAlign w:val="center"/>
          </w:tcPr>
          <w:p w:rsidR="005867DE" w:rsidRPr="00A12873" w:rsidRDefault="009C17C4" w:rsidP="00B520A4">
            <w:pPr>
              <w:widowControl/>
              <w:spacing w:after="0" w:line="240" w:lineRule="auto"/>
              <w:jc w:val="center"/>
              <w:rPr>
                <w:kern w:val="0"/>
                <w:sz w:val="18"/>
                <w:szCs w:val="18"/>
              </w:rPr>
            </w:pPr>
            <w:r w:rsidRPr="00A12873">
              <w:rPr>
                <w:color w:val="333333"/>
                <w:sz w:val="18"/>
                <w:szCs w:val="18"/>
              </w:rPr>
              <w:t>p-value</w:t>
            </w:r>
          </w:p>
        </w:tc>
      </w:tr>
      <w:tr w:rsidR="005867DE" w:rsidRPr="00A12873" w:rsidTr="00B520A4">
        <w:trPr>
          <w:trHeight w:val="276"/>
          <w:jc w:val="center"/>
        </w:trPr>
        <w:tc>
          <w:tcPr>
            <w:tcW w:w="661" w:type="pct"/>
            <w:tcBorders>
              <w:top w:val="nil"/>
              <w:left w:val="single" w:sz="4" w:space="0" w:color="auto"/>
              <w:bottom w:val="single" w:sz="4" w:space="0" w:color="auto"/>
              <w:right w:val="single" w:sz="4" w:space="0" w:color="auto"/>
            </w:tcBorders>
            <w:vAlign w:val="center"/>
          </w:tcPr>
          <w:p w:rsidR="005867DE" w:rsidRPr="00A12873" w:rsidRDefault="005867DE" w:rsidP="00B520A4">
            <w:pPr>
              <w:widowControl/>
              <w:spacing w:after="0" w:line="240" w:lineRule="auto"/>
              <w:jc w:val="center"/>
              <w:rPr>
                <w:kern w:val="0"/>
                <w:sz w:val="18"/>
                <w:szCs w:val="18"/>
              </w:rPr>
            </w:pPr>
            <w:proofErr w:type="spellStart"/>
            <w:r w:rsidRPr="00A12873">
              <w:rPr>
                <w:kern w:val="0"/>
                <w:sz w:val="18"/>
                <w:szCs w:val="18"/>
              </w:rPr>
              <w:t>Resprovt</w:t>
            </w:r>
            <w:proofErr w:type="spellEnd"/>
          </w:p>
        </w:tc>
        <w:tc>
          <w:tcPr>
            <w:tcW w:w="378"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2.507</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0.002</w:t>
            </w:r>
          </w:p>
        </w:tc>
        <w:tc>
          <w:tcPr>
            <w:tcW w:w="41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0.766</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0.294</w:t>
            </w:r>
          </w:p>
        </w:tc>
        <w:tc>
          <w:tcPr>
            <w:tcW w:w="41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-1.377</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0.061</w:t>
            </w:r>
          </w:p>
        </w:tc>
        <w:tc>
          <w:tcPr>
            <w:tcW w:w="41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3.992</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1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4.641</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r>
      <w:tr w:rsidR="005867DE" w:rsidRPr="00A12873" w:rsidTr="00B520A4">
        <w:trPr>
          <w:trHeight w:val="324"/>
          <w:jc w:val="center"/>
        </w:trPr>
        <w:tc>
          <w:tcPr>
            <w:tcW w:w="661" w:type="pct"/>
            <w:tcBorders>
              <w:top w:val="nil"/>
              <w:left w:val="single" w:sz="4" w:space="0" w:color="auto"/>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proofErr w:type="spellStart"/>
            <w:r w:rsidRPr="00A12873">
              <w:rPr>
                <w:kern w:val="0"/>
                <w:sz w:val="18"/>
                <w:szCs w:val="18"/>
              </w:rPr>
              <w:t>BgBL</w:t>
            </w:r>
            <w:r w:rsidRPr="00A12873">
              <w:rPr>
                <w:kern w:val="0"/>
                <w:sz w:val="18"/>
                <w:szCs w:val="18"/>
                <w:vertAlign w:val="subscript"/>
              </w:rPr>
              <w:t>t</w:t>
            </w:r>
            <w:proofErr w:type="spellEnd"/>
          </w:p>
        </w:tc>
        <w:tc>
          <w:tcPr>
            <w:tcW w:w="378"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0.066</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1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0.169</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1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0.283</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1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0.141</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1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0.200</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r>
      <w:tr w:rsidR="005867DE" w:rsidRPr="00A12873" w:rsidTr="00B520A4">
        <w:trPr>
          <w:trHeight w:val="288"/>
          <w:jc w:val="center"/>
        </w:trPr>
        <w:tc>
          <w:tcPr>
            <w:tcW w:w="661" w:type="pct"/>
            <w:tcBorders>
              <w:top w:val="nil"/>
              <w:left w:val="single" w:sz="4" w:space="0" w:color="auto"/>
              <w:bottom w:val="single" w:sz="4" w:space="0" w:color="auto"/>
              <w:right w:val="single" w:sz="4" w:space="0" w:color="auto"/>
            </w:tcBorders>
            <w:vAlign w:val="center"/>
          </w:tcPr>
          <w:p w:rsidR="005867DE" w:rsidRPr="00A12873" w:rsidRDefault="00B6422A" w:rsidP="00B520A4">
            <w:pPr>
              <w:widowControl/>
              <w:spacing w:after="0" w:line="240" w:lineRule="auto"/>
              <w:jc w:val="center"/>
              <w:rPr>
                <w:kern w:val="0"/>
                <w:sz w:val="18"/>
                <w:szCs w:val="18"/>
              </w:rPr>
            </w:pPr>
            <w:proofErr w:type="spellStart"/>
            <w:r w:rsidRPr="00A12873">
              <w:rPr>
                <w:sz w:val="18"/>
                <w:szCs w:val="18"/>
              </w:rPr>
              <w:t>Write_off</w:t>
            </w:r>
            <w:r w:rsidRPr="00A12873">
              <w:rPr>
                <w:sz w:val="18"/>
                <w:szCs w:val="18"/>
                <w:vertAlign w:val="subscript"/>
              </w:rPr>
              <w:t>t</w:t>
            </w:r>
            <w:proofErr w:type="spellEnd"/>
          </w:p>
        </w:tc>
        <w:tc>
          <w:tcPr>
            <w:tcW w:w="378"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0.419</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1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0.354</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1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-0.208</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1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0.411</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1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-0.019</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0.360</w:t>
            </w:r>
          </w:p>
        </w:tc>
      </w:tr>
      <w:tr w:rsidR="005867DE" w:rsidRPr="00A12873" w:rsidTr="00B520A4">
        <w:trPr>
          <w:trHeight w:val="324"/>
          <w:jc w:val="center"/>
        </w:trPr>
        <w:tc>
          <w:tcPr>
            <w:tcW w:w="661" w:type="pct"/>
            <w:tcBorders>
              <w:top w:val="nil"/>
              <w:left w:val="single" w:sz="4" w:space="0" w:color="auto"/>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bookmarkStart w:id="7" w:name="_Hlk10313031"/>
            <w:r w:rsidRPr="00A12873">
              <w:rPr>
                <w:kern w:val="0"/>
                <w:sz w:val="18"/>
                <w:szCs w:val="18"/>
              </w:rPr>
              <w:t>Write_off</w:t>
            </w:r>
            <w:r w:rsidRPr="00A12873">
              <w:rPr>
                <w:kern w:val="0"/>
                <w:sz w:val="18"/>
                <w:szCs w:val="18"/>
                <w:vertAlign w:val="subscript"/>
              </w:rPr>
              <w:t>t+1</w:t>
            </w:r>
            <w:bookmarkEnd w:id="7"/>
          </w:p>
        </w:tc>
        <w:tc>
          <w:tcPr>
            <w:tcW w:w="378"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0.514</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1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-0.095</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1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-0.095</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1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-0.042</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0.024</w:t>
            </w:r>
          </w:p>
        </w:tc>
        <w:tc>
          <w:tcPr>
            <w:tcW w:w="41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0.314</w:t>
            </w:r>
          </w:p>
        </w:tc>
        <w:tc>
          <w:tcPr>
            <w:tcW w:w="460"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r>
    </w:tbl>
    <w:p w:rsidR="00241B4E" w:rsidRDefault="00241B4E" w:rsidP="00D61E29">
      <w:pPr>
        <w:spacing w:after="0" w:line="240" w:lineRule="auto"/>
        <w:rPr>
          <w:szCs w:val="24"/>
        </w:rPr>
      </w:pPr>
    </w:p>
    <w:p w:rsidR="005867DE" w:rsidRPr="00825D3E" w:rsidRDefault="005867DE" w:rsidP="005867DE">
      <w:pPr>
        <w:spacing w:after="0" w:line="240" w:lineRule="auto"/>
        <w:jc w:val="center"/>
        <w:rPr>
          <w:b/>
          <w:szCs w:val="24"/>
        </w:rPr>
      </w:pPr>
      <w:r>
        <w:rPr>
          <w:b/>
          <w:szCs w:val="24"/>
        </w:rPr>
        <w:t xml:space="preserve">Table 6b: </w:t>
      </w:r>
      <w:r w:rsidRPr="00825D3E">
        <w:rPr>
          <w:b/>
          <w:szCs w:val="24"/>
        </w:rPr>
        <w:t xml:space="preserve">Findings of </w:t>
      </w:r>
      <w:r w:rsidR="009C17C4">
        <w:rPr>
          <w:b/>
          <w:szCs w:val="24"/>
        </w:rPr>
        <w:t>E</w:t>
      </w:r>
      <w:r w:rsidRPr="00825D3E">
        <w:rPr>
          <w:b/>
          <w:szCs w:val="24"/>
        </w:rPr>
        <w:t xml:space="preserve">ach </w:t>
      </w:r>
      <w:r w:rsidR="009C17C4">
        <w:rPr>
          <w:b/>
          <w:szCs w:val="24"/>
        </w:rPr>
        <w:t>V</w:t>
      </w:r>
      <w:r w:rsidRPr="00825D3E">
        <w:rPr>
          <w:b/>
          <w:szCs w:val="24"/>
        </w:rPr>
        <w:t>ariable</w:t>
      </w:r>
    </w:p>
    <w:tbl>
      <w:tblPr>
        <w:tblW w:w="5000" w:type="pct"/>
        <w:jc w:val="center"/>
        <w:tblLook w:val="04A0" w:firstRow="1" w:lastRow="0" w:firstColumn="1" w:lastColumn="0" w:noHBand="0" w:noVBand="1"/>
      </w:tblPr>
      <w:tblGrid>
        <w:gridCol w:w="1312"/>
        <w:gridCol w:w="822"/>
        <w:gridCol w:w="911"/>
        <w:gridCol w:w="821"/>
        <w:gridCol w:w="966"/>
        <w:gridCol w:w="821"/>
        <w:gridCol w:w="911"/>
        <w:gridCol w:w="821"/>
        <w:gridCol w:w="911"/>
      </w:tblGrid>
      <w:tr w:rsidR="005867DE" w:rsidRPr="00A12873" w:rsidTr="00B520A4">
        <w:trPr>
          <w:trHeight w:val="276"/>
          <w:jc w:val="center"/>
        </w:trPr>
        <w:tc>
          <w:tcPr>
            <w:tcW w:w="790" w:type="pct"/>
            <w:tcBorders>
              <w:top w:val="single" w:sz="4" w:space="0" w:color="auto"/>
              <w:left w:val="single" w:sz="4" w:space="0" w:color="auto"/>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p>
        </w:tc>
        <w:tc>
          <w:tcPr>
            <w:tcW w:w="1044" w:type="pct"/>
            <w:gridSpan w:val="2"/>
            <w:tcBorders>
              <w:top w:val="single" w:sz="4" w:space="0" w:color="auto"/>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2014</w:t>
            </w:r>
          </w:p>
        </w:tc>
        <w:tc>
          <w:tcPr>
            <w:tcW w:w="1077" w:type="pct"/>
            <w:gridSpan w:val="2"/>
            <w:tcBorders>
              <w:top w:val="single" w:sz="4" w:space="0" w:color="auto"/>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2015</w:t>
            </w:r>
          </w:p>
        </w:tc>
        <w:tc>
          <w:tcPr>
            <w:tcW w:w="1044" w:type="pct"/>
            <w:gridSpan w:val="2"/>
            <w:tcBorders>
              <w:top w:val="single" w:sz="4" w:space="0" w:color="auto"/>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2016</w:t>
            </w:r>
          </w:p>
        </w:tc>
        <w:tc>
          <w:tcPr>
            <w:tcW w:w="1044" w:type="pct"/>
            <w:gridSpan w:val="2"/>
            <w:tcBorders>
              <w:top w:val="single" w:sz="4" w:space="0" w:color="auto"/>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2017</w:t>
            </w:r>
          </w:p>
        </w:tc>
      </w:tr>
      <w:tr w:rsidR="005867DE" w:rsidRPr="00A12873" w:rsidTr="00B520A4">
        <w:trPr>
          <w:trHeight w:val="276"/>
          <w:jc w:val="center"/>
        </w:trPr>
        <w:tc>
          <w:tcPr>
            <w:tcW w:w="790" w:type="pct"/>
            <w:tcBorders>
              <w:top w:val="nil"/>
              <w:left w:val="single" w:sz="4" w:space="0" w:color="auto"/>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p>
        </w:tc>
        <w:tc>
          <w:tcPr>
            <w:tcW w:w="495" w:type="pct"/>
            <w:tcBorders>
              <w:top w:val="nil"/>
              <w:left w:val="nil"/>
              <w:bottom w:val="single" w:sz="4" w:space="0" w:color="auto"/>
              <w:right w:val="single" w:sz="4" w:space="0" w:color="auto"/>
            </w:tcBorders>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B</w:t>
            </w:r>
          </w:p>
        </w:tc>
        <w:tc>
          <w:tcPr>
            <w:tcW w:w="549" w:type="pct"/>
            <w:tcBorders>
              <w:top w:val="nil"/>
              <w:left w:val="nil"/>
              <w:bottom w:val="single" w:sz="4" w:space="0" w:color="auto"/>
              <w:right w:val="single" w:sz="4" w:space="0" w:color="auto"/>
            </w:tcBorders>
            <w:noWrap/>
            <w:vAlign w:val="center"/>
          </w:tcPr>
          <w:p w:rsidR="005867DE" w:rsidRPr="00A12873" w:rsidRDefault="009C17C4" w:rsidP="00B520A4">
            <w:pPr>
              <w:widowControl/>
              <w:spacing w:after="0" w:line="240" w:lineRule="auto"/>
              <w:jc w:val="center"/>
              <w:rPr>
                <w:kern w:val="0"/>
                <w:sz w:val="18"/>
                <w:szCs w:val="18"/>
              </w:rPr>
            </w:pPr>
            <w:r w:rsidRPr="00A12873">
              <w:rPr>
                <w:color w:val="333333"/>
                <w:sz w:val="18"/>
                <w:szCs w:val="18"/>
              </w:rPr>
              <w:t>p-value</w:t>
            </w:r>
          </w:p>
        </w:tc>
        <w:tc>
          <w:tcPr>
            <w:tcW w:w="495" w:type="pct"/>
            <w:tcBorders>
              <w:top w:val="nil"/>
              <w:left w:val="nil"/>
              <w:bottom w:val="single" w:sz="4" w:space="0" w:color="auto"/>
              <w:right w:val="single" w:sz="4" w:space="0" w:color="auto"/>
            </w:tcBorders>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B</w:t>
            </w:r>
          </w:p>
        </w:tc>
        <w:tc>
          <w:tcPr>
            <w:tcW w:w="582" w:type="pct"/>
            <w:tcBorders>
              <w:top w:val="nil"/>
              <w:left w:val="nil"/>
              <w:bottom w:val="single" w:sz="4" w:space="0" w:color="auto"/>
              <w:right w:val="single" w:sz="4" w:space="0" w:color="auto"/>
            </w:tcBorders>
            <w:noWrap/>
            <w:vAlign w:val="center"/>
          </w:tcPr>
          <w:p w:rsidR="005867DE" w:rsidRPr="00A12873" w:rsidRDefault="009C17C4" w:rsidP="00B520A4">
            <w:pPr>
              <w:widowControl/>
              <w:spacing w:after="0" w:line="240" w:lineRule="auto"/>
              <w:jc w:val="center"/>
              <w:rPr>
                <w:kern w:val="0"/>
                <w:sz w:val="18"/>
                <w:szCs w:val="18"/>
              </w:rPr>
            </w:pPr>
            <w:r w:rsidRPr="00A12873">
              <w:rPr>
                <w:color w:val="333333"/>
                <w:sz w:val="18"/>
                <w:szCs w:val="18"/>
              </w:rPr>
              <w:t>p-value</w:t>
            </w:r>
            <w:r w:rsidR="005867DE" w:rsidRPr="00A12873">
              <w:rPr>
                <w:kern w:val="0"/>
                <w:sz w:val="18"/>
                <w:szCs w:val="18"/>
              </w:rPr>
              <w:t>.</w:t>
            </w:r>
          </w:p>
        </w:tc>
        <w:tc>
          <w:tcPr>
            <w:tcW w:w="495" w:type="pct"/>
            <w:tcBorders>
              <w:top w:val="nil"/>
              <w:left w:val="nil"/>
              <w:bottom w:val="single" w:sz="4" w:space="0" w:color="auto"/>
              <w:right w:val="single" w:sz="4" w:space="0" w:color="auto"/>
            </w:tcBorders>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B</w:t>
            </w:r>
          </w:p>
        </w:tc>
        <w:tc>
          <w:tcPr>
            <w:tcW w:w="549" w:type="pct"/>
            <w:tcBorders>
              <w:top w:val="nil"/>
              <w:left w:val="nil"/>
              <w:bottom w:val="single" w:sz="4" w:space="0" w:color="auto"/>
              <w:right w:val="single" w:sz="4" w:space="0" w:color="auto"/>
            </w:tcBorders>
            <w:noWrap/>
            <w:vAlign w:val="center"/>
          </w:tcPr>
          <w:p w:rsidR="005867DE" w:rsidRPr="00A12873" w:rsidRDefault="009C17C4" w:rsidP="00B520A4">
            <w:pPr>
              <w:widowControl/>
              <w:spacing w:after="0" w:line="240" w:lineRule="auto"/>
              <w:jc w:val="center"/>
              <w:rPr>
                <w:kern w:val="0"/>
                <w:sz w:val="18"/>
                <w:szCs w:val="18"/>
              </w:rPr>
            </w:pPr>
            <w:r w:rsidRPr="00A12873">
              <w:rPr>
                <w:color w:val="333333"/>
                <w:sz w:val="18"/>
                <w:szCs w:val="18"/>
              </w:rPr>
              <w:t>p-value</w:t>
            </w:r>
          </w:p>
        </w:tc>
        <w:tc>
          <w:tcPr>
            <w:tcW w:w="495" w:type="pct"/>
            <w:tcBorders>
              <w:top w:val="nil"/>
              <w:left w:val="nil"/>
              <w:bottom w:val="single" w:sz="4" w:space="0" w:color="auto"/>
              <w:right w:val="single" w:sz="4" w:space="0" w:color="auto"/>
            </w:tcBorders>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B</w:t>
            </w:r>
          </w:p>
        </w:tc>
        <w:tc>
          <w:tcPr>
            <w:tcW w:w="549" w:type="pct"/>
            <w:tcBorders>
              <w:top w:val="nil"/>
              <w:left w:val="nil"/>
              <w:bottom w:val="single" w:sz="4" w:space="0" w:color="auto"/>
              <w:right w:val="single" w:sz="4" w:space="0" w:color="auto"/>
            </w:tcBorders>
            <w:noWrap/>
            <w:vAlign w:val="center"/>
          </w:tcPr>
          <w:p w:rsidR="005867DE" w:rsidRPr="00A12873" w:rsidRDefault="009C17C4" w:rsidP="00B520A4">
            <w:pPr>
              <w:widowControl/>
              <w:spacing w:after="0" w:line="240" w:lineRule="auto"/>
              <w:jc w:val="center"/>
              <w:rPr>
                <w:kern w:val="0"/>
                <w:sz w:val="18"/>
                <w:szCs w:val="18"/>
              </w:rPr>
            </w:pPr>
            <w:r w:rsidRPr="00A12873">
              <w:rPr>
                <w:color w:val="333333"/>
                <w:sz w:val="18"/>
                <w:szCs w:val="18"/>
              </w:rPr>
              <w:t>p-value</w:t>
            </w:r>
          </w:p>
        </w:tc>
      </w:tr>
      <w:tr w:rsidR="005867DE" w:rsidRPr="00A12873" w:rsidTr="00B520A4">
        <w:trPr>
          <w:trHeight w:val="276"/>
          <w:jc w:val="center"/>
        </w:trPr>
        <w:tc>
          <w:tcPr>
            <w:tcW w:w="790" w:type="pct"/>
            <w:tcBorders>
              <w:top w:val="nil"/>
              <w:left w:val="single" w:sz="4" w:space="0" w:color="auto"/>
              <w:bottom w:val="single" w:sz="4" w:space="0" w:color="auto"/>
              <w:right w:val="single" w:sz="4" w:space="0" w:color="auto"/>
            </w:tcBorders>
            <w:vAlign w:val="center"/>
          </w:tcPr>
          <w:p w:rsidR="005867DE" w:rsidRPr="00A12873" w:rsidRDefault="005867DE" w:rsidP="00B520A4">
            <w:pPr>
              <w:widowControl/>
              <w:spacing w:after="0" w:line="240" w:lineRule="auto"/>
              <w:jc w:val="center"/>
              <w:rPr>
                <w:kern w:val="0"/>
                <w:sz w:val="18"/>
                <w:szCs w:val="18"/>
              </w:rPr>
            </w:pPr>
            <w:proofErr w:type="spellStart"/>
            <w:r w:rsidRPr="00A12873">
              <w:rPr>
                <w:kern w:val="0"/>
                <w:sz w:val="18"/>
                <w:szCs w:val="18"/>
              </w:rPr>
              <w:t>Resprovt</w:t>
            </w:r>
            <w:proofErr w:type="spellEnd"/>
          </w:p>
        </w:tc>
        <w:tc>
          <w:tcPr>
            <w:tcW w:w="49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3.365</w:t>
            </w:r>
          </w:p>
        </w:tc>
        <w:tc>
          <w:tcPr>
            <w:tcW w:w="549"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0.006</w:t>
            </w:r>
          </w:p>
        </w:tc>
        <w:tc>
          <w:tcPr>
            <w:tcW w:w="49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7.988</w:t>
            </w:r>
          </w:p>
        </w:tc>
        <w:tc>
          <w:tcPr>
            <w:tcW w:w="582"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0.068</w:t>
            </w:r>
          </w:p>
        </w:tc>
        <w:tc>
          <w:tcPr>
            <w:tcW w:w="49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7.478</w:t>
            </w:r>
          </w:p>
        </w:tc>
        <w:tc>
          <w:tcPr>
            <w:tcW w:w="549"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0.437</w:t>
            </w:r>
          </w:p>
        </w:tc>
        <w:tc>
          <w:tcPr>
            <w:tcW w:w="49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1.703</w:t>
            </w:r>
          </w:p>
        </w:tc>
        <w:tc>
          <w:tcPr>
            <w:tcW w:w="549"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0.782</w:t>
            </w:r>
          </w:p>
        </w:tc>
      </w:tr>
      <w:tr w:rsidR="005867DE" w:rsidRPr="00A12873" w:rsidTr="00B520A4">
        <w:trPr>
          <w:trHeight w:val="324"/>
          <w:jc w:val="center"/>
        </w:trPr>
        <w:tc>
          <w:tcPr>
            <w:tcW w:w="790" w:type="pct"/>
            <w:tcBorders>
              <w:top w:val="nil"/>
              <w:left w:val="single" w:sz="4" w:space="0" w:color="auto"/>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proofErr w:type="spellStart"/>
            <w:r w:rsidRPr="00A12873">
              <w:rPr>
                <w:kern w:val="0"/>
                <w:sz w:val="18"/>
                <w:szCs w:val="18"/>
              </w:rPr>
              <w:lastRenderedPageBreak/>
              <w:t>BgBL</w:t>
            </w:r>
            <w:r w:rsidRPr="00A12873">
              <w:rPr>
                <w:kern w:val="0"/>
                <w:sz w:val="18"/>
                <w:szCs w:val="18"/>
                <w:vertAlign w:val="subscript"/>
              </w:rPr>
              <w:t>t</w:t>
            </w:r>
            <w:proofErr w:type="spellEnd"/>
          </w:p>
        </w:tc>
        <w:tc>
          <w:tcPr>
            <w:tcW w:w="49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0.212</w:t>
            </w:r>
          </w:p>
        </w:tc>
        <w:tc>
          <w:tcPr>
            <w:tcW w:w="549"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9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0.401</w:t>
            </w:r>
          </w:p>
        </w:tc>
        <w:tc>
          <w:tcPr>
            <w:tcW w:w="582"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9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-0.002</w:t>
            </w:r>
          </w:p>
        </w:tc>
        <w:tc>
          <w:tcPr>
            <w:tcW w:w="549"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0.936</w:t>
            </w:r>
          </w:p>
        </w:tc>
        <w:tc>
          <w:tcPr>
            <w:tcW w:w="49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0.240</w:t>
            </w:r>
          </w:p>
        </w:tc>
        <w:tc>
          <w:tcPr>
            <w:tcW w:w="549"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r>
      <w:tr w:rsidR="005867DE" w:rsidRPr="00A12873" w:rsidTr="00B520A4">
        <w:trPr>
          <w:trHeight w:val="288"/>
          <w:jc w:val="center"/>
        </w:trPr>
        <w:tc>
          <w:tcPr>
            <w:tcW w:w="790" w:type="pct"/>
            <w:tcBorders>
              <w:top w:val="nil"/>
              <w:left w:val="single" w:sz="4" w:space="0" w:color="auto"/>
              <w:bottom w:val="single" w:sz="4" w:space="0" w:color="auto"/>
              <w:right w:val="single" w:sz="4" w:space="0" w:color="auto"/>
            </w:tcBorders>
            <w:vAlign w:val="center"/>
          </w:tcPr>
          <w:p w:rsidR="005867DE" w:rsidRPr="00A12873" w:rsidRDefault="00B6422A" w:rsidP="00B520A4">
            <w:pPr>
              <w:widowControl/>
              <w:spacing w:after="0" w:line="240" w:lineRule="auto"/>
              <w:jc w:val="center"/>
              <w:rPr>
                <w:kern w:val="0"/>
                <w:sz w:val="18"/>
                <w:szCs w:val="18"/>
              </w:rPr>
            </w:pPr>
            <w:proofErr w:type="spellStart"/>
            <w:r w:rsidRPr="00A12873">
              <w:rPr>
                <w:sz w:val="18"/>
                <w:szCs w:val="18"/>
              </w:rPr>
              <w:t>Write_off</w:t>
            </w:r>
            <w:r w:rsidRPr="00A12873">
              <w:rPr>
                <w:sz w:val="18"/>
                <w:szCs w:val="18"/>
                <w:vertAlign w:val="subscript"/>
              </w:rPr>
              <w:t>t</w:t>
            </w:r>
            <w:proofErr w:type="spellEnd"/>
          </w:p>
        </w:tc>
        <w:tc>
          <w:tcPr>
            <w:tcW w:w="49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0.170</w:t>
            </w:r>
          </w:p>
        </w:tc>
        <w:tc>
          <w:tcPr>
            <w:tcW w:w="549"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9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0.312</w:t>
            </w:r>
          </w:p>
        </w:tc>
        <w:tc>
          <w:tcPr>
            <w:tcW w:w="582"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0.008</w:t>
            </w:r>
          </w:p>
        </w:tc>
        <w:tc>
          <w:tcPr>
            <w:tcW w:w="49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0.738</w:t>
            </w:r>
          </w:p>
        </w:tc>
        <w:tc>
          <w:tcPr>
            <w:tcW w:w="549"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9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-0.093</w:t>
            </w:r>
          </w:p>
        </w:tc>
        <w:tc>
          <w:tcPr>
            <w:tcW w:w="549"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0.105</w:t>
            </w:r>
          </w:p>
        </w:tc>
      </w:tr>
      <w:tr w:rsidR="005867DE" w:rsidRPr="00A12873" w:rsidTr="00B520A4">
        <w:trPr>
          <w:trHeight w:val="324"/>
          <w:jc w:val="center"/>
        </w:trPr>
        <w:tc>
          <w:tcPr>
            <w:tcW w:w="790" w:type="pct"/>
            <w:tcBorders>
              <w:top w:val="nil"/>
              <w:left w:val="single" w:sz="4" w:space="0" w:color="auto"/>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Write_off</w:t>
            </w:r>
            <w:r w:rsidRPr="00A12873">
              <w:rPr>
                <w:kern w:val="0"/>
                <w:sz w:val="18"/>
                <w:szCs w:val="18"/>
                <w:vertAlign w:val="subscript"/>
              </w:rPr>
              <w:t>t+1</w:t>
            </w:r>
          </w:p>
        </w:tc>
        <w:tc>
          <w:tcPr>
            <w:tcW w:w="49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-0.230</w:t>
            </w:r>
          </w:p>
        </w:tc>
        <w:tc>
          <w:tcPr>
            <w:tcW w:w="549"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9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-0.291</w:t>
            </w:r>
          </w:p>
        </w:tc>
        <w:tc>
          <w:tcPr>
            <w:tcW w:w="582"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0.032</w:t>
            </w:r>
          </w:p>
        </w:tc>
        <w:tc>
          <w:tcPr>
            <w:tcW w:w="49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1.714</w:t>
            </w:r>
          </w:p>
        </w:tc>
        <w:tc>
          <w:tcPr>
            <w:tcW w:w="549"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c>
          <w:tcPr>
            <w:tcW w:w="495"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0.474</w:t>
            </w:r>
          </w:p>
        </w:tc>
        <w:tc>
          <w:tcPr>
            <w:tcW w:w="549" w:type="pct"/>
            <w:tcBorders>
              <w:top w:val="nil"/>
              <w:left w:val="nil"/>
              <w:bottom w:val="single" w:sz="4" w:space="0" w:color="auto"/>
              <w:right w:val="single" w:sz="4" w:space="0" w:color="auto"/>
            </w:tcBorders>
            <w:noWrap/>
            <w:vAlign w:val="center"/>
          </w:tcPr>
          <w:p w:rsidR="005867DE" w:rsidRPr="00A12873" w:rsidRDefault="005867DE" w:rsidP="00B520A4">
            <w:pPr>
              <w:widowControl/>
              <w:spacing w:after="0" w:line="240" w:lineRule="auto"/>
              <w:jc w:val="center"/>
              <w:rPr>
                <w:kern w:val="0"/>
                <w:sz w:val="18"/>
                <w:szCs w:val="18"/>
              </w:rPr>
            </w:pPr>
            <w:r w:rsidRPr="00A12873">
              <w:rPr>
                <w:kern w:val="0"/>
                <w:sz w:val="18"/>
                <w:szCs w:val="18"/>
              </w:rPr>
              <w:t>0.000</w:t>
            </w:r>
          </w:p>
        </w:tc>
      </w:tr>
    </w:tbl>
    <w:p w:rsidR="005867DE" w:rsidRDefault="005867DE" w:rsidP="00D61E29">
      <w:pPr>
        <w:spacing w:after="0" w:line="240" w:lineRule="auto"/>
        <w:rPr>
          <w:szCs w:val="24"/>
        </w:rPr>
      </w:pPr>
    </w:p>
    <w:p w:rsidR="00241B4E" w:rsidRDefault="003C681E" w:rsidP="00D61E29">
      <w:pPr>
        <w:spacing w:after="0" w:line="240" w:lineRule="auto"/>
        <w:rPr>
          <w:szCs w:val="24"/>
        </w:rPr>
      </w:pPr>
      <w:r w:rsidRPr="004B5D80">
        <w:rPr>
          <w:szCs w:val="24"/>
        </w:rPr>
        <w:t>To find out whether the changes of degree of fitting year by year, we need c</w:t>
      </w:r>
      <w:r>
        <w:rPr>
          <w:szCs w:val="24"/>
        </w:rPr>
        <w:t>heck R</w:t>
      </w:r>
      <w:r w:rsidR="00C27F2C">
        <w:rPr>
          <w:szCs w:val="24"/>
        </w:rPr>
        <w:t xml:space="preserve">, </w:t>
      </w:r>
      <w:r w:rsidR="00C27F2C" w:rsidRPr="004B5D80">
        <w:rPr>
          <w:szCs w:val="24"/>
        </w:rPr>
        <w:t>the degree of fitting to the assumption</w:t>
      </w:r>
      <w:r w:rsidRPr="004B5D80">
        <w:rPr>
          <w:szCs w:val="24"/>
        </w:rPr>
        <w:t>.</w:t>
      </w:r>
      <w:r>
        <w:rPr>
          <w:szCs w:val="24"/>
        </w:rPr>
        <w:t xml:space="preserve"> </w:t>
      </w:r>
      <w:r w:rsidR="00D61E29" w:rsidRPr="004B5D80">
        <w:rPr>
          <w:szCs w:val="24"/>
        </w:rPr>
        <w:t xml:space="preserve">Based on </w:t>
      </w:r>
      <w:r w:rsidR="00984C13">
        <w:rPr>
          <w:szCs w:val="24"/>
        </w:rPr>
        <w:t>table</w:t>
      </w:r>
      <w:r w:rsidR="00D61E29" w:rsidRPr="004B5D80">
        <w:rPr>
          <w:szCs w:val="24"/>
        </w:rPr>
        <w:t xml:space="preserve"> 7, we find that R of regression is better after 2014 comparing with that during the year from 2009 to 2013. The smallest R happened in 2013 which equal to 0.619, while the largest R ap</w:t>
      </w:r>
      <w:r w:rsidR="00C27F2C">
        <w:rPr>
          <w:szCs w:val="24"/>
        </w:rPr>
        <w:t xml:space="preserve">peared in 2017 as 0.959. </w:t>
      </w:r>
      <w:r w:rsidR="00D61E29" w:rsidRPr="004B5D80">
        <w:rPr>
          <w:szCs w:val="24"/>
        </w:rPr>
        <w:t>The larger R means the result is more identical with the formula and less possible of earning management. What</w:t>
      </w:r>
      <w:r w:rsidR="00E00BE1">
        <w:rPr>
          <w:szCs w:val="24"/>
        </w:rPr>
        <w:t xml:space="preserve"> i</w:t>
      </w:r>
      <w:r w:rsidR="00D61E29" w:rsidRPr="004B5D80">
        <w:rPr>
          <w:szCs w:val="24"/>
        </w:rPr>
        <w:t xml:space="preserve">s more, we </w:t>
      </w:r>
      <w:r w:rsidR="00E00BE1">
        <w:rPr>
          <w:szCs w:val="24"/>
        </w:rPr>
        <w:t xml:space="preserve">see </w:t>
      </w:r>
      <w:r w:rsidR="00D61E29" w:rsidRPr="004B5D80">
        <w:rPr>
          <w:szCs w:val="24"/>
        </w:rPr>
        <w:t>that in year</w:t>
      </w:r>
      <w:r w:rsidR="00E00BE1">
        <w:rPr>
          <w:szCs w:val="24"/>
        </w:rPr>
        <w:t>s</w:t>
      </w:r>
      <w:r w:rsidR="00D61E29" w:rsidRPr="004B5D80">
        <w:rPr>
          <w:szCs w:val="24"/>
        </w:rPr>
        <w:t xml:space="preserve"> 2009, 2012, and 2013</w:t>
      </w:r>
      <w:r w:rsidR="00E00BE1">
        <w:rPr>
          <w:szCs w:val="24"/>
        </w:rPr>
        <w:t>, t</w:t>
      </w:r>
      <w:r w:rsidR="00D61E29" w:rsidRPr="004B5D80">
        <w:rPr>
          <w:szCs w:val="24"/>
        </w:rPr>
        <w:t xml:space="preserve">he variable of </w:t>
      </w:r>
      <w:proofErr w:type="spellStart"/>
      <w:r w:rsidR="00D61E29" w:rsidRPr="004B5D80">
        <w:rPr>
          <w:szCs w:val="24"/>
        </w:rPr>
        <w:t>resprovt</w:t>
      </w:r>
      <w:proofErr w:type="spellEnd"/>
      <w:r w:rsidR="00D61E29" w:rsidRPr="004B5D80">
        <w:rPr>
          <w:szCs w:val="24"/>
        </w:rPr>
        <w:t xml:space="preserve"> </w:t>
      </w:r>
      <w:r w:rsidR="00E00BE1">
        <w:rPr>
          <w:szCs w:val="24"/>
        </w:rPr>
        <w:t xml:space="preserve">(the amount of error term which </w:t>
      </w:r>
      <w:r w:rsidR="00E00BE1" w:rsidRPr="004B5D80">
        <w:rPr>
          <w:szCs w:val="24"/>
        </w:rPr>
        <w:t>is used to test the existence of earning management</w:t>
      </w:r>
      <w:r w:rsidR="00E00BE1">
        <w:rPr>
          <w:szCs w:val="24"/>
        </w:rPr>
        <w:t xml:space="preserve">) </w:t>
      </w:r>
      <w:r w:rsidR="00D61E29" w:rsidRPr="004B5D80">
        <w:rPr>
          <w:szCs w:val="24"/>
        </w:rPr>
        <w:t xml:space="preserve">shows </w:t>
      </w:r>
      <w:r w:rsidR="00C27F2C">
        <w:rPr>
          <w:szCs w:val="24"/>
        </w:rPr>
        <w:t xml:space="preserve">its </w:t>
      </w:r>
      <w:r w:rsidR="00D61E29" w:rsidRPr="004B5D80">
        <w:rPr>
          <w:szCs w:val="24"/>
        </w:rPr>
        <w:t xml:space="preserve">significance to the </w:t>
      </w:r>
      <w:r w:rsidR="00C27F2C">
        <w:rPr>
          <w:szCs w:val="24"/>
        </w:rPr>
        <w:t>regression equation</w:t>
      </w:r>
      <w:r w:rsidR="00D61E29" w:rsidRPr="004B5D80">
        <w:rPr>
          <w:szCs w:val="24"/>
        </w:rPr>
        <w:t>. Error term exists in th</w:t>
      </w:r>
      <w:r w:rsidR="00E00BE1">
        <w:rPr>
          <w:szCs w:val="24"/>
        </w:rPr>
        <w:t>ose</w:t>
      </w:r>
      <w:r w:rsidR="00D61E29" w:rsidRPr="004B5D80">
        <w:rPr>
          <w:szCs w:val="24"/>
        </w:rPr>
        <w:t xml:space="preserve"> year</w:t>
      </w:r>
      <w:r w:rsidR="00E00BE1">
        <w:rPr>
          <w:szCs w:val="24"/>
        </w:rPr>
        <w:t>s</w:t>
      </w:r>
      <w:r w:rsidR="00D61E29" w:rsidRPr="004B5D80">
        <w:rPr>
          <w:szCs w:val="24"/>
        </w:rPr>
        <w:t>, which means that the samples have more inclined to conduct earning management. In the year</w:t>
      </w:r>
      <w:r w:rsidR="00C27F2C">
        <w:rPr>
          <w:szCs w:val="24"/>
        </w:rPr>
        <w:t>s</w:t>
      </w:r>
      <w:r w:rsidR="00D61E29" w:rsidRPr="004B5D80">
        <w:rPr>
          <w:szCs w:val="24"/>
        </w:rPr>
        <w:t xml:space="preserve"> of 2016 and 2017, the error term’s significance indication is 0.782 meaning </w:t>
      </w:r>
      <w:r w:rsidR="00E00BE1">
        <w:rPr>
          <w:szCs w:val="24"/>
        </w:rPr>
        <w:t xml:space="preserve">that </w:t>
      </w:r>
      <w:r w:rsidR="00D61E29" w:rsidRPr="004B5D80">
        <w:rPr>
          <w:szCs w:val="24"/>
        </w:rPr>
        <w:t xml:space="preserve">it is not important at the </w:t>
      </w:r>
      <w:r w:rsidR="00E00BE1">
        <w:rPr>
          <w:szCs w:val="24"/>
        </w:rPr>
        <w:t xml:space="preserve">10% </w:t>
      </w:r>
      <w:r w:rsidR="00D61E29" w:rsidRPr="004B5D80">
        <w:rPr>
          <w:szCs w:val="24"/>
        </w:rPr>
        <w:t xml:space="preserve">level, that is, the listed companies are less likely to use the impairment reserve of account receivables for profit management. </w:t>
      </w:r>
      <w:r w:rsidR="00E00BE1">
        <w:rPr>
          <w:szCs w:val="24"/>
        </w:rPr>
        <w:t>Therefore, i</w:t>
      </w:r>
      <w:r w:rsidR="00D61E29" w:rsidRPr="004B5D80">
        <w:rPr>
          <w:szCs w:val="24"/>
        </w:rPr>
        <w:t xml:space="preserve">t </w:t>
      </w:r>
      <w:r w:rsidR="00E00BE1">
        <w:rPr>
          <w:szCs w:val="24"/>
        </w:rPr>
        <w:t>can be</w:t>
      </w:r>
      <w:r w:rsidR="00D61E29" w:rsidRPr="004B5D80">
        <w:rPr>
          <w:szCs w:val="24"/>
        </w:rPr>
        <w:t xml:space="preserve"> concluded that </w:t>
      </w:r>
      <w:r w:rsidR="00E00BE1">
        <w:rPr>
          <w:szCs w:val="24"/>
        </w:rPr>
        <w:t xml:space="preserve">with </w:t>
      </w:r>
      <w:r w:rsidR="00D61E29" w:rsidRPr="004B5D80">
        <w:rPr>
          <w:szCs w:val="24"/>
        </w:rPr>
        <w:t>the implementation of modified accounting standards, the quality of accounting information has improved.</w:t>
      </w:r>
    </w:p>
    <w:p w:rsidR="00174429" w:rsidRPr="004B5D80" w:rsidRDefault="00174429" w:rsidP="00D61E29">
      <w:pPr>
        <w:spacing w:after="0" w:line="240" w:lineRule="auto"/>
        <w:rPr>
          <w:szCs w:val="24"/>
        </w:rPr>
      </w:pPr>
    </w:p>
    <w:p w:rsidR="00241B4E" w:rsidRPr="00825D3E" w:rsidRDefault="00D61E29" w:rsidP="00D61E29">
      <w:pPr>
        <w:spacing w:after="0" w:line="240" w:lineRule="auto"/>
        <w:jc w:val="center"/>
        <w:rPr>
          <w:b/>
          <w:szCs w:val="24"/>
        </w:rPr>
      </w:pPr>
      <w:r w:rsidRPr="00825D3E">
        <w:rPr>
          <w:b/>
          <w:szCs w:val="24"/>
        </w:rPr>
        <w:t>Table 7</w:t>
      </w:r>
      <w:r w:rsidR="00825D3E">
        <w:rPr>
          <w:b/>
          <w:szCs w:val="24"/>
        </w:rPr>
        <w:t>: R</w:t>
      </w:r>
      <w:r w:rsidRPr="00825D3E">
        <w:rPr>
          <w:b/>
          <w:szCs w:val="24"/>
        </w:rPr>
        <w:t xml:space="preserve">esults of </w:t>
      </w:r>
      <w:r w:rsidR="00825D3E">
        <w:rPr>
          <w:b/>
          <w:szCs w:val="24"/>
        </w:rPr>
        <w:t>R</w:t>
      </w:r>
      <w:r w:rsidRPr="00825D3E">
        <w:rPr>
          <w:b/>
          <w:szCs w:val="24"/>
        </w:rPr>
        <w:t>egression</w:t>
      </w:r>
    </w:p>
    <w:tbl>
      <w:tblPr>
        <w:tblW w:w="0" w:type="auto"/>
        <w:jc w:val="center"/>
        <w:tblLook w:val="04A0" w:firstRow="1" w:lastRow="0" w:firstColumn="1" w:lastColumn="0" w:noHBand="0" w:noVBand="1"/>
      </w:tblPr>
      <w:tblGrid>
        <w:gridCol w:w="638"/>
        <w:gridCol w:w="1662"/>
        <w:gridCol w:w="1361"/>
        <w:gridCol w:w="1494"/>
      </w:tblGrid>
      <w:tr w:rsidR="00241B4E" w:rsidRPr="004B5D80" w:rsidTr="00B520A4">
        <w:trPr>
          <w:trHeight w:val="312"/>
          <w:jc w:val="center"/>
        </w:trPr>
        <w:tc>
          <w:tcPr>
            <w:tcW w:w="0" w:type="auto"/>
            <w:tcBorders>
              <w:top w:val="single" w:sz="12" w:space="0" w:color="auto"/>
              <w:bottom w:val="single" w:sz="12" w:space="0" w:color="auto"/>
            </w:tcBorders>
            <w:noWrap/>
            <w:vAlign w:val="center"/>
          </w:tcPr>
          <w:p w:rsidR="00241B4E" w:rsidRPr="00E00BE1" w:rsidRDefault="00D61E29" w:rsidP="00B520A4">
            <w:pPr>
              <w:widowControl/>
              <w:spacing w:after="0" w:line="240" w:lineRule="auto"/>
              <w:jc w:val="center"/>
              <w:rPr>
                <w:b/>
                <w:kern w:val="0"/>
                <w:sz w:val="20"/>
                <w:szCs w:val="20"/>
              </w:rPr>
            </w:pPr>
            <w:r w:rsidRPr="00E00BE1">
              <w:rPr>
                <w:b/>
                <w:kern w:val="0"/>
                <w:sz w:val="20"/>
                <w:szCs w:val="20"/>
              </w:rPr>
              <w:t>Year</w:t>
            </w:r>
          </w:p>
        </w:tc>
        <w:tc>
          <w:tcPr>
            <w:tcW w:w="0" w:type="auto"/>
            <w:tcBorders>
              <w:top w:val="single" w:sz="12" w:space="0" w:color="auto"/>
              <w:bottom w:val="single" w:sz="12" w:space="0" w:color="auto"/>
            </w:tcBorders>
            <w:noWrap/>
            <w:vAlign w:val="center"/>
          </w:tcPr>
          <w:p w:rsidR="00241B4E" w:rsidRPr="00E00BE1" w:rsidRDefault="00D61E29" w:rsidP="00B520A4">
            <w:pPr>
              <w:widowControl/>
              <w:spacing w:after="0" w:line="240" w:lineRule="auto"/>
              <w:jc w:val="center"/>
              <w:rPr>
                <w:b/>
                <w:kern w:val="0"/>
                <w:sz w:val="20"/>
                <w:szCs w:val="20"/>
              </w:rPr>
            </w:pPr>
            <w:r w:rsidRPr="00E00BE1">
              <w:rPr>
                <w:b/>
                <w:kern w:val="0"/>
                <w:sz w:val="20"/>
                <w:szCs w:val="20"/>
              </w:rPr>
              <w:t>Regression</w:t>
            </w:r>
            <w:r w:rsidR="00174429" w:rsidRPr="00E00BE1">
              <w:rPr>
                <w:b/>
                <w:kern w:val="0"/>
                <w:sz w:val="20"/>
                <w:szCs w:val="20"/>
              </w:rPr>
              <w:t xml:space="preserve"> </w:t>
            </w:r>
            <w:r w:rsidRPr="00E00BE1">
              <w:rPr>
                <w:b/>
                <w:kern w:val="0"/>
                <w:sz w:val="20"/>
                <w:szCs w:val="20"/>
              </w:rPr>
              <w:t>( R</w:t>
            </w:r>
            <w:r w:rsidRPr="00E00BE1">
              <w:rPr>
                <w:b/>
                <w:kern w:val="0"/>
                <w:sz w:val="20"/>
                <w:szCs w:val="20"/>
              </w:rPr>
              <w:t>）</w:t>
            </w:r>
          </w:p>
        </w:tc>
        <w:tc>
          <w:tcPr>
            <w:tcW w:w="0" w:type="auto"/>
            <w:tcBorders>
              <w:top w:val="single" w:sz="12" w:space="0" w:color="auto"/>
              <w:bottom w:val="single" w:sz="12" w:space="0" w:color="auto"/>
            </w:tcBorders>
            <w:noWrap/>
            <w:vAlign w:val="center"/>
          </w:tcPr>
          <w:p w:rsidR="00241B4E" w:rsidRPr="00E00BE1" w:rsidRDefault="00D61E29" w:rsidP="00B520A4">
            <w:pPr>
              <w:widowControl/>
              <w:spacing w:after="0" w:line="240" w:lineRule="auto"/>
              <w:jc w:val="center"/>
              <w:rPr>
                <w:b/>
                <w:kern w:val="0"/>
                <w:sz w:val="20"/>
                <w:szCs w:val="20"/>
              </w:rPr>
            </w:pPr>
            <w:proofErr w:type="spellStart"/>
            <w:r w:rsidRPr="00E00BE1">
              <w:rPr>
                <w:b/>
                <w:kern w:val="0"/>
                <w:sz w:val="20"/>
                <w:szCs w:val="20"/>
              </w:rPr>
              <w:t>Resprovt</w:t>
            </w:r>
            <w:proofErr w:type="spellEnd"/>
            <w:r w:rsidR="00174429" w:rsidRPr="00E00BE1">
              <w:rPr>
                <w:b/>
                <w:kern w:val="0"/>
                <w:sz w:val="20"/>
                <w:szCs w:val="20"/>
              </w:rPr>
              <w:t xml:space="preserve"> </w:t>
            </w:r>
            <w:r w:rsidRPr="00E00BE1">
              <w:rPr>
                <w:b/>
                <w:kern w:val="0"/>
                <w:sz w:val="20"/>
                <w:szCs w:val="20"/>
              </w:rPr>
              <w:t>( B)</w:t>
            </w:r>
          </w:p>
        </w:tc>
        <w:tc>
          <w:tcPr>
            <w:tcW w:w="0" w:type="auto"/>
            <w:tcBorders>
              <w:top w:val="single" w:sz="12" w:space="0" w:color="auto"/>
              <w:bottom w:val="single" w:sz="12" w:space="0" w:color="auto"/>
            </w:tcBorders>
            <w:noWrap/>
            <w:vAlign w:val="center"/>
          </w:tcPr>
          <w:p w:rsidR="00241B4E" w:rsidRPr="00E00BE1" w:rsidRDefault="00D61E29" w:rsidP="00B520A4">
            <w:pPr>
              <w:widowControl/>
              <w:spacing w:after="0" w:line="240" w:lineRule="auto"/>
              <w:jc w:val="center"/>
              <w:rPr>
                <w:b/>
                <w:kern w:val="0"/>
                <w:sz w:val="20"/>
                <w:szCs w:val="20"/>
              </w:rPr>
            </w:pPr>
            <w:proofErr w:type="spellStart"/>
            <w:r w:rsidRPr="00E00BE1">
              <w:rPr>
                <w:b/>
                <w:kern w:val="0"/>
                <w:sz w:val="20"/>
                <w:szCs w:val="20"/>
              </w:rPr>
              <w:t>Resprovt</w:t>
            </w:r>
            <w:proofErr w:type="spellEnd"/>
            <w:r w:rsidR="00174429" w:rsidRPr="00E00BE1">
              <w:rPr>
                <w:b/>
                <w:kern w:val="0"/>
                <w:sz w:val="20"/>
                <w:szCs w:val="20"/>
              </w:rPr>
              <w:t xml:space="preserve"> </w:t>
            </w:r>
            <w:r w:rsidRPr="00E00BE1">
              <w:rPr>
                <w:b/>
                <w:kern w:val="0"/>
                <w:sz w:val="20"/>
                <w:szCs w:val="20"/>
              </w:rPr>
              <w:t>( Sig)</w:t>
            </w:r>
          </w:p>
        </w:tc>
      </w:tr>
      <w:tr w:rsidR="00241B4E" w:rsidRPr="004B5D80" w:rsidTr="00B520A4">
        <w:trPr>
          <w:trHeight w:val="288"/>
          <w:jc w:val="center"/>
        </w:trPr>
        <w:tc>
          <w:tcPr>
            <w:tcW w:w="0" w:type="auto"/>
            <w:tcBorders>
              <w:top w:val="single" w:sz="12" w:space="0" w:color="auto"/>
            </w:tcBorders>
            <w:noWrap/>
            <w:vAlign w:val="center"/>
          </w:tcPr>
          <w:p w:rsidR="00241B4E" w:rsidRPr="003C681E" w:rsidRDefault="00D61E29" w:rsidP="00B520A4">
            <w:pPr>
              <w:widowControl/>
              <w:spacing w:after="0" w:line="240" w:lineRule="auto"/>
              <w:jc w:val="center"/>
              <w:rPr>
                <w:kern w:val="0"/>
                <w:sz w:val="20"/>
                <w:szCs w:val="20"/>
              </w:rPr>
            </w:pPr>
            <w:r w:rsidRPr="003C681E">
              <w:rPr>
                <w:kern w:val="0"/>
                <w:sz w:val="20"/>
                <w:szCs w:val="20"/>
              </w:rPr>
              <w:t>2009</w:t>
            </w:r>
          </w:p>
        </w:tc>
        <w:tc>
          <w:tcPr>
            <w:tcW w:w="0" w:type="auto"/>
            <w:tcBorders>
              <w:top w:val="single" w:sz="12" w:space="0" w:color="auto"/>
            </w:tcBorders>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0.636</w:t>
            </w:r>
            <w:r w:rsidRPr="003C681E">
              <w:rPr>
                <w:rFonts w:eastAsia="MingLiU"/>
                <w:kern w:val="0"/>
                <w:sz w:val="20"/>
                <w:szCs w:val="20"/>
                <w:vertAlign w:val="superscript"/>
              </w:rPr>
              <w:t>a</w:t>
            </w:r>
          </w:p>
        </w:tc>
        <w:tc>
          <w:tcPr>
            <w:tcW w:w="0" w:type="auto"/>
            <w:tcBorders>
              <w:top w:val="single" w:sz="12" w:space="0" w:color="auto"/>
            </w:tcBorders>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2.507</w:t>
            </w:r>
          </w:p>
        </w:tc>
        <w:tc>
          <w:tcPr>
            <w:tcW w:w="0" w:type="auto"/>
            <w:tcBorders>
              <w:top w:val="single" w:sz="12" w:space="0" w:color="auto"/>
            </w:tcBorders>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0.002</w:t>
            </w:r>
          </w:p>
        </w:tc>
      </w:tr>
      <w:tr w:rsidR="00241B4E" w:rsidRPr="004B5D80" w:rsidTr="00B520A4">
        <w:trPr>
          <w:trHeight w:val="480"/>
          <w:jc w:val="center"/>
        </w:trPr>
        <w:tc>
          <w:tcPr>
            <w:tcW w:w="0" w:type="auto"/>
            <w:noWrap/>
            <w:vAlign w:val="center"/>
          </w:tcPr>
          <w:p w:rsidR="00241B4E" w:rsidRPr="003C681E" w:rsidRDefault="00D61E29" w:rsidP="00B520A4">
            <w:pPr>
              <w:widowControl/>
              <w:spacing w:after="0" w:line="240" w:lineRule="auto"/>
              <w:jc w:val="center"/>
              <w:rPr>
                <w:kern w:val="0"/>
                <w:sz w:val="20"/>
                <w:szCs w:val="20"/>
              </w:rPr>
            </w:pPr>
            <w:r w:rsidRPr="003C681E">
              <w:rPr>
                <w:kern w:val="0"/>
                <w:sz w:val="20"/>
                <w:szCs w:val="20"/>
              </w:rPr>
              <w:t>2010</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0.655</w:t>
            </w:r>
            <w:r w:rsidRPr="003C681E">
              <w:rPr>
                <w:rFonts w:eastAsia="MingLiU"/>
                <w:kern w:val="0"/>
                <w:sz w:val="20"/>
                <w:szCs w:val="20"/>
                <w:vertAlign w:val="superscript"/>
              </w:rPr>
              <w:t>a</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0.766</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0.294</w:t>
            </w:r>
          </w:p>
        </w:tc>
      </w:tr>
      <w:tr w:rsidR="00241B4E" w:rsidRPr="004B5D80" w:rsidTr="00B520A4">
        <w:trPr>
          <w:trHeight w:val="288"/>
          <w:jc w:val="center"/>
        </w:trPr>
        <w:tc>
          <w:tcPr>
            <w:tcW w:w="0" w:type="auto"/>
            <w:noWrap/>
            <w:vAlign w:val="center"/>
          </w:tcPr>
          <w:p w:rsidR="00241B4E" w:rsidRPr="003C681E" w:rsidRDefault="00D61E29" w:rsidP="00B520A4">
            <w:pPr>
              <w:widowControl/>
              <w:spacing w:after="0" w:line="240" w:lineRule="auto"/>
              <w:jc w:val="center"/>
              <w:rPr>
                <w:kern w:val="0"/>
                <w:sz w:val="20"/>
                <w:szCs w:val="20"/>
              </w:rPr>
            </w:pPr>
            <w:r w:rsidRPr="003C681E">
              <w:rPr>
                <w:kern w:val="0"/>
                <w:sz w:val="20"/>
                <w:szCs w:val="20"/>
              </w:rPr>
              <w:t>2011</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0.743</w:t>
            </w:r>
            <w:r w:rsidRPr="003C681E">
              <w:rPr>
                <w:rFonts w:eastAsia="MingLiU"/>
                <w:kern w:val="0"/>
                <w:sz w:val="20"/>
                <w:szCs w:val="20"/>
                <w:vertAlign w:val="superscript"/>
              </w:rPr>
              <w:t>a</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-1.377</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0.061</w:t>
            </w:r>
          </w:p>
        </w:tc>
      </w:tr>
      <w:tr w:rsidR="00241B4E" w:rsidRPr="004B5D80" w:rsidTr="00B520A4">
        <w:trPr>
          <w:trHeight w:val="276"/>
          <w:jc w:val="center"/>
        </w:trPr>
        <w:tc>
          <w:tcPr>
            <w:tcW w:w="0" w:type="auto"/>
            <w:noWrap/>
            <w:vAlign w:val="center"/>
          </w:tcPr>
          <w:p w:rsidR="00241B4E" w:rsidRPr="003C681E" w:rsidRDefault="00D61E29" w:rsidP="00B520A4">
            <w:pPr>
              <w:widowControl/>
              <w:spacing w:after="0" w:line="240" w:lineRule="auto"/>
              <w:jc w:val="center"/>
              <w:rPr>
                <w:kern w:val="0"/>
                <w:sz w:val="20"/>
                <w:szCs w:val="20"/>
              </w:rPr>
            </w:pPr>
            <w:r w:rsidRPr="003C681E">
              <w:rPr>
                <w:kern w:val="0"/>
                <w:sz w:val="20"/>
                <w:szCs w:val="20"/>
              </w:rPr>
              <w:t>2012</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0.624</w:t>
            </w:r>
            <w:r w:rsidRPr="003C681E">
              <w:rPr>
                <w:rFonts w:eastAsia="MingLiU"/>
                <w:kern w:val="0"/>
                <w:sz w:val="20"/>
                <w:szCs w:val="20"/>
                <w:vertAlign w:val="superscript"/>
              </w:rPr>
              <w:t>a</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3.992</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0.000</w:t>
            </w:r>
          </w:p>
        </w:tc>
      </w:tr>
      <w:tr w:rsidR="00241B4E" w:rsidRPr="004B5D80" w:rsidTr="00B520A4">
        <w:trPr>
          <w:trHeight w:val="276"/>
          <w:jc w:val="center"/>
        </w:trPr>
        <w:tc>
          <w:tcPr>
            <w:tcW w:w="0" w:type="auto"/>
            <w:noWrap/>
            <w:vAlign w:val="center"/>
          </w:tcPr>
          <w:p w:rsidR="00241B4E" w:rsidRPr="003C681E" w:rsidRDefault="00D61E29" w:rsidP="00B520A4">
            <w:pPr>
              <w:widowControl/>
              <w:spacing w:after="0" w:line="240" w:lineRule="auto"/>
              <w:jc w:val="center"/>
              <w:rPr>
                <w:kern w:val="0"/>
                <w:sz w:val="20"/>
                <w:szCs w:val="20"/>
              </w:rPr>
            </w:pPr>
            <w:r w:rsidRPr="003C681E">
              <w:rPr>
                <w:kern w:val="0"/>
                <w:sz w:val="20"/>
                <w:szCs w:val="20"/>
              </w:rPr>
              <w:t>2013</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0.619</w:t>
            </w:r>
            <w:r w:rsidRPr="003C681E">
              <w:rPr>
                <w:rFonts w:eastAsia="MingLiU"/>
                <w:kern w:val="0"/>
                <w:sz w:val="20"/>
                <w:szCs w:val="20"/>
                <w:vertAlign w:val="superscript"/>
              </w:rPr>
              <w:t>a</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4.641</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0.000</w:t>
            </w:r>
          </w:p>
        </w:tc>
      </w:tr>
      <w:tr w:rsidR="00241B4E" w:rsidRPr="004B5D80" w:rsidTr="00B520A4">
        <w:trPr>
          <w:trHeight w:val="288"/>
          <w:jc w:val="center"/>
        </w:trPr>
        <w:tc>
          <w:tcPr>
            <w:tcW w:w="0" w:type="auto"/>
            <w:noWrap/>
            <w:vAlign w:val="center"/>
          </w:tcPr>
          <w:p w:rsidR="00241B4E" w:rsidRPr="003C681E" w:rsidRDefault="00D61E29" w:rsidP="00B520A4">
            <w:pPr>
              <w:widowControl/>
              <w:spacing w:after="0" w:line="240" w:lineRule="auto"/>
              <w:jc w:val="center"/>
              <w:rPr>
                <w:kern w:val="0"/>
                <w:sz w:val="20"/>
                <w:szCs w:val="20"/>
              </w:rPr>
            </w:pPr>
            <w:r w:rsidRPr="003C681E">
              <w:rPr>
                <w:kern w:val="0"/>
                <w:sz w:val="20"/>
                <w:szCs w:val="20"/>
              </w:rPr>
              <w:t>2014</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0.941</w:t>
            </w:r>
            <w:r w:rsidRPr="003C681E">
              <w:rPr>
                <w:rFonts w:eastAsia="MingLiU"/>
                <w:kern w:val="0"/>
                <w:sz w:val="20"/>
                <w:szCs w:val="20"/>
                <w:vertAlign w:val="superscript"/>
              </w:rPr>
              <w:t>a</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3.365</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0.006</w:t>
            </w:r>
          </w:p>
        </w:tc>
      </w:tr>
      <w:tr w:rsidR="00241B4E" w:rsidRPr="004B5D80" w:rsidTr="00B520A4">
        <w:trPr>
          <w:trHeight w:val="288"/>
          <w:jc w:val="center"/>
        </w:trPr>
        <w:tc>
          <w:tcPr>
            <w:tcW w:w="0" w:type="auto"/>
            <w:noWrap/>
            <w:vAlign w:val="center"/>
          </w:tcPr>
          <w:p w:rsidR="00241B4E" w:rsidRPr="003C681E" w:rsidRDefault="00D61E29" w:rsidP="00B520A4">
            <w:pPr>
              <w:widowControl/>
              <w:spacing w:after="0" w:line="240" w:lineRule="auto"/>
              <w:jc w:val="center"/>
              <w:rPr>
                <w:kern w:val="0"/>
                <w:sz w:val="20"/>
                <w:szCs w:val="20"/>
              </w:rPr>
            </w:pPr>
            <w:r w:rsidRPr="003C681E">
              <w:rPr>
                <w:kern w:val="0"/>
                <w:sz w:val="20"/>
                <w:szCs w:val="20"/>
              </w:rPr>
              <w:t>2015</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0.926</w:t>
            </w:r>
            <w:r w:rsidRPr="003C681E">
              <w:rPr>
                <w:rFonts w:eastAsia="MingLiU"/>
                <w:kern w:val="0"/>
                <w:sz w:val="20"/>
                <w:szCs w:val="20"/>
                <w:vertAlign w:val="superscript"/>
              </w:rPr>
              <w:t>a</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7.988</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0.068</w:t>
            </w:r>
          </w:p>
        </w:tc>
      </w:tr>
      <w:tr w:rsidR="00241B4E" w:rsidRPr="004B5D80" w:rsidTr="00B520A4">
        <w:trPr>
          <w:trHeight w:val="288"/>
          <w:jc w:val="center"/>
        </w:trPr>
        <w:tc>
          <w:tcPr>
            <w:tcW w:w="0" w:type="auto"/>
            <w:noWrap/>
            <w:vAlign w:val="center"/>
          </w:tcPr>
          <w:p w:rsidR="00241B4E" w:rsidRPr="003C681E" w:rsidRDefault="00D61E29" w:rsidP="00B520A4">
            <w:pPr>
              <w:widowControl/>
              <w:spacing w:after="0" w:line="240" w:lineRule="auto"/>
              <w:jc w:val="center"/>
              <w:rPr>
                <w:kern w:val="0"/>
                <w:sz w:val="20"/>
                <w:szCs w:val="20"/>
              </w:rPr>
            </w:pPr>
            <w:r w:rsidRPr="003C681E">
              <w:rPr>
                <w:kern w:val="0"/>
                <w:sz w:val="20"/>
                <w:szCs w:val="20"/>
              </w:rPr>
              <w:t>2016</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0.911</w:t>
            </w:r>
            <w:r w:rsidRPr="003C681E">
              <w:rPr>
                <w:rFonts w:eastAsia="MingLiU"/>
                <w:kern w:val="0"/>
                <w:sz w:val="20"/>
                <w:szCs w:val="20"/>
                <w:vertAlign w:val="superscript"/>
              </w:rPr>
              <w:t>a</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7.478</w:t>
            </w:r>
          </w:p>
        </w:tc>
        <w:tc>
          <w:tcPr>
            <w:tcW w:w="0" w:type="auto"/>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0.437</w:t>
            </w:r>
          </w:p>
        </w:tc>
      </w:tr>
      <w:tr w:rsidR="004B5D80" w:rsidRPr="004B5D80" w:rsidTr="00B520A4">
        <w:trPr>
          <w:trHeight w:val="276"/>
          <w:jc w:val="center"/>
        </w:trPr>
        <w:tc>
          <w:tcPr>
            <w:tcW w:w="0" w:type="auto"/>
            <w:tcBorders>
              <w:bottom w:val="single" w:sz="12" w:space="0" w:color="auto"/>
            </w:tcBorders>
            <w:noWrap/>
            <w:vAlign w:val="center"/>
          </w:tcPr>
          <w:p w:rsidR="00241B4E" w:rsidRPr="003C681E" w:rsidRDefault="00D61E29" w:rsidP="00B520A4">
            <w:pPr>
              <w:widowControl/>
              <w:spacing w:after="0" w:line="240" w:lineRule="auto"/>
              <w:jc w:val="center"/>
              <w:rPr>
                <w:kern w:val="0"/>
                <w:sz w:val="20"/>
                <w:szCs w:val="20"/>
              </w:rPr>
            </w:pPr>
            <w:r w:rsidRPr="003C681E">
              <w:rPr>
                <w:kern w:val="0"/>
                <w:sz w:val="20"/>
                <w:szCs w:val="20"/>
              </w:rPr>
              <w:t>2017</w:t>
            </w:r>
          </w:p>
        </w:tc>
        <w:tc>
          <w:tcPr>
            <w:tcW w:w="0" w:type="auto"/>
            <w:tcBorders>
              <w:bottom w:val="single" w:sz="12" w:space="0" w:color="auto"/>
            </w:tcBorders>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0.959</w:t>
            </w:r>
            <w:r w:rsidRPr="003C681E">
              <w:rPr>
                <w:rFonts w:eastAsia="MingLiU"/>
                <w:kern w:val="0"/>
                <w:sz w:val="20"/>
                <w:szCs w:val="20"/>
                <w:vertAlign w:val="superscript"/>
              </w:rPr>
              <w:t>a</w:t>
            </w:r>
          </w:p>
        </w:tc>
        <w:tc>
          <w:tcPr>
            <w:tcW w:w="0" w:type="auto"/>
            <w:tcBorders>
              <w:bottom w:val="single" w:sz="12" w:space="0" w:color="auto"/>
            </w:tcBorders>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1.703</w:t>
            </w:r>
          </w:p>
        </w:tc>
        <w:tc>
          <w:tcPr>
            <w:tcW w:w="0" w:type="auto"/>
            <w:tcBorders>
              <w:bottom w:val="single" w:sz="12" w:space="0" w:color="auto"/>
            </w:tcBorders>
            <w:noWrap/>
            <w:vAlign w:val="center"/>
          </w:tcPr>
          <w:p w:rsidR="00241B4E" w:rsidRPr="003C681E" w:rsidRDefault="00D61E29" w:rsidP="00B520A4">
            <w:pPr>
              <w:widowControl/>
              <w:spacing w:after="0" w:line="240" w:lineRule="auto"/>
              <w:jc w:val="center"/>
              <w:rPr>
                <w:rFonts w:eastAsia="MingLiU"/>
                <w:kern w:val="0"/>
                <w:sz w:val="20"/>
                <w:szCs w:val="20"/>
              </w:rPr>
            </w:pPr>
            <w:r w:rsidRPr="003C681E">
              <w:rPr>
                <w:rFonts w:eastAsia="MingLiU"/>
                <w:kern w:val="0"/>
                <w:sz w:val="20"/>
                <w:szCs w:val="20"/>
              </w:rPr>
              <w:t>0.782</w:t>
            </w:r>
          </w:p>
        </w:tc>
      </w:tr>
    </w:tbl>
    <w:p w:rsidR="00B6422A" w:rsidRPr="00B6422A" w:rsidRDefault="00B6422A" w:rsidP="00E00BE1">
      <w:pPr>
        <w:spacing w:after="0" w:line="240" w:lineRule="auto"/>
        <w:ind w:left="1260" w:firstLine="420"/>
        <w:rPr>
          <w:sz w:val="20"/>
          <w:szCs w:val="20"/>
        </w:rPr>
      </w:pPr>
      <w:proofErr w:type="spellStart"/>
      <w:r w:rsidRPr="00B6422A">
        <w:rPr>
          <w:sz w:val="20"/>
          <w:szCs w:val="20"/>
          <w:vertAlign w:val="superscript"/>
        </w:rPr>
        <w:t>a</w:t>
      </w:r>
      <w:proofErr w:type="spellEnd"/>
      <w:r w:rsidRPr="00B6422A">
        <w:rPr>
          <w:sz w:val="20"/>
          <w:szCs w:val="20"/>
        </w:rPr>
        <w:t xml:space="preserve"> indicates significance levels at the 1%, based on two-tailed tests</w:t>
      </w:r>
    </w:p>
    <w:p w:rsidR="004B5D80" w:rsidRPr="004B5D80" w:rsidRDefault="004B5D80" w:rsidP="00B6422A">
      <w:pPr>
        <w:spacing w:after="0" w:line="240" w:lineRule="auto"/>
        <w:rPr>
          <w:szCs w:val="24"/>
        </w:rPr>
      </w:pPr>
    </w:p>
    <w:p w:rsidR="00241B4E" w:rsidRPr="004B5D80" w:rsidRDefault="00D61E29" w:rsidP="00D61E29">
      <w:pPr>
        <w:spacing w:after="0" w:line="240" w:lineRule="auto"/>
        <w:rPr>
          <w:szCs w:val="24"/>
        </w:rPr>
      </w:pPr>
      <w:r w:rsidRPr="004B5D80">
        <w:rPr>
          <w:szCs w:val="24"/>
        </w:rPr>
        <w:t xml:space="preserve">In </w:t>
      </w:r>
      <w:r w:rsidR="00B6422A">
        <w:rPr>
          <w:szCs w:val="24"/>
        </w:rPr>
        <w:t>sum</w:t>
      </w:r>
      <w:r w:rsidRPr="004B5D80">
        <w:rPr>
          <w:szCs w:val="24"/>
        </w:rPr>
        <w:t xml:space="preserve">, from 2009 to 2017, all results show the model and data match well and are effective. </w:t>
      </w:r>
      <w:r w:rsidR="00407FD2" w:rsidRPr="004B5D80">
        <w:rPr>
          <w:szCs w:val="24"/>
        </w:rPr>
        <w:t>Companies</w:t>
      </w:r>
      <w:r w:rsidRPr="004B5D80">
        <w:rPr>
          <w:szCs w:val="24"/>
        </w:rPr>
        <w:t xml:space="preserve"> are unlikely to make use of impairment provisions of doubtful accounts for earnings management. </w:t>
      </w:r>
      <w:r w:rsidR="00C27F2C">
        <w:rPr>
          <w:szCs w:val="24"/>
        </w:rPr>
        <w:t>Further</w:t>
      </w:r>
      <w:r w:rsidRPr="004B5D80">
        <w:rPr>
          <w:szCs w:val="24"/>
        </w:rPr>
        <w:t>more, with the implementation of modified accounting standards, the inclination of companies conducting earning managers by allowance for doubtful accounts is less and less.</w:t>
      </w:r>
    </w:p>
    <w:p w:rsidR="004B5D80" w:rsidRPr="004B5D80" w:rsidRDefault="004B5D80" w:rsidP="00D61E29">
      <w:pPr>
        <w:pStyle w:val="Heading2"/>
        <w:spacing w:after="0" w:line="240" w:lineRule="auto"/>
        <w:rPr>
          <w:szCs w:val="24"/>
        </w:rPr>
      </w:pPr>
      <w:bookmarkStart w:id="8" w:name="_Toc10818781"/>
    </w:p>
    <w:p w:rsidR="00241B4E" w:rsidRPr="00764948" w:rsidRDefault="003C681E" w:rsidP="00341E11">
      <w:pPr>
        <w:pStyle w:val="Heading2"/>
        <w:numPr>
          <w:ilvl w:val="1"/>
          <w:numId w:val="11"/>
        </w:numPr>
        <w:spacing w:after="0" w:line="240" w:lineRule="auto"/>
        <w:rPr>
          <w:b w:val="0"/>
          <w:szCs w:val="24"/>
        </w:rPr>
      </w:pPr>
      <w:r w:rsidRPr="00764948">
        <w:rPr>
          <w:b w:val="0"/>
          <w:szCs w:val="24"/>
        </w:rPr>
        <w:t>Hypothesis</w:t>
      </w:r>
      <w:r w:rsidR="00D61E29" w:rsidRPr="00764948">
        <w:rPr>
          <w:b w:val="0"/>
          <w:szCs w:val="24"/>
        </w:rPr>
        <w:t xml:space="preserve"> 3</w:t>
      </w:r>
      <w:bookmarkEnd w:id="8"/>
    </w:p>
    <w:p w:rsidR="00432086" w:rsidRDefault="00432086" w:rsidP="00D61E29">
      <w:pPr>
        <w:spacing w:after="0" w:line="240" w:lineRule="auto"/>
        <w:rPr>
          <w:szCs w:val="24"/>
        </w:rPr>
      </w:pPr>
    </w:p>
    <w:p w:rsidR="00241B4E" w:rsidRPr="004B5D80" w:rsidRDefault="00D61E29" w:rsidP="00D61E29">
      <w:pPr>
        <w:spacing w:after="0" w:line="240" w:lineRule="auto"/>
        <w:rPr>
          <w:szCs w:val="24"/>
        </w:rPr>
      </w:pPr>
      <w:r w:rsidRPr="004B5D80">
        <w:rPr>
          <w:szCs w:val="24"/>
        </w:rPr>
        <w:t xml:space="preserve">Based on </w:t>
      </w:r>
      <w:r w:rsidR="00E00BE1">
        <w:rPr>
          <w:szCs w:val="24"/>
        </w:rPr>
        <w:t xml:space="preserve">the </w:t>
      </w:r>
      <w:r w:rsidRPr="004B5D80">
        <w:rPr>
          <w:szCs w:val="24"/>
        </w:rPr>
        <w:t xml:space="preserve">previous analysis, after 2014 companies’ allowance for doubtful accounts witness changes because of accounting standards modification. Therefore, </w:t>
      </w:r>
      <w:r w:rsidR="00C27F2C">
        <w:rPr>
          <w:szCs w:val="24"/>
        </w:rPr>
        <w:t>data are</w:t>
      </w:r>
      <w:r w:rsidRPr="004B5D80">
        <w:rPr>
          <w:szCs w:val="24"/>
        </w:rPr>
        <w:t xml:space="preserve"> </w:t>
      </w:r>
      <w:r w:rsidRPr="004B5D80">
        <w:rPr>
          <w:szCs w:val="24"/>
        </w:rPr>
        <w:lastRenderedPageBreak/>
        <w:t>divide</w:t>
      </w:r>
      <w:r w:rsidR="00C27F2C">
        <w:rPr>
          <w:szCs w:val="24"/>
        </w:rPr>
        <w:t>d</w:t>
      </w:r>
      <w:r w:rsidRPr="004B5D80">
        <w:rPr>
          <w:szCs w:val="24"/>
        </w:rPr>
        <w:t xml:space="preserve"> into two parts. In the first part, we choose listed companies </w:t>
      </w:r>
      <w:r w:rsidR="003C681E">
        <w:rPr>
          <w:szCs w:val="24"/>
        </w:rPr>
        <w:t xml:space="preserve">for the period </w:t>
      </w:r>
      <w:r w:rsidRPr="004B5D80">
        <w:rPr>
          <w:szCs w:val="24"/>
        </w:rPr>
        <w:t>from 2009 to 2013</w:t>
      </w:r>
      <w:r w:rsidR="003C681E">
        <w:rPr>
          <w:szCs w:val="24"/>
        </w:rPr>
        <w:t xml:space="preserve"> and in</w:t>
      </w:r>
      <w:r w:rsidRPr="004B5D80">
        <w:rPr>
          <w:szCs w:val="24"/>
        </w:rPr>
        <w:t xml:space="preserve"> the second part, from 2014 to 2017.</w:t>
      </w:r>
    </w:p>
    <w:p w:rsidR="004B5D80" w:rsidRPr="004B5D80" w:rsidRDefault="004B5D80" w:rsidP="00D61E29">
      <w:pPr>
        <w:spacing w:after="0" w:line="240" w:lineRule="auto"/>
        <w:rPr>
          <w:szCs w:val="24"/>
        </w:rPr>
      </w:pPr>
    </w:p>
    <w:p w:rsidR="00241B4E" w:rsidRPr="004B5D80" w:rsidRDefault="003C681E" w:rsidP="00341E11">
      <w:pPr>
        <w:pStyle w:val="Heading3"/>
        <w:numPr>
          <w:ilvl w:val="2"/>
          <w:numId w:val="11"/>
        </w:numPr>
        <w:spacing w:after="0"/>
        <w:rPr>
          <w:szCs w:val="24"/>
        </w:rPr>
      </w:pPr>
      <w:r w:rsidRPr="00206832">
        <w:rPr>
          <w:szCs w:val="24"/>
        </w:rPr>
        <w:t xml:space="preserve">Descriptive </w:t>
      </w:r>
      <w:r w:rsidR="003255EC">
        <w:rPr>
          <w:szCs w:val="24"/>
        </w:rPr>
        <w:t>S</w:t>
      </w:r>
      <w:r w:rsidRPr="00206832">
        <w:rPr>
          <w:szCs w:val="24"/>
        </w:rPr>
        <w:t>ta</w:t>
      </w:r>
      <w:r>
        <w:rPr>
          <w:szCs w:val="24"/>
        </w:rPr>
        <w:t>tistics</w:t>
      </w:r>
    </w:p>
    <w:p w:rsidR="00432086" w:rsidRDefault="00432086" w:rsidP="00D61E29">
      <w:pPr>
        <w:spacing w:after="0" w:line="240" w:lineRule="auto"/>
        <w:rPr>
          <w:szCs w:val="24"/>
        </w:rPr>
      </w:pPr>
    </w:p>
    <w:p w:rsidR="00241B4E" w:rsidRPr="004B5D80" w:rsidRDefault="00122497" w:rsidP="00D61E29">
      <w:pPr>
        <w:spacing w:after="0" w:line="240" w:lineRule="auto"/>
        <w:rPr>
          <w:szCs w:val="24"/>
        </w:rPr>
      </w:pPr>
      <w:hyperlink r:id="rId13" w:anchor="tbl2" w:history="1">
        <w:r w:rsidR="00C27F2C" w:rsidRPr="00206832">
          <w:rPr>
            <w:szCs w:val="24"/>
          </w:rPr>
          <w:t>Table</w:t>
        </w:r>
        <w:r w:rsidR="00C27F2C">
          <w:rPr>
            <w:szCs w:val="24"/>
          </w:rPr>
          <w:t>s</w:t>
        </w:r>
        <w:r w:rsidR="00C27F2C" w:rsidRPr="00206832">
          <w:rPr>
            <w:szCs w:val="24"/>
          </w:rPr>
          <w:t xml:space="preserve"> </w:t>
        </w:r>
        <w:r w:rsidR="00C27F2C">
          <w:rPr>
            <w:szCs w:val="24"/>
          </w:rPr>
          <w:t>8</w:t>
        </w:r>
      </w:hyperlink>
      <w:r w:rsidR="00C27F2C" w:rsidRPr="00206832">
        <w:rPr>
          <w:szCs w:val="24"/>
        </w:rPr>
        <w:t xml:space="preserve"> present</w:t>
      </w:r>
      <w:r w:rsidR="00321195">
        <w:rPr>
          <w:szCs w:val="24"/>
        </w:rPr>
        <w:t>s</w:t>
      </w:r>
      <w:r w:rsidR="00C27F2C" w:rsidRPr="00206832">
        <w:rPr>
          <w:szCs w:val="24"/>
        </w:rPr>
        <w:t xml:space="preserve"> descriptive statistics for the variables </w:t>
      </w:r>
      <w:r w:rsidR="00A51885">
        <w:rPr>
          <w:szCs w:val="24"/>
        </w:rPr>
        <w:t>employed</w:t>
      </w:r>
      <w:r w:rsidR="00C27F2C" w:rsidRPr="00206832">
        <w:rPr>
          <w:szCs w:val="24"/>
        </w:rPr>
        <w:t xml:space="preserve"> to analyze the management of </w:t>
      </w:r>
      <w:r w:rsidR="00A51885" w:rsidRPr="004B5D80">
        <w:rPr>
          <w:szCs w:val="24"/>
        </w:rPr>
        <w:t>allowance for doubtful accounts</w:t>
      </w:r>
      <w:r w:rsidR="00C27F2C" w:rsidRPr="00206832">
        <w:rPr>
          <w:szCs w:val="24"/>
        </w:rPr>
        <w:t>.</w:t>
      </w:r>
      <w:r w:rsidR="00C27F2C">
        <w:rPr>
          <w:szCs w:val="24"/>
        </w:rPr>
        <w:t xml:space="preserve"> </w:t>
      </w:r>
      <w:r w:rsidR="00D61E29" w:rsidRPr="004B5D80">
        <w:rPr>
          <w:szCs w:val="24"/>
        </w:rPr>
        <w:t>Fo</w:t>
      </w:r>
      <w:r w:rsidR="00A51885">
        <w:rPr>
          <w:szCs w:val="24"/>
        </w:rPr>
        <w:t>r the period 2</w:t>
      </w:r>
      <w:r w:rsidR="00D61E29" w:rsidRPr="004B5D80">
        <w:rPr>
          <w:szCs w:val="24"/>
        </w:rPr>
        <w:t>009</w:t>
      </w:r>
      <w:r w:rsidR="00A51885">
        <w:rPr>
          <w:szCs w:val="24"/>
        </w:rPr>
        <w:t>-</w:t>
      </w:r>
      <w:r w:rsidR="00D61E29" w:rsidRPr="004B5D80">
        <w:rPr>
          <w:szCs w:val="24"/>
        </w:rPr>
        <w:t xml:space="preserve">2013, </w:t>
      </w:r>
      <w:r w:rsidR="00A51885">
        <w:rPr>
          <w:szCs w:val="24"/>
        </w:rPr>
        <w:t xml:space="preserve">there are </w:t>
      </w:r>
      <w:r w:rsidR="00D61E29" w:rsidRPr="004B5D80">
        <w:rPr>
          <w:szCs w:val="24"/>
        </w:rPr>
        <w:t xml:space="preserve">6707 samples </w:t>
      </w:r>
      <w:r w:rsidR="00A51885" w:rsidRPr="004B5D80">
        <w:rPr>
          <w:szCs w:val="24"/>
        </w:rPr>
        <w:t xml:space="preserve">for </w:t>
      </w:r>
      <w:r w:rsidR="00A51885">
        <w:rPr>
          <w:szCs w:val="24"/>
        </w:rPr>
        <w:t>analysis</w:t>
      </w:r>
      <w:r w:rsidR="00A51885" w:rsidRPr="004B5D80">
        <w:rPr>
          <w:szCs w:val="24"/>
        </w:rPr>
        <w:t xml:space="preserve"> </w:t>
      </w:r>
      <w:r w:rsidR="00A51885">
        <w:rPr>
          <w:szCs w:val="24"/>
        </w:rPr>
        <w:t xml:space="preserve">from the </w:t>
      </w:r>
      <w:r w:rsidR="00D61E29" w:rsidRPr="004B5D80">
        <w:rPr>
          <w:szCs w:val="24"/>
        </w:rPr>
        <w:t xml:space="preserve">Chinese listed companies in manufacturing industry, </w:t>
      </w:r>
      <w:r w:rsidR="00A51885">
        <w:rPr>
          <w:szCs w:val="24"/>
        </w:rPr>
        <w:t xml:space="preserve">and for the period 2014-2017 </w:t>
      </w:r>
      <w:r w:rsidR="00D61E29" w:rsidRPr="004B5D80">
        <w:rPr>
          <w:szCs w:val="24"/>
        </w:rPr>
        <w:t xml:space="preserve">only 831 samples are available for research. Based on </w:t>
      </w:r>
      <w:r w:rsidR="00C27F2C">
        <w:rPr>
          <w:szCs w:val="24"/>
        </w:rPr>
        <w:t>th</w:t>
      </w:r>
      <w:r w:rsidR="00A51885">
        <w:rPr>
          <w:szCs w:val="24"/>
        </w:rPr>
        <w:t>is</w:t>
      </w:r>
      <w:r w:rsidR="00C27F2C">
        <w:rPr>
          <w:szCs w:val="24"/>
        </w:rPr>
        <w:t xml:space="preserve"> </w:t>
      </w:r>
      <w:r w:rsidR="00A51885">
        <w:rPr>
          <w:szCs w:val="24"/>
        </w:rPr>
        <w:t>table</w:t>
      </w:r>
      <w:r w:rsidR="00D61E29" w:rsidRPr="004B5D80">
        <w:rPr>
          <w:szCs w:val="24"/>
        </w:rPr>
        <w:t>, the average amount of allowance for doubtful accounts has increased</w:t>
      </w:r>
      <w:r w:rsidR="00406CF7">
        <w:rPr>
          <w:szCs w:val="24"/>
        </w:rPr>
        <w:t>, on average,</w:t>
      </w:r>
      <w:r w:rsidR="00D61E29" w:rsidRPr="004B5D80">
        <w:rPr>
          <w:szCs w:val="24"/>
        </w:rPr>
        <w:t xml:space="preserve"> from 13</w:t>
      </w:r>
      <w:r w:rsidR="00C27F2C">
        <w:rPr>
          <w:szCs w:val="24"/>
        </w:rPr>
        <w:t>.83</w:t>
      </w:r>
      <w:r w:rsidR="00D61E29" w:rsidRPr="004B5D80">
        <w:rPr>
          <w:szCs w:val="24"/>
        </w:rPr>
        <w:t xml:space="preserve"> million</w:t>
      </w:r>
      <w:r w:rsidR="00C27F2C">
        <w:rPr>
          <w:szCs w:val="24"/>
        </w:rPr>
        <w:t xml:space="preserve"> </w:t>
      </w:r>
      <w:r w:rsidR="00C27F2C" w:rsidRPr="004B5D80">
        <w:rPr>
          <w:szCs w:val="24"/>
        </w:rPr>
        <w:t>to 72</w:t>
      </w:r>
      <w:r w:rsidR="00C27F2C">
        <w:rPr>
          <w:szCs w:val="24"/>
        </w:rPr>
        <w:t>.52</w:t>
      </w:r>
      <w:r w:rsidR="00406CF7">
        <w:rPr>
          <w:szCs w:val="24"/>
        </w:rPr>
        <w:t xml:space="preserve"> from the 2009-2013 period to the 2014-2017 one</w:t>
      </w:r>
      <w:r w:rsidR="00D74384">
        <w:rPr>
          <w:szCs w:val="24"/>
        </w:rPr>
        <w:t>, an increase of 425 percent</w:t>
      </w:r>
      <w:r w:rsidR="00D61E29" w:rsidRPr="004B5D80">
        <w:rPr>
          <w:szCs w:val="24"/>
        </w:rPr>
        <w:t xml:space="preserve">. However, ROE, leverage ratio and assets have not enjoyed huge expansion. </w:t>
      </w:r>
      <w:r w:rsidR="00A51885">
        <w:rPr>
          <w:szCs w:val="24"/>
        </w:rPr>
        <w:t xml:space="preserve">Perhaps, </w:t>
      </w:r>
      <w:r w:rsidR="00406CF7">
        <w:rPr>
          <w:szCs w:val="24"/>
        </w:rPr>
        <w:t>this</w:t>
      </w:r>
      <w:r w:rsidR="00C27F2C">
        <w:rPr>
          <w:szCs w:val="24"/>
        </w:rPr>
        <w:t xml:space="preserve"> i</w:t>
      </w:r>
      <w:r w:rsidR="00D61E29" w:rsidRPr="004B5D80">
        <w:rPr>
          <w:szCs w:val="24"/>
        </w:rPr>
        <w:t>s because they are the relative indexes which are more inclined to flat comparing with the absolute indexes.</w:t>
      </w:r>
    </w:p>
    <w:p w:rsidR="004B5D80" w:rsidRDefault="004B5D80" w:rsidP="00D61E29">
      <w:pPr>
        <w:spacing w:after="0" w:line="240" w:lineRule="auto"/>
        <w:rPr>
          <w:szCs w:val="24"/>
        </w:rPr>
      </w:pPr>
    </w:p>
    <w:p w:rsidR="00E00BE1" w:rsidRPr="004B5D80" w:rsidRDefault="00E00BE1" w:rsidP="00E00BE1">
      <w:pPr>
        <w:spacing w:after="0" w:line="240" w:lineRule="auto"/>
        <w:jc w:val="center"/>
        <w:rPr>
          <w:szCs w:val="24"/>
        </w:rPr>
      </w:pPr>
      <w:r w:rsidRPr="005177A4">
        <w:rPr>
          <w:b/>
          <w:bCs/>
          <w:kern w:val="0"/>
          <w:szCs w:val="24"/>
        </w:rPr>
        <w:t xml:space="preserve">Table </w:t>
      </w:r>
      <w:r w:rsidRPr="005177A4">
        <w:rPr>
          <w:rFonts w:eastAsia="PMingLiU"/>
          <w:b/>
          <w:bCs/>
          <w:kern w:val="0"/>
          <w:szCs w:val="24"/>
        </w:rPr>
        <w:t>8: Desc</w:t>
      </w:r>
      <w:r>
        <w:rPr>
          <w:rFonts w:eastAsia="PMingLiU"/>
          <w:b/>
          <w:bCs/>
          <w:kern w:val="0"/>
          <w:szCs w:val="24"/>
        </w:rPr>
        <w:t>ription Statistics</w:t>
      </w:r>
    </w:p>
    <w:tbl>
      <w:tblPr>
        <w:tblW w:w="5000" w:type="pct"/>
        <w:jc w:val="center"/>
        <w:tblLook w:val="04A0" w:firstRow="1" w:lastRow="0" w:firstColumn="1" w:lastColumn="0" w:noHBand="0" w:noVBand="1"/>
      </w:tblPr>
      <w:tblGrid>
        <w:gridCol w:w="961"/>
        <w:gridCol w:w="1532"/>
        <w:gridCol w:w="966"/>
        <w:gridCol w:w="1939"/>
        <w:gridCol w:w="1326"/>
        <w:gridCol w:w="1066"/>
        <w:gridCol w:w="516"/>
      </w:tblGrid>
      <w:tr w:rsidR="00406CF7" w:rsidRPr="004B5D80" w:rsidTr="00B520A4">
        <w:trPr>
          <w:trHeight w:val="388"/>
          <w:jc w:val="center"/>
        </w:trPr>
        <w:tc>
          <w:tcPr>
            <w:tcW w:w="578" w:type="pct"/>
            <w:tcBorders>
              <w:top w:val="single" w:sz="12" w:space="0" w:color="auto"/>
              <w:bottom w:val="single" w:sz="12" w:space="0" w:color="auto"/>
            </w:tcBorders>
            <w:noWrap/>
            <w:vAlign w:val="center"/>
          </w:tcPr>
          <w:p w:rsidR="00406CF7" w:rsidRPr="004B5D80" w:rsidRDefault="00406CF7" w:rsidP="00B520A4">
            <w:pPr>
              <w:widowControl/>
              <w:spacing w:after="0" w:line="240" w:lineRule="auto"/>
              <w:jc w:val="center"/>
              <w:rPr>
                <w:rFonts w:eastAsia="PMingLiU"/>
                <w:b/>
                <w:bCs/>
                <w:kern w:val="0"/>
                <w:sz w:val="20"/>
                <w:szCs w:val="20"/>
              </w:rPr>
            </w:pPr>
          </w:p>
        </w:tc>
        <w:tc>
          <w:tcPr>
            <w:tcW w:w="2672" w:type="pct"/>
            <w:gridSpan w:val="3"/>
            <w:tcBorders>
              <w:top w:val="single" w:sz="12" w:space="0" w:color="auto"/>
              <w:bottom w:val="single" w:sz="12" w:space="0" w:color="auto"/>
            </w:tcBorders>
            <w:vAlign w:val="center"/>
          </w:tcPr>
          <w:p w:rsidR="00406CF7" w:rsidRPr="00E00BE1" w:rsidRDefault="00406CF7" w:rsidP="00B520A4">
            <w:pPr>
              <w:widowControl/>
              <w:spacing w:after="0" w:line="240" w:lineRule="auto"/>
              <w:jc w:val="center"/>
              <w:rPr>
                <w:rFonts w:eastAsia="MingLiU"/>
                <w:kern w:val="0"/>
                <w:sz w:val="20"/>
                <w:szCs w:val="20"/>
              </w:rPr>
            </w:pPr>
            <w:r w:rsidRPr="00E00BE1">
              <w:rPr>
                <w:rFonts w:eastAsia="PMingLiU"/>
                <w:b/>
                <w:bCs/>
                <w:kern w:val="0"/>
                <w:sz w:val="20"/>
                <w:szCs w:val="20"/>
              </w:rPr>
              <w:t>2009-2013</w:t>
            </w:r>
          </w:p>
        </w:tc>
        <w:tc>
          <w:tcPr>
            <w:tcW w:w="1750" w:type="pct"/>
            <w:gridSpan w:val="3"/>
            <w:tcBorders>
              <w:top w:val="single" w:sz="12" w:space="0" w:color="auto"/>
              <w:bottom w:val="single" w:sz="12" w:space="0" w:color="auto"/>
            </w:tcBorders>
            <w:vAlign w:val="center"/>
          </w:tcPr>
          <w:p w:rsidR="00406CF7" w:rsidRPr="00E00BE1" w:rsidRDefault="00406CF7" w:rsidP="00B520A4">
            <w:pPr>
              <w:widowControl/>
              <w:spacing w:after="0" w:line="240" w:lineRule="auto"/>
              <w:jc w:val="center"/>
              <w:rPr>
                <w:rFonts w:eastAsia="MingLiU"/>
                <w:kern w:val="0"/>
                <w:sz w:val="20"/>
                <w:szCs w:val="20"/>
              </w:rPr>
            </w:pPr>
            <w:r w:rsidRPr="00E00BE1">
              <w:rPr>
                <w:rFonts w:eastAsia="PMingLiU"/>
                <w:b/>
                <w:bCs/>
                <w:kern w:val="0"/>
                <w:sz w:val="20"/>
                <w:szCs w:val="20"/>
              </w:rPr>
              <w:t>2014-2017</w:t>
            </w:r>
          </w:p>
        </w:tc>
      </w:tr>
      <w:tr w:rsidR="00E00BE1" w:rsidRPr="004B5D80" w:rsidTr="00B520A4">
        <w:trPr>
          <w:trHeight w:val="480"/>
          <w:jc w:val="center"/>
        </w:trPr>
        <w:tc>
          <w:tcPr>
            <w:tcW w:w="578" w:type="pct"/>
            <w:tcBorders>
              <w:top w:val="single" w:sz="12" w:space="0" w:color="auto"/>
              <w:bottom w:val="single" w:sz="4" w:space="0" w:color="auto"/>
            </w:tcBorders>
            <w:noWrap/>
            <w:vAlign w:val="center"/>
          </w:tcPr>
          <w:p w:rsidR="00406CF7" w:rsidRPr="004B5D80" w:rsidRDefault="00321195" w:rsidP="00B520A4">
            <w:pPr>
              <w:widowControl/>
              <w:spacing w:after="0" w:line="240" w:lineRule="auto"/>
              <w:jc w:val="center"/>
              <w:rPr>
                <w:rFonts w:eastAsia="PMingLiU"/>
                <w:b/>
                <w:bCs/>
                <w:kern w:val="0"/>
                <w:sz w:val="20"/>
                <w:szCs w:val="20"/>
              </w:rPr>
            </w:pPr>
            <w:r>
              <w:rPr>
                <w:rFonts w:eastAsiaTheme="minorEastAsia" w:hint="eastAsia"/>
                <w:b/>
                <w:bCs/>
                <w:kern w:val="0"/>
                <w:sz w:val="20"/>
                <w:szCs w:val="20"/>
              </w:rPr>
              <w:t>Variable</w:t>
            </w:r>
          </w:p>
        </w:tc>
        <w:tc>
          <w:tcPr>
            <w:tcW w:w="923" w:type="pct"/>
            <w:tcBorders>
              <w:top w:val="single" w:sz="12" w:space="0" w:color="auto"/>
              <w:bottom w:val="single" w:sz="4" w:space="0" w:color="auto"/>
            </w:tcBorders>
            <w:vAlign w:val="center"/>
          </w:tcPr>
          <w:p w:rsidR="00406CF7" w:rsidRPr="00321195" w:rsidRDefault="00406CF7" w:rsidP="00B520A4">
            <w:pPr>
              <w:widowControl/>
              <w:spacing w:after="0" w:line="240" w:lineRule="auto"/>
              <w:jc w:val="center"/>
              <w:rPr>
                <w:rFonts w:eastAsia="MingLiU"/>
                <w:b/>
                <w:kern w:val="0"/>
                <w:sz w:val="20"/>
                <w:szCs w:val="20"/>
              </w:rPr>
            </w:pPr>
            <w:r w:rsidRPr="00321195">
              <w:rPr>
                <w:rFonts w:eastAsia="MingLiU"/>
                <w:b/>
                <w:kern w:val="0"/>
                <w:sz w:val="20"/>
                <w:szCs w:val="20"/>
              </w:rPr>
              <w:t>Average (million)</w:t>
            </w:r>
          </w:p>
        </w:tc>
        <w:tc>
          <w:tcPr>
            <w:tcW w:w="582" w:type="pct"/>
            <w:tcBorders>
              <w:top w:val="single" w:sz="12" w:space="0" w:color="auto"/>
              <w:bottom w:val="single" w:sz="4" w:space="0" w:color="auto"/>
            </w:tcBorders>
            <w:vAlign w:val="center"/>
          </w:tcPr>
          <w:p w:rsidR="00406CF7" w:rsidRPr="00321195" w:rsidRDefault="00406CF7" w:rsidP="00B520A4">
            <w:pPr>
              <w:widowControl/>
              <w:spacing w:after="0" w:line="240" w:lineRule="auto"/>
              <w:jc w:val="center"/>
              <w:rPr>
                <w:rFonts w:eastAsia="MingLiU"/>
                <w:b/>
                <w:kern w:val="0"/>
                <w:sz w:val="20"/>
                <w:szCs w:val="20"/>
              </w:rPr>
            </w:pPr>
            <w:r w:rsidRPr="00321195">
              <w:rPr>
                <w:rFonts w:eastAsia="MingLiU"/>
                <w:b/>
                <w:kern w:val="0"/>
                <w:sz w:val="20"/>
                <w:szCs w:val="20"/>
              </w:rPr>
              <w:t>SD</w:t>
            </w:r>
          </w:p>
        </w:tc>
        <w:tc>
          <w:tcPr>
            <w:tcW w:w="1167" w:type="pct"/>
            <w:tcBorders>
              <w:top w:val="single" w:sz="12" w:space="0" w:color="auto"/>
              <w:bottom w:val="single" w:sz="4" w:space="0" w:color="auto"/>
            </w:tcBorders>
            <w:vAlign w:val="center"/>
          </w:tcPr>
          <w:p w:rsidR="00406CF7" w:rsidRPr="00321195" w:rsidRDefault="00406CF7" w:rsidP="00B520A4">
            <w:pPr>
              <w:widowControl/>
              <w:spacing w:after="0" w:line="240" w:lineRule="auto"/>
              <w:jc w:val="center"/>
              <w:rPr>
                <w:rFonts w:eastAsia="MingLiU"/>
                <w:b/>
                <w:kern w:val="0"/>
                <w:sz w:val="20"/>
                <w:szCs w:val="20"/>
              </w:rPr>
            </w:pPr>
            <w:r w:rsidRPr="00321195">
              <w:rPr>
                <w:rFonts w:eastAsia="MingLiU"/>
                <w:b/>
                <w:kern w:val="0"/>
                <w:sz w:val="20"/>
                <w:szCs w:val="20"/>
              </w:rPr>
              <w:t>N</w:t>
            </w:r>
          </w:p>
        </w:tc>
        <w:tc>
          <w:tcPr>
            <w:tcW w:w="798" w:type="pct"/>
            <w:tcBorders>
              <w:top w:val="single" w:sz="12" w:space="0" w:color="auto"/>
              <w:bottom w:val="single" w:sz="4" w:space="0" w:color="auto"/>
            </w:tcBorders>
            <w:vAlign w:val="center"/>
          </w:tcPr>
          <w:p w:rsidR="00406CF7" w:rsidRPr="00321195" w:rsidRDefault="00406CF7" w:rsidP="00B520A4">
            <w:pPr>
              <w:widowControl/>
              <w:spacing w:after="0" w:line="240" w:lineRule="auto"/>
              <w:jc w:val="center"/>
              <w:rPr>
                <w:rFonts w:eastAsia="MingLiU"/>
                <w:b/>
                <w:kern w:val="0"/>
                <w:sz w:val="20"/>
                <w:szCs w:val="20"/>
              </w:rPr>
            </w:pPr>
            <w:r w:rsidRPr="00321195">
              <w:rPr>
                <w:rFonts w:eastAsia="MingLiU"/>
                <w:b/>
                <w:kern w:val="0"/>
                <w:sz w:val="20"/>
                <w:szCs w:val="20"/>
              </w:rPr>
              <w:t>Average (million)</w:t>
            </w:r>
          </w:p>
        </w:tc>
        <w:tc>
          <w:tcPr>
            <w:tcW w:w="642" w:type="pct"/>
            <w:tcBorders>
              <w:top w:val="single" w:sz="12" w:space="0" w:color="auto"/>
              <w:bottom w:val="single" w:sz="4" w:space="0" w:color="auto"/>
            </w:tcBorders>
            <w:vAlign w:val="center"/>
          </w:tcPr>
          <w:p w:rsidR="00406CF7" w:rsidRPr="00321195" w:rsidRDefault="00406CF7" w:rsidP="00B520A4">
            <w:pPr>
              <w:widowControl/>
              <w:spacing w:after="0" w:line="240" w:lineRule="auto"/>
              <w:jc w:val="center"/>
              <w:rPr>
                <w:rFonts w:eastAsia="MingLiU"/>
                <w:b/>
                <w:kern w:val="0"/>
                <w:sz w:val="20"/>
                <w:szCs w:val="20"/>
              </w:rPr>
            </w:pPr>
            <w:r w:rsidRPr="00321195">
              <w:rPr>
                <w:rFonts w:eastAsia="MingLiU"/>
                <w:b/>
                <w:kern w:val="0"/>
                <w:sz w:val="20"/>
                <w:szCs w:val="20"/>
              </w:rPr>
              <w:t>SD</w:t>
            </w:r>
          </w:p>
        </w:tc>
        <w:tc>
          <w:tcPr>
            <w:tcW w:w="311" w:type="pct"/>
            <w:tcBorders>
              <w:top w:val="single" w:sz="12" w:space="0" w:color="auto"/>
              <w:bottom w:val="single" w:sz="4" w:space="0" w:color="auto"/>
            </w:tcBorders>
            <w:vAlign w:val="center"/>
          </w:tcPr>
          <w:p w:rsidR="00406CF7" w:rsidRPr="00321195" w:rsidRDefault="00406CF7" w:rsidP="00B520A4">
            <w:pPr>
              <w:widowControl/>
              <w:spacing w:after="0" w:line="240" w:lineRule="auto"/>
              <w:jc w:val="center"/>
              <w:rPr>
                <w:rFonts w:eastAsia="MingLiU"/>
                <w:b/>
                <w:kern w:val="0"/>
                <w:sz w:val="20"/>
                <w:szCs w:val="20"/>
              </w:rPr>
            </w:pPr>
            <w:r w:rsidRPr="00321195">
              <w:rPr>
                <w:rFonts w:eastAsia="MingLiU"/>
                <w:b/>
                <w:kern w:val="0"/>
                <w:sz w:val="20"/>
                <w:szCs w:val="20"/>
              </w:rPr>
              <w:t>N</w:t>
            </w:r>
          </w:p>
        </w:tc>
      </w:tr>
      <w:tr w:rsidR="00406CF7" w:rsidRPr="004B5D80" w:rsidTr="00B520A4">
        <w:trPr>
          <w:trHeight w:val="276"/>
          <w:jc w:val="center"/>
        </w:trPr>
        <w:tc>
          <w:tcPr>
            <w:tcW w:w="578" w:type="pct"/>
            <w:tcBorders>
              <w:top w:val="single" w:sz="4" w:space="0" w:color="auto"/>
              <w:bottom w:val="nil"/>
            </w:tcBorders>
            <w:vAlign w:val="center"/>
          </w:tcPr>
          <w:p w:rsidR="00406CF7" w:rsidRPr="00321195" w:rsidRDefault="00406CF7" w:rsidP="00B520A4">
            <w:pPr>
              <w:widowControl/>
              <w:spacing w:after="0" w:line="240" w:lineRule="auto"/>
              <w:jc w:val="center"/>
              <w:rPr>
                <w:rFonts w:eastAsia="MingLiU"/>
                <w:b/>
                <w:kern w:val="0"/>
                <w:sz w:val="20"/>
                <w:szCs w:val="20"/>
              </w:rPr>
            </w:pPr>
            <w:r w:rsidRPr="00321195">
              <w:rPr>
                <w:rFonts w:eastAsia="MingLiU"/>
                <w:b/>
                <w:kern w:val="0"/>
                <w:sz w:val="20"/>
                <w:szCs w:val="20"/>
              </w:rPr>
              <w:t>P</w:t>
            </w:r>
          </w:p>
        </w:tc>
        <w:tc>
          <w:tcPr>
            <w:tcW w:w="923" w:type="pct"/>
            <w:tcBorders>
              <w:top w:val="single" w:sz="4" w:space="0" w:color="auto"/>
              <w:bottom w:val="nil"/>
            </w:tcBorders>
            <w:noWrap/>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13.8270</w:t>
            </w:r>
          </w:p>
        </w:tc>
        <w:tc>
          <w:tcPr>
            <w:tcW w:w="582" w:type="pct"/>
            <w:tcBorders>
              <w:top w:val="single" w:sz="4" w:space="0" w:color="auto"/>
              <w:bottom w:val="nil"/>
            </w:tcBorders>
            <w:noWrap/>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57.59484</w:t>
            </w:r>
          </w:p>
        </w:tc>
        <w:tc>
          <w:tcPr>
            <w:tcW w:w="1167" w:type="pct"/>
            <w:tcBorders>
              <w:top w:val="single" w:sz="4" w:space="0" w:color="auto"/>
              <w:bottom w:val="nil"/>
            </w:tcBorders>
            <w:noWrap/>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6707</w:t>
            </w:r>
          </w:p>
        </w:tc>
        <w:tc>
          <w:tcPr>
            <w:tcW w:w="798" w:type="pct"/>
            <w:tcBorders>
              <w:top w:val="single" w:sz="4" w:space="0" w:color="auto"/>
              <w:bottom w:val="nil"/>
            </w:tcBorders>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72.5158</w:t>
            </w:r>
          </w:p>
        </w:tc>
        <w:tc>
          <w:tcPr>
            <w:tcW w:w="642" w:type="pct"/>
            <w:tcBorders>
              <w:top w:val="single" w:sz="4" w:space="0" w:color="auto"/>
              <w:bottom w:val="nil"/>
            </w:tcBorders>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294.87813</w:t>
            </w:r>
          </w:p>
        </w:tc>
        <w:tc>
          <w:tcPr>
            <w:tcW w:w="311" w:type="pct"/>
            <w:tcBorders>
              <w:top w:val="single" w:sz="4" w:space="0" w:color="auto"/>
              <w:bottom w:val="nil"/>
            </w:tcBorders>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831</w:t>
            </w:r>
          </w:p>
        </w:tc>
      </w:tr>
      <w:tr w:rsidR="00406CF7" w:rsidRPr="004B5D80" w:rsidTr="00B520A4">
        <w:trPr>
          <w:trHeight w:val="276"/>
          <w:jc w:val="center"/>
        </w:trPr>
        <w:tc>
          <w:tcPr>
            <w:tcW w:w="578" w:type="pct"/>
            <w:tcBorders>
              <w:top w:val="nil"/>
              <w:bottom w:val="nil"/>
            </w:tcBorders>
            <w:vAlign w:val="center"/>
          </w:tcPr>
          <w:p w:rsidR="00406CF7" w:rsidRPr="00321195" w:rsidRDefault="00406CF7" w:rsidP="00B520A4">
            <w:pPr>
              <w:widowControl/>
              <w:spacing w:after="0" w:line="240" w:lineRule="auto"/>
              <w:jc w:val="center"/>
              <w:rPr>
                <w:rFonts w:eastAsia="MingLiU"/>
                <w:b/>
                <w:kern w:val="0"/>
                <w:sz w:val="20"/>
                <w:szCs w:val="20"/>
              </w:rPr>
            </w:pPr>
            <w:r w:rsidRPr="00321195">
              <w:rPr>
                <w:rFonts w:eastAsia="MingLiU"/>
                <w:b/>
                <w:kern w:val="0"/>
                <w:sz w:val="20"/>
                <w:szCs w:val="20"/>
              </w:rPr>
              <w:t>ROE</w:t>
            </w:r>
          </w:p>
        </w:tc>
        <w:tc>
          <w:tcPr>
            <w:tcW w:w="923" w:type="pct"/>
            <w:tcBorders>
              <w:top w:val="nil"/>
              <w:bottom w:val="nil"/>
            </w:tcBorders>
            <w:noWrap/>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.0992</w:t>
            </w:r>
          </w:p>
        </w:tc>
        <w:tc>
          <w:tcPr>
            <w:tcW w:w="582" w:type="pct"/>
            <w:tcBorders>
              <w:top w:val="nil"/>
              <w:bottom w:val="nil"/>
            </w:tcBorders>
            <w:noWrap/>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.20608</w:t>
            </w:r>
          </w:p>
        </w:tc>
        <w:tc>
          <w:tcPr>
            <w:tcW w:w="1167" w:type="pct"/>
            <w:tcBorders>
              <w:top w:val="nil"/>
              <w:bottom w:val="nil"/>
            </w:tcBorders>
            <w:noWrap/>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6707</w:t>
            </w:r>
          </w:p>
        </w:tc>
        <w:tc>
          <w:tcPr>
            <w:tcW w:w="798" w:type="pct"/>
            <w:tcBorders>
              <w:top w:val="nil"/>
              <w:bottom w:val="nil"/>
            </w:tcBorders>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.1025</w:t>
            </w:r>
          </w:p>
        </w:tc>
        <w:tc>
          <w:tcPr>
            <w:tcW w:w="642" w:type="pct"/>
            <w:tcBorders>
              <w:top w:val="nil"/>
              <w:bottom w:val="nil"/>
            </w:tcBorders>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.21228</w:t>
            </w:r>
          </w:p>
        </w:tc>
        <w:tc>
          <w:tcPr>
            <w:tcW w:w="311" w:type="pct"/>
            <w:tcBorders>
              <w:top w:val="nil"/>
              <w:bottom w:val="nil"/>
            </w:tcBorders>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831</w:t>
            </w:r>
          </w:p>
        </w:tc>
      </w:tr>
      <w:tr w:rsidR="00406CF7" w:rsidRPr="004B5D80" w:rsidTr="00B520A4">
        <w:trPr>
          <w:trHeight w:val="276"/>
          <w:jc w:val="center"/>
        </w:trPr>
        <w:tc>
          <w:tcPr>
            <w:tcW w:w="578" w:type="pct"/>
            <w:tcBorders>
              <w:top w:val="nil"/>
            </w:tcBorders>
            <w:vAlign w:val="center"/>
          </w:tcPr>
          <w:p w:rsidR="00406CF7" w:rsidRPr="00321195" w:rsidRDefault="00406CF7" w:rsidP="00B520A4">
            <w:pPr>
              <w:widowControl/>
              <w:spacing w:after="0" w:line="240" w:lineRule="auto"/>
              <w:jc w:val="center"/>
              <w:rPr>
                <w:rFonts w:eastAsia="MingLiU"/>
                <w:b/>
                <w:kern w:val="0"/>
                <w:sz w:val="20"/>
                <w:szCs w:val="20"/>
              </w:rPr>
            </w:pPr>
            <w:r w:rsidRPr="00321195">
              <w:rPr>
                <w:rFonts w:eastAsia="MingLiU"/>
                <w:b/>
                <w:kern w:val="0"/>
                <w:sz w:val="20"/>
                <w:szCs w:val="20"/>
              </w:rPr>
              <w:t>Lev</w:t>
            </w:r>
          </w:p>
        </w:tc>
        <w:tc>
          <w:tcPr>
            <w:tcW w:w="923" w:type="pct"/>
            <w:tcBorders>
              <w:top w:val="nil"/>
            </w:tcBorders>
            <w:noWrap/>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.4419</w:t>
            </w:r>
          </w:p>
        </w:tc>
        <w:tc>
          <w:tcPr>
            <w:tcW w:w="582" w:type="pct"/>
            <w:tcBorders>
              <w:top w:val="nil"/>
            </w:tcBorders>
            <w:noWrap/>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.65415</w:t>
            </w:r>
          </w:p>
        </w:tc>
        <w:tc>
          <w:tcPr>
            <w:tcW w:w="1167" w:type="pct"/>
            <w:tcBorders>
              <w:top w:val="nil"/>
            </w:tcBorders>
            <w:noWrap/>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6707</w:t>
            </w:r>
          </w:p>
        </w:tc>
        <w:tc>
          <w:tcPr>
            <w:tcW w:w="798" w:type="pct"/>
            <w:tcBorders>
              <w:top w:val="nil"/>
            </w:tcBorders>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.4550</w:t>
            </w:r>
          </w:p>
        </w:tc>
        <w:tc>
          <w:tcPr>
            <w:tcW w:w="642" w:type="pct"/>
            <w:tcBorders>
              <w:top w:val="nil"/>
            </w:tcBorders>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.19326</w:t>
            </w:r>
          </w:p>
        </w:tc>
        <w:tc>
          <w:tcPr>
            <w:tcW w:w="311" w:type="pct"/>
            <w:tcBorders>
              <w:top w:val="nil"/>
            </w:tcBorders>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831</w:t>
            </w:r>
          </w:p>
        </w:tc>
      </w:tr>
      <w:tr w:rsidR="00406CF7" w:rsidRPr="004B5D80" w:rsidTr="00B520A4">
        <w:trPr>
          <w:trHeight w:val="288"/>
          <w:jc w:val="center"/>
        </w:trPr>
        <w:tc>
          <w:tcPr>
            <w:tcW w:w="578" w:type="pct"/>
            <w:tcBorders>
              <w:top w:val="nil"/>
              <w:bottom w:val="single" w:sz="12" w:space="0" w:color="auto"/>
            </w:tcBorders>
            <w:vAlign w:val="center"/>
          </w:tcPr>
          <w:p w:rsidR="00406CF7" w:rsidRPr="00321195" w:rsidRDefault="00406CF7" w:rsidP="00B520A4">
            <w:pPr>
              <w:widowControl/>
              <w:spacing w:after="0" w:line="240" w:lineRule="auto"/>
              <w:jc w:val="center"/>
              <w:rPr>
                <w:rFonts w:eastAsia="MingLiU"/>
                <w:b/>
                <w:kern w:val="0"/>
                <w:sz w:val="20"/>
                <w:szCs w:val="20"/>
              </w:rPr>
            </w:pPr>
            <w:r w:rsidRPr="00321195">
              <w:rPr>
                <w:rFonts w:eastAsia="MingLiU"/>
                <w:b/>
                <w:kern w:val="0"/>
                <w:sz w:val="20"/>
                <w:szCs w:val="20"/>
              </w:rPr>
              <w:t>Assets</w:t>
            </w:r>
          </w:p>
        </w:tc>
        <w:tc>
          <w:tcPr>
            <w:tcW w:w="923" w:type="pct"/>
            <w:tcBorders>
              <w:top w:val="nil"/>
              <w:bottom w:val="single" w:sz="12" w:space="0" w:color="auto"/>
            </w:tcBorders>
            <w:noWrap/>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9.3365</w:t>
            </w:r>
          </w:p>
        </w:tc>
        <w:tc>
          <w:tcPr>
            <w:tcW w:w="582" w:type="pct"/>
            <w:tcBorders>
              <w:top w:val="nil"/>
              <w:bottom w:val="single" w:sz="12" w:space="0" w:color="auto"/>
            </w:tcBorders>
            <w:noWrap/>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.53065</w:t>
            </w:r>
          </w:p>
        </w:tc>
        <w:tc>
          <w:tcPr>
            <w:tcW w:w="1167" w:type="pct"/>
            <w:tcBorders>
              <w:top w:val="nil"/>
              <w:bottom w:val="single" w:sz="12" w:space="0" w:color="auto"/>
            </w:tcBorders>
            <w:noWrap/>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6707</w:t>
            </w:r>
          </w:p>
        </w:tc>
        <w:tc>
          <w:tcPr>
            <w:tcW w:w="798" w:type="pct"/>
            <w:tcBorders>
              <w:top w:val="nil"/>
              <w:bottom w:val="single" w:sz="12" w:space="0" w:color="auto"/>
            </w:tcBorders>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9.6351</w:t>
            </w:r>
          </w:p>
        </w:tc>
        <w:tc>
          <w:tcPr>
            <w:tcW w:w="642" w:type="pct"/>
            <w:tcBorders>
              <w:top w:val="nil"/>
              <w:bottom w:val="single" w:sz="12" w:space="0" w:color="auto"/>
            </w:tcBorders>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.74024</w:t>
            </w:r>
          </w:p>
        </w:tc>
        <w:tc>
          <w:tcPr>
            <w:tcW w:w="311" w:type="pct"/>
            <w:tcBorders>
              <w:top w:val="nil"/>
              <w:bottom w:val="single" w:sz="12" w:space="0" w:color="auto"/>
            </w:tcBorders>
            <w:vAlign w:val="center"/>
          </w:tcPr>
          <w:p w:rsidR="00406CF7" w:rsidRPr="004B5D80" w:rsidRDefault="00406CF7" w:rsidP="00B520A4">
            <w:pPr>
              <w:widowControl/>
              <w:spacing w:after="0" w:line="240" w:lineRule="auto"/>
              <w:jc w:val="center"/>
              <w:rPr>
                <w:rFonts w:eastAsia="MingLiU"/>
                <w:kern w:val="0"/>
                <w:sz w:val="20"/>
                <w:szCs w:val="20"/>
              </w:rPr>
            </w:pPr>
            <w:r w:rsidRPr="004B5D80">
              <w:rPr>
                <w:rFonts w:eastAsia="MingLiU"/>
                <w:kern w:val="0"/>
                <w:sz w:val="20"/>
                <w:szCs w:val="20"/>
              </w:rPr>
              <w:t>831</w:t>
            </w:r>
          </w:p>
        </w:tc>
      </w:tr>
    </w:tbl>
    <w:p w:rsidR="00241B4E" w:rsidRPr="004B5D80" w:rsidRDefault="00241B4E" w:rsidP="00D61E29">
      <w:pPr>
        <w:spacing w:after="0" w:line="240" w:lineRule="auto"/>
        <w:rPr>
          <w:szCs w:val="24"/>
        </w:rPr>
      </w:pPr>
    </w:p>
    <w:p w:rsidR="00241B4E" w:rsidRPr="004B5D80" w:rsidRDefault="00D61E29" w:rsidP="00341E11">
      <w:pPr>
        <w:pStyle w:val="Heading3"/>
        <w:numPr>
          <w:ilvl w:val="2"/>
          <w:numId w:val="11"/>
        </w:numPr>
        <w:spacing w:after="0"/>
        <w:rPr>
          <w:szCs w:val="24"/>
        </w:rPr>
      </w:pPr>
      <w:bookmarkStart w:id="9" w:name="_Toc10818783"/>
      <w:r w:rsidRPr="004B5D80">
        <w:rPr>
          <w:szCs w:val="24"/>
        </w:rPr>
        <w:t xml:space="preserve">Regression </w:t>
      </w:r>
      <w:r w:rsidR="003255EC">
        <w:rPr>
          <w:szCs w:val="24"/>
        </w:rPr>
        <w:t>A</w:t>
      </w:r>
      <w:r w:rsidRPr="004B5D80">
        <w:rPr>
          <w:szCs w:val="24"/>
        </w:rPr>
        <w:t>nalysis</w:t>
      </w:r>
      <w:bookmarkEnd w:id="9"/>
    </w:p>
    <w:p w:rsidR="005177A4" w:rsidRDefault="005177A4" w:rsidP="00D61E29">
      <w:pPr>
        <w:spacing w:after="0" w:line="240" w:lineRule="auto"/>
        <w:rPr>
          <w:szCs w:val="24"/>
        </w:rPr>
      </w:pPr>
    </w:p>
    <w:p w:rsidR="00242B58" w:rsidRPr="00206832" w:rsidRDefault="00122497" w:rsidP="00242B58">
      <w:pPr>
        <w:spacing w:after="0" w:line="240" w:lineRule="auto"/>
        <w:rPr>
          <w:szCs w:val="24"/>
        </w:rPr>
      </w:pPr>
      <w:hyperlink r:id="rId14" w:anchor="tbl4" w:history="1">
        <w:r w:rsidR="00242B58" w:rsidRPr="00206832">
          <w:rPr>
            <w:szCs w:val="24"/>
          </w:rPr>
          <w:t>Table</w:t>
        </w:r>
        <w:r w:rsidR="00242B58">
          <w:rPr>
            <w:szCs w:val="24"/>
          </w:rPr>
          <w:t xml:space="preserve"> 9 and 10</w:t>
        </w:r>
      </w:hyperlink>
      <w:r w:rsidR="00242B58" w:rsidRPr="00206832">
        <w:rPr>
          <w:szCs w:val="24"/>
        </w:rPr>
        <w:t xml:space="preserve"> report the results of the regression model of equation (</w:t>
      </w:r>
      <w:r w:rsidR="00242B58">
        <w:rPr>
          <w:szCs w:val="24"/>
        </w:rPr>
        <w:t>3</w:t>
      </w:r>
      <w:r w:rsidR="00242B58" w:rsidRPr="00206832">
        <w:rPr>
          <w:szCs w:val="24"/>
        </w:rPr>
        <w:t xml:space="preserve">) </w:t>
      </w:r>
      <w:r w:rsidR="00A51885">
        <w:rPr>
          <w:szCs w:val="24"/>
        </w:rPr>
        <w:t>for the two time periods</w:t>
      </w:r>
      <w:r w:rsidR="00D74384">
        <w:rPr>
          <w:szCs w:val="24"/>
        </w:rPr>
        <w:t xml:space="preserve"> under investigation</w:t>
      </w:r>
      <w:r w:rsidR="00A51885">
        <w:rPr>
          <w:szCs w:val="24"/>
        </w:rPr>
        <w:t xml:space="preserve">, </w:t>
      </w:r>
      <w:r w:rsidR="00242B58" w:rsidRPr="00206832">
        <w:rPr>
          <w:szCs w:val="24"/>
        </w:rPr>
        <w:t xml:space="preserve">to test </w:t>
      </w:r>
      <w:r w:rsidR="00242B58" w:rsidRPr="00D74384">
        <w:rPr>
          <w:i/>
          <w:szCs w:val="24"/>
        </w:rPr>
        <w:t>H3</w:t>
      </w:r>
      <w:r w:rsidR="00242B58" w:rsidRPr="00206832">
        <w:rPr>
          <w:szCs w:val="24"/>
        </w:rPr>
        <w:t>.</w:t>
      </w:r>
      <w:r w:rsidR="00242B58">
        <w:rPr>
          <w:szCs w:val="24"/>
        </w:rPr>
        <w:t xml:space="preserve"> </w:t>
      </w:r>
      <w:r w:rsidR="00AB115E" w:rsidRPr="00AB115E">
        <w:rPr>
          <w:szCs w:val="24"/>
        </w:rPr>
        <w:t>Table 9</w:t>
      </w:r>
      <w:r w:rsidR="00AB115E">
        <w:rPr>
          <w:szCs w:val="24"/>
        </w:rPr>
        <w:t xml:space="preserve"> </w:t>
      </w:r>
      <w:r w:rsidR="00583B1F">
        <w:rPr>
          <w:szCs w:val="24"/>
        </w:rPr>
        <w:t>shows that</w:t>
      </w:r>
      <w:r w:rsidR="00583B1F" w:rsidRPr="004B5D80">
        <w:rPr>
          <w:szCs w:val="24"/>
        </w:rPr>
        <w:t xml:space="preserve"> the first stage, all </w:t>
      </w:r>
      <w:r w:rsidR="00583B1F">
        <w:rPr>
          <w:szCs w:val="24"/>
        </w:rPr>
        <w:t>explanatory</w:t>
      </w:r>
      <w:r w:rsidR="00583B1F" w:rsidRPr="004B5D80">
        <w:rPr>
          <w:szCs w:val="24"/>
        </w:rPr>
        <w:t xml:space="preserve"> variables are significant to the allowance for doubtful accounts.</w:t>
      </w:r>
      <w:r w:rsidR="00583B1F">
        <w:rPr>
          <w:szCs w:val="24"/>
        </w:rPr>
        <w:t xml:space="preserve"> T</w:t>
      </w:r>
      <w:r w:rsidR="00242B58" w:rsidRPr="00206832">
        <w:rPr>
          <w:szCs w:val="24"/>
        </w:rPr>
        <w:t>he coefficient of RO</w:t>
      </w:r>
      <w:r w:rsidR="00242B58">
        <w:rPr>
          <w:szCs w:val="24"/>
        </w:rPr>
        <w:t>E</w:t>
      </w:r>
      <w:r w:rsidR="00242B58" w:rsidRPr="00206832">
        <w:rPr>
          <w:szCs w:val="24"/>
        </w:rPr>
        <w:t xml:space="preserve"> </w:t>
      </w:r>
      <w:r w:rsidR="00583B1F">
        <w:rPr>
          <w:szCs w:val="24"/>
        </w:rPr>
        <w:t>(</w:t>
      </w:r>
      <w:r w:rsidR="00583B1F" w:rsidRPr="004B5D80">
        <w:rPr>
          <w:szCs w:val="24"/>
        </w:rPr>
        <w:t>-10.575</w:t>
      </w:r>
      <w:r w:rsidR="00583B1F">
        <w:rPr>
          <w:szCs w:val="24"/>
        </w:rPr>
        <w:t xml:space="preserve">) </w:t>
      </w:r>
      <w:r w:rsidR="00242B58" w:rsidRPr="00206832">
        <w:rPr>
          <w:szCs w:val="24"/>
        </w:rPr>
        <w:t>is negative and significant (t-statistic = −3.</w:t>
      </w:r>
      <w:r w:rsidR="00242B58">
        <w:rPr>
          <w:szCs w:val="24"/>
        </w:rPr>
        <w:t>263</w:t>
      </w:r>
      <w:r w:rsidR="00242B58" w:rsidRPr="00206832">
        <w:rPr>
          <w:szCs w:val="24"/>
        </w:rPr>
        <w:t xml:space="preserve">, p-value = 0.001), implying that firms manage </w:t>
      </w:r>
      <w:r w:rsidR="00743661" w:rsidRPr="004B5D80">
        <w:rPr>
          <w:szCs w:val="24"/>
        </w:rPr>
        <w:t>allowance for doubtful accounts</w:t>
      </w:r>
      <w:r w:rsidR="00743661" w:rsidRPr="00206832">
        <w:rPr>
          <w:szCs w:val="24"/>
        </w:rPr>
        <w:t xml:space="preserve"> </w:t>
      </w:r>
      <w:r w:rsidR="00242B58" w:rsidRPr="00206832">
        <w:rPr>
          <w:szCs w:val="24"/>
        </w:rPr>
        <w:t xml:space="preserve">downward to avoid losses. </w:t>
      </w:r>
      <w:r w:rsidR="00583B1F" w:rsidRPr="004B5D80">
        <w:rPr>
          <w:szCs w:val="24"/>
        </w:rPr>
        <w:t xml:space="preserve">It is normal that when the company records allowance for doubtful accounts, the expenses should be recognized in the income statement. Therefore, there </w:t>
      </w:r>
      <w:r w:rsidR="00583B1F">
        <w:rPr>
          <w:szCs w:val="24"/>
        </w:rPr>
        <w:t xml:space="preserve">is </w:t>
      </w:r>
      <w:r w:rsidR="00583B1F" w:rsidRPr="004B5D80">
        <w:rPr>
          <w:szCs w:val="24"/>
        </w:rPr>
        <w:t>a negative correction relationship. The correlation analysis (</w:t>
      </w:r>
      <w:r w:rsidR="00583B1F">
        <w:rPr>
          <w:szCs w:val="24"/>
        </w:rPr>
        <w:t>Table</w:t>
      </w:r>
      <w:r w:rsidR="00583B1F" w:rsidRPr="004B5D80">
        <w:rPr>
          <w:szCs w:val="24"/>
        </w:rPr>
        <w:t xml:space="preserve"> 11) also proves the </w:t>
      </w:r>
      <w:r w:rsidR="00583B1F" w:rsidRPr="00407FD2">
        <w:rPr>
          <w:i/>
          <w:szCs w:val="24"/>
        </w:rPr>
        <w:t>H3</w:t>
      </w:r>
      <w:r w:rsidR="00583B1F" w:rsidRPr="004B5D80">
        <w:rPr>
          <w:szCs w:val="24"/>
        </w:rPr>
        <w:t>.</w:t>
      </w:r>
      <w:r w:rsidR="00583B1F">
        <w:rPr>
          <w:szCs w:val="24"/>
        </w:rPr>
        <w:t xml:space="preserve"> </w:t>
      </w:r>
      <w:r w:rsidR="00743661">
        <w:rPr>
          <w:szCs w:val="24"/>
        </w:rPr>
        <w:t>T</w:t>
      </w:r>
      <w:r w:rsidR="00242B58" w:rsidRPr="00206832">
        <w:rPr>
          <w:szCs w:val="24"/>
        </w:rPr>
        <w:t xml:space="preserve">he coefficient of </w:t>
      </w:r>
      <w:r w:rsidR="00743661">
        <w:rPr>
          <w:szCs w:val="24"/>
        </w:rPr>
        <w:t>Lev</w:t>
      </w:r>
      <w:r w:rsidR="00242B58" w:rsidRPr="00206832">
        <w:rPr>
          <w:szCs w:val="24"/>
        </w:rPr>
        <w:t xml:space="preserve"> </w:t>
      </w:r>
      <w:r w:rsidR="00583B1F">
        <w:rPr>
          <w:szCs w:val="24"/>
        </w:rPr>
        <w:t>(</w:t>
      </w:r>
      <w:r w:rsidR="00583B1F" w:rsidRPr="004B5D80">
        <w:rPr>
          <w:szCs w:val="24"/>
        </w:rPr>
        <w:t>3.622</w:t>
      </w:r>
      <w:r w:rsidR="00583B1F">
        <w:rPr>
          <w:szCs w:val="24"/>
        </w:rPr>
        <w:t>)</w:t>
      </w:r>
      <w:r w:rsidR="00583B1F" w:rsidRPr="004B5D80">
        <w:rPr>
          <w:szCs w:val="24"/>
        </w:rPr>
        <w:t xml:space="preserve"> </w:t>
      </w:r>
      <w:r w:rsidR="00242B58" w:rsidRPr="00206832">
        <w:rPr>
          <w:szCs w:val="24"/>
        </w:rPr>
        <w:t xml:space="preserve">is </w:t>
      </w:r>
      <w:r w:rsidR="00743661">
        <w:rPr>
          <w:szCs w:val="24"/>
        </w:rPr>
        <w:t>positive</w:t>
      </w:r>
      <w:r w:rsidR="00242B58" w:rsidRPr="00206832">
        <w:rPr>
          <w:szCs w:val="24"/>
        </w:rPr>
        <w:t xml:space="preserve"> and significant (t-statistic = </w:t>
      </w:r>
      <w:r w:rsidR="00743661">
        <w:rPr>
          <w:szCs w:val="24"/>
        </w:rPr>
        <w:t>3</w:t>
      </w:r>
      <w:r w:rsidR="00242B58" w:rsidRPr="00206832">
        <w:rPr>
          <w:szCs w:val="24"/>
        </w:rPr>
        <w:t>.</w:t>
      </w:r>
      <w:r w:rsidR="00743661">
        <w:rPr>
          <w:szCs w:val="24"/>
        </w:rPr>
        <w:t>551</w:t>
      </w:r>
      <w:r w:rsidR="00242B58" w:rsidRPr="00206832">
        <w:rPr>
          <w:szCs w:val="24"/>
        </w:rPr>
        <w:t>, p-value = 0.00</w:t>
      </w:r>
      <w:r w:rsidR="00743661">
        <w:rPr>
          <w:szCs w:val="24"/>
        </w:rPr>
        <w:t>1</w:t>
      </w:r>
      <w:r w:rsidR="00242B58" w:rsidRPr="00206832">
        <w:rPr>
          <w:szCs w:val="24"/>
        </w:rPr>
        <w:t xml:space="preserve">), indicating that firms manage </w:t>
      </w:r>
      <w:r w:rsidR="00743661" w:rsidRPr="004B5D80">
        <w:rPr>
          <w:szCs w:val="24"/>
        </w:rPr>
        <w:t>allowance for doubtful accounts</w:t>
      </w:r>
      <w:r w:rsidR="00743661" w:rsidRPr="00206832">
        <w:rPr>
          <w:szCs w:val="24"/>
        </w:rPr>
        <w:t xml:space="preserve"> </w:t>
      </w:r>
      <w:r w:rsidR="00242B58" w:rsidRPr="00206832">
        <w:rPr>
          <w:szCs w:val="24"/>
        </w:rPr>
        <w:t xml:space="preserve">to sustain prior years’ earnings. </w:t>
      </w:r>
      <w:r w:rsidR="00743661">
        <w:rPr>
          <w:szCs w:val="24"/>
        </w:rPr>
        <w:t>Similarly, t</w:t>
      </w:r>
      <w:r w:rsidR="00242B58" w:rsidRPr="00206832">
        <w:rPr>
          <w:szCs w:val="24"/>
        </w:rPr>
        <w:t xml:space="preserve">he coefficient of </w:t>
      </w:r>
      <w:r w:rsidR="00743661">
        <w:rPr>
          <w:szCs w:val="24"/>
        </w:rPr>
        <w:t xml:space="preserve">assets </w:t>
      </w:r>
      <w:r w:rsidR="00242B58" w:rsidRPr="00206832">
        <w:rPr>
          <w:szCs w:val="24"/>
        </w:rPr>
        <w:t xml:space="preserve">is also </w:t>
      </w:r>
      <w:r w:rsidR="00743661">
        <w:rPr>
          <w:szCs w:val="24"/>
        </w:rPr>
        <w:t xml:space="preserve">positive </w:t>
      </w:r>
      <w:r w:rsidR="00242B58" w:rsidRPr="00206832">
        <w:rPr>
          <w:szCs w:val="24"/>
        </w:rPr>
        <w:t>and significant (t-statistic = 2</w:t>
      </w:r>
      <w:r w:rsidR="00743661">
        <w:rPr>
          <w:szCs w:val="24"/>
        </w:rPr>
        <w:t>7</w:t>
      </w:r>
      <w:r w:rsidR="00242B58" w:rsidRPr="00206832">
        <w:rPr>
          <w:szCs w:val="24"/>
        </w:rPr>
        <w:t>.4</w:t>
      </w:r>
      <w:r w:rsidR="00743661">
        <w:rPr>
          <w:szCs w:val="24"/>
        </w:rPr>
        <w:t>36</w:t>
      </w:r>
      <w:r w:rsidR="00242B58" w:rsidRPr="00206832">
        <w:rPr>
          <w:szCs w:val="24"/>
        </w:rPr>
        <w:t xml:space="preserve">, p-value = 0.020), which means that firms manage bad debt expense to meet </w:t>
      </w:r>
      <w:r w:rsidR="00743661">
        <w:rPr>
          <w:szCs w:val="24"/>
        </w:rPr>
        <w:t>asse</w:t>
      </w:r>
      <w:r w:rsidR="00242B58" w:rsidRPr="00206832">
        <w:rPr>
          <w:szCs w:val="24"/>
        </w:rPr>
        <w:t xml:space="preserve">ts. These results provide support for </w:t>
      </w:r>
      <w:r w:rsidR="00242B58" w:rsidRPr="00E00BE1">
        <w:rPr>
          <w:i/>
          <w:szCs w:val="24"/>
        </w:rPr>
        <w:t>H1-3</w:t>
      </w:r>
      <w:r w:rsidR="00242B58" w:rsidRPr="00206832">
        <w:rPr>
          <w:szCs w:val="24"/>
        </w:rPr>
        <w:t>.</w:t>
      </w:r>
    </w:p>
    <w:p w:rsidR="00242B58" w:rsidRDefault="00242B58" w:rsidP="00242B58">
      <w:pPr>
        <w:spacing w:after="0" w:line="240" w:lineRule="auto"/>
        <w:rPr>
          <w:szCs w:val="24"/>
        </w:rPr>
      </w:pPr>
    </w:p>
    <w:p w:rsidR="00743661" w:rsidRPr="005177A4" w:rsidRDefault="00743661" w:rsidP="00743661">
      <w:pPr>
        <w:spacing w:after="0" w:line="240" w:lineRule="auto"/>
        <w:jc w:val="center"/>
        <w:rPr>
          <w:b/>
          <w:szCs w:val="24"/>
        </w:rPr>
      </w:pPr>
      <w:r w:rsidRPr="005177A4">
        <w:rPr>
          <w:b/>
          <w:szCs w:val="24"/>
        </w:rPr>
        <w:t xml:space="preserve">Table </w:t>
      </w:r>
      <w:r>
        <w:rPr>
          <w:b/>
          <w:szCs w:val="24"/>
        </w:rPr>
        <w:t>9</w:t>
      </w:r>
      <w:r w:rsidRPr="005177A4">
        <w:rPr>
          <w:b/>
          <w:szCs w:val="24"/>
        </w:rPr>
        <w:t>: Variables (2009-2013)</w:t>
      </w:r>
    </w:p>
    <w:tbl>
      <w:tblPr>
        <w:tblW w:w="8296" w:type="dxa"/>
        <w:tblLayout w:type="fixed"/>
        <w:tblLook w:val="04A0" w:firstRow="1" w:lastRow="0" w:firstColumn="1" w:lastColumn="0" w:noHBand="0" w:noVBand="1"/>
      </w:tblPr>
      <w:tblGrid>
        <w:gridCol w:w="1566"/>
        <w:gridCol w:w="1346"/>
        <w:gridCol w:w="1346"/>
        <w:gridCol w:w="1346"/>
        <w:gridCol w:w="1346"/>
        <w:gridCol w:w="1346"/>
      </w:tblGrid>
      <w:tr w:rsidR="00AB115E" w:rsidRPr="004B5D80" w:rsidTr="00B520A4">
        <w:trPr>
          <w:trHeight w:val="468"/>
        </w:trPr>
        <w:tc>
          <w:tcPr>
            <w:tcW w:w="1566" w:type="dxa"/>
            <w:tcBorders>
              <w:top w:val="single" w:sz="12" w:space="0" w:color="auto"/>
              <w:bottom w:val="single" w:sz="12" w:space="0" w:color="auto"/>
            </w:tcBorders>
            <w:noWrap/>
            <w:vAlign w:val="center"/>
          </w:tcPr>
          <w:p w:rsidR="00AB115E" w:rsidRPr="00321195" w:rsidRDefault="00AB115E" w:rsidP="00B520A4">
            <w:pPr>
              <w:widowControl/>
              <w:spacing w:after="0" w:line="240" w:lineRule="auto"/>
              <w:jc w:val="center"/>
              <w:rPr>
                <w:rFonts w:eastAsia="PMingLiU"/>
                <w:b/>
                <w:bCs/>
                <w:kern w:val="0"/>
                <w:sz w:val="20"/>
                <w:szCs w:val="20"/>
              </w:rPr>
            </w:pPr>
          </w:p>
        </w:tc>
        <w:tc>
          <w:tcPr>
            <w:tcW w:w="1346" w:type="dxa"/>
            <w:tcBorders>
              <w:top w:val="single" w:sz="12" w:space="0" w:color="auto"/>
              <w:bottom w:val="single" w:sz="12" w:space="0" w:color="auto"/>
            </w:tcBorders>
            <w:vAlign w:val="center"/>
          </w:tcPr>
          <w:p w:rsidR="00AB115E" w:rsidRPr="00321195" w:rsidRDefault="00AB115E" w:rsidP="00B520A4">
            <w:pPr>
              <w:widowControl/>
              <w:spacing w:after="0" w:line="240" w:lineRule="auto"/>
              <w:jc w:val="center"/>
              <w:rPr>
                <w:rFonts w:eastAsia="MingLiU"/>
                <w:b/>
                <w:kern w:val="0"/>
                <w:sz w:val="20"/>
                <w:szCs w:val="20"/>
              </w:rPr>
            </w:pPr>
            <w:r w:rsidRPr="00321195">
              <w:rPr>
                <w:rFonts w:eastAsia="MingLiU"/>
                <w:b/>
                <w:kern w:val="0"/>
                <w:sz w:val="20"/>
                <w:szCs w:val="20"/>
              </w:rPr>
              <w:t>B</w:t>
            </w:r>
          </w:p>
        </w:tc>
        <w:tc>
          <w:tcPr>
            <w:tcW w:w="1346" w:type="dxa"/>
            <w:tcBorders>
              <w:top w:val="single" w:sz="12" w:space="0" w:color="auto"/>
              <w:bottom w:val="single" w:sz="12" w:space="0" w:color="auto"/>
            </w:tcBorders>
            <w:vAlign w:val="center"/>
          </w:tcPr>
          <w:p w:rsidR="00AB115E" w:rsidRPr="00321195" w:rsidRDefault="00AB115E" w:rsidP="00B520A4">
            <w:pPr>
              <w:widowControl/>
              <w:spacing w:after="0" w:line="240" w:lineRule="auto"/>
              <w:jc w:val="center"/>
              <w:rPr>
                <w:rFonts w:eastAsia="MingLiU"/>
                <w:b/>
                <w:kern w:val="0"/>
                <w:sz w:val="20"/>
                <w:szCs w:val="20"/>
              </w:rPr>
            </w:pPr>
            <w:r w:rsidRPr="00321195">
              <w:rPr>
                <w:rFonts w:eastAsia="MingLiU"/>
                <w:b/>
                <w:kern w:val="0"/>
                <w:sz w:val="20"/>
                <w:szCs w:val="20"/>
              </w:rPr>
              <w:t>Std. Error</w:t>
            </w:r>
          </w:p>
        </w:tc>
        <w:tc>
          <w:tcPr>
            <w:tcW w:w="1346" w:type="dxa"/>
            <w:tcBorders>
              <w:top w:val="single" w:sz="12" w:space="0" w:color="auto"/>
              <w:bottom w:val="single" w:sz="12" w:space="0" w:color="auto"/>
            </w:tcBorders>
            <w:vAlign w:val="center"/>
          </w:tcPr>
          <w:p w:rsidR="00AB115E" w:rsidRPr="00321195" w:rsidRDefault="00AB115E" w:rsidP="00B520A4">
            <w:pPr>
              <w:widowControl/>
              <w:spacing w:after="0" w:line="240" w:lineRule="auto"/>
              <w:jc w:val="center"/>
              <w:rPr>
                <w:rFonts w:eastAsia="MingLiU"/>
                <w:b/>
                <w:kern w:val="0"/>
                <w:sz w:val="20"/>
                <w:szCs w:val="20"/>
              </w:rPr>
            </w:pPr>
            <w:r w:rsidRPr="00321195">
              <w:rPr>
                <w:rFonts w:eastAsia="MingLiU"/>
                <w:b/>
                <w:kern w:val="0"/>
                <w:sz w:val="20"/>
                <w:szCs w:val="20"/>
              </w:rPr>
              <w:t>Beta</w:t>
            </w:r>
          </w:p>
        </w:tc>
        <w:tc>
          <w:tcPr>
            <w:tcW w:w="1346" w:type="dxa"/>
            <w:tcBorders>
              <w:top w:val="single" w:sz="12" w:space="0" w:color="auto"/>
              <w:bottom w:val="single" w:sz="12" w:space="0" w:color="auto"/>
            </w:tcBorders>
            <w:vAlign w:val="center"/>
          </w:tcPr>
          <w:p w:rsidR="00AB115E" w:rsidRPr="00321195" w:rsidRDefault="00AB115E" w:rsidP="00B520A4">
            <w:pPr>
              <w:widowControl/>
              <w:spacing w:after="0" w:line="240" w:lineRule="auto"/>
              <w:jc w:val="center"/>
              <w:rPr>
                <w:rFonts w:eastAsia="MingLiU"/>
                <w:b/>
                <w:kern w:val="0"/>
                <w:sz w:val="20"/>
                <w:szCs w:val="20"/>
              </w:rPr>
            </w:pPr>
            <w:r w:rsidRPr="00321195">
              <w:rPr>
                <w:rFonts w:eastAsia="MingLiU"/>
                <w:b/>
                <w:kern w:val="0"/>
                <w:sz w:val="20"/>
                <w:szCs w:val="20"/>
              </w:rPr>
              <w:t>t</w:t>
            </w:r>
          </w:p>
        </w:tc>
        <w:tc>
          <w:tcPr>
            <w:tcW w:w="1346" w:type="dxa"/>
            <w:tcBorders>
              <w:top w:val="single" w:sz="12" w:space="0" w:color="auto"/>
              <w:bottom w:val="single" w:sz="12" w:space="0" w:color="auto"/>
            </w:tcBorders>
            <w:vAlign w:val="center"/>
          </w:tcPr>
          <w:p w:rsidR="00AB115E" w:rsidRPr="00321195" w:rsidRDefault="00AB115E" w:rsidP="00B520A4">
            <w:pPr>
              <w:widowControl/>
              <w:spacing w:after="0" w:line="240" w:lineRule="auto"/>
              <w:jc w:val="center"/>
              <w:rPr>
                <w:b/>
                <w:kern w:val="0"/>
                <w:sz w:val="20"/>
                <w:szCs w:val="20"/>
              </w:rPr>
            </w:pPr>
            <w:r w:rsidRPr="00321195">
              <w:rPr>
                <w:b/>
                <w:color w:val="333333"/>
                <w:sz w:val="20"/>
                <w:szCs w:val="20"/>
              </w:rPr>
              <w:t>p-value</w:t>
            </w:r>
          </w:p>
        </w:tc>
      </w:tr>
      <w:tr w:rsidR="00AB115E" w:rsidRPr="004B5D80" w:rsidTr="00B520A4">
        <w:trPr>
          <w:trHeight w:val="300"/>
        </w:trPr>
        <w:tc>
          <w:tcPr>
            <w:tcW w:w="1566" w:type="dxa"/>
            <w:tcBorders>
              <w:top w:val="single" w:sz="12" w:space="0" w:color="auto"/>
            </w:tcBorders>
            <w:vAlign w:val="center"/>
          </w:tcPr>
          <w:p w:rsidR="00AB115E" w:rsidRPr="00321195" w:rsidRDefault="00AB115E" w:rsidP="00B520A4">
            <w:pPr>
              <w:widowControl/>
              <w:spacing w:after="0" w:line="240" w:lineRule="auto"/>
              <w:jc w:val="center"/>
              <w:rPr>
                <w:rFonts w:eastAsia="MingLiU"/>
                <w:b/>
                <w:kern w:val="0"/>
                <w:sz w:val="20"/>
                <w:szCs w:val="20"/>
              </w:rPr>
            </w:pPr>
            <w:r w:rsidRPr="00321195">
              <w:rPr>
                <w:rFonts w:eastAsia="MingLiU"/>
                <w:b/>
                <w:kern w:val="0"/>
                <w:sz w:val="20"/>
                <w:szCs w:val="20"/>
              </w:rPr>
              <w:lastRenderedPageBreak/>
              <w:t>(Constant)</w:t>
            </w:r>
          </w:p>
        </w:tc>
        <w:tc>
          <w:tcPr>
            <w:tcW w:w="1346" w:type="dxa"/>
            <w:tcBorders>
              <w:top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-308.467</w:t>
            </w:r>
          </w:p>
        </w:tc>
        <w:tc>
          <w:tcPr>
            <w:tcW w:w="1346" w:type="dxa"/>
            <w:tcBorders>
              <w:top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11.763</w:t>
            </w:r>
          </w:p>
        </w:tc>
        <w:tc>
          <w:tcPr>
            <w:tcW w:w="1346" w:type="dxa"/>
            <w:tcBorders>
              <w:top w:val="single" w:sz="12" w:space="0" w:color="auto"/>
            </w:tcBorders>
            <w:noWrap/>
            <w:vAlign w:val="center"/>
          </w:tcPr>
          <w:p w:rsidR="00AB115E" w:rsidRPr="004B5D80" w:rsidRDefault="00AB115E" w:rsidP="00B520A4">
            <w:pPr>
              <w:widowControl/>
              <w:spacing w:after="0" w:line="240" w:lineRule="auto"/>
              <w:jc w:val="center"/>
              <w:rPr>
                <w:kern w:val="0"/>
                <w:sz w:val="20"/>
                <w:szCs w:val="20"/>
              </w:rPr>
            </w:pPr>
          </w:p>
        </w:tc>
        <w:tc>
          <w:tcPr>
            <w:tcW w:w="1346" w:type="dxa"/>
            <w:tcBorders>
              <w:top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-26.223</w:t>
            </w:r>
            <w:r>
              <w:rPr>
                <w:rFonts w:eastAsia="MingLiU"/>
                <w:kern w:val="0"/>
                <w:sz w:val="20"/>
                <w:szCs w:val="20"/>
              </w:rPr>
              <w:t>***</w:t>
            </w:r>
          </w:p>
        </w:tc>
        <w:tc>
          <w:tcPr>
            <w:tcW w:w="1346" w:type="dxa"/>
            <w:tcBorders>
              <w:top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.000</w:t>
            </w:r>
          </w:p>
        </w:tc>
      </w:tr>
      <w:tr w:rsidR="00AB115E" w:rsidRPr="004B5D80" w:rsidTr="00B520A4">
        <w:trPr>
          <w:trHeight w:val="276"/>
        </w:trPr>
        <w:tc>
          <w:tcPr>
            <w:tcW w:w="1566" w:type="dxa"/>
            <w:vAlign w:val="center"/>
          </w:tcPr>
          <w:p w:rsidR="00AB115E" w:rsidRPr="00321195" w:rsidRDefault="00AB115E" w:rsidP="00B520A4">
            <w:pPr>
              <w:widowControl/>
              <w:spacing w:after="0" w:line="240" w:lineRule="auto"/>
              <w:jc w:val="center"/>
              <w:rPr>
                <w:rFonts w:eastAsia="MingLiU"/>
                <w:b/>
                <w:kern w:val="0"/>
                <w:sz w:val="20"/>
                <w:szCs w:val="20"/>
              </w:rPr>
            </w:pPr>
            <w:r w:rsidRPr="00321195">
              <w:rPr>
                <w:rFonts w:eastAsia="MingLiU"/>
                <w:b/>
                <w:kern w:val="0"/>
                <w:sz w:val="20"/>
                <w:szCs w:val="20"/>
              </w:rPr>
              <w:t>ROE</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bookmarkStart w:id="10" w:name="_Hlk10384262"/>
            <w:r w:rsidRPr="004B5D80">
              <w:rPr>
                <w:rFonts w:eastAsia="MingLiU"/>
                <w:kern w:val="0"/>
                <w:sz w:val="20"/>
                <w:szCs w:val="20"/>
              </w:rPr>
              <w:t>-10.575</w:t>
            </w:r>
            <w:bookmarkEnd w:id="10"/>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3.241</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-.038</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-3.263</w:t>
            </w:r>
            <w:r>
              <w:rPr>
                <w:rFonts w:eastAsia="MingLiU"/>
                <w:kern w:val="0"/>
                <w:sz w:val="20"/>
                <w:szCs w:val="20"/>
              </w:rPr>
              <w:t>***</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.001</w:t>
            </w:r>
          </w:p>
        </w:tc>
      </w:tr>
      <w:tr w:rsidR="00AB115E" w:rsidRPr="004B5D80" w:rsidTr="00B520A4">
        <w:trPr>
          <w:trHeight w:val="276"/>
        </w:trPr>
        <w:tc>
          <w:tcPr>
            <w:tcW w:w="1566" w:type="dxa"/>
            <w:vAlign w:val="center"/>
          </w:tcPr>
          <w:p w:rsidR="00AB115E" w:rsidRPr="00321195" w:rsidRDefault="00AB115E" w:rsidP="00B520A4">
            <w:pPr>
              <w:widowControl/>
              <w:spacing w:after="0" w:line="240" w:lineRule="auto"/>
              <w:jc w:val="center"/>
              <w:rPr>
                <w:rFonts w:eastAsia="MingLiU"/>
                <w:b/>
                <w:kern w:val="0"/>
                <w:sz w:val="20"/>
                <w:szCs w:val="20"/>
              </w:rPr>
            </w:pPr>
            <w:r w:rsidRPr="00321195">
              <w:rPr>
                <w:rFonts w:eastAsia="MingLiU"/>
                <w:b/>
                <w:kern w:val="0"/>
                <w:sz w:val="20"/>
                <w:szCs w:val="20"/>
              </w:rPr>
              <w:t>Lev</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3.622</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1.020</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.041</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3.551</w:t>
            </w:r>
            <w:r>
              <w:rPr>
                <w:rFonts w:eastAsia="MingLiU"/>
                <w:kern w:val="0"/>
                <w:sz w:val="20"/>
                <w:szCs w:val="20"/>
              </w:rPr>
              <w:t>***</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.000</w:t>
            </w:r>
          </w:p>
        </w:tc>
      </w:tr>
      <w:tr w:rsidR="00AB115E" w:rsidRPr="004B5D80" w:rsidTr="00B520A4">
        <w:trPr>
          <w:trHeight w:val="288"/>
        </w:trPr>
        <w:tc>
          <w:tcPr>
            <w:tcW w:w="1566" w:type="dxa"/>
            <w:tcBorders>
              <w:bottom w:val="single" w:sz="12" w:space="0" w:color="auto"/>
            </w:tcBorders>
            <w:vAlign w:val="center"/>
          </w:tcPr>
          <w:p w:rsidR="00AB115E" w:rsidRPr="00321195" w:rsidRDefault="00347FF9" w:rsidP="00B520A4">
            <w:pPr>
              <w:widowControl/>
              <w:spacing w:after="0" w:line="240" w:lineRule="auto"/>
              <w:jc w:val="center"/>
              <w:rPr>
                <w:rFonts w:eastAsia="MingLiU"/>
                <w:b/>
                <w:kern w:val="0"/>
                <w:sz w:val="20"/>
                <w:szCs w:val="20"/>
              </w:rPr>
            </w:pPr>
            <w:r w:rsidRPr="00321195">
              <w:rPr>
                <w:rFonts w:eastAsia="MingLiU"/>
                <w:b/>
                <w:kern w:val="0"/>
                <w:sz w:val="20"/>
                <w:szCs w:val="20"/>
              </w:rPr>
              <w:t>Assets</w:t>
            </w:r>
          </w:p>
        </w:tc>
        <w:tc>
          <w:tcPr>
            <w:tcW w:w="1346" w:type="dxa"/>
            <w:tcBorders>
              <w:bottom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34.461</w:t>
            </w:r>
          </w:p>
        </w:tc>
        <w:tc>
          <w:tcPr>
            <w:tcW w:w="1346" w:type="dxa"/>
            <w:tcBorders>
              <w:bottom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1.256</w:t>
            </w:r>
          </w:p>
        </w:tc>
        <w:tc>
          <w:tcPr>
            <w:tcW w:w="1346" w:type="dxa"/>
            <w:tcBorders>
              <w:bottom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.318</w:t>
            </w:r>
          </w:p>
        </w:tc>
        <w:tc>
          <w:tcPr>
            <w:tcW w:w="1346" w:type="dxa"/>
            <w:tcBorders>
              <w:bottom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27.436</w:t>
            </w:r>
            <w:r>
              <w:rPr>
                <w:rFonts w:eastAsia="MingLiU"/>
                <w:kern w:val="0"/>
                <w:sz w:val="20"/>
                <w:szCs w:val="20"/>
              </w:rPr>
              <w:t>***</w:t>
            </w:r>
          </w:p>
        </w:tc>
        <w:tc>
          <w:tcPr>
            <w:tcW w:w="1346" w:type="dxa"/>
            <w:tcBorders>
              <w:bottom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.000</w:t>
            </w:r>
          </w:p>
        </w:tc>
      </w:tr>
    </w:tbl>
    <w:p w:rsidR="00743661" w:rsidRPr="00242B58" w:rsidRDefault="00743661" w:rsidP="00743661">
      <w:pPr>
        <w:spacing w:after="0" w:line="240" w:lineRule="auto"/>
        <w:rPr>
          <w:sz w:val="20"/>
          <w:szCs w:val="20"/>
        </w:rPr>
      </w:pPr>
      <w:r w:rsidRPr="00242B58">
        <w:rPr>
          <w:sz w:val="20"/>
          <w:szCs w:val="20"/>
        </w:rPr>
        <w:t>*** indicate significance levels at the 1%, based on two-tailed tests</w:t>
      </w:r>
    </w:p>
    <w:p w:rsidR="00743661" w:rsidRDefault="00743661" w:rsidP="00242B58">
      <w:pPr>
        <w:spacing w:after="0" w:line="240" w:lineRule="auto"/>
        <w:rPr>
          <w:szCs w:val="24"/>
        </w:rPr>
      </w:pPr>
    </w:p>
    <w:p w:rsidR="00241B4E" w:rsidRPr="004B5D80" w:rsidRDefault="00D61E29" w:rsidP="00D61E29">
      <w:pPr>
        <w:spacing w:after="0" w:line="240" w:lineRule="auto"/>
        <w:rPr>
          <w:szCs w:val="24"/>
        </w:rPr>
      </w:pPr>
      <w:r w:rsidRPr="004B5D80">
        <w:rPr>
          <w:szCs w:val="24"/>
        </w:rPr>
        <w:t xml:space="preserve">The </w:t>
      </w:r>
      <w:r w:rsidR="00583B1F" w:rsidRPr="004B5D80">
        <w:rPr>
          <w:szCs w:val="24"/>
        </w:rPr>
        <w:t xml:space="preserve">positive </w:t>
      </w:r>
      <w:r w:rsidRPr="004B5D80">
        <w:rPr>
          <w:szCs w:val="24"/>
        </w:rPr>
        <w:t xml:space="preserve">coefficient of leverage means when higher leverage ratio creates a larger allowance for doubtful accounts. The result shows that </w:t>
      </w:r>
      <w:r w:rsidR="00583B1F">
        <w:rPr>
          <w:szCs w:val="24"/>
        </w:rPr>
        <w:t xml:space="preserve">the </w:t>
      </w:r>
      <w:r w:rsidRPr="004B5D80">
        <w:rPr>
          <w:szCs w:val="24"/>
        </w:rPr>
        <w:t xml:space="preserve">debt </w:t>
      </w:r>
      <w:r w:rsidR="00583B1F">
        <w:rPr>
          <w:szCs w:val="24"/>
        </w:rPr>
        <w:t>hypothesis,</w:t>
      </w:r>
      <w:r w:rsidRPr="004B5D80">
        <w:rPr>
          <w:szCs w:val="24"/>
        </w:rPr>
        <w:t xml:space="preserve"> which is provided by previous literature</w:t>
      </w:r>
      <w:r w:rsidR="00583B1F">
        <w:rPr>
          <w:szCs w:val="24"/>
        </w:rPr>
        <w:t>,</w:t>
      </w:r>
      <w:r w:rsidRPr="004B5D80">
        <w:rPr>
          <w:szCs w:val="24"/>
        </w:rPr>
        <w:t xml:space="preserve"> is not correct. </w:t>
      </w:r>
      <w:proofErr w:type="spellStart"/>
      <w:r w:rsidR="00583B1F" w:rsidRPr="004B5D80">
        <w:rPr>
          <w:szCs w:val="24"/>
        </w:rPr>
        <w:t>McNichols</w:t>
      </w:r>
      <w:proofErr w:type="spellEnd"/>
      <w:r w:rsidR="00583B1F" w:rsidRPr="004B5D80">
        <w:rPr>
          <w:szCs w:val="24"/>
        </w:rPr>
        <w:t xml:space="preserve"> </w:t>
      </w:r>
      <w:r w:rsidR="00583B1F">
        <w:rPr>
          <w:szCs w:val="24"/>
        </w:rPr>
        <w:t>(</w:t>
      </w:r>
      <w:r w:rsidR="00583B1F" w:rsidRPr="004B5D80">
        <w:rPr>
          <w:szCs w:val="24"/>
        </w:rPr>
        <w:t>2000)</w:t>
      </w:r>
      <w:r w:rsidR="00583B1F">
        <w:rPr>
          <w:szCs w:val="24"/>
        </w:rPr>
        <w:t xml:space="preserve"> concluded that </w:t>
      </w:r>
      <w:r w:rsidRPr="004B5D80">
        <w:rPr>
          <w:szCs w:val="24"/>
        </w:rPr>
        <w:t xml:space="preserve">companies with more debts are more likely to transfer future earnings by declining allowance into the current accounting process in order to avoid default. In fact, the findings </w:t>
      </w:r>
      <w:r w:rsidR="00583B1F">
        <w:rPr>
          <w:szCs w:val="24"/>
        </w:rPr>
        <w:t xml:space="preserve">of this study </w:t>
      </w:r>
      <w:r w:rsidRPr="004B5D80">
        <w:rPr>
          <w:szCs w:val="24"/>
        </w:rPr>
        <w:t xml:space="preserve">show that more debts accompany more allowance which happens in the current period rather than transfer to future accounting period. </w:t>
      </w:r>
      <w:r w:rsidR="00583B1F">
        <w:rPr>
          <w:szCs w:val="24"/>
        </w:rPr>
        <w:t>P</w:t>
      </w:r>
      <w:r w:rsidRPr="004B5D80">
        <w:rPr>
          <w:szCs w:val="24"/>
        </w:rPr>
        <w:t>erhaps the</w:t>
      </w:r>
      <w:r w:rsidR="00C110A3">
        <w:rPr>
          <w:szCs w:val="24"/>
        </w:rPr>
        <w:t xml:space="preserve"> reasons are the </w:t>
      </w:r>
      <w:r w:rsidRPr="004B5D80">
        <w:rPr>
          <w:szCs w:val="24"/>
        </w:rPr>
        <w:t xml:space="preserve">following. First, more debts encourage managers to be more cautious to the accounting </w:t>
      </w:r>
      <w:r w:rsidR="00407FD2" w:rsidRPr="004B5D80">
        <w:rPr>
          <w:szCs w:val="24"/>
        </w:rPr>
        <w:t>policies;</w:t>
      </w:r>
      <w:r w:rsidRPr="004B5D80">
        <w:rPr>
          <w:szCs w:val="24"/>
        </w:rPr>
        <w:t xml:space="preserve"> therefore, more provisions and allowance are recognized. Secondly, companies’ debts are paid in the future, so in order to refinancing when the debts are matured in the future, the companies need to increase the future profits by the addition to current expenses from allowance for doubtful accounts. In </w:t>
      </w:r>
      <w:r w:rsidR="00C110A3">
        <w:rPr>
          <w:szCs w:val="24"/>
        </w:rPr>
        <w:t>sum</w:t>
      </w:r>
      <w:r w:rsidRPr="004B5D80">
        <w:rPr>
          <w:szCs w:val="24"/>
        </w:rPr>
        <w:t xml:space="preserve">, </w:t>
      </w:r>
      <w:r w:rsidR="004B5D80" w:rsidRPr="004B5D80">
        <w:rPr>
          <w:szCs w:val="24"/>
        </w:rPr>
        <w:t>either</w:t>
      </w:r>
      <w:r w:rsidRPr="004B5D80">
        <w:rPr>
          <w:szCs w:val="24"/>
        </w:rPr>
        <w:t xml:space="preserve"> way, the </w:t>
      </w:r>
      <w:r w:rsidR="00C110A3">
        <w:rPr>
          <w:szCs w:val="24"/>
        </w:rPr>
        <w:t>conclusion</w:t>
      </w:r>
      <w:r w:rsidRPr="004B5D80">
        <w:rPr>
          <w:szCs w:val="24"/>
        </w:rPr>
        <w:t xml:space="preserve"> of debt contract in previous literature is wrong.</w:t>
      </w:r>
      <w:r w:rsidR="00C110A3">
        <w:rPr>
          <w:szCs w:val="24"/>
        </w:rPr>
        <w:t xml:space="preserve"> T</w:t>
      </w:r>
      <w:r w:rsidRPr="004B5D80">
        <w:rPr>
          <w:szCs w:val="24"/>
        </w:rPr>
        <w:t xml:space="preserve">otal asset shows a positive relationship with allowance for doubtful accounts. </w:t>
      </w:r>
      <w:r w:rsidR="00C110A3">
        <w:rPr>
          <w:szCs w:val="24"/>
        </w:rPr>
        <w:t>A p</w:t>
      </w:r>
      <w:r w:rsidRPr="004B5D80">
        <w:rPr>
          <w:szCs w:val="24"/>
        </w:rPr>
        <w:t>revious study</w:t>
      </w:r>
      <w:r w:rsidR="00C110A3">
        <w:rPr>
          <w:szCs w:val="24"/>
        </w:rPr>
        <w:t xml:space="preserve"> concludes </w:t>
      </w:r>
      <w:r w:rsidRPr="004B5D80">
        <w:rPr>
          <w:szCs w:val="24"/>
        </w:rPr>
        <w:t xml:space="preserve">that the larger companies are more inclined to increase allowance for political policies such as tax deduction. Our finding illustrates this hypothesis. The coefficient of </w:t>
      </w:r>
      <w:r w:rsidR="00C110A3">
        <w:rPr>
          <w:szCs w:val="24"/>
        </w:rPr>
        <w:t xml:space="preserve">assets </w:t>
      </w:r>
      <w:r w:rsidRPr="004B5D80">
        <w:rPr>
          <w:szCs w:val="24"/>
        </w:rPr>
        <w:t>is 34.461 which is the largest among all independent variables</w:t>
      </w:r>
      <w:r w:rsidR="00C110A3">
        <w:rPr>
          <w:szCs w:val="24"/>
        </w:rPr>
        <w:t xml:space="preserve"> and the</w:t>
      </w:r>
      <w:r w:rsidRPr="004B5D80">
        <w:rPr>
          <w:szCs w:val="24"/>
        </w:rPr>
        <w:t xml:space="preserve"> most significant</w:t>
      </w:r>
      <w:r w:rsidR="00C110A3">
        <w:rPr>
          <w:szCs w:val="24"/>
        </w:rPr>
        <w:t xml:space="preserve"> (p-value</w:t>
      </w:r>
      <w:r w:rsidR="00C110A3" w:rsidRPr="00C110A3">
        <w:rPr>
          <w:szCs w:val="24"/>
        </w:rPr>
        <w:t xml:space="preserve"> = </w:t>
      </w:r>
      <w:r w:rsidR="00C110A3" w:rsidRPr="00C110A3">
        <w:rPr>
          <w:rFonts w:eastAsia="MingLiU"/>
          <w:kern w:val="0"/>
          <w:szCs w:val="24"/>
        </w:rPr>
        <w:t>27.436)</w:t>
      </w:r>
      <w:r w:rsidRPr="004B5D80">
        <w:rPr>
          <w:szCs w:val="24"/>
        </w:rPr>
        <w:t xml:space="preserve">. </w:t>
      </w:r>
      <w:r w:rsidR="00C110A3">
        <w:rPr>
          <w:szCs w:val="24"/>
        </w:rPr>
        <w:t>Since</w:t>
      </w:r>
      <w:r w:rsidRPr="004B5D80">
        <w:rPr>
          <w:szCs w:val="24"/>
        </w:rPr>
        <w:t xml:space="preserve"> allowance is the reverse of account receivables</w:t>
      </w:r>
      <w:r w:rsidR="00C110A3">
        <w:rPr>
          <w:szCs w:val="24"/>
        </w:rPr>
        <w:t>,</w:t>
      </w:r>
      <w:r w:rsidRPr="004B5D80">
        <w:rPr>
          <w:szCs w:val="24"/>
        </w:rPr>
        <w:t xml:space="preserve"> </w:t>
      </w:r>
      <w:r w:rsidR="00C110A3">
        <w:rPr>
          <w:szCs w:val="24"/>
        </w:rPr>
        <w:t>w</w:t>
      </w:r>
      <w:r w:rsidRPr="004B5D80">
        <w:rPr>
          <w:szCs w:val="24"/>
        </w:rPr>
        <w:t>hen the assets are expanding, the allowance should be increasing as well with the constant accounting policy.</w:t>
      </w:r>
    </w:p>
    <w:p w:rsidR="004B5D80" w:rsidRDefault="004B5D80" w:rsidP="00D61E29">
      <w:pPr>
        <w:spacing w:after="0" w:line="240" w:lineRule="auto"/>
        <w:rPr>
          <w:szCs w:val="24"/>
        </w:rPr>
      </w:pPr>
    </w:p>
    <w:p w:rsidR="00404499" w:rsidRPr="004B5D80" w:rsidRDefault="00C110A3" w:rsidP="00404499">
      <w:pPr>
        <w:spacing w:after="0" w:line="240" w:lineRule="auto"/>
        <w:rPr>
          <w:szCs w:val="24"/>
        </w:rPr>
      </w:pPr>
      <w:r>
        <w:rPr>
          <w:szCs w:val="24"/>
        </w:rPr>
        <w:t>However, t</w:t>
      </w:r>
      <w:r w:rsidR="00AB115E" w:rsidRPr="004B5D80">
        <w:rPr>
          <w:szCs w:val="24"/>
        </w:rPr>
        <w:t xml:space="preserve">he results </w:t>
      </w:r>
      <w:r w:rsidR="00AB115E">
        <w:rPr>
          <w:szCs w:val="24"/>
        </w:rPr>
        <w:t xml:space="preserve">of the analysis </w:t>
      </w:r>
      <w:r w:rsidR="00AB115E" w:rsidRPr="004B5D80">
        <w:rPr>
          <w:szCs w:val="24"/>
        </w:rPr>
        <w:t>f</w:t>
      </w:r>
      <w:r w:rsidR="00AB115E">
        <w:rPr>
          <w:szCs w:val="24"/>
        </w:rPr>
        <w:t xml:space="preserve">or the period </w:t>
      </w:r>
      <w:r w:rsidR="00AB115E" w:rsidRPr="004B5D80">
        <w:rPr>
          <w:szCs w:val="24"/>
        </w:rPr>
        <w:t xml:space="preserve">2014 </w:t>
      </w:r>
      <w:r>
        <w:rPr>
          <w:szCs w:val="24"/>
        </w:rPr>
        <w:t xml:space="preserve">- </w:t>
      </w:r>
      <w:r w:rsidR="00AB115E" w:rsidRPr="004B5D80">
        <w:rPr>
          <w:szCs w:val="24"/>
        </w:rPr>
        <w:t>2017</w:t>
      </w:r>
      <w:r w:rsidR="00AB115E">
        <w:rPr>
          <w:szCs w:val="24"/>
        </w:rPr>
        <w:t xml:space="preserve"> are </w:t>
      </w:r>
      <w:r w:rsidR="00AB115E" w:rsidRPr="004B5D80">
        <w:rPr>
          <w:szCs w:val="24"/>
        </w:rPr>
        <w:t xml:space="preserve">totally different </w:t>
      </w:r>
      <w:r w:rsidR="00AB115E">
        <w:rPr>
          <w:szCs w:val="24"/>
        </w:rPr>
        <w:t xml:space="preserve">than those of the period </w:t>
      </w:r>
      <w:r w:rsidR="00AB115E" w:rsidRPr="004B5D80">
        <w:rPr>
          <w:szCs w:val="24"/>
        </w:rPr>
        <w:t xml:space="preserve">2009 </w:t>
      </w:r>
      <w:r w:rsidR="00AB115E">
        <w:rPr>
          <w:szCs w:val="24"/>
        </w:rPr>
        <w:t>-</w:t>
      </w:r>
      <w:r w:rsidR="00AB115E" w:rsidRPr="004B5D80">
        <w:rPr>
          <w:szCs w:val="24"/>
        </w:rPr>
        <w:t xml:space="preserve"> 2013. </w:t>
      </w:r>
      <w:r>
        <w:rPr>
          <w:szCs w:val="24"/>
        </w:rPr>
        <w:t xml:space="preserve">Table 10 indicates that </w:t>
      </w:r>
      <w:r w:rsidR="00434348">
        <w:rPr>
          <w:szCs w:val="24"/>
        </w:rPr>
        <w:t>t</w:t>
      </w:r>
      <w:r w:rsidR="00404499" w:rsidRPr="00206832">
        <w:rPr>
          <w:szCs w:val="24"/>
        </w:rPr>
        <w:t>he coefficient of RO</w:t>
      </w:r>
      <w:r w:rsidR="00404499">
        <w:rPr>
          <w:szCs w:val="24"/>
        </w:rPr>
        <w:t>E</w:t>
      </w:r>
      <w:r w:rsidR="00404499" w:rsidRPr="00206832">
        <w:rPr>
          <w:szCs w:val="24"/>
        </w:rPr>
        <w:t xml:space="preserve"> is </w:t>
      </w:r>
      <w:r w:rsidR="00404499">
        <w:rPr>
          <w:szCs w:val="24"/>
        </w:rPr>
        <w:t xml:space="preserve">still </w:t>
      </w:r>
      <w:r w:rsidR="00404499" w:rsidRPr="00206832">
        <w:rPr>
          <w:szCs w:val="24"/>
        </w:rPr>
        <w:t xml:space="preserve">negative </w:t>
      </w:r>
      <w:r w:rsidR="00404499">
        <w:rPr>
          <w:szCs w:val="24"/>
        </w:rPr>
        <w:t>but statistically in</w:t>
      </w:r>
      <w:r w:rsidR="00404499" w:rsidRPr="00206832">
        <w:rPr>
          <w:szCs w:val="24"/>
        </w:rPr>
        <w:t>significant (t-statistic = −3.</w:t>
      </w:r>
      <w:r w:rsidR="00404499">
        <w:rPr>
          <w:szCs w:val="24"/>
        </w:rPr>
        <w:t>263</w:t>
      </w:r>
      <w:r w:rsidR="00404499" w:rsidRPr="00206832">
        <w:rPr>
          <w:szCs w:val="24"/>
        </w:rPr>
        <w:t xml:space="preserve">, p-value = </w:t>
      </w:r>
      <w:r w:rsidR="00404499" w:rsidRPr="004B5D80">
        <w:rPr>
          <w:szCs w:val="24"/>
        </w:rPr>
        <w:t>0.342</w:t>
      </w:r>
      <w:r w:rsidR="00404499" w:rsidRPr="00206832">
        <w:rPr>
          <w:szCs w:val="24"/>
        </w:rPr>
        <w:t>)</w:t>
      </w:r>
      <w:r w:rsidR="00404499">
        <w:rPr>
          <w:szCs w:val="24"/>
        </w:rPr>
        <w:t xml:space="preserve">. </w:t>
      </w:r>
      <w:r w:rsidR="00404499" w:rsidRPr="004B5D80">
        <w:rPr>
          <w:szCs w:val="24"/>
        </w:rPr>
        <w:t>It also illustrates that modified accounting standards help restrain earning management. Even if the companies enjoy a higher or lower ROE, the allowance is not affected because of accounting policy of bad debts staying the same. However, based on the correlation analysis</w:t>
      </w:r>
      <w:r w:rsidR="00404499">
        <w:rPr>
          <w:szCs w:val="24"/>
        </w:rPr>
        <w:t xml:space="preserve"> in table 13</w:t>
      </w:r>
      <w:r w:rsidR="00404499" w:rsidRPr="004B5D80">
        <w:rPr>
          <w:szCs w:val="24"/>
        </w:rPr>
        <w:t xml:space="preserve">, it still shows the negative relationship between ROE and allowance with the significance of 0.01. However, its impact is too weak comparing with </w:t>
      </w:r>
      <w:r w:rsidR="0029401A" w:rsidRPr="004B5D80">
        <w:rPr>
          <w:szCs w:val="24"/>
        </w:rPr>
        <w:t>leverage</w:t>
      </w:r>
      <w:r w:rsidR="00404499" w:rsidRPr="004B5D80">
        <w:rPr>
          <w:szCs w:val="24"/>
        </w:rPr>
        <w:t xml:space="preserve"> ratio and total assets.</w:t>
      </w:r>
      <w:r w:rsidR="00404499" w:rsidRPr="00404499">
        <w:rPr>
          <w:szCs w:val="24"/>
        </w:rPr>
        <w:t xml:space="preserve"> </w:t>
      </w:r>
      <w:r w:rsidR="00404499">
        <w:rPr>
          <w:szCs w:val="24"/>
        </w:rPr>
        <w:t>T</w:t>
      </w:r>
      <w:r w:rsidR="00404499" w:rsidRPr="00206832">
        <w:rPr>
          <w:szCs w:val="24"/>
        </w:rPr>
        <w:t xml:space="preserve">he coefficient of </w:t>
      </w:r>
      <w:r w:rsidR="00404499" w:rsidRPr="004B5D80">
        <w:rPr>
          <w:szCs w:val="24"/>
        </w:rPr>
        <w:t xml:space="preserve">leverage ratio, it still enjoys a positive relationship with the allowance at 95% confidence level. Its coefficient is 112.448 which </w:t>
      </w:r>
      <w:r w:rsidR="0029401A" w:rsidRPr="004B5D80">
        <w:rPr>
          <w:szCs w:val="24"/>
        </w:rPr>
        <w:t>have</w:t>
      </w:r>
      <w:r w:rsidR="00404499" w:rsidRPr="004B5D80">
        <w:rPr>
          <w:szCs w:val="24"/>
        </w:rPr>
        <w:t xml:space="preserve"> become larger. It means a slight change of leverage ratio will cause a huge alter of allowance. </w:t>
      </w:r>
      <w:r w:rsidR="00404499">
        <w:rPr>
          <w:szCs w:val="24"/>
        </w:rPr>
        <w:t>A</w:t>
      </w:r>
      <w:r w:rsidR="00404499" w:rsidRPr="004B5D80">
        <w:rPr>
          <w:szCs w:val="24"/>
        </w:rPr>
        <w:t>ssets show the same tendency with leverage ratio. It is the most important as well among all variables. Its coefficient is 143.702</w:t>
      </w:r>
    </w:p>
    <w:p w:rsidR="00AB115E" w:rsidRPr="004B5D80" w:rsidRDefault="00AB115E" w:rsidP="00AB115E">
      <w:pPr>
        <w:spacing w:after="0" w:line="240" w:lineRule="auto"/>
        <w:rPr>
          <w:szCs w:val="24"/>
        </w:rPr>
      </w:pPr>
    </w:p>
    <w:p w:rsidR="00AB115E" w:rsidRPr="001F48F5" w:rsidRDefault="00AB115E" w:rsidP="00AB115E">
      <w:pPr>
        <w:spacing w:after="0" w:line="240" w:lineRule="auto"/>
        <w:jc w:val="center"/>
        <w:rPr>
          <w:b/>
          <w:szCs w:val="24"/>
        </w:rPr>
      </w:pPr>
      <w:r w:rsidRPr="001F48F5">
        <w:rPr>
          <w:b/>
          <w:szCs w:val="24"/>
        </w:rPr>
        <w:t>Table 1</w:t>
      </w:r>
      <w:r w:rsidR="00347FF9">
        <w:rPr>
          <w:b/>
          <w:szCs w:val="24"/>
        </w:rPr>
        <w:t>0</w:t>
      </w:r>
      <w:r w:rsidRPr="001F48F5">
        <w:rPr>
          <w:b/>
          <w:szCs w:val="24"/>
        </w:rPr>
        <w:t>: Variables (2014-2017)</w:t>
      </w:r>
    </w:p>
    <w:tbl>
      <w:tblPr>
        <w:tblW w:w="8296" w:type="dxa"/>
        <w:tblLayout w:type="fixed"/>
        <w:tblLook w:val="04A0" w:firstRow="1" w:lastRow="0" w:firstColumn="1" w:lastColumn="0" w:noHBand="0" w:noVBand="1"/>
      </w:tblPr>
      <w:tblGrid>
        <w:gridCol w:w="1566"/>
        <w:gridCol w:w="1346"/>
        <w:gridCol w:w="1346"/>
        <w:gridCol w:w="1346"/>
        <w:gridCol w:w="1346"/>
        <w:gridCol w:w="1346"/>
      </w:tblGrid>
      <w:tr w:rsidR="00AB115E" w:rsidRPr="004B5D80" w:rsidTr="00B520A4">
        <w:trPr>
          <w:trHeight w:val="468"/>
        </w:trPr>
        <w:tc>
          <w:tcPr>
            <w:tcW w:w="1566" w:type="dxa"/>
            <w:tcBorders>
              <w:top w:val="single" w:sz="12" w:space="0" w:color="auto"/>
              <w:bottom w:val="single" w:sz="12" w:space="0" w:color="auto"/>
            </w:tcBorders>
            <w:noWrap/>
            <w:vAlign w:val="center"/>
          </w:tcPr>
          <w:p w:rsidR="00AB115E" w:rsidRPr="00321195" w:rsidRDefault="00AB115E" w:rsidP="00B520A4">
            <w:pPr>
              <w:widowControl/>
              <w:spacing w:after="0" w:line="240" w:lineRule="auto"/>
              <w:jc w:val="center"/>
              <w:rPr>
                <w:rFonts w:eastAsia="PMingLiU"/>
                <w:b/>
                <w:bCs/>
                <w:kern w:val="0"/>
                <w:sz w:val="20"/>
                <w:szCs w:val="20"/>
              </w:rPr>
            </w:pPr>
          </w:p>
        </w:tc>
        <w:tc>
          <w:tcPr>
            <w:tcW w:w="1346" w:type="dxa"/>
            <w:tcBorders>
              <w:top w:val="single" w:sz="12" w:space="0" w:color="auto"/>
              <w:bottom w:val="single" w:sz="12" w:space="0" w:color="auto"/>
            </w:tcBorders>
            <w:vAlign w:val="center"/>
          </w:tcPr>
          <w:p w:rsidR="00AB115E" w:rsidRPr="00321195" w:rsidRDefault="00AB115E" w:rsidP="00B520A4">
            <w:pPr>
              <w:widowControl/>
              <w:spacing w:after="0" w:line="240" w:lineRule="auto"/>
              <w:jc w:val="center"/>
              <w:rPr>
                <w:rFonts w:eastAsia="MingLiU"/>
                <w:b/>
                <w:kern w:val="0"/>
                <w:sz w:val="20"/>
                <w:szCs w:val="20"/>
              </w:rPr>
            </w:pPr>
            <w:r w:rsidRPr="00321195">
              <w:rPr>
                <w:rFonts w:eastAsia="MingLiU"/>
                <w:b/>
                <w:kern w:val="0"/>
                <w:sz w:val="20"/>
                <w:szCs w:val="20"/>
              </w:rPr>
              <w:t>B</w:t>
            </w:r>
          </w:p>
        </w:tc>
        <w:tc>
          <w:tcPr>
            <w:tcW w:w="1346" w:type="dxa"/>
            <w:tcBorders>
              <w:top w:val="single" w:sz="12" w:space="0" w:color="auto"/>
              <w:bottom w:val="single" w:sz="12" w:space="0" w:color="auto"/>
            </w:tcBorders>
            <w:vAlign w:val="center"/>
          </w:tcPr>
          <w:p w:rsidR="00AB115E" w:rsidRPr="00321195" w:rsidRDefault="00AB115E" w:rsidP="00B520A4">
            <w:pPr>
              <w:widowControl/>
              <w:spacing w:after="0" w:line="240" w:lineRule="auto"/>
              <w:jc w:val="center"/>
              <w:rPr>
                <w:rFonts w:eastAsia="MingLiU"/>
                <w:b/>
                <w:kern w:val="0"/>
                <w:sz w:val="20"/>
                <w:szCs w:val="20"/>
              </w:rPr>
            </w:pPr>
            <w:r w:rsidRPr="00321195">
              <w:rPr>
                <w:rFonts w:eastAsia="MingLiU"/>
                <w:b/>
                <w:kern w:val="0"/>
                <w:sz w:val="20"/>
                <w:szCs w:val="20"/>
              </w:rPr>
              <w:t>Std. Error</w:t>
            </w:r>
          </w:p>
        </w:tc>
        <w:tc>
          <w:tcPr>
            <w:tcW w:w="1346" w:type="dxa"/>
            <w:tcBorders>
              <w:top w:val="single" w:sz="12" w:space="0" w:color="auto"/>
              <w:bottom w:val="single" w:sz="12" w:space="0" w:color="auto"/>
            </w:tcBorders>
            <w:vAlign w:val="center"/>
          </w:tcPr>
          <w:p w:rsidR="00AB115E" w:rsidRPr="00321195" w:rsidRDefault="00AB115E" w:rsidP="00B520A4">
            <w:pPr>
              <w:widowControl/>
              <w:spacing w:after="0" w:line="240" w:lineRule="auto"/>
              <w:jc w:val="center"/>
              <w:rPr>
                <w:rFonts w:eastAsia="MingLiU"/>
                <w:b/>
                <w:kern w:val="0"/>
                <w:sz w:val="20"/>
                <w:szCs w:val="20"/>
              </w:rPr>
            </w:pPr>
            <w:r w:rsidRPr="00321195">
              <w:rPr>
                <w:rFonts w:eastAsia="MingLiU"/>
                <w:b/>
                <w:kern w:val="0"/>
                <w:sz w:val="20"/>
                <w:szCs w:val="20"/>
              </w:rPr>
              <w:t>Beta</w:t>
            </w:r>
          </w:p>
        </w:tc>
        <w:tc>
          <w:tcPr>
            <w:tcW w:w="1346" w:type="dxa"/>
            <w:tcBorders>
              <w:top w:val="single" w:sz="12" w:space="0" w:color="auto"/>
              <w:bottom w:val="single" w:sz="12" w:space="0" w:color="auto"/>
            </w:tcBorders>
            <w:vAlign w:val="center"/>
          </w:tcPr>
          <w:p w:rsidR="00AB115E" w:rsidRPr="00321195" w:rsidRDefault="00AB115E" w:rsidP="00B520A4">
            <w:pPr>
              <w:widowControl/>
              <w:spacing w:after="0" w:line="240" w:lineRule="auto"/>
              <w:jc w:val="center"/>
              <w:rPr>
                <w:rFonts w:eastAsia="MingLiU"/>
                <w:b/>
                <w:kern w:val="0"/>
                <w:sz w:val="20"/>
                <w:szCs w:val="20"/>
              </w:rPr>
            </w:pPr>
            <w:r w:rsidRPr="00321195">
              <w:rPr>
                <w:rFonts w:eastAsia="MingLiU"/>
                <w:b/>
                <w:kern w:val="0"/>
                <w:sz w:val="20"/>
                <w:szCs w:val="20"/>
              </w:rPr>
              <w:t>t</w:t>
            </w:r>
          </w:p>
        </w:tc>
        <w:tc>
          <w:tcPr>
            <w:tcW w:w="1346" w:type="dxa"/>
            <w:tcBorders>
              <w:top w:val="single" w:sz="12" w:space="0" w:color="auto"/>
              <w:bottom w:val="single" w:sz="12" w:space="0" w:color="auto"/>
            </w:tcBorders>
            <w:vAlign w:val="center"/>
          </w:tcPr>
          <w:p w:rsidR="00AB115E" w:rsidRPr="00321195" w:rsidRDefault="00AB115E" w:rsidP="00B520A4">
            <w:pPr>
              <w:widowControl/>
              <w:spacing w:after="0" w:line="240" w:lineRule="auto"/>
              <w:jc w:val="center"/>
              <w:rPr>
                <w:b/>
                <w:kern w:val="0"/>
                <w:sz w:val="20"/>
                <w:szCs w:val="20"/>
              </w:rPr>
            </w:pPr>
            <w:r w:rsidRPr="00321195">
              <w:rPr>
                <w:b/>
                <w:color w:val="333333"/>
                <w:sz w:val="20"/>
                <w:szCs w:val="20"/>
              </w:rPr>
              <w:t>p-value</w:t>
            </w:r>
          </w:p>
        </w:tc>
      </w:tr>
      <w:tr w:rsidR="00AB115E" w:rsidRPr="004B5D80" w:rsidTr="00B520A4">
        <w:trPr>
          <w:trHeight w:val="468"/>
        </w:trPr>
        <w:tc>
          <w:tcPr>
            <w:tcW w:w="1566" w:type="dxa"/>
            <w:tcBorders>
              <w:top w:val="single" w:sz="12" w:space="0" w:color="auto"/>
            </w:tcBorders>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(Constant)</w:t>
            </w:r>
          </w:p>
        </w:tc>
        <w:tc>
          <w:tcPr>
            <w:tcW w:w="1346" w:type="dxa"/>
            <w:tcBorders>
              <w:top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-1358.795</w:t>
            </w:r>
          </w:p>
        </w:tc>
        <w:tc>
          <w:tcPr>
            <w:tcW w:w="1346" w:type="dxa"/>
            <w:tcBorders>
              <w:top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128.582</w:t>
            </w:r>
          </w:p>
        </w:tc>
        <w:tc>
          <w:tcPr>
            <w:tcW w:w="1346" w:type="dxa"/>
            <w:tcBorders>
              <w:top w:val="single" w:sz="12" w:space="0" w:color="auto"/>
            </w:tcBorders>
            <w:noWrap/>
            <w:vAlign w:val="center"/>
          </w:tcPr>
          <w:p w:rsidR="00AB115E" w:rsidRPr="004B5D80" w:rsidRDefault="00AB115E" w:rsidP="00B520A4">
            <w:pPr>
              <w:widowControl/>
              <w:spacing w:after="0" w:line="240" w:lineRule="auto"/>
              <w:jc w:val="center"/>
              <w:rPr>
                <w:kern w:val="0"/>
                <w:sz w:val="20"/>
                <w:szCs w:val="20"/>
              </w:rPr>
            </w:pPr>
          </w:p>
        </w:tc>
        <w:tc>
          <w:tcPr>
            <w:tcW w:w="1346" w:type="dxa"/>
            <w:tcBorders>
              <w:top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-10.568</w:t>
            </w:r>
          </w:p>
        </w:tc>
        <w:tc>
          <w:tcPr>
            <w:tcW w:w="1346" w:type="dxa"/>
            <w:tcBorders>
              <w:top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.000</w:t>
            </w:r>
          </w:p>
        </w:tc>
      </w:tr>
      <w:tr w:rsidR="00AB115E" w:rsidRPr="004B5D80" w:rsidTr="00B520A4">
        <w:trPr>
          <w:trHeight w:val="276"/>
        </w:trPr>
        <w:tc>
          <w:tcPr>
            <w:tcW w:w="1566" w:type="dxa"/>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ROE</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-43.209</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45.436</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-.031</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-.951</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.342</w:t>
            </w:r>
          </w:p>
        </w:tc>
      </w:tr>
      <w:tr w:rsidR="00AB115E" w:rsidRPr="004B5D80" w:rsidTr="00B520A4">
        <w:trPr>
          <w:trHeight w:val="276"/>
        </w:trPr>
        <w:tc>
          <w:tcPr>
            <w:tcW w:w="1566" w:type="dxa"/>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Lev</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112.448</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56.086</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.074</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2.005</w:t>
            </w:r>
          </w:p>
        </w:tc>
        <w:tc>
          <w:tcPr>
            <w:tcW w:w="1346" w:type="dxa"/>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.045</w:t>
            </w:r>
          </w:p>
        </w:tc>
      </w:tr>
      <w:tr w:rsidR="00AB115E" w:rsidRPr="004B5D80" w:rsidTr="00B520A4">
        <w:trPr>
          <w:trHeight w:val="288"/>
        </w:trPr>
        <w:tc>
          <w:tcPr>
            <w:tcW w:w="1566" w:type="dxa"/>
            <w:tcBorders>
              <w:bottom w:val="single" w:sz="12" w:space="0" w:color="auto"/>
            </w:tcBorders>
            <w:vAlign w:val="center"/>
          </w:tcPr>
          <w:p w:rsidR="00AB115E" w:rsidRPr="004B5D80" w:rsidRDefault="00347FF9" w:rsidP="00B520A4">
            <w:pPr>
              <w:widowControl/>
              <w:spacing w:after="0" w:line="240" w:lineRule="auto"/>
              <w:jc w:val="center"/>
              <w:rPr>
                <w:rFonts w:eastAsia="MingLiU"/>
                <w:kern w:val="0"/>
                <w:sz w:val="20"/>
                <w:szCs w:val="20"/>
              </w:rPr>
            </w:pPr>
            <w:r>
              <w:rPr>
                <w:rFonts w:eastAsia="MingLiU"/>
                <w:kern w:val="0"/>
                <w:sz w:val="20"/>
                <w:szCs w:val="20"/>
              </w:rPr>
              <w:t>Assets</w:t>
            </w:r>
          </w:p>
        </w:tc>
        <w:tc>
          <w:tcPr>
            <w:tcW w:w="1346" w:type="dxa"/>
            <w:tcBorders>
              <w:bottom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143.702</w:t>
            </w:r>
          </w:p>
        </w:tc>
        <w:tc>
          <w:tcPr>
            <w:tcW w:w="1346" w:type="dxa"/>
            <w:tcBorders>
              <w:bottom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14.291</w:t>
            </w:r>
          </w:p>
        </w:tc>
        <w:tc>
          <w:tcPr>
            <w:tcW w:w="1346" w:type="dxa"/>
            <w:tcBorders>
              <w:bottom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.361</w:t>
            </w:r>
          </w:p>
        </w:tc>
        <w:tc>
          <w:tcPr>
            <w:tcW w:w="1346" w:type="dxa"/>
            <w:tcBorders>
              <w:bottom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10.055</w:t>
            </w:r>
          </w:p>
        </w:tc>
        <w:tc>
          <w:tcPr>
            <w:tcW w:w="1346" w:type="dxa"/>
            <w:tcBorders>
              <w:bottom w:val="single" w:sz="12" w:space="0" w:color="auto"/>
            </w:tcBorders>
            <w:noWrap/>
            <w:vAlign w:val="center"/>
          </w:tcPr>
          <w:p w:rsidR="00AB115E" w:rsidRPr="004B5D80" w:rsidRDefault="00AB115E" w:rsidP="00B520A4">
            <w:pPr>
              <w:widowControl/>
              <w:spacing w:after="0" w:line="240" w:lineRule="auto"/>
              <w:jc w:val="center"/>
              <w:rPr>
                <w:rFonts w:eastAsia="MingLiU"/>
                <w:kern w:val="0"/>
                <w:sz w:val="20"/>
                <w:szCs w:val="20"/>
              </w:rPr>
            </w:pPr>
            <w:r w:rsidRPr="004B5D80">
              <w:rPr>
                <w:rFonts w:eastAsia="MingLiU"/>
                <w:kern w:val="0"/>
                <w:sz w:val="20"/>
                <w:szCs w:val="20"/>
              </w:rPr>
              <w:t>.000</w:t>
            </w:r>
          </w:p>
        </w:tc>
      </w:tr>
    </w:tbl>
    <w:p w:rsidR="00AB115E" w:rsidRDefault="00AB115E" w:rsidP="00AB115E">
      <w:pPr>
        <w:spacing w:after="0" w:line="240" w:lineRule="auto"/>
        <w:rPr>
          <w:kern w:val="0"/>
          <w:szCs w:val="24"/>
        </w:rPr>
      </w:pPr>
    </w:p>
    <w:p w:rsidR="00554E1D" w:rsidRPr="000A6B6C" w:rsidRDefault="00554E1D" w:rsidP="00554E1D">
      <w:pPr>
        <w:spacing w:after="0" w:line="240" w:lineRule="auto"/>
        <w:rPr>
          <w:color w:val="000000" w:themeColor="text1"/>
          <w:szCs w:val="24"/>
        </w:rPr>
      </w:pPr>
      <w:r>
        <w:rPr>
          <w:szCs w:val="24"/>
        </w:rPr>
        <w:t xml:space="preserve">In addition, </w:t>
      </w:r>
      <w:r w:rsidR="000A6B6C">
        <w:rPr>
          <w:szCs w:val="24"/>
        </w:rPr>
        <w:t xml:space="preserve">by employing </w:t>
      </w:r>
      <w:r w:rsidRPr="004B5D80">
        <w:rPr>
          <w:szCs w:val="24"/>
        </w:rPr>
        <w:t>R</w:t>
      </w:r>
      <w:r w:rsidR="0029401A">
        <w:rPr>
          <w:szCs w:val="24"/>
        </w:rPr>
        <w:t>-</w:t>
      </w:r>
      <w:r w:rsidRPr="004B5D80">
        <w:rPr>
          <w:szCs w:val="24"/>
        </w:rPr>
        <w:t xml:space="preserve">Square </w:t>
      </w:r>
      <w:r>
        <w:rPr>
          <w:szCs w:val="24"/>
        </w:rPr>
        <w:t>analysis (table</w:t>
      </w:r>
      <w:r w:rsidRPr="004B5D80">
        <w:rPr>
          <w:szCs w:val="24"/>
        </w:rPr>
        <w:t xml:space="preserve"> </w:t>
      </w:r>
      <w:r>
        <w:rPr>
          <w:szCs w:val="24"/>
        </w:rPr>
        <w:t>1</w:t>
      </w:r>
      <w:r w:rsidR="00347FF9">
        <w:rPr>
          <w:szCs w:val="24"/>
        </w:rPr>
        <w:t>1</w:t>
      </w:r>
      <w:r>
        <w:rPr>
          <w:szCs w:val="24"/>
        </w:rPr>
        <w:t>)</w:t>
      </w:r>
      <w:r w:rsidRPr="004B5D80">
        <w:rPr>
          <w:szCs w:val="24"/>
        </w:rPr>
        <w:t xml:space="preserve">, </w:t>
      </w:r>
      <w:r w:rsidR="00321195">
        <w:rPr>
          <w:szCs w:val="24"/>
        </w:rPr>
        <w:t xml:space="preserve">it can be </w:t>
      </w:r>
      <w:r>
        <w:rPr>
          <w:szCs w:val="24"/>
        </w:rPr>
        <w:t>see</w:t>
      </w:r>
      <w:r w:rsidR="00321195">
        <w:rPr>
          <w:szCs w:val="24"/>
        </w:rPr>
        <w:t>n</w:t>
      </w:r>
      <w:r w:rsidRPr="004B5D80">
        <w:rPr>
          <w:szCs w:val="24"/>
        </w:rPr>
        <w:t xml:space="preserve"> that both periods illustrate the relationship between </w:t>
      </w:r>
      <w:r w:rsidR="00321195">
        <w:rPr>
          <w:szCs w:val="24"/>
        </w:rPr>
        <w:t xml:space="preserve">the </w:t>
      </w:r>
      <w:r w:rsidRPr="00321195">
        <w:rPr>
          <w:color w:val="000000" w:themeColor="text1"/>
          <w:szCs w:val="24"/>
        </w:rPr>
        <w:t xml:space="preserve">dependent variable and </w:t>
      </w:r>
      <w:r w:rsidR="00321195" w:rsidRPr="00321195">
        <w:rPr>
          <w:color w:val="000000" w:themeColor="text1"/>
          <w:szCs w:val="24"/>
        </w:rPr>
        <w:t xml:space="preserve">the </w:t>
      </w:r>
      <w:r w:rsidRPr="00321195">
        <w:rPr>
          <w:color w:val="000000" w:themeColor="text1"/>
          <w:szCs w:val="24"/>
        </w:rPr>
        <w:t xml:space="preserve">independent variables, but in the first </w:t>
      </w:r>
      <w:r w:rsidR="000A6B6C">
        <w:rPr>
          <w:color w:val="000000" w:themeColor="text1"/>
          <w:szCs w:val="24"/>
        </w:rPr>
        <w:t>one</w:t>
      </w:r>
      <w:r w:rsidRPr="00321195">
        <w:rPr>
          <w:color w:val="000000" w:themeColor="text1"/>
          <w:szCs w:val="24"/>
        </w:rPr>
        <w:t xml:space="preserve"> (2009-2013), </w:t>
      </w:r>
      <w:r w:rsidR="00321195" w:rsidRPr="00321195">
        <w:rPr>
          <w:color w:val="000000" w:themeColor="text1"/>
          <w:szCs w:val="24"/>
        </w:rPr>
        <w:t>R</w:t>
      </w:r>
      <w:r w:rsidR="00321195" w:rsidRPr="00321195">
        <w:rPr>
          <w:color w:val="000000" w:themeColor="text1"/>
          <w:szCs w:val="24"/>
          <w:vertAlign w:val="superscript"/>
        </w:rPr>
        <w:t>2</w:t>
      </w:r>
      <w:r w:rsidR="00321195" w:rsidRPr="00321195">
        <w:rPr>
          <w:color w:val="000000" w:themeColor="text1"/>
          <w:szCs w:val="24"/>
        </w:rPr>
        <w:t xml:space="preserve"> statistic</w:t>
      </w:r>
      <w:r w:rsidR="00321195">
        <w:rPr>
          <w:color w:val="000000" w:themeColor="text1"/>
          <w:szCs w:val="24"/>
        </w:rPr>
        <w:t xml:space="preserve"> </w:t>
      </w:r>
      <w:r w:rsidRPr="00321195">
        <w:rPr>
          <w:color w:val="000000" w:themeColor="text1"/>
          <w:szCs w:val="24"/>
        </w:rPr>
        <w:t xml:space="preserve">equals </w:t>
      </w:r>
      <w:r w:rsidRPr="004B5D80">
        <w:rPr>
          <w:szCs w:val="24"/>
        </w:rPr>
        <w:t>to 0.107, while in the second (2014-2017)</w:t>
      </w:r>
      <w:r>
        <w:rPr>
          <w:szCs w:val="24"/>
        </w:rPr>
        <w:t xml:space="preserve"> </w:t>
      </w:r>
      <w:r w:rsidRPr="004B5D80">
        <w:rPr>
          <w:szCs w:val="24"/>
        </w:rPr>
        <w:t>it is 0.164</w:t>
      </w:r>
      <w:r w:rsidR="000A6B6C">
        <w:rPr>
          <w:szCs w:val="24"/>
        </w:rPr>
        <w:t>, an increase of 53.3 percent</w:t>
      </w:r>
      <w:r w:rsidRPr="004B5D80">
        <w:rPr>
          <w:szCs w:val="24"/>
        </w:rPr>
        <w:t xml:space="preserve">. </w:t>
      </w:r>
      <w:r>
        <w:rPr>
          <w:szCs w:val="24"/>
        </w:rPr>
        <w:t xml:space="preserve">This </w:t>
      </w:r>
      <w:r w:rsidRPr="004B5D80">
        <w:rPr>
          <w:szCs w:val="24"/>
        </w:rPr>
        <w:t xml:space="preserve">means that the </w:t>
      </w:r>
      <w:r>
        <w:rPr>
          <w:szCs w:val="24"/>
        </w:rPr>
        <w:t xml:space="preserve">variability of </w:t>
      </w:r>
      <w:r w:rsidRPr="004B5D80">
        <w:rPr>
          <w:szCs w:val="24"/>
        </w:rPr>
        <w:t xml:space="preserve">allowance </w:t>
      </w:r>
      <w:r w:rsidRPr="000A6B6C">
        <w:rPr>
          <w:color w:val="000000" w:themeColor="text1"/>
          <w:szCs w:val="24"/>
        </w:rPr>
        <w:t>for doubtful accounts is better explained by the regression model in equation 3, in the second period.</w:t>
      </w:r>
      <w:r w:rsidR="000A6B6C" w:rsidRPr="000A6B6C">
        <w:rPr>
          <w:color w:val="000000" w:themeColor="text1"/>
          <w:szCs w:val="24"/>
        </w:rPr>
        <w:t xml:space="preserve"> This result is also verified by </w:t>
      </w:r>
      <w:r w:rsidR="00D7460B">
        <w:rPr>
          <w:color w:val="000000" w:themeColor="text1"/>
          <w:szCs w:val="24"/>
        </w:rPr>
        <w:t xml:space="preserve">the </w:t>
      </w:r>
      <w:r w:rsidR="000A6B6C" w:rsidRPr="000A6B6C">
        <w:rPr>
          <w:color w:val="000000" w:themeColor="text1"/>
          <w:szCs w:val="24"/>
        </w:rPr>
        <w:t>adjusted R-squared</w:t>
      </w:r>
      <w:r w:rsidR="000A6B6C">
        <w:rPr>
          <w:color w:val="000000" w:themeColor="text1"/>
          <w:szCs w:val="24"/>
        </w:rPr>
        <w:t xml:space="preserve"> </w:t>
      </w:r>
      <w:r w:rsidR="00D7460B">
        <w:rPr>
          <w:color w:val="000000" w:themeColor="text1"/>
          <w:szCs w:val="24"/>
        </w:rPr>
        <w:t>which increases by 52 percent between the two periods</w:t>
      </w:r>
      <w:r w:rsidR="000A6B6C">
        <w:rPr>
          <w:color w:val="000000" w:themeColor="text1"/>
          <w:szCs w:val="24"/>
        </w:rPr>
        <w:t>.</w:t>
      </w:r>
    </w:p>
    <w:p w:rsidR="00554E1D" w:rsidRPr="004B5D80" w:rsidRDefault="00554E1D" w:rsidP="00554E1D">
      <w:pPr>
        <w:spacing w:after="0" w:line="240" w:lineRule="auto"/>
        <w:rPr>
          <w:szCs w:val="24"/>
        </w:rPr>
      </w:pPr>
    </w:p>
    <w:p w:rsidR="00554E1D" w:rsidRPr="004B5D80" w:rsidRDefault="00554E1D" w:rsidP="00554E1D">
      <w:pPr>
        <w:spacing w:after="0" w:line="240" w:lineRule="auto"/>
        <w:jc w:val="center"/>
        <w:rPr>
          <w:szCs w:val="24"/>
        </w:rPr>
      </w:pPr>
      <w:r>
        <w:rPr>
          <w:b/>
          <w:bCs/>
          <w:kern w:val="0"/>
          <w:szCs w:val="24"/>
        </w:rPr>
        <w:t>Table 1</w:t>
      </w:r>
      <w:r w:rsidR="00347FF9">
        <w:rPr>
          <w:b/>
          <w:bCs/>
          <w:kern w:val="0"/>
          <w:szCs w:val="24"/>
        </w:rPr>
        <w:t>1</w:t>
      </w:r>
      <w:r>
        <w:rPr>
          <w:b/>
          <w:bCs/>
          <w:kern w:val="0"/>
          <w:szCs w:val="24"/>
        </w:rPr>
        <w:t>: Results of Regression Analysis</w:t>
      </w:r>
    </w:p>
    <w:tbl>
      <w:tblPr>
        <w:tblW w:w="8306" w:type="dxa"/>
        <w:jc w:val="center"/>
        <w:tblLayout w:type="fixed"/>
        <w:tblLook w:val="04A0" w:firstRow="1" w:lastRow="0" w:firstColumn="1" w:lastColumn="0" w:noHBand="0" w:noVBand="1"/>
      </w:tblPr>
      <w:tblGrid>
        <w:gridCol w:w="1547"/>
        <w:gridCol w:w="1661"/>
        <w:gridCol w:w="1661"/>
        <w:gridCol w:w="1661"/>
        <w:gridCol w:w="1776"/>
      </w:tblGrid>
      <w:tr w:rsidR="00554E1D" w:rsidRPr="004B5D80" w:rsidTr="00B520A4">
        <w:trPr>
          <w:trHeight w:val="696"/>
          <w:jc w:val="center"/>
        </w:trPr>
        <w:tc>
          <w:tcPr>
            <w:tcW w:w="1547" w:type="dxa"/>
            <w:tcBorders>
              <w:top w:val="single" w:sz="12" w:space="0" w:color="auto"/>
              <w:bottom w:val="single" w:sz="12" w:space="0" w:color="auto"/>
            </w:tcBorders>
            <w:vAlign w:val="center"/>
          </w:tcPr>
          <w:p w:rsidR="00554E1D" w:rsidRPr="00321195" w:rsidRDefault="00554E1D" w:rsidP="00B520A4">
            <w:pPr>
              <w:widowControl/>
              <w:spacing w:after="0" w:line="240" w:lineRule="auto"/>
              <w:jc w:val="center"/>
              <w:rPr>
                <w:rFonts w:eastAsia="MingLiU"/>
                <w:b/>
                <w:kern w:val="0"/>
                <w:sz w:val="20"/>
                <w:szCs w:val="20"/>
              </w:rPr>
            </w:pPr>
            <w:r w:rsidRPr="00321195">
              <w:rPr>
                <w:rFonts w:eastAsia="MingLiU"/>
                <w:b/>
                <w:kern w:val="0"/>
                <w:sz w:val="20"/>
                <w:szCs w:val="20"/>
              </w:rPr>
              <w:t>Year</w:t>
            </w:r>
          </w:p>
        </w:tc>
        <w:tc>
          <w:tcPr>
            <w:tcW w:w="1661" w:type="dxa"/>
            <w:tcBorders>
              <w:top w:val="single" w:sz="12" w:space="0" w:color="auto"/>
              <w:bottom w:val="single" w:sz="12" w:space="0" w:color="auto"/>
            </w:tcBorders>
            <w:vAlign w:val="center"/>
          </w:tcPr>
          <w:p w:rsidR="00554E1D" w:rsidRPr="00321195" w:rsidRDefault="00554E1D" w:rsidP="00B520A4">
            <w:pPr>
              <w:widowControl/>
              <w:spacing w:after="0" w:line="240" w:lineRule="auto"/>
              <w:jc w:val="center"/>
              <w:rPr>
                <w:rFonts w:eastAsia="MingLiU"/>
                <w:b/>
                <w:kern w:val="0"/>
                <w:sz w:val="20"/>
                <w:szCs w:val="20"/>
              </w:rPr>
            </w:pPr>
            <w:r w:rsidRPr="00321195">
              <w:rPr>
                <w:rFonts w:eastAsia="MingLiU"/>
                <w:b/>
                <w:kern w:val="0"/>
                <w:sz w:val="20"/>
                <w:szCs w:val="20"/>
              </w:rPr>
              <w:t>R</w:t>
            </w:r>
          </w:p>
        </w:tc>
        <w:tc>
          <w:tcPr>
            <w:tcW w:w="1661" w:type="dxa"/>
            <w:tcBorders>
              <w:top w:val="single" w:sz="12" w:space="0" w:color="auto"/>
              <w:bottom w:val="single" w:sz="12" w:space="0" w:color="auto"/>
            </w:tcBorders>
            <w:vAlign w:val="center"/>
          </w:tcPr>
          <w:p w:rsidR="00554E1D" w:rsidRPr="00321195" w:rsidRDefault="00554E1D" w:rsidP="00B520A4">
            <w:pPr>
              <w:widowControl/>
              <w:spacing w:after="0" w:line="240" w:lineRule="auto"/>
              <w:jc w:val="center"/>
              <w:rPr>
                <w:rFonts w:eastAsia="MingLiU"/>
                <w:b/>
                <w:kern w:val="0"/>
                <w:sz w:val="20"/>
                <w:szCs w:val="20"/>
              </w:rPr>
            </w:pPr>
            <w:r w:rsidRPr="00321195">
              <w:rPr>
                <w:rFonts w:eastAsia="MingLiU"/>
                <w:b/>
                <w:kern w:val="0"/>
                <w:sz w:val="20"/>
                <w:szCs w:val="20"/>
              </w:rPr>
              <w:t>R Square</w:t>
            </w:r>
          </w:p>
        </w:tc>
        <w:tc>
          <w:tcPr>
            <w:tcW w:w="1661" w:type="dxa"/>
            <w:tcBorders>
              <w:top w:val="single" w:sz="12" w:space="0" w:color="auto"/>
              <w:bottom w:val="single" w:sz="12" w:space="0" w:color="auto"/>
            </w:tcBorders>
            <w:vAlign w:val="center"/>
          </w:tcPr>
          <w:p w:rsidR="00554E1D" w:rsidRPr="00321195" w:rsidRDefault="00554E1D" w:rsidP="00B520A4">
            <w:pPr>
              <w:widowControl/>
              <w:spacing w:after="0" w:line="240" w:lineRule="auto"/>
              <w:jc w:val="center"/>
              <w:rPr>
                <w:rFonts w:eastAsia="MingLiU"/>
                <w:b/>
                <w:kern w:val="0"/>
                <w:sz w:val="20"/>
                <w:szCs w:val="20"/>
              </w:rPr>
            </w:pPr>
            <w:r w:rsidRPr="00321195">
              <w:rPr>
                <w:rFonts w:eastAsia="SimSun"/>
                <w:b/>
                <w:kern w:val="0"/>
                <w:sz w:val="20"/>
                <w:szCs w:val="20"/>
              </w:rPr>
              <w:t>Adjusted</w:t>
            </w:r>
            <w:r w:rsidRPr="00321195">
              <w:rPr>
                <w:rFonts w:eastAsia="MingLiU"/>
                <w:b/>
                <w:kern w:val="0"/>
                <w:sz w:val="20"/>
                <w:szCs w:val="20"/>
              </w:rPr>
              <w:t xml:space="preserve"> R Square</w:t>
            </w:r>
          </w:p>
        </w:tc>
        <w:tc>
          <w:tcPr>
            <w:tcW w:w="1776" w:type="dxa"/>
            <w:tcBorders>
              <w:top w:val="single" w:sz="12" w:space="0" w:color="auto"/>
              <w:bottom w:val="single" w:sz="12" w:space="0" w:color="auto"/>
            </w:tcBorders>
            <w:vAlign w:val="center"/>
          </w:tcPr>
          <w:p w:rsidR="00554E1D" w:rsidRPr="00321195" w:rsidRDefault="00554E1D" w:rsidP="00B520A4">
            <w:pPr>
              <w:widowControl/>
              <w:spacing w:after="0" w:line="240" w:lineRule="auto"/>
              <w:jc w:val="center"/>
              <w:rPr>
                <w:rFonts w:eastAsia="MingLiU"/>
                <w:b/>
                <w:kern w:val="0"/>
                <w:sz w:val="20"/>
                <w:szCs w:val="20"/>
              </w:rPr>
            </w:pPr>
            <w:r w:rsidRPr="00321195">
              <w:rPr>
                <w:rFonts w:eastAsia="MingLiU"/>
                <w:b/>
                <w:kern w:val="0"/>
                <w:sz w:val="20"/>
                <w:szCs w:val="20"/>
              </w:rPr>
              <w:t>St</w:t>
            </w:r>
            <w:r w:rsidR="00321195" w:rsidRPr="00321195">
              <w:rPr>
                <w:rFonts w:eastAsia="MingLiU"/>
                <w:b/>
                <w:kern w:val="0"/>
                <w:sz w:val="20"/>
                <w:szCs w:val="20"/>
              </w:rPr>
              <w:t xml:space="preserve">andard </w:t>
            </w:r>
            <w:r w:rsidRPr="00321195">
              <w:rPr>
                <w:rFonts w:eastAsia="MingLiU"/>
                <w:b/>
                <w:kern w:val="0"/>
                <w:sz w:val="20"/>
                <w:szCs w:val="20"/>
              </w:rPr>
              <w:t>d Error of the Estimate</w:t>
            </w:r>
          </w:p>
        </w:tc>
      </w:tr>
      <w:tr w:rsidR="00554E1D" w:rsidRPr="004B5D80" w:rsidTr="00B520A4">
        <w:trPr>
          <w:trHeight w:val="288"/>
          <w:jc w:val="center"/>
        </w:trPr>
        <w:tc>
          <w:tcPr>
            <w:tcW w:w="1547" w:type="dxa"/>
            <w:tcBorders>
              <w:top w:val="single" w:sz="12" w:space="0" w:color="auto"/>
            </w:tcBorders>
            <w:vAlign w:val="center"/>
          </w:tcPr>
          <w:p w:rsidR="00554E1D" w:rsidRPr="004B5D80" w:rsidRDefault="00554E1D" w:rsidP="00B520A4">
            <w:pPr>
              <w:widowControl/>
              <w:spacing w:after="0" w:line="240" w:lineRule="auto"/>
              <w:jc w:val="center"/>
              <w:rPr>
                <w:rFonts w:eastAsia="MingLiU"/>
                <w:kern w:val="0"/>
                <w:sz w:val="20"/>
                <w:szCs w:val="20"/>
              </w:rPr>
            </w:pPr>
            <w:r w:rsidRPr="004B5D80">
              <w:rPr>
                <w:rFonts w:eastAsia="MingLiU"/>
                <w:kern w:val="0"/>
                <w:sz w:val="20"/>
                <w:szCs w:val="20"/>
              </w:rPr>
              <w:t>2009-2013</w:t>
            </w:r>
          </w:p>
        </w:tc>
        <w:tc>
          <w:tcPr>
            <w:tcW w:w="1661" w:type="dxa"/>
            <w:tcBorders>
              <w:top w:val="single" w:sz="12" w:space="0" w:color="auto"/>
            </w:tcBorders>
            <w:noWrap/>
            <w:vAlign w:val="center"/>
          </w:tcPr>
          <w:p w:rsidR="00554E1D" w:rsidRPr="004B5D80" w:rsidRDefault="00554E1D" w:rsidP="00B520A4">
            <w:pPr>
              <w:widowControl/>
              <w:spacing w:after="0" w:line="240" w:lineRule="auto"/>
              <w:jc w:val="center"/>
              <w:rPr>
                <w:rFonts w:eastAsia="MingLiU"/>
                <w:kern w:val="0"/>
                <w:sz w:val="20"/>
                <w:szCs w:val="20"/>
              </w:rPr>
            </w:pPr>
            <w:r w:rsidRPr="004B5D80">
              <w:rPr>
                <w:rFonts w:eastAsia="MingLiU"/>
                <w:kern w:val="0"/>
                <w:sz w:val="20"/>
                <w:szCs w:val="20"/>
              </w:rPr>
              <w:t>.327</w:t>
            </w:r>
            <w:r w:rsidRPr="004B5D80">
              <w:rPr>
                <w:rFonts w:eastAsia="MingLiU"/>
                <w:kern w:val="0"/>
                <w:sz w:val="20"/>
                <w:szCs w:val="20"/>
                <w:vertAlign w:val="superscript"/>
              </w:rPr>
              <w:t>a</w:t>
            </w:r>
          </w:p>
        </w:tc>
        <w:tc>
          <w:tcPr>
            <w:tcW w:w="1661" w:type="dxa"/>
            <w:tcBorders>
              <w:top w:val="single" w:sz="12" w:space="0" w:color="auto"/>
            </w:tcBorders>
            <w:noWrap/>
            <w:vAlign w:val="center"/>
          </w:tcPr>
          <w:p w:rsidR="00554E1D" w:rsidRPr="004B5D80" w:rsidRDefault="00554E1D" w:rsidP="00B520A4">
            <w:pPr>
              <w:widowControl/>
              <w:spacing w:after="0" w:line="240" w:lineRule="auto"/>
              <w:jc w:val="center"/>
              <w:rPr>
                <w:rFonts w:eastAsia="MingLiU"/>
                <w:kern w:val="0"/>
                <w:sz w:val="20"/>
                <w:szCs w:val="20"/>
              </w:rPr>
            </w:pPr>
            <w:r w:rsidRPr="004B5D80">
              <w:rPr>
                <w:rFonts w:eastAsia="MingLiU"/>
                <w:kern w:val="0"/>
                <w:sz w:val="20"/>
                <w:szCs w:val="20"/>
              </w:rPr>
              <w:t>.107</w:t>
            </w:r>
          </w:p>
        </w:tc>
        <w:tc>
          <w:tcPr>
            <w:tcW w:w="1661" w:type="dxa"/>
            <w:tcBorders>
              <w:top w:val="single" w:sz="12" w:space="0" w:color="auto"/>
            </w:tcBorders>
            <w:noWrap/>
            <w:vAlign w:val="center"/>
          </w:tcPr>
          <w:p w:rsidR="00554E1D" w:rsidRPr="004B5D80" w:rsidRDefault="00554E1D" w:rsidP="00B520A4">
            <w:pPr>
              <w:widowControl/>
              <w:spacing w:after="0" w:line="240" w:lineRule="auto"/>
              <w:jc w:val="center"/>
              <w:rPr>
                <w:rFonts w:eastAsia="MingLiU"/>
                <w:kern w:val="0"/>
                <w:sz w:val="20"/>
                <w:szCs w:val="20"/>
              </w:rPr>
            </w:pPr>
            <w:r w:rsidRPr="004B5D80">
              <w:rPr>
                <w:rFonts w:eastAsia="MingLiU"/>
                <w:kern w:val="0"/>
                <w:sz w:val="20"/>
                <w:szCs w:val="20"/>
              </w:rPr>
              <w:t>.106</w:t>
            </w:r>
          </w:p>
        </w:tc>
        <w:tc>
          <w:tcPr>
            <w:tcW w:w="1776" w:type="dxa"/>
            <w:tcBorders>
              <w:top w:val="single" w:sz="12" w:space="0" w:color="auto"/>
            </w:tcBorders>
            <w:noWrap/>
            <w:vAlign w:val="center"/>
          </w:tcPr>
          <w:p w:rsidR="00554E1D" w:rsidRPr="004B5D80" w:rsidRDefault="00554E1D" w:rsidP="00B520A4">
            <w:pPr>
              <w:widowControl/>
              <w:spacing w:after="0" w:line="240" w:lineRule="auto"/>
              <w:jc w:val="center"/>
              <w:rPr>
                <w:rFonts w:eastAsia="MingLiU"/>
                <w:kern w:val="0"/>
                <w:sz w:val="20"/>
                <w:szCs w:val="20"/>
              </w:rPr>
            </w:pPr>
            <w:r w:rsidRPr="004B5D80">
              <w:rPr>
                <w:rFonts w:eastAsia="MingLiU"/>
                <w:kern w:val="0"/>
                <w:sz w:val="20"/>
                <w:szCs w:val="20"/>
              </w:rPr>
              <w:t>54.44971</w:t>
            </w:r>
          </w:p>
        </w:tc>
      </w:tr>
      <w:tr w:rsidR="00554E1D" w:rsidRPr="004B5D80" w:rsidTr="00B520A4">
        <w:trPr>
          <w:trHeight w:val="276"/>
          <w:jc w:val="center"/>
        </w:trPr>
        <w:tc>
          <w:tcPr>
            <w:tcW w:w="1547" w:type="dxa"/>
            <w:tcBorders>
              <w:top w:val="nil"/>
              <w:bottom w:val="single" w:sz="12" w:space="0" w:color="auto"/>
            </w:tcBorders>
            <w:vAlign w:val="center"/>
          </w:tcPr>
          <w:p w:rsidR="00554E1D" w:rsidRPr="004B5D80" w:rsidRDefault="00554E1D" w:rsidP="00B520A4">
            <w:pPr>
              <w:widowControl/>
              <w:spacing w:after="0" w:line="240" w:lineRule="auto"/>
              <w:jc w:val="center"/>
              <w:rPr>
                <w:rFonts w:eastAsia="MingLiU"/>
                <w:kern w:val="0"/>
                <w:sz w:val="20"/>
                <w:szCs w:val="20"/>
              </w:rPr>
            </w:pPr>
            <w:r w:rsidRPr="004B5D80">
              <w:rPr>
                <w:rFonts w:eastAsia="MingLiU"/>
                <w:kern w:val="0"/>
                <w:sz w:val="20"/>
                <w:szCs w:val="20"/>
              </w:rPr>
              <w:t>2014-2017</w:t>
            </w:r>
          </w:p>
        </w:tc>
        <w:tc>
          <w:tcPr>
            <w:tcW w:w="1661" w:type="dxa"/>
            <w:tcBorders>
              <w:top w:val="nil"/>
              <w:bottom w:val="single" w:sz="12" w:space="0" w:color="auto"/>
            </w:tcBorders>
            <w:noWrap/>
            <w:vAlign w:val="center"/>
          </w:tcPr>
          <w:p w:rsidR="00554E1D" w:rsidRPr="004B5D80" w:rsidRDefault="00554E1D" w:rsidP="00B520A4">
            <w:pPr>
              <w:widowControl/>
              <w:spacing w:after="0" w:line="240" w:lineRule="auto"/>
              <w:jc w:val="center"/>
              <w:rPr>
                <w:rFonts w:eastAsia="MingLiU"/>
                <w:kern w:val="0"/>
                <w:sz w:val="20"/>
                <w:szCs w:val="20"/>
              </w:rPr>
            </w:pPr>
            <w:r w:rsidRPr="004B5D80">
              <w:rPr>
                <w:rFonts w:eastAsia="MingLiU"/>
                <w:kern w:val="0"/>
                <w:sz w:val="20"/>
                <w:szCs w:val="20"/>
              </w:rPr>
              <w:t>.405</w:t>
            </w:r>
            <w:r w:rsidRPr="004B5D80">
              <w:rPr>
                <w:rFonts w:eastAsia="MingLiU"/>
                <w:kern w:val="0"/>
                <w:sz w:val="20"/>
                <w:szCs w:val="20"/>
                <w:vertAlign w:val="superscript"/>
              </w:rPr>
              <w:t>a</w:t>
            </w:r>
          </w:p>
        </w:tc>
        <w:tc>
          <w:tcPr>
            <w:tcW w:w="1661" w:type="dxa"/>
            <w:tcBorders>
              <w:top w:val="nil"/>
              <w:bottom w:val="single" w:sz="12" w:space="0" w:color="auto"/>
            </w:tcBorders>
            <w:noWrap/>
            <w:vAlign w:val="center"/>
          </w:tcPr>
          <w:p w:rsidR="00554E1D" w:rsidRPr="004B5D80" w:rsidRDefault="00554E1D" w:rsidP="00B520A4">
            <w:pPr>
              <w:widowControl/>
              <w:spacing w:after="0" w:line="240" w:lineRule="auto"/>
              <w:jc w:val="center"/>
              <w:rPr>
                <w:rFonts w:eastAsia="MingLiU"/>
                <w:kern w:val="0"/>
                <w:sz w:val="20"/>
                <w:szCs w:val="20"/>
              </w:rPr>
            </w:pPr>
            <w:r w:rsidRPr="004B5D80">
              <w:rPr>
                <w:rFonts w:eastAsia="MingLiU"/>
                <w:kern w:val="0"/>
                <w:sz w:val="20"/>
                <w:szCs w:val="20"/>
              </w:rPr>
              <w:t>.164</w:t>
            </w:r>
          </w:p>
        </w:tc>
        <w:tc>
          <w:tcPr>
            <w:tcW w:w="1661" w:type="dxa"/>
            <w:tcBorders>
              <w:top w:val="nil"/>
              <w:bottom w:val="single" w:sz="12" w:space="0" w:color="auto"/>
            </w:tcBorders>
            <w:noWrap/>
            <w:vAlign w:val="center"/>
          </w:tcPr>
          <w:p w:rsidR="00554E1D" w:rsidRPr="004B5D80" w:rsidRDefault="00554E1D" w:rsidP="00B520A4">
            <w:pPr>
              <w:widowControl/>
              <w:spacing w:after="0" w:line="240" w:lineRule="auto"/>
              <w:jc w:val="center"/>
              <w:rPr>
                <w:rFonts w:eastAsia="MingLiU"/>
                <w:kern w:val="0"/>
                <w:sz w:val="20"/>
                <w:szCs w:val="20"/>
              </w:rPr>
            </w:pPr>
            <w:r w:rsidRPr="004B5D80">
              <w:rPr>
                <w:rFonts w:eastAsia="MingLiU"/>
                <w:kern w:val="0"/>
                <w:sz w:val="20"/>
                <w:szCs w:val="20"/>
              </w:rPr>
              <w:t>.161</w:t>
            </w:r>
          </w:p>
        </w:tc>
        <w:tc>
          <w:tcPr>
            <w:tcW w:w="1776" w:type="dxa"/>
            <w:tcBorders>
              <w:top w:val="nil"/>
              <w:bottom w:val="single" w:sz="12" w:space="0" w:color="auto"/>
            </w:tcBorders>
            <w:noWrap/>
            <w:vAlign w:val="center"/>
          </w:tcPr>
          <w:p w:rsidR="00554E1D" w:rsidRPr="004B5D80" w:rsidRDefault="00554E1D" w:rsidP="00B520A4">
            <w:pPr>
              <w:widowControl/>
              <w:spacing w:after="0" w:line="240" w:lineRule="auto"/>
              <w:jc w:val="center"/>
              <w:rPr>
                <w:rFonts w:eastAsia="MingLiU"/>
                <w:kern w:val="0"/>
                <w:sz w:val="20"/>
                <w:szCs w:val="20"/>
              </w:rPr>
            </w:pPr>
            <w:r w:rsidRPr="004B5D80">
              <w:rPr>
                <w:rFonts w:eastAsia="MingLiU"/>
                <w:kern w:val="0"/>
                <w:sz w:val="20"/>
                <w:szCs w:val="20"/>
              </w:rPr>
              <w:t>270.07251</w:t>
            </w:r>
          </w:p>
        </w:tc>
      </w:tr>
    </w:tbl>
    <w:p w:rsidR="00554E1D" w:rsidRDefault="00554E1D" w:rsidP="00554E1D">
      <w:pPr>
        <w:spacing w:after="0" w:line="240" w:lineRule="auto"/>
        <w:rPr>
          <w:szCs w:val="24"/>
        </w:rPr>
      </w:pPr>
    </w:p>
    <w:p w:rsidR="003C681E" w:rsidRDefault="00D61E29" w:rsidP="00D61E29">
      <w:pPr>
        <w:spacing w:after="0" w:line="240" w:lineRule="auto"/>
        <w:rPr>
          <w:szCs w:val="24"/>
        </w:rPr>
      </w:pPr>
      <w:r w:rsidRPr="004B5D80">
        <w:rPr>
          <w:szCs w:val="24"/>
        </w:rPr>
        <w:t xml:space="preserve">In conclusion, </w:t>
      </w:r>
      <w:r w:rsidR="00554E1D">
        <w:rPr>
          <w:szCs w:val="24"/>
        </w:rPr>
        <w:t xml:space="preserve">for the period </w:t>
      </w:r>
      <w:r w:rsidRPr="004B5D80">
        <w:rPr>
          <w:szCs w:val="24"/>
        </w:rPr>
        <w:t xml:space="preserve">from 2009 to 2013, we find that all variables including ROE, leverage ratio, and assets have impact on allowance for doubtful accounts. Although </w:t>
      </w:r>
      <w:r w:rsidR="00A51885">
        <w:rPr>
          <w:szCs w:val="24"/>
        </w:rPr>
        <w:t xml:space="preserve">the </w:t>
      </w:r>
      <w:r w:rsidRPr="004B5D80">
        <w:rPr>
          <w:szCs w:val="24"/>
        </w:rPr>
        <w:t>leverage ratio’ coefficient does</w:t>
      </w:r>
      <w:r w:rsidR="00A51885">
        <w:rPr>
          <w:szCs w:val="24"/>
        </w:rPr>
        <w:t xml:space="preserve"> </w:t>
      </w:r>
      <w:r w:rsidRPr="004B5D80">
        <w:rPr>
          <w:szCs w:val="24"/>
        </w:rPr>
        <w:t>n</w:t>
      </w:r>
      <w:r w:rsidR="00A51885">
        <w:rPr>
          <w:szCs w:val="24"/>
        </w:rPr>
        <w:t>o</w:t>
      </w:r>
      <w:r w:rsidRPr="004B5D80">
        <w:rPr>
          <w:szCs w:val="24"/>
        </w:rPr>
        <w:t xml:space="preserve">t </w:t>
      </w:r>
      <w:r w:rsidR="00A51885">
        <w:rPr>
          <w:szCs w:val="24"/>
        </w:rPr>
        <w:t xml:space="preserve">conform </w:t>
      </w:r>
      <w:r w:rsidRPr="004B5D80">
        <w:rPr>
          <w:szCs w:val="24"/>
        </w:rPr>
        <w:t>the prediction by previous literature, other variables have followed the acclaimed estimation.</w:t>
      </w:r>
    </w:p>
    <w:p w:rsidR="003C681E" w:rsidRDefault="003C681E" w:rsidP="00D61E29">
      <w:pPr>
        <w:spacing w:after="0" w:line="240" w:lineRule="auto"/>
        <w:rPr>
          <w:szCs w:val="24"/>
        </w:rPr>
      </w:pPr>
    </w:p>
    <w:p w:rsidR="003C681E" w:rsidRPr="004B5D80" w:rsidRDefault="003C681E" w:rsidP="00341E11">
      <w:pPr>
        <w:pStyle w:val="Heading3"/>
        <w:numPr>
          <w:ilvl w:val="2"/>
          <w:numId w:val="11"/>
        </w:numPr>
        <w:spacing w:after="0"/>
        <w:rPr>
          <w:szCs w:val="24"/>
        </w:rPr>
      </w:pPr>
      <w:r>
        <w:rPr>
          <w:szCs w:val="24"/>
        </w:rPr>
        <w:t>C</w:t>
      </w:r>
      <w:r w:rsidRPr="00206832">
        <w:rPr>
          <w:szCs w:val="24"/>
        </w:rPr>
        <w:t xml:space="preserve">orrelation </w:t>
      </w:r>
      <w:r w:rsidR="003255EC">
        <w:rPr>
          <w:szCs w:val="24"/>
        </w:rPr>
        <w:t>A</w:t>
      </w:r>
      <w:r w:rsidRPr="00206832">
        <w:rPr>
          <w:szCs w:val="24"/>
        </w:rPr>
        <w:t>nalysis</w:t>
      </w:r>
    </w:p>
    <w:p w:rsidR="00241B4E" w:rsidRDefault="00D61E29" w:rsidP="00554E1D">
      <w:pPr>
        <w:spacing w:after="0" w:line="240" w:lineRule="auto"/>
        <w:rPr>
          <w:szCs w:val="24"/>
        </w:rPr>
      </w:pPr>
      <w:r w:rsidRPr="004B5D80">
        <w:rPr>
          <w:szCs w:val="24"/>
        </w:rPr>
        <w:t xml:space="preserve">   </w:t>
      </w:r>
    </w:p>
    <w:p w:rsidR="00554E1D" w:rsidRPr="00206832" w:rsidRDefault="00122497" w:rsidP="00554E1D">
      <w:pPr>
        <w:spacing w:after="0" w:line="240" w:lineRule="auto"/>
        <w:rPr>
          <w:szCs w:val="24"/>
        </w:rPr>
      </w:pPr>
      <w:hyperlink r:id="rId15" w:anchor="tbl3" w:history="1">
        <w:r w:rsidR="00554E1D" w:rsidRPr="00206832">
          <w:rPr>
            <w:szCs w:val="24"/>
          </w:rPr>
          <w:t xml:space="preserve">Table </w:t>
        </w:r>
        <w:r w:rsidR="00554E1D">
          <w:rPr>
            <w:szCs w:val="24"/>
          </w:rPr>
          <w:t>11</w:t>
        </w:r>
      </w:hyperlink>
      <w:r w:rsidR="00347FF9">
        <w:rPr>
          <w:szCs w:val="24"/>
        </w:rPr>
        <w:t xml:space="preserve">a and </w:t>
      </w:r>
      <w:r w:rsidR="0029401A">
        <w:rPr>
          <w:szCs w:val="24"/>
        </w:rPr>
        <w:t>11</w:t>
      </w:r>
      <w:r w:rsidR="00347FF9">
        <w:rPr>
          <w:szCs w:val="24"/>
        </w:rPr>
        <w:t>b</w:t>
      </w:r>
      <w:r w:rsidR="00554E1D" w:rsidRPr="00206832">
        <w:rPr>
          <w:szCs w:val="24"/>
        </w:rPr>
        <w:t xml:space="preserve"> report the results of the correlation analysis for </w:t>
      </w:r>
      <w:r w:rsidR="00347FF9">
        <w:rPr>
          <w:szCs w:val="24"/>
        </w:rPr>
        <w:t xml:space="preserve">the </w:t>
      </w:r>
      <w:r w:rsidR="00554E1D" w:rsidRPr="00206832">
        <w:rPr>
          <w:szCs w:val="24"/>
        </w:rPr>
        <w:t>variables</w:t>
      </w:r>
      <w:r w:rsidR="00347FF9">
        <w:rPr>
          <w:szCs w:val="24"/>
        </w:rPr>
        <w:t xml:space="preserve"> included in the model</w:t>
      </w:r>
      <w:r w:rsidR="00D35620">
        <w:rPr>
          <w:szCs w:val="24"/>
        </w:rPr>
        <w:t>, for both time periods</w:t>
      </w:r>
      <w:r w:rsidR="00554E1D" w:rsidRPr="00206832">
        <w:rPr>
          <w:szCs w:val="24"/>
        </w:rPr>
        <w:t xml:space="preserve">. </w:t>
      </w:r>
      <w:r w:rsidR="00404499">
        <w:rPr>
          <w:szCs w:val="24"/>
        </w:rPr>
        <w:t>Both tables indicate that a</w:t>
      </w:r>
      <w:r w:rsidR="00554E1D" w:rsidRPr="004B5D80">
        <w:rPr>
          <w:szCs w:val="24"/>
        </w:rPr>
        <w:t>llowance for doubtful accounts</w:t>
      </w:r>
      <w:r w:rsidR="00554E1D" w:rsidRPr="00206832">
        <w:rPr>
          <w:szCs w:val="24"/>
        </w:rPr>
        <w:t xml:space="preserve"> is negatively correlated with </w:t>
      </w:r>
      <w:r w:rsidR="00554E1D">
        <w:rPr>
          <w:szCs w:val="24"/>
        </w:rPr>
        <w:t>ROE, and positively</w:t>
      </w:r>
      <w:r w:rsidR="00554E1D" w:rsidRPr="00206832">
        <w:rPr>
          <w:szCs w:val="24"/>
        </w:rPr>
        <w:t xml:space="preserve"> </w:t>
      </w:r>
      <w:r w:rsidR="001C733B">
        <w:rPr>
          <w:szCs w:val="24"/>
        </w:rPr>
        <w:t>with Lev</w:t>
      </w:r>
      <w:r w:rsidR="00554E1D" w:rsidRPr="00206832">
        <w:rPr>
          <w:szCs w:val="24"/>
        </w:rPr>
        <w:t xml:space="preserve"> and </w:t>
      </w:r>
      <w:r w:rsidR="001C733B">
        <w:rPr>
          <w:szCs w:val="24"/>
        </w:rPr>
        <w:t>total assets</w:t>
      </w:r>
      <w:r w:rsidR="00554E1D" w:rsidRPr="00206832">
        <w:rPr>
          <w:szCs w:val="24"/>
        </w:rPr>
        <w:t>. The correlation</w:t>
      </w:r>
      <w:r w:rsidR="001C733B">
        <w:rPr>
          <w:szCs w:val="24"/>
        </w:rPr>
        <w:t>s</w:t>
      </w:r>
      <w:r w:rsidR="00554E1D" w:rsidRPr="00206832">
        <w:rPr>
          <w:szCs w:val="24"/>
        </w:rPr>
        <w:t xml:space="preserve"> </w:t>
      </w:r>
      <w:r w:rsidR="001C733B">
        <w:rPr>
          <w:szCs w:val="24"/>
        </w:rPr>
        <w:t>are</w:t>
      </w:r>
      <w:r w:rsidR="00554E1D" w:rsidRPr="00206832">
        <w:rPr>
          <w:szCs w:val="24"/>
        </w:rPr>
        <w:t xml:space="preserve"> insignificant</w:t>
      </w:r>
      <w:r w:rsidR="001C733B">
        <w:rPr>
          <w:szCs w:val="24"/>
        </w:rPr>
        <w:t xml:space="preserve"> at the 1% level</w:t>
      </w:r>
      <w:r w:rsidR="00554E1D" w:rsidRPr="00206832">
        <w:rPr>
          <w:szCs w:val="24"/>
        </w:rPr>
        <w:t>.</w:t>
      </w:r>
      <w:r w:rsidR="002E1A9A">
        <w:rPr>
          <w:szCs w:val="24"/>
        </w:rPr>
        <w:t xml:space="preserve"> </w:t>
      </w:r>
      <w:r w:rsidR="00554E1D" w:rsidRPr="00206832">
        <w:rPr>
          <w:szCs w:val="24"/>
        </w:rPr>
        <w:t xml:space="preserve">Overall, the results of the correlation analysis for these variables are consistent with </w:t>
      </w:r>
      <w:r w:rsidR="00D35620">
        <w:rPr>
          <w:szCs w:val="24"/>
        </w:rPr>
        <w:t xml:space="preserve">our </w:t>
      </w:r>
      <w:r w:rsidR="00554E1D" w:rsidRPr="00206832">
        <w:rPr>
          <w:szCs w:val="24"/>
        </w:rPr>
        <w:t>expectations.</w:t>
      </w:r>
    </w:p>
    <w:p w:rsidR="00554E1D" w:rsidRPr="004B5D80" w:rsidRDefault="00554E1D" w:rsidP="00D61E29">
      <w:pPr>
        <w:spacing w:after="0" w:line="240" w:lineRule="auto"/>
        <w:rPr>
          <w:szCs w:val="24"/>
        </w:rPr>
      </w:pPr>
    </w:p>
    <w:p w:rsidR="00241B4E" w:rsidRPr="004B5D80" w:rsidRDefault="00D61E29" w:rsidP="00D1392A">
      <w:pPr>
        <w:spacing w:after="0" w:line="240" w:lineRule="auto"/>
        <w:jc w:val="center"/>
        <w:rPr>
          <w:szCs w:val="24"/>
        </w:rPr>
      </w:pPr>
      <w:r w:rsidRPr="00D1392A">
        <w:rPr>
          <w:b/>
          <w:kern w:val="0"/>
          <w:szCs w:val="24"/>
        </w:rPr>
        <w:t xml:space="preserve">Table </w:t>
      </w:r>
      <w:r w:rsidRPr="00D1392A">
        <w:rPr>
          <w:rFonts w:eastAsia="PMingLiU"/>
          <w:b/>
          <w:kern w:val="0"/>
          <w:szCs w:val="24"/>
        </w:rPr>
        <w:t>11</w:t>
      </w:r>
      <w:r w:rsidR="00347FF9">
        <w:rPr>
          <w:rFonts w:eastAsia="PMingLiU"/>
          <w:b/>
          <w:kern w:val="0"/>
          <w:szCs w:val="24"/>
        </w:rPr>
        <w:t>a</w:t>
      </w:r>
      <w:r w:rsidR="00D1392A" w:rsidRPr="00D1392A">
        <w:rPr>
          <w:rFonts w:eastAsia="PMingLiU"/>
          <w:b/>
          <w:kern w:val="0"/>
          <w:szCs w:val="24"/>
        </w:rPr>
        <w:t>:</w:t>
      </w:r>
      <w:r w:rsidR="00D1392A">
        <w:rPr>
          <w:rFonts w:eastAsia="PMingLiU"/>
          <w:kern w:val="0"/>
          <w:szCs w:val="24"/>
        </w:rPr>
        <w:t xml:space="preserve"> </w:t>
      </w:r>
      <w:r w:rsidRPr="004B5D80">
        <w:rPr>
          <w:rFonts w:eastAsia="PMingLiU"/>
          <w:b/>
          <w:bCs/>
          <w:kern w:val="0"/>
          <w:szCs w:val="24"/>
        </w:rPr>
        <w:t>Correlation analysis</w:t>
      </w:r>
      <w:r w:rsidR="00AB115E">
        <w:rPr>
          <w:rFonts w:eastAsia="PMingLiU"/>
          <w:b/>
          <w:bCs/>
          <w:kern w:val="0"/>
          <w:szCs w:val="24"/>
        </w:rPr>
        <w:t xml:space="preserve"> (2008-</w:t>
      </w:r>
      <w:r w:rsidR="00404499">
        <w:rPr>
          <w:rFonts w:eastAsia="PMingLiU"/>
          <w:b/>
          <w:bCs/>
          <w:kern w:val="0"/>
          <w:szCs w:val="24"/>
        </w:rPr>
        <w:t>2</w:t>
      </w:r>
      <w:r w:rsidR="00AB115E">
        <w:rPr>
          <w:rFonts w:eastAsia="PMingLiU"/>
          <w:b/>
          <w:bCs/>
          <w:kern w:val="0"/>
          <w:szCs w:val="24"/>
        </w:rPr>
        <w:t>013)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46"/>
        <w:gridCol w:w="1346"/>
        <w:gridCol w:w="1346"/>
        <w:gridCol w:w="1346"/>
        <w:gridCol w:w="1346"/>
      </w:tblGrid>
      <w:tr w:rsidR="003C681E" w:rsidRPr="004B5D80" w:rsidTr="00B520A4">
        <w:trPr>
          <w:trHeight w:val="288"/>
          <w:jc w:val="center"/>
        </w:trPr>
        <w:tc>
          <w:tcPr>
            <w:tcW w:w="944" w:type="pct"/>
            <w:noWrap/>
            <w:vAlign w:val="center"/>
          </w:tcPr>
          <w:p w:rsidR="003C681E" w:rsidRPr="004B5D80" w:rsidRDefault="003C681E" w:rsidP="00B520A4">
            <w:pPr>
              <w:widowControl/>
              <w:spacing w:after="0" w:line="240" w:lineRule="auto"/>
              <w:jc w:val="center"/>
              <w:rPr>
                <w:rFonts w:eastAsia="PMingLiU"/>
                <w:b/>
                <w:bCs/>
                <w:kern w:val="0"/>
                <w:sz w:val="20"/>
                <w:szCs w:val="20"/>
              </w:rPr>
            </w:pPr>
          </w:p>
        </w:tc>
        <w:tc>
          <w:tcPr>
            <w:tcW w:w="811" w:type="pct"/>
            <w:noWrap/>
            <w:vAlign w:val="center"/>
          </w:tcPr>
          <w:p w:rsidR="003C681E" w:rsidRPr="004B5D80" w:rsidRDefault="003C681E" w:rsidP="00B520A4">
            <w:pPr>
              <w:widowControl/>
              <w:spacing w:after="0" w:line="240" w:lineRule="auto"/>
              <w:jc w:val="center"/>
              <w:rPr>
                <w:rFonts w:eastAsia="PMingLiU"/>
                <w:b/>
                <w:bCs/>
                <w:kern w:val="0"/>
                <w:sz w:val="20"/>
                <w:szCs w:val="20"/>
              </w:rPr>
            </w:pPr>
          </w:p>
        </w:tc>
        <w:tc>
          <w:tcPr>
            <w:tcW w:w="811" w:type="pct"/>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P</w:t>
            </w:r>
          </w:p>
        </w:tc>
        <w:tc>
          <w:tcPr>
            <w:tcW w:w="811" w:type="pct"/>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ROE</w:t>
            </w:r>
          </w:p>
        </w:tc>
        <w:tc>
          <w:tcPr>
            <w:tcW w:w="811" w:type="pct"/>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Lev</w:t>
            </w:r>
          </w:p>
        </w:tc>
        <w:tc>
          <w:tcPr>
            <w:tcW w:w="811" w:type="pct"/>
            <w:vAlign w:val="center"/>
          </w:tcPr>
          <w:p w:rsidR="003C681E" w:rsidRPr="004B5D80" w:rsidRDefault="00347FF9" w:rsidP="00B520A4">
            <w:pPr>
              <w:widowControl/>
              <w:spacing w:after="0" w:line="240" w:lineRule="auto"/>
              <w:jc w:val="center"/>
              <w:rPr>
                <w:rFonts w:eastAsia="MingLiU"/>
                <w:kern w:val="0"/>
                <w:sz w:val="20"/>
                <w:szCs w:val="20"/>
              </w:rPr>
            </w:pPr>
            <w:r>
              <w:rPr>
                <w:rFonts w:eastAsia="MingLiU"/>
                <w:kern w:val="0"/>
                <w:sz w:val="20"/>
                <w:szCs w:val="20"/>
              </w:rPr>
              <w:t>Assets</w:t>
            </w:r>
          </w:p>
        </w:tc>
      </w:tr>
      <w:tr w:rsidR="003C681E" w:rsidRPr="004B5D80" w:rsidTr="00B520A4">
        <w:trPr>
          <w:trHeight w:val="276"/>
          <w:jc w:val="center"/>
        </w:trPr>
        <w:tc>
          <w:tcPr>
            <w:tcW w:w="944" w:type="pct"/>
            <w:vMerge w:val="restart"/>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 xml:space="preserve">Pearson </w:t>
            </w:r>
            <w:proofErr w:type="spellStart"/>
            <w:r w:rsidRPr="004B5D80">
              <w:rPr>
                <w:rFonts w:eastAsia="MingLiU"/>
                <w:kern w:val="0"/>
                <w:sz w:val="20"/>
                <w:szCs w:val="20"/>
              </w:rPr>
              <w:t>Corrlation</w:t>
            </w:r>
            <w:proofErr w:type="spellEnd"/>
          </w:p>
        </w:tc>
        <w:tc>
          <w:tcPr>
            <w:tcW w:w="811" w:type="pct"/>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P</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1.000</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-.060</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.056</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.321</w:t>
            </w:r>
          </w:p>
        </w:tc>
      </w:tr>
      <w:tr w:rsidR="003C681E" w:rsidRPr="004B5D80" w:rsidTr="00B520A4">
        <w:trPr>
          <w:trHeight w:val="276"/>
          <w:jc w:val="center"/>
        </w:trPr>
        <w:tc>
          <w:tcPr>
            <w:tcW w:w="944" w:type="pct"/>
            <w:vMerge/>
            <w:vAlign w:val="center"/>
          </w:tcPr>
          <w:p w:rsidR="003C681E" w:rsidRPr="004B5D80" w:rsidRDefault="003C681E" w:rsidP="00B520A4">
            <w:pPr>
              <w:widowControl/>
              <w:spacing w:after="0" w:line="240" w:lineRule="auto"/>
              <w:jc w:val="center"/>
              <w:rPr>
                <w:rFonts w:eastAsia="MingLiU"/>
                <w:kern w:val="0"/>
                <w:sz w:val="20"/>
                <w:szCs w:val="20"/>
              </w:rPr>
            </w:pPr>
          </w:p>
        </w:tc>
        <w:tc>
          <w:tcPr>
            <w:tcW w:w="811" w:type="pct"/>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ROE</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-.060</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1.000</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-.075</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-.061</w:t>
            </w:r>
          </w:p>
        </w:tc>
      </w:tr>
      <w:tr w:rsidR="003C681E" w:rsidRPr="004B5D80" w:rsidTr="00B520A4">
        <w:trPr>
          <w:trHeight w:val="276"/>
          <w:jc w:val="center"/>
        </w:trPr>
        <w:tc>
          <w:tcPr>
            <w:tcW w:w="944" w:type="pct"/>
            <w:vMerge/>
            <w:vAlign w:val="center"/>
          </w:tcPr>
          <w:p w:rsidR="003C681E" w:rsidRPr="004B5D80" w:rsidRDefault="003C681E" w:rsidP="00B520A4">
            <w:pPr>
              <w:widowControl/>
              <w:spacing w:after="0" w:line="240" w:lineRule="auto"/>
              <w:jc w:val="center"/>
              <w:rPr>
                <w:rFonts w:eastAsia="MingLiU"/>
                <w:kern w:val="0"/>
                <w:sz w:val="20"/>
                <w:szCs w:val="20"/>
              </w:rPr>
            </w:pPr>
          </w:p>
        </w:tc>
        <w:tc>
          <w:tcPr>
            <w:tcW w:w="811" w:type="pct"/>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Lev</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.056</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-.075</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1.000</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.039</w:t>
            </w:r>
          </w:p>
        </w:tc>
      </w:tr>
      <w:tr w:rsidR="003C681E" w:rsidRPr="004B5D80" w:rsidTr="00B520A4">
        <w:trPr>
          <w:trHeight w:val="288"/>
          <w:jc w:val="center"/>
        </w:trPr>
        <w:tc>
          <w:tcPr>
            <w:tcW w:w="944" w:type="pct"/>
            <w:vMerge/>
            <w:vAlign w:val="center"/>
          </w:tcPr>
          <w:p w:rsidR="003C681E" w:rsidRPr="004B5D80" w:rsidRDefault="003C681E" w:rsidP="00B520A4">
            <w:pPr>
              <w:widowControl/>
              <w:spacing w:after="0" w:line="240" w:lineRule="auto"/>
              <w:jc w:val="center"/>
              <w:rPr>
                <w:rFonts w:eastAsia="MingLiU"/>
                <w:kern w:val="0"/>
                <w:sz w:val="20"/>
                <w:szCs w:val="20"/>
              </w:rPr>
            </w:pPr>
          </w:p>
        </w:tc>
        <w:tc>
          <w:tcPr>
            <w:tcW w:w="811" w:type="pct"/>
            <w:vAlign w:val="center"/>
          </w:tcPr>
          <w:p w:rsidR="003C681E" w:rsidRPr="004B5D80" w:rsidRDefault="00404499" w:rsidP="00B520A4">
            <w:pPr>
              <w:widowControl/>
              <w:spacing w:after="0" w:line="240" w:lineRule="auto"/>
              <w:jc w:val="center"/>
              <w:rPr>
                <w:rFonts w:eastAsia="MingLiU"/>
                <w:kern w:val="0"/>
                <w:sz w:val="20"/>
                <w:szCs w:val="20"/>
              </w:rPr>
            </w:pPr>
            <w:r>
              <w:rPr>
                <w:rFonts w:eastAsia="MingLiU"/>
                <w:kern w:val="0"/>
                <w:sz w:val="20"/>
                <w:szCs w:val="20"/>
              </w:rPr>
              <w:t>Assets</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.321</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-.061</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.039</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1.000</w:t>
            </w:r>
          </w:p>
        </w:tc>
      </w:tr>
      <w:tr w:rsidR="003C681E" w:rsidRPr="004B5D80" w:rsidTr="00B520A4">
        <w:trPr>
          <w:trHeight w:val="288"/>
          <w:jc w:val="center"/>
        </w:trPr>
        <w:tc>
          <w:tcPr>
            <w:tcW w:w="944" w:type="pct"/>
            <w:vMerge w:val="restart"/>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Sig</w:t>
            </w:r>
          </w:p>
        </w:tc>
        <w:tc>
          <w:tcPr>
            <w:tcW w:w="811" w:type="pct"/>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P</w:t>
            </w:r>
          </w:p>
        </w:tc>
        <w:tc>
          <w:tcPr>
            <w:tcW w:w="811" w:type="pct"/>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.000</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.000</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.000</w:t>
            </w:r>
          </w:p>
        </w:tc>
      </w:tr>
      <w:tr w:rsidR="003C681E" w:rsidRPr="004B5D80" w:rsidTr="00B520A4">
        <w:trPr>
          <w:trHeight w:val="300"/>
          <w:jc w:val="center"/>
        </w:trPr>
        <w:tc>
          <w:tcPr>
            <w:tcW w:w="944" w:type="pct"/>
            <w:vMerge/>
            <w:vAlign w:val="center"/>
          </w:tcPr>
          <w:p w:rsidR="003C681E" w:rsidRPr="004B5D80" w:rsidRDefault="003C681E" w:rsidP="00B520A4">
            <w:pPr>
              <w:widowControl/>
              <w:spacing w:after="0" w:line="240" w:lineRule="auto"/>
              <w:jc w:val="center"/>
              <w:rPr>
                <w:rFonts w:eastAsia="MingLiU"/>
                <w:kern w:val="0"/>
                <w:sz w:val="20"/>
                <w:szCs w:val="20"/>
              </w:rPr>
            </w:pPr>
          </w:p>
        </w:tc>
        <w:tc>
          <w:tcPr>
            <w:tcW w:w="811" w:type="pct"/>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ROE</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.000</w:t>
            </w:r>
          </w:p>
        </w:tc>
        <w:tc>
          <w:tcPr>
            <w:tcW w:w="811" w:type="pct"/>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.000</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.000</w:t>
            </w:r>
          </w:p>
        </w:tc>
      </w:tr>
      <w:tr w:rsidR="003C681E" w:rsidRPr="004B5D80" w:rsidTr="00B520A4">
        <w:trPr>
          <w:trHeight w:val="480"/>
          <w:jc w:val="center"/>
        </w:trPr>
        <w:tc>
          <w:tcPr>
            <w:tcW w:w="944" w:type="pct"/>
            <w:vMerge/>
            <w:vAlign w:val="center"/>
          </w:tcPr>
          <w:p w:rsidR="003C681E" w:rsidRPr="004B5D80" w:rsidRDefault="003C681E" w:rsidP="00B520A4">
            <w:pPr>
              <w:widowControl/>
              <w:spacing w:after="0" w:line="240" w:lineRule="auto"/>
              <w:jc w:val="center"/>
              <w:rPr>
                <w:rFonts w:eastAsia="MingLiU"/>
                <w:kern w:val="0"/>
                <w:sz w:val="20"/>
                <w:szCs w:val="20"/>
              </w:rPr>
            </w:pPr>
          </w:p>
        </w:tc>
        <w:tc>
          <w:tcPr>
            <w:tcW w:w="811" w:type="pct"/>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Lev</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.000</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.000</w:t>
            </w:r>
          </w:p>
        </w:tc>
        <w:tc>
          <w:tcPr>
            <w:tcW w:w="811" w:type="pct"/>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.001</w:t>
            </w:r>
          </w:p>
        </w:tc>
      </w:tr>
      <w:tr w:rsidR="003C681E" w:rsidRPr="004B5D80" w:rsidTr="00B520A4">
        <w:trPr>
          <w:trHeight w:val="300"/>
          <w:jc w:val="center"/>
        </w:trPr>
        <w:tc>
          <w:tcPr>
            <w:tcW w:w="944" w:type="pct"/>
            <w:vMerge/>
            <w:vAlign w:val="center"/>
          </w:tcPr>
          <w:p w:rsidR="003C681E" w:rsidRPr="004B5D80" w:rsidRDefault="003C681E" w:rsidP="00B520A4">
            <w:pPr>
              <w:widowControl/>
              <w:spacing w:after="0" w:line="240" w:lineRule="auto"/>
              <w:jc w:val="center"/>
              <w:rPr>
                <w:rFonts w:eastAsia="MingLiU"/>
                <w:kern w:val="0"/>
                <w:sz w:val="20"/>
                <w:szCs w:val="20"/>
              </w:rPr>
            </w:pPr>
          </w:p>
        </w:tc>
        <w:tc>
          <w:tcPr>
            <w:tcW w:w="811" w:type="pct"/>
            <w:vAlign w:val="center"/>
          </w:tcPr>
          <w:p w:rsidR="003C681E" w:rsidRPr="004B5D80" w:rsidRDefault="00404499" w:rsidP="00B520A4">
            <w:pPr>
              <w:widowControl/>
              <w:spacing w:after="0" w:line="240" w:lineRule="auto"/>
              <w:jc w:val="center"/>
              <w:rPr>
                <w:rFonts w:eastAsia="MingLiU"/>
                <w:kern w:val="0"/>
                <w:sz w:val="20"/>
                <w:szCs w:val="20"/>
              </w:rPr>
            </w:pPr>
            <w:r>
              <w:rPr>
                <w:rFonts w:eastAsia="MingLiU"/>
                <w:kern w:val="0"/>
                <w:sz w:val="20"/>
                <w:szCs w:val="20"/>
              </w:rPr>
              <w:t>Assets</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.000</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.000</w:t>
            </w:r>
          </w:p>
        </w:tc>
        <w:tc>
          <w:tcPr>
            <w:tcW w:w="811" w:type="pct"/>
            <w:noWrap/>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.001</w:t>
            </w:r>
          </w:p>
        </w:tc>
        <w:tc>
          <w:tcPr>
            <w:tcW w:w="811" w:type="pct"/>
            <w:vAlign w:val="center"/>
          </w:tcPr>
          <w:p w:rsidR="003C681E" w:rsidRPr="004B5D80" w:rsidRDefault="003C681E" w:rsidP="00B520A4">
            <w:pPr>
              <w:widowControl/>
              <w:spacing w:after="0" w:line="240" w:lineRule="auto"/>
              <w:jc w:val="center"/>
              <w:rPr>
                <w:rFonts w:eastAsia="MingLiU"/>
                <w:kern w:val="0"/>
                <w:sz w:val="20"/>
                <w:szCs w:val="20"/>
              </w:rPr>
            </w:pPr>
            <w:r w:rsidRPr="004B5D80">
              <w:rPr>
                <w:rFonts w:eastAsia="MingLiU"/>
                <w:kern w:val="0"/>
                <w:sz w:val="20"/>
                <w:szCs w:val="20"/>
              </w:rPr>
              <w:t>.</w:t>
            </w:r>
          </w:p>
        </w:tc>
      </w:tr>
    </w:tbl>
    <w:p w:rsidR="00241B4E" w:rsidRDefault="00241B4E" w:rsidP="00D61E29">
      <w:pPr>
        <w:spacing w:after="0" w:line="240" w:lineRule="auto"/>
        <w:rPr>
          <w:szCs w:val="24"/>
        </w:rPr>
      </w:pPr>
    </w:p>
    <w:p w:rsidR="00241B4E" w:rsidRPr="004B5D80" w:rsidRDefault="00D61E29" w:rsidP="001F48F5">
      <w:pPr>
        <w:spacing w:after="0" w:line="240" w:lineRule="auto"/>
        <w:jc w:val="center"/>
        <w:rPr>
          <w:szCs w:val="24"/>
        </w:rPr>
      </w:pPr>
      <w:r w:rsidRPr="001F48F5">
        <w:rPr>
          <w:b/>
          <w:kern w:val="0"/>
          <w:szCs w:val="24"/>
        </w:rPr>
        <w:t xml:space="preserve">Table </w:t>
      </w:r>
      <w:r w:rsidRPr="001F48F5">
        <w:rPr>
          <w:rFonts w:eastAsia="PMingLiU"/>
          <w:b/>
          <w:kern w:val="0"/>
          <w:szCs w:val="24"/>
        </w:rPr>
        <w:t>1</w:t>
      </w:r>
      <w:r w:rsidR="00347FF9">
        <w:rPr>
          <w:rFonts w:eastAsia="PMingLiU"/>
          <w:b/>
          <w:kern w:val="0"/>
          <w:szCs w:val="24"/>
        </w:rPr>
        <w:t>1b</w:t>
      </w:r>
      <w:r w:rsidR="001F48F5">
        <w:rPr>
          <w:rFonts w:eastAsia="PMingLiU"/>
          <w:b/>
          <w:kern w:val="0"/>
          <w:szCs w:val="24"/>
        </w:rPr>
        <w:t xml:space="preserve">: </w:t>
      </w:r>
      <w:r w:rsidRPr="004B5D80">
        <w:rPr>
          <w:rFonts w:eastAsia="PMingLiU"/>
          <w:b/>
          <w:bCs/>
          <w:kern w:val="0"/>
          <w:szCs w:val="24"/>
        </w:rPr>
        <w:t>Correlation analysis</w:t>
      </w:r>
      <w:r w:rsidR="00404499">
        <w:rPr>
          <w:rFonts w:eastAsia="PMingLiU"/>
          <w:b/>
          <w:bCs/>
          <w:kern w:val="0"/>
          <w:szCs w:val="24"/>
        </w:rPr>
        <w:t xml:space="preserve"> (2014-2017)</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383"/>
        <w:gridCol w:w="1383"/>
        <w:gridCol w:w="1383"/>
        <w:gridCol w:w="1382"/>
        <w:gridCol w:w="1382"/>
      </w:tblGrid>
      <w:tr w:rsidR="00241B4E" w:rsidRPr="004B5D80" w:rsidTr="00B520A4">
        <w:trPr>
          <w:trHeight w:val="288"/>
        </w:trPr>
        <w:tc>
          <w:tcPr>
            <w:tcW w:w="1383" w:type="dxa"/>
            <w:noWrap/>
            <w:vAlign w:val="center"/>
          </w:tcPr>
          <w:p w:rsidR="00241B4E" w:rsidRPr="004B5D80" w:rsidRDefault="00241B4E" w:rsidP="00B520A4">
            <w:pPr>
              <w:widowControl/>
              <w:spacing w:after="0" w:line="240" w:lineRule="auto"/>
              <w:jc w:val="center"/>
              <w:rPr>
                <w:rFonts w:eastAsia="PMingLiU"/>
                <w:b/>
                <w:bCs/>
                <w:kern w:val="0"/>
                <w:sz w:val="20"/>
                <w:szCs w:val="20"/>
              </w:rPr>
            </w:pPr>
          </w:p>
        </w:tc>
        <w:tc>
          <w:tcPr>
            <w:tcW w:w="1383" w:type="dxa"/>
            <w:noWrap/>
            <w:vAlign w:val="center"/>
          </w:tcPr>
          <w:p w:rsidR="00241B4E" w:rsidRPr="004B5D80" w:rsidRDefault="00241B4E" w:rsidP="00B520A4">
            <w:pPr>
              <w:widowControl/>
              <w:spacing w:after="0" w:line="240" w:lineRule="auto"/>
              <w:jc w:val="center"/>
              <w:rPr>
                <w:rFonts w:eastAsia="PMingLiU"/>
                <w:b/>
                <w:bCs/>
                <w:kern w:val="0"/>
                <w:sz w:val="20"/>
                <w:szCs w:val="20"/>
              </w:rPr>
            </w:pPr>
          </w:p>
        </w:tc>
        <w:tc>
          <w:tcPr>
            <w:tcW w:w="1383" w:type="dxa"/>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P</w:t>
            </w:r>
          </w:p>
        </w:tc>
        <w:tc>
          <w:tcPr>
            <w:tcW w:w="1383" w:type="dxa"/>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ROE</w:t>
            </w:r>
          </w:p>
        </w:tc>
        <w:tc>
          <w:tcPr>
            <w:tcW w:w="1382" w:type="dxa"/>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Lev</w:t>
            </w:r>
          </w:p>
        </w:tc>
        <w:tc>
          <w:tcPr>
            <w:tcW w:w="1382" w:type="dxa"/>
            <w:vAlign w:val="center"/>
          </w:tcPr>
          <w:p w:rsidR="00241B4E" w:rsidRPr="004B5D80" w:rsidRDefault="00347FF9" w:rsidP="00B520A4">
            <w:pPr>
              <w:widowControl/>
              <w:spacing w:after="0" w:line="240" w:lineRule="auto"/>
              <w:jc w:val="center"/>
              <w:rPr>
                <w:rFonts w:eastAsia="MingLiU"/>
                <w:kern w:val="0"/>
                <w:sz w:val="20"/>
                <w:szCs w:val="20"/>
              </w:rPr>
            </w:pPr>
            <w:r>
              <w:rPr>
                <w:rFonts w:eastAsia="MingLiU"/>
                <w:kern w:val="0"/>
                <w:sz w:val="20"/>
                <w:szCs w:val="20"/>
              </w:rPr>
              <w:t>Assets</w:t>
            </w:r>
          </w:p>
        </w:tc>
      </w:tr>
      <w:tr w:rsidR="00241B4E" w:rsidRPr="004B5D80" w:rsidTr="00B520A4">
        <w:trPr>
          <w:trHeight w:val="276"/>
        </w:trPr>
        <w:tc>
          <w:tcPr>
            <w:tcW w:w="1383" w:type="dxa"/>
            <w:vMerge w:val="restart"/>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 xml:space="preserve">Pearson </w:t>
            </w:r>
            <w:r w:rsidR="0067646F" w:rsidRPr="004B5D80">
              <w:rPr>
                <w:rFonts w:eastAsia="MingLiU"/>
                <w:kern w:val="0"/>
                <w:sz w:val="20"/>
                <w:szCs w:val="20"/>
              </w:rPr>
              <w:t>Correlation</w:t>
            </w:r>
          </w:p>
        </w:tc>
        <w:tc>
          <w:tcPr>
            <w:tcW w:w="1383" w:type="dxa"/>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P</w:t>
            </w:r>
          </w:p>
        </w:tc>
        <w:tc>
          <w:tcPr>
            <w:tcW w:w="1383"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1.000</w:t>
            </w:r>
          </w:p>
        </w:tc>
        <w:tc>
          <w:tcPr>
            <w:tcW w:w="1383"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-.080</w:t>
            </w:r>
          </w:p>
        </w:tc>
        <w:tc>
          <w:tcPr>
            <w:tcW w:w="1382"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.248</w:t>
            </w:r>
          </w:p>
        </w:tc>
        <w:tc>
          <w:tcPr>
            <w:tcW w:w="1382"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.398</w:t>
            </w:r>
          </w:p>
        </w:tc>
      </w:tr>
      <w:tr w:rsidR="00241B4E" w:rsidRPr="004B5D80" w:rsidTr="00B520A4">
        <w:trPr>
          <w:trHeight w:val="276"/>
        </w:trPr>
        <w:tc>
          <w:tcPr>
            <w:tcW w:w="1383" w:type="dxa"/>
            <w:vMerge/>
            <w:vAlign w:val="center"/>
          </w:tcPr>
          <w:p w:rsidR="00241B4E" w:rsidRPr="004B5D80" w:rsidRDefault="00241B4E" w:rsidP="00B520A4">
            <w:pPr>
              <w:widowControl/>
              <w:spacing w:after="0" w:line="240" w:lineRule="auto"/>
              <w:jc w:val="center"/>
              <w:rPr>
                <w:rFonts w:eastAsia="MingLiU"/>
                <w:kern w:val="0"/>
                <w:sz w:val="20"/>
                <w:szCs w:val="20"/>
              </w:rPr>
            </w:pPr>
          </w:p>
        </w:tc>
        <w:tc>
          <w:tcPr>
            <w:tcW w:w="1383" w:type="dxa"/>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ROE</w:t>
            </w:r>
          </w:p>
        </w:tc>
        <w:tc>
          <w:tcPr>
            <w:tcW w:w="1383"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-.080</w:t>
            </w:r>
          </w:p>
        </w:tc>
        <w:tc>
          <w:tcPr>
            <w:tcW w:w="1383"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1.000</w:t>
            </w:r>
          </w:p>
        </w:tc>
        <w:tc>
          <w:tcPr>
            <w:tcW w:w="1382"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-.234</w:t>
            </w:r>
          </w:p>
        </w:tc>
        <w:tc>
          <w:tcPr>
            <w:tcW w:w="1382"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-.088</w:t>
            </w:r>
          </w:p>
        </w:tc>
      </w:tr>
      <w:tr w:rsidR="00241B4E" w:rsidRPr="004B5D80" w:rsidTr="00B520A4">
        <w:trPr>
          <w:trHeight w:val="288"/>
        </w:trPr>
        <w:tc>
          <w:tcPr>
            <w:tcW w:w="1383" w:type="dxa"/>
            <w:vMerge/>
            <w:vAlign w:val="center"/>
          </w:tcPr>
          <w:p w:rsidR="00241B4E" w:rsidRPr="004B5D80" w:rsidRDefault="00241B4E" w:rsidP="00B520A4">
            <w:pPr>
              <w:widowControl/>
              <w:spacing w:after="0" w:line="240" w:lineRule="auto"/>
              <w:jc w:val="center"/>
              <w:rPr>
                <w:rFonts w:eastAsia="MingLiU"/>
                <w:kern w:val="0"/>
                <w:sz w:val="20"/>
                <w:szCs w:val="20"/>
              </w:rPr>
            </w:pPr>
          </w:p>
        </w:tc>
        <w:tc>
          <w:tcPr>
            <w:tcW w:w="1383" w:type="dxa"/>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Lev</w:t>
            </w:r>
          </w:p>
        </w:tc>
        <w:tc>
          <w:tcPr>
            <w:tcW w:w="1383"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.248</w:t>
            </w:r>
          </w:p>
        </w:tc>
        <w:tc>
          <w:tcPr>
            <w:tcW w:w="1383"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-.234</w:t>
            </w:r>
          </w:p>
        </w:tc>
        <w:tc>
          <w:tcPr>
            <w:tcW w:w="1382"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1.000</w:t>
            </w:r>
          </w:p>
        </w:tc>
        <w:tc>
          <w:tcPr>
            <w:tcW w:w="1382"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.463</w:t>
            </w:r>
          </w:p>
        </w:tc>
      </w:tr>
      <w:tr w:rsidR="00241B4E" w:rsidRPr="004B5D80" w:rsidTr="00B520A4">
        <w:trPr>
          <w:trHeight w:val="288"/>
        </w:trPr>
        <w:tc>
          <w:tcPr>
            <w:tcW w:w="1383" w:type="dxa"/>
            <w:vMerge/>
            <w:vAlign w:val="center"/>
          </w:tcPr>
          <w:p w:rsidR="00241B4E" w:rsidRPr="004B5D80" w:rsidRDefault="00241B4E" w:rsidP="00B520A4">
            <w:pPr>
              <w:widowControl/>
              <w:spacing w:after="0" w:line="240" w:lineRule="auto"/>
              <w:jc w:val="center"/>
              <w:rPr>
                <w:rFonts w:eastAsia="MingLiU"/>
                <w:kern w:val="0"/>
                <w:sz w:val="20"/>
                <w:szCs w:val="20"/>
              </w:rPr>
            </w:pPr>
          </w:p>
        </w:tc>
        <w:tc>
          <w:tcPr>
            <w:tcW w:w="1383" w:type="dxa"/>
            <w:vAlign w:val="center"/>
          </w:tcPr>
          <w:p w:rsidR="00241B4E" w:rsidRPr="004B5D80" w:rsidRDefault="00404499" w:rsidP="00B520A4">
            <w:pPr>
              <w:widowControl/>
              <w:spacing w:after="0" w:line="240" w:lineRule="auto"/>
              <w:jc w:val="center"/>
              <w:rPr>
                <w:rFonts w:eastAsia="MingLiU"/>
                <w:kern w:val="0"/>
                <w:sz w:val="20"/>
                <w:szCs w:val="20"/>
              </w:rPr>
            </w:pPr>
            <w:r>
              <w:rPr>
                <w:rFonts w:eastAsia="MingLiU"/>
                <w:kern w:val="0"/>
                <w:sz w:val="20"/>
                <w:szCs w:val="20"/>
              </w:rPr>
              <w:t>Assets</w:t>
            </w:r>
          </w:p>
        </w:tc>
        <w:tc>
          <w:tcPr>
            <w:tcW w:w="1383"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.398</w:t>
            </w:r>
          </w:p>
        </w:tc>
        <w:tc>
          <w:tcPr>
            <w:tcW w:w="1383"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-.088</w:t>
            </w:r>
          </w:p>
        </w:tc>
        <w:tc>
          <w:tcPr>
            <w:tcW w:w="1382"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.463</w:t>
            </w:r>
          </w:p>
        </w:tc>
        <w:tc>
          <w:tcPr>
            <w:tcW w:w="1382"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1.000</w:t>
            </w:r>
          </w:p>
        </w:tc>
      </w:tr>
      <w:tr w:rsidR="00241B4E" w:rsidRPr="004B5D80" w:rsidTr="00B520A4">
        <w:trPr>
          <w:trHeight w:val="288"/>
        </w:trPr>
        <w:tc>
          <w:tcPr>
            <w:tcW w:w="1383" w:type="dxa"/>
            <w:vMerge w:val="restart"/>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Sig.</w:t>
            </w:r>
          </w:p>
        </w:tc>
        <w:tc>
          <w:tcPr>
            <w:tcW w:w="1383" w:type="dxa"/>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P</w:t>
            </w:r>
          </w:p>
        </w:tc>
        <w:tc>
          <w:tcPr>
            <w:tcW w:w="1383" w:type="dxa"/>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w:t>
            </w:r>
          </w:p>
        </w:tc>
        <w:tc>
          <w:tcPr>
            <w:tcW w:w="1383"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.010</w:t>
            </w:r>
          </w:p>
        </w:tc>
        <w:tc>
          <w:tcPr>
            <w:tcW w:w="1382"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.000</w:t>
            </w:r>
          </w:p>
        </w:tc>
        <w:tc>
          <w:tcPr>
            <w:tcW w:w="1382"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.000</w:t>
            </w:r>
          </w:p>
        </w:tc>
      </w:tr>
      <w:tr w:rsidR="00241B4E" w:rsidRPr="004B5D80" w:rsidTr="00B520A4">
        <w:trPr>
          <w:trHeight w:val="288"/>
        </w:trPr>
        <w:tc>
          <w:tcPr>
            <w:tcW w:w="1383" w:type="dxa"/>
            <w:vMerge/>
            <w:vAlign w:val="center"/>
          </w:tcPr>
          <w:p w:rsidR="00241B4E" w:rsidRPr="004B5D80" w:rsidRDefault="00241B4E" w:rsidP="00B520A4">
            <w:pPr>
              <w:widowControl/>
              <w:spacing w:after="0" w:line="240" w:lineRule="auto"/>
              <w:jc w:val="center"/>
              <w:rPr>
                <w:rFonts w:eastAsia="MingLiU"/>
                <w:kern w:val="0"/>
                <w:sz w:val="20"/>
                <w:szCs w:val="20"/>
              </w:rPr>
            </w:pPr>
          </w:p>
        </w:tc>
        <w:tc>
          <w:tcPr>
            <w:tcW w:w="1383" w:type="dxa"/>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ROE</w:t>
            </w:r>
          </w:p>
        </w:tc>
        <w:tc>
          <w:tcPr>
            <w:tcW w:w="1383"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.010</w:t>
            </w:r>
          </w:p>
        </w:tc>
        <w:tc>
          <w:tcPr>
            <w:tcW w:w="1383" w:type="dxa"/>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w:t>
            </w:r>
          </w:p>
        </w:tc>
        <w:tc>
          <w:tcPr>
            <w:tcW w:w="1382"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.000</w:t>
            </w:r>
          </w:p>
        </w:tc>
        <w:tc>
          <w:tcPr>
            <w:tcW w:w="1382"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.005</w:t>
            </w:r>
          </w:p>
        </w:tc>
      </w:tr>
      <w:tr w:rsidR="00241B4E" w:rsidRPr="004B5D80" w:rsidTr="00B520A4">
        <w:trPr>
          <w:trHeight w:val="480"/>
        </w:trPr>
        <w:tc>
          <w:tcPr>
            <w:tcW w:w="1383" w:type="dxa"/>
            <w:vMerge/>
            <w:vAlign w:val="center"/>
          </w:tcPr>
          <w:p w:rsidR="00241B4E" w:rsidRPr="004B5D80" w:rsidRDefault="00241B4E" w:rsidP="00B520A4">
            <w:pPr>
              <w:widowControl/>
              <w:spacing w:after="0" w:line="240" w:lineRule="auto"/>
              <w:jc w:val="center"/>
              <w:rPr>
                <w:rFonts w:eastAsia="MingLiU"/>
                <w:kern w:val="0"/>
                <w:sz w:val="20"/>
                <w:szCs w:val="20"/>
              </w:rPr>
            </w:pPr>
          </w:p>
        </w:tc>
        <w:tc>
          <w:tcPr>
            <w:tcW w:w="1383" w:type="dxa"/>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Lev</w:t>
            </w:r>
          </w:p>
        </w:tc>
        <w:tc>
          <w:tcPr>
            <w:tcW w:w="1383"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.000</w:t>
            </w:r>
          </w:p>
        </w:tc>
        <w:tc>
          <w:tcPr>
            <w:tcW w:w="1383"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.000</w:t>
            </w:r>
          </w:p>
        </w:tc>
        <w:tc>
          <w:tcPr>
            <w:tcW w:w="1382" w:type="dxa"/>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w:t>
            </w:r>
          </w:p>
        </w:tc>
        <w:tc>
          <w:tcPr>
            <w:tcW w:w="1382"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.000</w:t>
            </w:r>
          </w:p>
        </w:tc>
      </w:tr>
      <w:tr w:rsidR="004B5D80" w:rsidRPr="004B5D80" w:rsidTr="00B520A4">
        <w:trPr>
          <w:trHeight w:val="288"/>
        </w:trPr>
        <w:tc>
          <w:tcPr>
            <w:tcW w:w="1383" w:type="dxa"/>
            <w:vMerge/>
            <w:vAlign w:val="center"/>
          </w:tcPr>
          <w:p w:rsidR="00241B4E" w:rsidRPr="004B5D80" w:rsidRDefault="00241B4E" w:rsidP="00B520A4">
            <w:pPr>
              <w:widowControl/>
              <w:spacing w:after="0" w:line="240" w:lineRule="auto"/>
              <w:jc w:val="center"/>
              <w:rPr>
                <w:rFonts w:eastAsia="MingLiU"/>
                <w:kern w:val="0"/>
                <w:sz w:val="20"/>
                <w:szCs w:val="20"/>
              </w:rPr>
            </w:pPr>
          </w:p>
        </w:tc>
        <w:tc>
          <w:tcPr>
            <w:tcW w:w="1383" w:type="dxa"/>
            <w:vAlign w:val="center"/>
          </w:tcPr>
          <w:p w:rsidR="00241B4E" w:rsidRPr="004B5D80" w:rsidRDefault="00404499" w:rsidP="00B520A4">
            <w:pPr>
              <w:widowControl/>
              <w:spacing w:after="0" w:line="240" w:lineRule="auto"/>
              <w:jc w:val="center"/>
              <w:rPr>
                <w:rFonts w:eastAsia="MingLiU"/>
                <w:kern w:val="0"/>
                <w:sz w:val="20"/>
                <w:szCs w:val="20"/>
              </w:rPr>
            </w:pPr>
            <w:r>
              <w:rPr>
                <w:rFonts w:eastAsia="MingLiU"/>
                <w:kern w:val="0"/>
                <w:sz w:val="20"/>
                <w:szCs w:val="20"/>
              </w:rPr>
              <w:t>Assets</w:t>
            </w:r>
          </w:p>
        </w:tc>
        <w:tc>
          <w:tcPr>
            <w:tcW w:w="1383"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.000</w:t>
            </w:r>
          </w:p>
        </w:tc>
        <w:tc>
          <w:tcPr>
            <w:tcW w:w="1383"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.005</w:t>
            </w:r>
          </w:p>
        </w:tc>
        <w:tc>
          <w:tcPr>
            <w:tcW w:w="1382" w:type="dxa"/>
            <w:noWrap/>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.000</w:t>
            </w:r>
          </w:p>
        </w:tc>
        <w:tc>
          <w:tcPr>
            <w:tcW w:w="1382" w:type="dxa"/>
            <w:vAlign w:val="center"/>
          </w:tcPr>
          <w:p w:rsidR="00241B4E" w:rsidRPr="004B5D80" w:rsidRDefault="00D61E29" w:rsidP="00B520A4">
            <w:pPr>
              <w:widowControl/>
              <w:spacing w:after="0" w:line="240" w:lineRule="auto"/>
              <w:jc w:val="center"/>
              <w:rPr>
                <w:rFonts w:eastAsia="MingLiU"/>
                <w:kern w:val="0"/>
                <w:sz w:val="20"/>
                <w:szCs w:val="20"/>
              </w:rPr>
            </w:pPr>
            <w:r w:rsidRPr="004B5D80">
              <w:rPr>
                <w:rFonts w:eastAsia="MingLiU"/>
                <w:kern w:val="0"/>
                <w:sz w:val="20"/>
                <w:szCs w:val="20"/>
              </w:rPr>
              <w:t>.</w:t>
            </w:r>
          </w:p>
        </w:tc>
      </w:tr>
    </w:tbl>
    <w:p w:rsidR="00241B4E" w:rsidRPr="004B5D80" w:rsidRDefault="00241B4E" w:rsidP="00D61E29">
      <w:pPr>
        <w:spacing w:after="0" w:line="240" w:lineRule="auto"/>
        <w:rPr>
          <w:szCs w:val="24"/>
        </w:rPr>
      </w:pPr>
    </w:p>
    <w:p w:rsidR="00241B4E" w:rsidRPr="004B5D80" w:rsidRDefault="00D61E29" w:rsidP="00764948">
      <w:pPr>
        <w:pStyle w:val="Heading1"/>
        <w:numPr>
          <w:ilvl w:val="0"/>
          <w:numId w:val="11"/>
        </w:numPr>
        <w:spacing w:after="0" w:line="240" w:lineRule="auto"/>
        <w:rPr>
          <w:szCs w:val="24"/>
        </w:rPr>
      </w:pPr>
      <w:bookmarkStart w:id="11" w:name="_Toc10818785"/>
      <w:r w:rsidRPr="004B5D80">
        <w:rPr>
          <w:szCs w:val="24"/>
        </w:rPr>
        <w:t>Conclusions and Limitations</w:t>
      </w:r>
      <w:bookmarkEnd w:id="11"/>
      <w:r w:rsidRPr="004B5D80">
        <w:rPr>
          <w:szCs w:val="24"/>
        </w:rPr>
        <w:t xml:space="preserve"> </w:t>
      </w:r>
    </w:p>
    <w:p w:rsidR="00432086" w:rsidRDefault="00432086" w:rsidP="00D61E29">
      <w:pPr>
        <w:pStyle w:val="Heading2"/>
        <w:spacing w:after="0" w:line="240" w:lineRule="auto"/>
        <w:rPr>
          <w:szCs w:val="24"/>
        </w:rPr>
      </w:pPr>
      <w:bookmarkStart w:id="12" w:name="_Toc10818786"/>
    </w:p>
    <w:p w:rsidR="00241B4E" w:rsidRPr="004B5D80" w:rsidRDefault="00D61E29" w:rsidP="00764948">
      <w:pPr>
        <w:pStyle w:val="Heading2"/>
        <w:numPr>
          <w:ilvl w:val="1"/>
          <w:numId w:val="11"/>
        </w:numPr>
        <w:spacing w:after="0" w:line="240" w:lineRule="auto"/>
        <w:rPr>
          <w:szCs w:val="24"/>
        </w:rPr>
      </w:pPr>
      <w:bookmarkStart w:id="13" w:name="_Toc10818787"/>
      <w:bookmarkEnd w:id="12"/>
      <w:r w:rsidRPr="004B5D80">
        <w:rPr>
          <w:szCs w:val="24"/>
        </w:rPr>
        <w:t>Conclusions</w:t>
      </w:r>
      <w:bookmarkEnd w:id="13"/>
    </w:p>
    <w:p w:rsidR="00432086" w:rsidRDefault="00432086" w:rsidP="00D61E29">
      <w:pPr>
        <w:spacing w:after="0" w:line="240" w:lineRule="auto"/>
        <w:rPr>
          <w:szCs w:val="24"/>
        </w:rPr>
      </w:pPr>
    </w:p>
    <w:p w:rsidR="00647D65" w:rsidRDefault="00D61E29" w:rsidP="00096A7C">
      <w:pPr>
        <w:spacing w:after="0" w:line="240" w:lineRule="auto"/>
        <w:rPr>
          <w:szCs w:val="24"/>
        </w:rPr>
      </w:pPr>
      <w:r w:rsidRPr="004B5D80">
        <w:rPr>
          <w:szCs w:val="24"/>
        </w:rPr>
        <w:t>Th</w:t>
      </w:r>
      <w:r w:rsidR="00432086">
        <w:rPr>
          <w:szCs w:val="24"/>
        </w:rPr>
        <w:t>is empirical study</w:t>
      </w:r>
      <w:r w:rsidRPr="004B5D80">
        <w:rPr>
          <w:szCs w:val="24"/>
        </w:rPr>
        <w:t xml:space="preserve"> focuses on the relationship between allowance for doubtful accounts and the earning management</w:t>
      </w:r>
      <w:r w:rsidR="00647D65">
        <w:rPr>
          <w:szCs w:val="24"/>
        </w:rPr>
        <w:t xml:space="preserve">, by examining </w:t>
      </w:r>
      <w:r w:rsidRPr="004B5D80">
        <w:rPr>
          <w:szCs w:val="24"/>
        </w:rPr>
        <w:t xml:space="preserve">three </w:t>
      </w:r>
      <w:r w:rsidR="00096A7C">
        <w:rPr>
          <w:szCs w:val="24"/>
        </w:rPr>
        <w:t>hypotheses</w:t>
      </w:r>
      <w:r w:rsidRPr="004B5D80">
        <w:rPr>
          <w:szCs w:val="24"/>
        </w:rPr>
        <w:t>.</w:t>
      </w:r>
      <w:r w:rsidR="00096A7C">
        <w:rPr>
          <w:szCs w:val="24"/>
        </w:rPr>
        <w:t xml:space="preserve"> </w:t>
      </w:r>
      <w:r w:rsidR="00096A7C" w:rsidRPr="004B5D80">
        <w:rPr>
          <w:szCs w:val="24"/>
        </w:rPr>
        <w:t xml:space="preserve">First, </w:t>
      </w:r>
      <w:r w:rsidR="00D35620" w:rsidRPr="00D35620">
        <w:rPr>
          <w:i/>
          <w:szCs w:val="24"/>
        </w:rPr>
        <w:t>H1</w:t>
      </w:r>
      <w:r w:rsidR="00096A7C" w:rsidRPr="004B5D80">
        <w:rPr>
          <w:szCs w:val="24"/>
        </w:rPr>
        <w:t xml:space="preserve"> </w:t>
      </w:r>
      <w:r w:rsidR="00D35620">
        <w:rPr>
          <w:szCs w:val="24"/>
        </w:rPr>
        <w:t>hypothesizes</w:t>
      </w:r>
      <w:r w:rsidR="00096A7C" w:rsidRPr="004B5D80">
        <w:rPr>
          <w:szCs w:val="24"/>
        </w:rPr>
        <w:t xml:space="preserve"> that modified accounting standards</w:t>
      </w:r>
      <w:r w:rsidR="00D35620">
        <w:rPr>
          <w:szCs w:val="24"/>
        </w:rPr>
        <w:t>,</w:t>
      </w:r>
      <w:r w:rsidR="00096A7C" w:rsidRPr="004B5D80">
        <w:rPr>
          <w:szCs w:val="24"/>
        </w:rPr>
        <w:t xml:space="preserve"> published in 2014</w:t>
      </w:r>
      <w:r w:rsidR="00D35620">
        <w:rPr>
          <w:szCs w:val="24"/>
        </w:rPr>
        <w:t>,</w:t>
      </w:r>
      <w:r w:rsidR="00096A7C" w:rsidRPr="004B5D80">
        <w:rPr>
          <w:szCs w:val="24"/>
        </w:rPr>
        <w:t xml:space="preserve"> will have an impact on the allowance for doubtful accounts. </w:t>
      </w:r>
      <w:r w:rsidR="00647D65">
        <w:rPr>
          <w:szCs w:val="24"/>
        </w:rPr>
        <w:t>T</w:t>
      </w:r>
      <w:r w:rsidR="00647D65" w:rsidRPr="004B5D80">
        <w:rPr>
          <w:szCs w:val="24"/>
        </w:rPr>
        <w:t xml:space="preserve">he results show </w:t>
      </w:r>
      <w:r w:rsidR="00647D65">
        <w:rPr>
          <w:szCs w:val="24"/>
        </w:rPr>
        <w:t>that the</w:t>
      </w:r>
      <w:r w:rsidR="00647D65" w:rsidRPr="004B5D80">
        <w:rPr>
          <w:szCs w:val="24"/>
        </w:rPr>
        <w:t xml:space="preserve"> Chinese accounting standards’ modification changes the situation of allowance for doubtful accounts. </w:t>
      </w:r>
      <w:r w:rsidR="00647D65">
        <w:rPr>
          <w:szCs w:val="24"/>
        </w:rPr>
        <w:t xml:space="preserve">Both </w:t>
      </w:r>
      <w:r w:rsidR="00647D65" w:rsidRPr="004B5D80">
        <w:rPr>
          <w:szCs w:val="24"/>
        </w:rPr>
        <w:t>the recognition and reversal of allowance increase a lot after 2014.</w:t>
      </w:r>
      <w:r w:rsidR="00647D65">
        <w:rPr>
          <w:szCs w:val="24"/>
        </w:rPr>
        <w:t xml:space="preserve"> </w:t>
      </w:r>
      <w:r w:rsidR="00096A7C" w:rsidRPr="004B5D80">
        <w:rPr>
          <w:szCs w:val="24"/>
        </w:rPr>
        <w:t xml:space="preserve">Secondly, the </w:t>
      </w:r>
      <w:r w:rsidR="00096A7C" w:rsidRPr="00D35620">
        <w:rPr>
          <w:i/>
          <w:szCs w:val="24"/>
        </w:rPr>
        <w:t>H2</w:t>
      </w:r>
      <w:r w:rsidR="00096A7C" w:rsidRPr="004B5D80">
        <w:rPr>
          <w:szCs w:val="24"/>
        </w:rPr>
        <w:t xml:space="preserve"> </w:t>
      </w:r>
      <w:r w:rsidR="00096A7C">
        <w:rPr>
          <w:szCs w:val="24"/>
        </w:rPr>
        <w:t xml:space="preserve">hypothesizes that </w:t>
      </w:r>
      <w:r w:rsidR="00647D65">
        <w:rPr>
          <w:szCs w:val="24"/>
        </w:rPr>
        <w:t>companies</w:t>
      </w:r>
      <w:r w:rsidR="00096A7C" w:rsidRPr="004B5D80">
        <w:rPr>
          <w:szCs w:val="24"/>
        </w:rPr>
        <w:t xml:space="preserve"> are inclined to use the policy of bad debt provision for earnings management. </w:t>
      </w:r>
      <w:r w:rsidR="00647D65">
        <w:rPr>
          <w:szCs w:val="24"/>
        </w:rPr>
        <w:t>T</w:t>
      </w:r>
      <w:r w:rsidR="00647D65" w:rsidRPr="004B5D80">
        <w:rPr>
          <w:szCs w:val="24"/>
        </w:rPr>
        <w:t>he results show th</w:t>
      </w:r>
      <w:r w:rsidR="00647D65">
        <w:rPr>
          <w:szCs w:val="24"/>
        </w:rPr>
        <w:t>at</w:t>
      </w:r>
      <w:r w:rsidR="00647D65" w:rsidRPr="004B5D80">
        <w:rPr>
          <w:szCs w:val="24"/>
        </w:rPr>
        <w:t xml:space="preserve"> in some years before 2014</w:t>
      </w:r>
      <w:r w:rsidR="00647D65">
        <w:rPr>
          <w:szCs w:val="24"/>
        </w:rPr>
        <w:t>,</w:t>
      </w:r>
      <w:r w:rsidR="00647D65" w:rsidRPr="004B5D80">
        <w:rPr>
          <w:szCs w:val="24"/>
        </w:rPr>
        <w:t xml:space="preserve"> companies take advantages of allowance for doubtful accounts to conduct earning management. However, with the development of accounting standards, the phenomenon of earning management has improved.</w:t>
      </w:r>
      <w:r w:rsidR="00647D65">
        <w:rPr>
          <w:szCs w:val="24"/>
        </w:rPr>
        <w:t xml:space="preserve"> </w:t>
      </w:r>
      <w:r w:rsidR="00647D65" w:rsidRPr="004B5D80">
        <w:rPr>
          <w:szCs w:val="24"/>
        </w:rPr>
        <w:t xml:space="preserve">Thirdly, </w:t>
      </w:r>
      <w:r w:rsidR="00647D65" w:rsidRPr="00D35620">
        <w:rPr>
          <w:i/>
          <w:szCs w:val="24"/>
        </w:rPr>
        <w:t>H3</w:t>
      </w:r>
      <w:r w:rsidR="00647D65" w:rsidRPr="004B5D80">
        <w:rPr>
          <w:szCs w:val="24"/>
        </w:rPr>
        <w:t xml:space="preserve"> </w:t>
      </w:r>
      <w:r w:rsidR="00647D65">
        <w:rPr>
          <w:szCs w:val="24"/>
        </w:rPr>
        <w:t xml:space="preserve">hypothesizes </w:t>
      </w:r>
      <w:r w:rsidR="00647D65" w:rsidRPr="004B5D80">
        <w:rPr>
          <w:szCs w:val="24"/>
        </w:rPr>
        <w:t>that there is a negative correlation between allowance for doubtful accounts and its surplus.</w:t>
      </w:r>
      <w:r w:rsidR="00647D65">
        <w:rPr>
          <w:szCs w:val="24"/>
        </w:rPr>
        <w:t xml:space="preserve"> The </w:t>
      </w:r>
      <w:r w:rsidR="00647D65" w:rsidRPr="004B5D80">
        <w:rPr>
          <w:szCs w:val="24"/>
        </w:rPr>
        <w:t>analy</w:t>
      </w:r>
      <w:r w:rsidR="00647D65">
        <w:rPr>
          <w:szCs w:val="24"/>
        </w:rPr>
        <w:t>sis of</w:t>
      </w:r>
      <w:r w:rsidR="00647D65" w:rsidRPr="004B5D80">
        <w:rPr>
          <w:szCs w:val="24"/>
        </w:rPr>
        <w:t xml:space="preserve"> the relationship between some important indicators and allowance for doubtful accounts</w:t>
      </w:r>
      <w:r w:rsidR="00647D65">
        <w:rPr>
          <w:szCs w:val="24"/>
        </w:rPr>
        <w:t>,</w:t>
      </w:r>
      <w:r w:rsidR="00647D65" w:rsidRPr="004B5D80">
        <w:rPr>
          <w:szCs w:val="24"/>
        </w:rPr>
        <w:t xml:space="preserve"> finds that ROE and allowance were in a negative relationship before 2014. However, after 2014, there is less relevant. On the other hand, </w:t>
      </w:r>
      <w:r w:rsidR="0029401A" w:rsidRPr="004B5D80">
        <w:rPr>
          <w:szCs w:val="24"/>
        </w:rPr>
        <w:t xml:space="preserve">leverage </w:t>
      </w:r>
      <w:r w:rsidR="00647D65" w:rsidRPr="004B5D80">
        <w:rPr>
          <w:szCs w:val="24"/>
        </w:rPr>
        <w:t xml:space="preserve">ratio plays a positive impact on allowance for doubtful accounts which is not followed the hypothesis provided by previous studies. After 2014, only assets </w:t>
      </w:r>
      <w:r w:rsidR="00647D65">
        <w:rPr>
          <w:szCs w:val="24"/>
        </w:rPr>
        <w:t>have</w:t>
      </w:r>
      <w:r w:rsidR="00647D65" w:rsidRPr="004B5D80">
        <w:rPr>
          <w:szCs w:val="24"/>
        </w:rPr>
        <w:t xml:space="preserve"> a significant impact on allowance.</w:t>
      </w:r>
    </w:p>
    <w:p w:rsidR="00647D65" w:rsidRDefault="00647D65" w:rsidP="00096A7C">
      <w:pPr>
        <w:spacing w:after="0" w:line="240" w:lineRule="auto"/>
        <w:rPr>
          <w:szCs w:val="24"/>
        </w:rPr>
      </w:pPr>
    </w:p>
    <w:p w:rsidR="00241B4E" w:rsidRPr="004B5D80" w:rsidRDefault="00D61E29" w:rsidP="00764948">
      <w:pPr>
        <w:pStyle w:val="Heading2"/>
        <w:numPr>
          <w:ilvl w:val="1"/>
          <w:numId w:val="11"/>
        </w:numPr>
        <w:spacing w:after="0" w:line="240" w:lineRule="auto"/>
        <w:rPr>
          <w:szCs w:val="24"/>
        </w:rPr>
      </w:pPr>
      <w:bookmarkStart w:id="14" w:name="_Toc10818788"/>
      <w:r w:rsidRPr="004B5D80">
        <w:rPr>
          <w:szCs w:val="24"/>
        </w:rPr>
        <w:t>Policy Suggestions</w:t>
      </w:r>
      <w:bookmarkEnd w:id="14"/>
      <w:r w:rsidR="00647D65">
        <w:rPr>
          <w:szCs w:val="24"/>
        </w:rPr>
        <w:t xml:space="preserve"> and P</w:t>
      </w:r>
      <w:r w:rsidRPr="004B5D80">
        <w:rPr>
          <w:szCs w:val="24"/>
        </w:rPr>
        <w:t xml:space="preserve">roposals </w:t>
      </w:r>
      <w:r w:rsidR="00764948">
        <w:rPr>
          <w:szCs w:val="24"/>
        </w:rPr>
        <w:t xml:space="preserve">for </w:t>
      </w:r>
      <w:r w:rsidR="00647D65">
        <w:rPr>
          <w:szCs w:val="24"/>
        </w:rPr>
        <w:t>F</w:t>
      </w:r>
      <w:r w:rsidRPr="004B5D80">
        <w:rPr>
          <w:szCs w:val="24"/>
        </w:rPr>
        <w:t xml:space="preserve">urther </w:t>
      </w:r>
      <w:r w:rsidR="00647D65">
        <w:rPr>
          <w:szCs w:val="24"/>
        </w:rPr>
        <w:t>R</w:t>
      </w:r>
      <w:r w:rsidRPr="004B5D80">
        <w:rPr>
          <w:szCs w:val="24"/>
        </w:rPr>
        <w:t>esearch</w:t>
      </w:r>
    </w:p>
    <w:p w:rsidR="00432086" w:rsidRDefault="00432086" w:rsidP="00D61E29">
      <w:pPr>
        <w:spacing w:after="0" w:line="240" w:lineRule="auto"/>
        <w:rPr>
          <w:szCs w:val="24"/>
        </w:rPr>
      </w:pPr>
    </w:p>
    <w:p w:rsidR="00EC2E3D" w:rsidRPr="004B5D80" w:rsidRDefault="00647D65" w:rsidP="00EC2E3D">
      <w:pPr>
        <w:spacing w:after="0" w:line="240" w:lineRule="auto"/>
        <w:rPr>
          <w:szCs w:val="24"/>
        </w:rPr>
      </w:pPr>
      <w:r>
        <w:rPr>
          <w:szCs w:val="24"/>
        </w:rPr>
        <w:t>T</w:t>
      </w:r>
      <w:r w:rsidR="00D61E29" w:rsidRPr="004B5D80">
        <w:rPr>
          <w:szCs w:val="24"/>
        </w:rPr>
        <w:t>he results show that modified accounting standards are conducive to restrict earning management. However, there are some suggestions for future improvement of information quality.</w:t>
      </w:r>
      <w:r w:rsidR="00220489">
        <w:rPr>
          <w:szCs w:val="24"/>
        </w:rPr>
        <w:t xml:space="preserve"> </w:t>
      </w:r>
      <w:r w:rsidR="00D61E29" w:rsidRPr="004B5D80">
        <w:rPr>
          <w:szCs w:val="24"/>
        </w:rPr>
        <w:t>First</w:t>
      </w:r>
      <w:r w:rsidR="00220489">
        <w:rPr>
          <w:szCs w:val="24"/>
        </w:rPr>
        <w:t xml:space="preserve">, </w:t>
      </w:r>
      <w:r w:rsidR="00220489" w:rsidRPr="004B5D80">
        <w:rPr>
          <w:szCs w:val="24"/>
        </w:rPr>
        <w:t>it is suggested to</w:t>
      </w:r>
      <w:r w:rsidR="00D61E29" w:rsidRPr="004B5D80">
        <w:rPr>
          <w:szCs w:val="24"/>
        </w:rPr>
        <w:t xml:space="preserve"> improve the disclosure quality of allowance </w:t>
      </w:r>
      <w:r w:rsidR="00D61E29" w:rsidRPr="004B5D80">
        <w:rPr>
          <w:szCs w:val="24"/>
        </w:rPr>
        <w:lastRenderedPageBreak/>
        <w:t xml:space="preserve">for doubtful assets. The purpose of accounting information disclosure is to solve the problem of information asymmetry between the users and enterprises. The quality of accounting information disclosure directly reflects the efficiency of capital market and social resources. Because the listed company has not fully disclosed the information of impairment of assets, especially their specific accounting policies, it can use impairment for earnings management. Listed companies are often one-sided disclosure or false disclosure of allowance for doubtful accounts, if there is not a mandatory rule, so that users of accounting information </w:t>
      </w:r>
      <w:r w:rsidR="004B5D80" w:rsidRPr="004B5D80">
        <w:rPr>
          <w:szCs w:val="24"/>
        </w:rPr>
        <w:t>cannot</w:t>
      </w:r>
      <w:r w:rsidR="00D61E29" w:rsidRPr="004B5D80">
        <w:rPr>
          <w:szCs w:val="24"/>
        </w:rPr>
        <w:t xml:space="preserve"> clearly understand the accurate information of the company's account receivables, and even lead to their wrong decisions. It is suggested that the listed company to fully disclose the reasons of allowance for doubtful accounts, but also to disclose the impact of the allowance on the important financial indicators. In addition, the standards for allowances should also </w:t>
      </w:r>
      <w:r w:rsidR="00220489" w:rsidRPr="004B5D80">
        <w:rPr>
          <w:szCs w:val="24"/>
        </w:rPr>
        <w:t>require</w:t>
      </w:r>
      <w:r w:rsidR="00D61E29" w:rsidRPr="004B5D80">
        <w:rPr>
          <w:szCs w:val="24"/>
        </w:rPr>
        <w:t xml:space="preserve"> public companies to disclose the information of reversals, so that the users could fully grasp the complete information about the impairment, it can effectively restrain the listed companies use the </w:t>
      </w:r>
      <w:r w:rsidR="004B5D80" w:rsidRPr="004B5D80">
        <w:rPr>
          <w:szCs w:val="24"/>
        </w:rPr>
        <w:t>accounts</w:t>
      </w:r>
      <w:r w:rsidR="00D61E29" w:rsidRPr="004B5D80">
        <w:rPr>
          <w:szCs w:val="24"/>
        </w:rPr>
        <w:t xml:space="preserve"> impairment to earnings management.</w:t>
      </w:r>
      <w:r w:rsidR="00220489">
        <w:rPr>
          <w:szCs w:val="24"/>
        </w:rPr>
        <w:t xml:space="preserve"> </w:t>
      </w:r>
      <w:r w:rsidR="00D61E29" w:rsidRPr="004B5D80">
        <w:rPr>
          <w:szCs w:val="24"/>
        </w:rPr>
        <w:t xml:space="preserve">Second, </w:t>
      </w:r>
      <w:r w:rsidR="00EC2E3D">
        <w:rPr>
          <w:szCs w:val="24"/>
        </w:rPr>
        <w:t>t</w:t>
      </w:r>
      <w:r w:rsidR="00EC2E3D" w:rsidRPr="004B5D80">
        <w:rPr>
          <w:szCs w:val="24"/>
        </w:rPr>
        <w:t xml:space="preserve">his </w:t>
      </w:r>
      <w:r w:rsidR="00EC2E3D">
        <w:rPr>
          <w:szCs w:val="24"/>
        </w:rPr>
        <w:t>study</w:t>
      </w:r>
      <w:r w:rsidR="00EC2E3D" w:rsidRPr="004B5D80">
        <w:rPr>
          <w:szCs w:val="24"/>
        </w:rPr>
        <w:t xml:space="preserve"> mainly focuse</w:t>
      </w:r>
      <w:r w:rsidR="00EC2E3D">
        <w:rPr>
          <w:szCs w:val="24"/>
        </w:rPr>
        <w:t>s</w:t>
      </w:r>
      <w:r w:rsidR="00EC2E3D" w:rsidRPr="004B5D80">
        <w:rPr>
          <w:szCs w:val="24"/>
        </w:rPr>
        <w:t xml:space="preserve"> on regular receivable impairments. It is suggested to study other receivable’s impairment which perhaps shows the significant relationship with the earning management. Furthermore, future stud</w:t>
      </w:r>
      <w:r w:rsidR="00EC2E3D">
        <w:rPr>
          <w:szCs w:val="24"/>
        </w:rPr>
        <w:t>ies</w:t>
      </w:r>
      <w:r w:rsidR="00EC2E3D" w:rsidRPr="004B5D80">
        <w:rPr>
          <w:szCs w:val="24"/>
        </w:rPr>
        <w:t xml:space="preserve"> could divide assets into two parts: long-term and short-term assets. They would depict different results about the possibility of earning management.</w:t>
      </w:r>
      <w:r w:rsidR="00220489">
        <w:rPr>
          <w:szCs w:val="24"/>
        </w:rPr>
        <w:t xml:space="preserve"> </w:t>
      </w:r>
      <w:r w:rsidR="00EC2E3D" w:rsidRPr="004B5D80">
        <w:rPr>
          <w:szCs w:val="24"/>
        </w:rPr>
        <w:t xml:space="preserve">Finally, this </w:t>
      </w:r>
      <w:r w:rsidR="00EC2E3D">
        <w:rPr>
          <w:szCs w:val="24"/>
        </w:rPr>
        <w:t>study</w:t>
      </w:r>
      <w:r w:rsidR="00EC2E3D" w:rsidRPr="004B5D80">
        <w:rPr>
          <w:szCs w:val="24"/>
        </w:rPr>
        <w:t xml:space="preserve"> finds that the implementation of modified accounting standards has improved the value relevance and reliability of allowance for doubtful accounts information. Then the next question is whether the implementation of modified accounting standards has the same impact on the quality of other accounting information.</w:t>
      </w:r>
    </w:p>
    <w:p w:rsidR="00EC2E3D" w:rsidRPr="004B5D80" w:rsidRDefault="00EC2E3D" w:rsidP="00D61E29">
      <w:pPr>
        <w:spacing w:after="0" w:line="240" w:lineRule="auto"/>
        <w:rPr>
          <w:szCs w:val="24"/>
        </w:rPr>
      </w:pPr>
    </w:p>
    <w:p w:rsidR="00241B4E" w:rsidRPr="004B5D80" w:rsidRDefault="00D61E29" w:rsidP="00764948">
      <w:pPr>
        <w:pStyle w:val="Heading2"/>
        <w:numPr>
          <w:ilvl w:val="1"/>
          <w:numId w:val="11"/>
        </w:numPr>
        <w:spacing w:after="0" w:line="240" w:lineRule="auto"/>
        <w:rPr>
          <w:szCs w:val="24"/>
        </w:rPr>
      </w:pPr>
      <w:bookmarkStart w:id="15" w:name="_Toc10818789"/>
      <w:r w:rsidRPr="004B5D80">
        <w:rPr>
          <w:szCs w:val="24"/>
        </w:rPr>
        <w:t>Limit</w:t>
      </w:r>
      <w:bookmarkEnd w:id="15"/>
      <w:r w:rsidRPr="004B5D80">
        <w:rPr>
          <w:szCs w:val="24"/>
        </w:rPr>
        <w:t xml:space="preserve">ations </w:t>
      </w:r>
    </w:p>
    <w:p w:rsidR="004260EE" w:rsidRDefault="004260EE" w:rsidP="00D61E29">
      <w:pPr>
        <w:spacing w:after="0" w:line="240" w:lineRule="auto"/>
        <w:rPr>
          <w:szCs w:val="24"/>
        </w:rPr>
      </w:pPr>
    </w:p>
    <w:p w:rsidR="00EC2E3D" w:rsidRDefault="00EC2E3D" w:rsidP="00D61E29">
      <w:pPr>
        <w:spacing w:after="0" w:line="240" w:lineRule="auto"/>
        <w:rPr>
          <w:szCs w:val="24"/>
        </w:rPr>
      </w:pPr>
      <w:r w:rsidRPr="00206832">
        <w:rPr>
          <w:szCs w:val="24"/>
        </w:rPr>
        <w:t>This study has the following limitations</w:t>
      </w:r>
      <w:r>
        <w:rPr>
          <w:szCs w:val="24"/>
        </w:rPr>
        <w:t xml:space="preserve">. </w:t>
      </w:r>
      <w:r w:rsidR="00764948">
        <w:rPr>
          <w:szCs w:val="24"/>
        </w:rPr>
        <w:t xml:space="preserve">First, </w:t>
      </w:r>
      <w:r w:rsidR="00D61E29" w:rsidRPr="004B5D80">
        <w:rPr>
          <w:szCs w:val="24"/>
        </w:rPr>
        <w:t>this study only selects the data of listed manufacturing companies for regression</w:t>
      </w:r>
      <w:r w:rsidR="00764948">
        <w:rPr>
          <w:szCs w:val="24"/>
        </w:rPr>
        <w:t xml:space="preserve"> analysis</w:t>
      </w:r>
      <w:r w:rsidR="00D61E29" w:rsidRPr="004B5D80">
        <w:rPr>
          <w:szCs w:val="24"/>
        </w:rPr>
        <w:t>. Although the manufacturing samples are persuasive, they cannot represent all listed companies after all, and the research samples have limitations.</w:t>
      </w:r>
      <w:r>
        <w:rPr>
          <w:szCs w:val="24"/>
        </w:rPr>
        <w:t xml:space="preserve"> </w:t>
      </w:r>
      <w:r w:rsidR="00D61E29" w:rsidRPr="004B5D80">
        <w:rPr>
          <w:szCs w:val="24"/>
        </w:rPr>
        <w:t xml:space="preserve">Second, </w:t>
      </w:r>
      <w:r>
        <w:rPr>
          <w:szCs w:val="24"/>
        </w:rPr>
        <w:t>it only use</w:t>
      </w:r>
      <w:r w:rsidR="00D61E29" w:rsidRPr="004B5D80">
        <w:rPr>
          <w:szCs w:val="24"/>
        </w:rPr>
        <w:t>s the data from 200</w:t>
      </w:r>
      <w:r w:rsidR="00D35620">
        <w:rPr>
          <w:szCs w:val="24"/>
        </w:rPr>
        <w:t>8</w:t>
      </w:r>
      <w:r w:rsidR="00D61E29" w:rsidRPr="004B5D80">
        <w:rPr>
          <w:szCs w:val="24"/>
        </w:rPr>
        <w:t xml:space="preserve"> to 2017</w:t>
      </w:r>
      <w:r>
        <w:rPr>
          <w:szCs w:val="24"/>
        </w:rPr>
        <w:t>, which</w:t>
      </w:r>
      <w:r w:rsidR="00D61E29" w:rsidRPr="004B5D80">
        <w:rPr>
          <w:szCs w:val="24"/>
        </w:rPr>
        <w:t xml:space="preserve"> means a relatively short sample period is taken as the research conclusion of the new accounting standards stage. The research conclusion may be influenced by some systematic factors, so it is necessary to expand the research window in the future and verify the value relevance and reliability of allowance for doubtful accounts information after the implementation of the modified accounting standards in a broader period.</w:t>
      </w:r>
      <w:r>
        <w:rPr>
          <w:szCs w:val="24"/>
        </w:rPr>
        <w:t xml:space="preserve"> </w:t>
      </w:r>
      <w:r w:rsidR="00D61E29" w:rsidRPr="004B5D80">
        <w:rPr>
          <w:szCs w:val="24"/>
        </w:rPr>
        <w:t xml:space="preserve">Third, in fact, since the new standards prohibit the provision and reversal of the impairment of long-term assets, the listed companies may use the provision and reversal of the impairment of short-term assets to engage in earnings management. Chinese accounting standards allow the reversal of short assets impairment which includes receivables and other receivable accounts. </w:t>
      </w:r>
    </w:p>
    <w:p w:rsidR="00EC2E3D" w:rsidRDefault="00EC2E3D" w:rsidP="00D61E29">
      <w:pPr>
        <w:spacing w:after="0" w:line="240" w:lineRule="auto"/>
        <w:rPr>
          <w:szCs w:val="24"/>
        </w:rPr>
      </w:pPr>
    </w:p>
    <w:p w:rsidR="00241B4E" w:rsidRPr="004B5D80" w:rsidRDefault="00241B4E" w:rsidP="00D61E29">
      <w:pPr>
        <w:spacing w:after="0" w:line="240" w:lineRule="auto"/>
        <w:rPr>
          <w:szCs w:val="24"/>
        </w:rPr>
      </w:pPr>
    </w:p>
    <w:p w:rsidR="00241B4E" w:rsidRDefault="00CB6319" w:rsidP="00D61E29">
      <w:pPr>
        <w:spacing w:after="0" w:line="240" w:lineRule="auto"/>
        <w:rPr>
          <w:b/>
          <w:szCs w:val="24"/>
        </w:rPr>
      </w:pPr>
      <w:bookmarkStart w:id="16" w:name="_Hlk10400536"/>
      <w:r>
        <w:rPr>
          <w:b/>
          <w:szCs w:val="24"/>
        </w:rPr>
        <w:lastRenderedPageBreak/>
        <w:t>References</w:t>
      </w:r>
      <w:bookmarkStart w:id="17" w:name="_GoBack"/>
      <w:bookmarkEnd w:id="17"/>
    </w:p>
    <w:p w:rsidR="00D3021C" w:rsidRDefault="00D3021C" w:rsidP="00D61E29">
      <w:pPr>
        <w:spacing w:after="0" w:line="240" w:lineRule="auto"/>
        <w:rPr>
          <w:b/>
          <w:szCs w:val="24"/>
        </w:rPr>
      </w:pPr>
    </w:p>
    <w:p w:rsidR="00FE1218" w:rsidRDefault="00D61E29" w:rsidP="00FE1218">
      <w:pPr>
        <w:widowControl/>
        <w:numPr>
          <w:ilvl w:val="0"/>
          <w:numId w:val="22"/>
        </w:numPr>
        <w:autoSpaceDE w:val="0"/>
        <w:autoSpaceDN w:val="0"/>
        <w:adjustRightInd w:val="0"/>
        <w:spacing w:after="0"/>
        <w:ind w:left="475" w:hanging="475"/>
        <w:textAlignment w:val="bottom"/>
        <w:rPr>
          <w:rFonts w:eastAsia="DFKai-SB"/>
          <w:color w:val="000000"/>
          <w:szCs w:val="24"/>
        </w:rPr>
      </w:pPr>
      <w:r w:rsidRPr="00FE1218">
        <w:rPr>
          <w:szCs w:val="24"/>
        </w:rPr>
        <w:t>Anon, 2014</w:t>
      </w:r>
      <w:bookmarkEnd w:id="16"/>
      <w:r w:rsidRPr="00FE1218">
        <w:rPr>
          <w:szCs w:val="24"/>
        </w:rPr>
        <w:t xml:space="preserve">. </w:t>
      </w:r>
      <w:proofErr w:type="spellStart"/>
      <w:r w:rsidR="00F92A9E" w:rsidRPr="00FE1218">
        <w:rPr>
          <w:szCs w:val="24"/>
        </w:rPr>
        <w:t>Datang</w:t>
      </w:r>
      <w:proofErr w:type="spellEnd"/>
      <w:r w:rsidR="00F92A9E" w:rsidRPr="00FE1218">
        <w:rPr>
          <w:szCs w:val="24"/>
        </w:rPr>
        <w:t xml:space="preserve"> International Power Generation Company </w:t>
      </w:r>
      <w:r w:rsidRPr="00FE1218">
        <w:rPr>
          <w:szCs w:val="24"/>
        </w:rPr>
        <w:t>LD - Provision for Assets Impairment, Retirement &amp; Write-Off. PR Newswire Europe Including UK Disclose, pp.</w:t>
      </w:r>
      <w:r w:rsidR="00F92A9E" w:rsidRPr="00FE1218">
        <w:rPr>
          <w:szCs w:val="24"/>
        </w:rPr>
        <w:t xml:space="preserve"> </w:t>
      </w:r>
    </w:p>
    <w:p w:rsidR="00FE1218" w:rsidRDefault="00D61E29" w:rsidP="00FE1218">
      <w:pPr>
        <w:widowControl/>
        <w:numPr>
          <w:ilvl w:val="0"/>
          <w:numId w:val="22"/>
        </w:numPr>
        <w:autoSpaceDE w:val="0"/>
        <w:autoSpaceDN w:val="0"/>
        <w:adjustRightInd w:val="0"/>
        <w:spacing w:after="0"/>
        <w:ind w:left="475" w:hanging="475"/>
        <w:textAlignment w:val="bottom"/>
        <w:rPr>
          <w:rFonts w:eastAsia="DFKai-SB"/>
          <w:color w:val="000000"/>
          <w:szCs w:val="24"/>
        </w:rPr>
      </w:pPr>
      <w:r w:rsidRPr="00FE1218">
        <w:rPr>
          <w:szCs w:val="24"/>
        </w:rPr>
        <w:t xml:space="preserve">Anon, 2004. Chinese regulators warn over bad debts. </w:t>
      </w:r>
      <w:r w:rsidRPr="00FE1218">
        <w:rPr>
          <w:i/>
          <w:szCs w:val="24"/>
        </w:rPr>
        <w:t>Cards International</w:t>
      </w:r>
      <w:r w:rsidRPr="00FE1218">
        <w:rPr>
          <w:szCs w:val="24"/>
        </w:rPr>
        <w:t>, pp.9.</w:t>
      </w:r>
      <w:bookmarkStart w:id="18" w:name="_Hlk10400006"/>
    </w:p>
    <w:p w:rsidR="00FE1218" w:rsidRDefault="00D61E29" w:rsidP="00FE1218">
      <w:pPr>
        <w:widowControl/>
        <w:numPr>
          <w:ilvl w:val="0"/>
          <w:numId w:val="22"/>
        </w:numPr>
        <w:autoSpaceDE w:val="0"/>
        <w:autoSpaceDN w:val="0"/>
        <w:adjustRightInd w:val="0"/>
        <w:spacing w:after="0"/>
        <w:ind w:left="475" w:hanging="475"/>
        <w:textAlignment w:val="bottom"/>
        <w:rPr>
          <w:rFonts w:eastAsia="DFKai-SB"/>
          <w:color w:val="000000"/>
          <w:szCs w:val="24"/>
        </w:rPr>
      </w:pPr>
      <w:r w:rsidRPr="00FE1218">
        <w:rPr>
          <w:szCs w:val="24"/>
        </w:rPr>
        <w:t>Afterman, A., 2011</w:t>
      </w:r>
      <w:bookmarkEnd w:id="18"/>
      <w:r w:rsidRPr="00FE1218">
        <w:rPr>
          <w:szCs w:val="24"/>
        </w:rPr>
        <w:t xml:space="preserve">. </w:t>
      </w:r>
      <w:r w:rsidR="00F92A9E" w:rsidRPr="00FE1218">
        <w:rPr>
          <w:szCs w:val="24"/>
        </w:rPr>
        <w:t>Disclosures and Presentation of Patient Service Revenue and Related Allowance for Doubtful Accounts and Provision for Bad Debts by Health Care Entities</w:t>
      </w:r>
      <w:r w:rsidRPr="00FE1218">
        <w:rPr>
          <w:szCs w:val="24"/>
        </w:rPr>
        <w:t xml:space="preserve">. </w:t>
      </w:r>
      <w:r w:rsidRPr="00FE1218">
        <w:rPr>
          <w:i/>
          <w:szCs w:val="24"/>
        </w:rPr>
        <w:t>Accounting &amp; Auditing Update Service</w:t>
      </w:r>
      <w:r w:rsidRPr="00FE1218">
        <w:rPr>
          <w:szCs w:val="24"/>
        </w:rPr>
        <w:t>, (29), pp.1–4.</w:t>
      </w:r>
      <w:bookmarkStart w:id="19" w:name="_Hlk10399517"/>
    </w:p>
    <w:p w:rsidR="00FE1218" w:rsidRDefault="00D61E29" w:rsidP="00FE1218">
      <w:pPr>
        <w:widowControl/>
        <w:numPr>
          <w:ilvl w:val="0"/>
          <w:numId w:val="22"/>
        </w:numPr>
        <w:autoSpaceDE w:val="0"/>
        <w:autoSpaceDN w:val="0"/>
        <w:adjustRightInd w:val="0"/>
        <w:spacing w:after="0"/>
        <w:ind w:left="475" w:hanging="475"/>
        <w:textAlignment w:val="bottom"/>
        <w:rPr>
          <w:rFonts w:eastAsia="DFKai-SB"/>
          <w:color w:val="000000"/>
          <w:szCs w:val="24"/>
        </w:rPr>
      </w:pPr>
      <w:r w:rsidRPr="00FE1218">
        <w:rPr>
          <w:szCs w:val="24"/>
        </w:rPr>
        <w:t xml:space="preserve">Baker, P., Rue, J. &amp; </w:t>
      </w:r>
      <w:proofErr w:type="spellStart"/>
      <w:r w:rsidRPr="00FE1218">
        <w:rPr>
          <w:szCs w:val="24"/>
        </w:rPr>
        <w:t>Volkan</w:t>
      </w:r>
      <w:proofErr w:type="spellEnd"/>
      <w:r w:rsidRPr="00FE1218">
        <w:rPr>
          <w:szCs w:val="24"/>
        </w:rPr>
        <w:t>, A., 2000</w:t>
      </w:r>
      <w:bookmarkEnd w:id="19"/>
      <w:r w:rsidRPr="00FE1218">
        <w:rPr>
          <w:szCs w:val="24"/>
        </w:rPr>
        <w:t xml:space="preserve">. Impairment write-offs: Truth or manipulation? </w:t>
      </w:r>
      <w:r w:rsidRPr="00FE1218">
        <w:rPr>
          <w:i/>
          <w:szCs w:val="24"/>
        </w:rPr>
        <w:t>The National Public Accountant</w:t>
      </w:r>
      <w:r w:rsidRPr="00FE1218">
        <w:rPr>
          <w:szCs w:val="24"/>
        </w:rPr>
        <w:t>, 45(5), pp.36–40.</w:t>
      </w:r>
      <w:bookmarkStart w:id="20" w:name="_Hlk10399836"/>
    </w:p>
    <w:p w:rsidR="00FE1218" w:rsidRDefault="00D61E29" w:rsidP="00FE1218">
      <w:pPr>
        <w:widowControl/>
        <w:numPr>
          <w:ilvl w:val="0"/>
          <w:numId w:val="22"/>
        </w:numPr>
        <w:autoSpaceDE w:val="0"/>
        <w:autoSpaceDN w:val="0"/>
        <w:adjustRightInd w:val="0"/>
        <w:spacing w:after="0"/>
        <w:ind w:left="475" w:hanging="475"/>
        <w:textAlignment w:val="bottom"/>
        <w:rPr>
          <w:rFonts w:eastAsia="DFKai-SB"/>
          <w:color w:val="000000"/>
          <w:szCs w:val="24"/>
        </w:rPr>
      </w:pPr>
      <w:r w:rsidRPr="00FE1218">
        <w:rPr>
          <w:szCs w:val="24"/>
        </w:rPr>
        <w:t xml:space="preserve">Banker, R., </w:t>
      </w:r>
      <w:proofErr w:type="spellStart"/>
      <w:r w:rsidRPr="00FE1218">
        <w:rPr>
          <w:szCs w:val="24"/>
        </w:rPr>
        <w:t>Basu</w:t>
      </w:r>
      <w:proofErr w:type="spellEnd"/>
      <w:r w:rsidRPr="00FE1218">
        <w:rPr>
          <w:szCs w:val="24"/>
        </w:rPr>
        <w:t xml:space="preserve">, S. &amp; </w:t>
      </w:r>
      <w:proofErr w:type="spellStart"/>
      <w:r w:rsidRPr="00FE1218">
        <w:rPr>
          <w:szCs w:val="24"/>
        </w:rPr>
        <w:t>Byzalov</w:t>
      </w:r>
      <w:proofErr w:type="spellEnd"/>
      <w:r w:rsidRPr="00FE1218">
        <w:rPr>
          <w:szCs w:val="24"/>
        </w:rPr>
        <w:t>, D., 2017.</w:t>
      </w:r>
      <w:bookmarkEnd w:id="20"/>
      <w:r w:rsidRPr="00FE1218">
        <w:rPr>
          <w:szCs w:val="24"/>
        </w:rPr>
        <w:t xml:space="preserve"> Implications of Impairment Decisions and Assets</w:t>
      </w:r>
      <w:r w:rsidR="00F92A9E" w:rsidRPr="00FE1218">
        <w:rPr>
          <w:szCs w:val="24"/>
        </w:rPr>
        <w:t>’</w:t>
      </w:r>
      <w:r w:rsidRPr="00FE1218">
        <w:rPr>
          <w:szCs w:val="24"/>
        </w:rPr>
        <w:t xml:space="preserve"> Cash-Flow Horizons for Conservatism Research. </w:t>
      </w:r>
      <w:r w:rsidRPr="00FE1218">
        <w:rPr>
          <w:i/>
          <w:szCs w:val="24"/>
        </w:rPr>
        <w:t>The Accounting Review</w:t>
      </w:r>
      <w:r w:rsidRPr="00FE1218">
        <w:rPr>
          <w:szCs w:val="24"/>
        </w:rPr>
        <w:t>, 92(2), p.41.</w:t>
      </w:r>
    </w:p>
    <w:p w:rsidR="00FE1218" w:rsidRDefault="00F92A9E" w:rsidP="00FE1218">
      <w:pPr>
        <w:widowControl/>
        <w:numPr>
          <w:ilvl w:val="0"/>
          <w:numId w:val="22"/>
        </w:numPr>
        <w:autoSpaceDE w:val="0"/>
        <w:autoSpaceDN w:val="0"/>
        <w:adjustRightInd w:val="0"/>
        <w:spacing w:after="0"/>
        <w:ind w:left="475" w:hanging="475"/>
        <w:textAlignment w:val="bottom"/>
        <w:rPr>
          <w:rFonts w:eastAsia="DFKai-SB"/>
          <w:color w:val="000000"/>
          <w:szCs w:val="24"/>
        </w:rPr>
      </w:pPr>
      <w:proofErr w:type="spellStart"/>
      <w:r w:rsidRPr="00FE1218">
        <w:rPr>
          <w:szCs w:val="24"/>
          <w:shd w:val="clear" w:color="auto" w:fill="FFFFFF"/>
        </w:rPr>
        <w:t>Bergstressera</w:t>
      </w:r>
      <w:proofErr w:type="spellEnd"/>
      <w:r w:rsidRPr="00FE1218">
        <w:rPr>
          <w:szCs w:val="24"/>
          <w:shd w:val="clear" w:color="auto" w:fill="FFFFFF"/>
        </w:rPr>
        <w:t xml:space="preserve">, Daniel &amp; </w:t>
      </w:r>
      <w:proofErr w:type="spellStart"/>
      <w:r w:rsidRPr="00FE1218">
        <w:rPr>
          <w:szCs w:val="24"/>
          <w:shd w:val="clear" w:color="auto" w:fill="FFFFFF"/>
        </w:rPr>
        <w:t>Philipponb</w:t>
      </w:r>
      <w:proofErr w:type="spellEnd"/>
      <w:r w:rsidRPr="00FE1218">
        <w:rPr>
          <w:szCs w:val="24"/>
          <w:shd w:val="clear" w:color="auto" w:fill="FFFFFF"/>
        </w:rPr>
        <w:t>, Thomas, 2006. CEO incentives and earnings management. (chief executive officer). </w:t>
      </w:r>
      <w:r w:rsidRPr="00FE1218">
        <w:rPr>
          <w:i/>
          <w:iCs/>
          <w:szCs w:val="24"/>
          <w:shd w:val="clear" w:color="auto" w:fill="FFFFFF"/>
        </w:rPr>
        <w:t>Journal of Financial Economics</w:t>
      </w:r>
      <w:r w:rsidRPr="00FE1218">
        <w:rPr>
          <w:szCs w:val="24"/>
          <w:shd w:val="clear" w:color="auto" w:fill="FFFFFF"/>
        </w:rPr>
        <w:t>, 80(3), pp.511–529.</w:t>
      </w:r>
    </w:p>
    <w:p w:rsidR="00FE1218" w:rsidRDefault="00F92A9E" w:rsidP="00FE1218">
      <w:pPr>
        <w:widowControl/>
        <w:numPr>
          <w:ilvl w:val="0"/>
          <w:numId w:val="22"/>
        </w:numPr>
        <w:autoSpaceDE w:val="0"/>
        <w:autoSpaceDN w:val="0"/>
        <w:adjustRightInd w:val="0"/>
        <w:spacing w:after="0"/>
        <w:ind w:left="475" w:hanging="475"/>
        <w:textAlignment w:val="bottom"/>
        <w:rPr>
          <w:rFonts w:eastAsia="DFKai-SB"/>
          <w:color w:val="000000"/>
          <w:szCs w:val="24"/>
        </w:rPr>
      </w:pPr>
      <w:r w:rsidRPr="00FE1218">
        <w:rPr>
          <w:szCs w:val="24"/>
        </w:rPr>
        <w:t>Clement, Michael, Frankel, Richard &amp; Miller, Jeffery, 2003. Confirming management earnings forecasts, earning uncertainty, and stock returns. Journal of Accounting Research, 41(4), pp.653–679.</w:t>
      </w:r>
    </w:p>
    <w:p w:rsidR="00FE1218" w:rsidRDefault="00D61E29" w:rsidP="00FE1218">
      <w:pPr>
        <w:widowControl/>
        <w:numPr>
          <w:ilvl w:val="0"/>
          <w:numId w:val="22"/>
        </w:numPr>
        <w:autoSpaceDE w:val="0"/>
        <w:autoSpaceDN w:val="0"/>
        <w:adjustRightInd w:val="0"/>
        <w:spacing w:after="0"/>
        <w:ind w:left="475" w:hanging="475"/>
        <w:textAlignment w:val="bottom"/>
        <w:rPr>
          <w:rFonts w:eastAsia="DFKai-SB"/>
          <w:color w:val="000000"/>
          <w:szCs w:val="24"/>
        </w:rPr>
      </w:pPr>
      <w:r w:rsidRPr="00FE1218">
        <w:rPr>
          <w:szCs w:val="24"/>
          <w:shd w:val="clear" w:color="auto" w:fill="FFFFFF"/>
        </w:rPr>
        <w:t xml:space="preserve">Cohen, D. &amp; </w:t>
      </w:r>
      <w:proofErr w:type="spellStart"/>
      <w:r w:rsidRPr="00FE1218">
        <w:rPr>
          <w:szCs w:val="24"/>
          <w:shd w:val="clear" w:color="auto" w:fill="FFFFFF"/>
        </w:rPr>
        <w:t>Zarowin</w:t>
      </w:r>
      <w:proofErr w:type="spellEnd"/>
      <w:r w:rsidRPr="00FE1218">
        <w:rPr>
          <w:szCs w:val="24"/>
          <w:shd w:val="clear" w:color="auto" w:fill="FFFFFF"/>
        </w:rPr>
        <w:t>, P., 2010. Accrual-based and real earnings management activities around seasoned equity offerings. </w:t>
      </w:r>
      <w:r w:rsidRPr="00FE1218">
        <w:rPr>
          <w:i/>
          <w:iCs/>
          <w:szCs w:val="24"/>
          <w:shd w:val="clear" w:color="auto" w:fill="FFFFFF"/>
        </w:rPr>
        <w:t>Journal of Accounting &amp; Economics</w:t>
      </w:r>
      <w:r w:rsidRPr="00FE1218">
        <w:rPr>
          <w:szCs w:val="24"/>
          <w:shd w:val="clear" w:color="auto" w:fill="FFFFFF"/>
        </w:rPr>
        <w:t>, 50(1), pp.2–19.</w:t>
      </w:r>
    </w:p>
    <w:p w:rsidR="00FE1218" w:rsidRDefault="00D61E29" w:rsidP="00FE1218">
      <w:pPr>
        <w:widowControl/>
        <w:numPr>
          <w:ilvl w:val="0"/>
          <w:numId w:val="22"/>
        </w:numPr>
        <w:autoSpaceDE w:val="0"/>
        <w:autoSpaceDN w:val="0"/>
        <w:adjustRightInd w:val="0"/>
        <w:spacing w:after="0"/>
        <w:ind w:left="475" w:hanging="475"/>
        <w:textAlignment w:val="bottom"/>
        <w:rPr>
          <w:rFonts w:eastAsia="DFKai-SB"/>
          <w:color w:val="000000"/>
          <w:szCs w:val="24"/>
        </w:rPr>
      </w:pPr>
      <w:proofErr w:type="spellStart"/>
      <w:r w:rsidRPr="00FE1218">
        <w:rPr>
          <w:szCs w:val="24"/>
          <w:shd w:val="clear" w:color="auto" w:fill="FFFFFF"/>
        </w:rPr>
        <w:t>DeFond</w:t>
      </w:r>
      <w:proofErr w:type="spellEnd"/>
      <w:r w:rsidRPr="00FE1218">
        <w:rPr>
          <w:szCs w:val="24"/>
          <w:shd w:val="clear" w:color="auto" w:fill="FFFFFF"/>
        </w:rPr>
        <w:t xml:space="preserve">, Mark L. &amp; </w:t>
      </w:r>
      <w:proofErr w:type="spellStart"/>
      <w:r w:rsidRPr="00FE1218">
        <w:rPr>
          <w:szCs w:val="24"/>
          <w:shd w:val="clear" w:color="auto" w:fill="FFFFFF"/>
        </w:rPr>
        <w:t>Jiambalvo</w:t>
      </w:r>
      <w:proofErr w:type="spellEnd"/>
      <w:r w:rsidRPr="00FE1218">
        <w:rPr>
          <w:szCs w:val="24"/>
          <w:shd w:val="clear" w:color="auto" w:fill="FFFFFF"/>
        </w:rPr>
        <w:t>, James, 1994. Debt covenant violation and manipulation of accruals. </w:t>
      </w:r>
      <w:r w:rsidRPr="00FE1218">
        <w:rPr>
          <w:i/>
          <w:iCs/>
          <w:szCs w:val="24"/>
          <w:shd w:val="clear" w:color="auto" w:fill="FFFFFF"/>
        </w:rPr>
        <w:t>The Journal of Accounting and Economics</w:t>
      </w:r>
      <w:r w:rsidRPr="00FE1218">
        <w:rPr>
          <w:szCs w:val="24"/>
          <w:shd w:val="clear" w:color="auto" w:fill="FFFFFF"/>
        </w:rPr>
        <w:t>, 17(1 2), pp.145–176.</w:t>
      </w:r>
    </w:p>
    <w:p w:rsidR="00FE1218" w:rsidRDefault="005867DE" w:rsidP="00FE1218">
      <w:pPr>
        <w:widowControl/>
        <w:numPr>
          <w:ilvl w:val="0"/>
          <w:numId w:val="22"/>
        </w:numPr>
        <w:autoSpaceDE w:val="0"/>
        <w:autoSpaceDN w:val="0"/>
        <w:adjustRightInd w:val="0"/>
        <w:spacing w:after="0"/>
        <w:ind w:left="475" w:hanging="475"/>
        <w:textAlignment w:val="bottom"/>
        <w:rPr>
          <w:rFonts w:eastAsia="DFKai-SB"/>
          <w:color w:val="000000"/>
          <w:szCs w:val="24"/>
        </w:rPr>
      </w:pPr>
      <w:r w:rsidRPr="00FE1218">
        <w:rPr>
          <w:szCs w:val="24"/>
        </w:rPr>
        <w:t xml:space="preserve">Dutta, Sunil &amp; </w:t>
      </w:r>
      <w:proofErr w:type="spellStart"/>
      <w:r w:rsidRPr="00FE1218">
        <w:rPr>
          <w:szCs w:val="24"/>
        </w:rPr>
        <w:t>Gigler</w:t>
      </w:r>
      <w:proofErr w:type="spellEnd"/>
      <w:r w:rsidRPr="00FE1218">
        <w:rPr>
          <w:szCs w:val="24"/>
        </w:rPr>
        <w:t>, Frank, 2002. The effects of earnings forecasts on earnings management. Journal of Accounting Research, 40(3), pp.631–656.</w:t>
      </w:r>
    </w:p>
    <w:p w:rsidR="00F918AD" w:rsidRDefault="005867DE" w:rsidP="00F918AD">
      <w:pPr>
        <w:widowControl/>
        <w:numPr>
          <w:ilvl w:val="0"/>
          <w:numId w:val="22"/>
        </w:numPr>
        <w:autoSpaceDE w:val="0"/>
        <w:autoSpaceDN w:val="0"/>
        <w:adjustRightInd w:val="0"/>
        <w:spacing w:after="0"/>
        <w:ind w:left="475" w:hanging="475"/>
        <w:textAlignment w:val="bottom"/>
        <w:rPr>
          <w:rFonts w:eastAsia="DFKai-SB"/>
          <w:color w:val="000000"/>
          <w:szCs w:val="24"/>
        </w:rPr>
      </w:pPr>
      <w:proofErr w:type="spellStart"/>
      <w:r w:rsidRPr="00FE1218">
        <w:rPr>
          <w:szCs w:val="24"/>
        </w:rPr>
        <w:lastRenderedPageBreak/>
        <w:t>Fatemeh</w:t>
      </w:r>
      <w:proofErr w:type="spellEnd"/>
      <w:r w:rsidRPr="00FE1218">
        <w:rPr>
          <w:szCs w:val="24"/>
        </w:rPr>
        <w:t xml:space="preserve"> </w:t>
      </w:r>
      <w:proofErr w:type="spellStart"/>
      <w:r w:rsidRPr="00FE1218">
        <w:rPr>
          <w:szCs w:val="24"/>
        </w:rPr>
        <w:t>Dadbeh</w:t>
      </w:r>
      <w:proofErr w:type="spellEnd"/>
      <w:r w:rsidRPr="00FE1218">
        <w:rPr>
          <w:szCs w:val="24"/>
        </w:rPr>
        <w:t xml:space="preserve"> &amp; </w:t>
      </w:r>
      <w:proofErr w:type="spellStart"/>
      <w:r w:rsidRPr="00FE1218">
        <w:rPr>
          <w:szCs w:val="24"/>
        </w:rPr>
        <w:t>Narjes</w:t>
      </w:r>
      <w:proofErr w:type="spellEnd"/>
      <w:r w:rsidRPr="00FE1218">
        <w:rPr>
          <w:szCs w:val="24"/>
        </w:rPr>
        <w:t xml:space="preserve"> </w:t>
      </w:r>
      <w:proofErr w:type="spellStart"/>
      <w:r w:rsidRPr="00FE1218">
        <w:rPr>
          <w:szCs w:val="24"/>
        </w:rPr>
        <w:t>Mogharebi</w:t>
      </w:r>
      <w:proofErr w:type="spellEnd"/>
      <w:r w:rsidRPr="00FE1218">
        <w:rPr>
          <w:szCs w:val="24"/>
        </w:rPr>
        <w:t>, 2013. A study on effect of information asymmetry on earning management: Evidence from Tehran Stock Exchange. Management Science Letters, 3(7), pp.2161–2166.</w:t>
      </w:r>
      <w:bookmarkStart w:id="21" w:name="_Hlk10401104"/>
    </w:p>
    <w:p w:rsidR="00F918AD" w:rsidRDefault="005867DE" w:rsidP="00F918AD">
      <w:pPr>
        <w:widowControl/>
        <w:numPr>
          <w:ilvl w:val="0"/>
          <w:numId w:val="22"/>
        </w:numPr>
        <w:autoSpaceDE w:val="0"/>
        <w:autoSpaceDN w:val="0"/>
        <w:adjustRightInd w:val="0"/>
        <w:spacing w:after="0"/>
        <w:ind w:left="475" w:hanging="475"/>
        <w:textAlignment w:val="bottom"/>
        <w:rPr>
          <w:rFonts w:eastAsia="DFKai-SB"/>
          <w:color w:val="000000"/>
          <w:szCs w:val="24"/>
        </w:rPr>
      </w:pPr>
      <w:r w:rsidRPr="00F918AD">
        <w:rPr>
          <w:szCs w:val="24"/>
        </w:rPr>
        <w:t>Finger, C., 2010</w:t>
      </w:r>
      <w:bookmarkEnd w:id="21"/>
      <w:r w:rsidRPr="00F918AD">
        <w:rPr>
          <w:szCs w:val="24"/>
        </w:rPr>
        <w:t xml:space="preserve">. </w:t>
      </w:r>
      <w:r w:rsidR="00F918AD" w:rsidRPr="00F918AD">
        <w:rPr>
          <w:szCs w:val="24"/>
        </w:rPr>
        <w:t>Using Judgment to Measure the Allowance for Doubtful Accounts</w:t>
      </w:r>
      <w:r w:rsidRPr="00F918AD">
        <w:rPr>
          <w:szCs w:val="24"/>
        </w:rPr>
        <w:t xml:space="preserve">. </w:t>
      </w:r>
      <w:r w:rsidRPr="00F918AD">
        <w:rPr>
          <w:i/>
          <w:szCs w:val="24"/>
        </w:rPr>
        <w:t>Global Perspectives on Accounting Education</w:t>
      </w:r>
      <w:r w:rsidRPr="00F918AD">
        <w:rPr>
          <w:szCs w:val="24"/>
        </w:rPr>
        <w:t>, 7, pp.9–17.</w:t>
      </w:r>
    </w:p>
    <w:p w:rsidR="00F918AD" w:rsidRPr="00C83C2C" w:rsidRDefault="00537285" w:rsidP="00F918AD">
      <w:pPr>
        <w:widowControl/>
        <w:numPr>
          <w:ilvl w:val="0"/>
          <w:numId w:val="22"/>
        </w:numPr>
        <w:autoSpaceDE w:val="0"/>
        <w:autoSpaceDN w:val="0"/>
        <w:adjustRightInd w:val="0"/>
        <w:spacing w:after="0"/>
        <w:ind w:left="475" w:hanging="475"/>
        <w:textAlignment w:val="bottom"/>
        <w:rPr>
          <w:rFonts w:eastAsia="DFKai-SB"/>
          <w:color w:val="000000"/>
          <w:szCs w:val="24"/>
        </w:rPr>
      </w:pPr>
      <w:r w:rsidRPr="00F918AD">
        <w:rPr>
          <w:rFonts w:eastAsia="Times New Roman"/>
          <w:szCs w:val="24"/>
          <w:lang w:val="en" w:eastAsia="en-GB"/>
        </w:rPr>
        <w:t>Hyun-Ah Lee and Won-</w:t>
      </w:r>
      <w:proofErr w:type="spellStart"/>
      <w:r w:rsidRPr="00F918AD">
        <w:rPr>
          <w:rFonts w:eastAsia="Times New Roman"/>
          <w:szCs w:val="24"/>
          <w:lang w:val="en" w:eastAsia="en-GB"/>
        </w:rPr>
        <w:t>Wook</w:t>
      </w:r>
      <w:proofErr w:type="spellEnd"/>
      <w:r w:rsidRPr="00F918AD">
        <w:rPr>
          <w:rFonts w:eastAsia="Times New Roman"/>
          <w:szCs w:val="24"/>
          <w:lang w:val="en" w:eastAsia="en-GB"/>
        </w:rPr>
        <w:t xml:space="preserve"> Choi (2016) “Allowance for uncollectible accounts as a tool for earnings management: Evidence from South Korea”, </w:t>
      </w:r>
      <w:r w:rsidRPr="00F918AD">
        <w:rPr>
          <w:rFonts w:eastAsia="Times New Roman"/>
          <w:i/>
          <w:szCs w:val="24"/>
          <w:lang w:val="en" w:eastAsia="en-GB"/>
        </w:rPr>
        <w:t>International Journal of Accounting &amp; Information Management</w:t>
      </w:r>
      <w:r w:rsidRPr="00F918AD">
        <w:rPr>
          <w:rFonts w:eastAsia="Times New Roman"/>
          <w:szCs w:val="24"/>
          <w:lang w:val="en" w:eastAsia="en-GB"/>
        </w:rPr>
        <w:t>, Vol. 24 No. 2, pp. 162-184.</w:t>
      </w:r>
      <w:bookmarkStart w:id="22" w:name="OLE_LINK5"/>
    </w:p>
    <w:p w:rsidR="00C83C2C" w:rsidRPr="00C83C2C" w:rsidRDefault="00C83C2C" w:rsidP="00C83C2C">
      <w:pPr>
        <w:pStyle w:val="ListParagraph"/>
        <w:numPr>
          <w:ilvl w:val="0"/>
          <w:numId w:val="22"/>
        </w:numPr>
        <w:spacing w:after="0" w:line="240" w:lineRule="auto"/>
        <w:rPr>
          <w:rFonts w:eastAsia="Times New Roman"/>
          <w:szCs w:val="24"/>
          <w:lang w:val="en" w:eastAsia="en-GB"/>
        </w:rPr>
      </w:pPr>
      <w:r w:rsidRPr="00C83C2C">
        <w:rPr>
          <w:rFonts w:eastAsia="Times New Roman"/>
          <w:szCs w:val="24"/>
          <w:lang w:val="en" w:eastAsia="en-GB"/>
        </w:rPr>
        <w:t>Jackson, S.B. and Liu, X. (2010), “</w:t>
      </w:r>
      <w:r w:rsidRPr="00C83C2C">
        <w:rPr>
          <w:rFonts w:eastAsia="Times New Roman"/>
          <w:iCs/>
          <w:szCs w:val="24"/>
          <w:lang w:val="en" w:eastAsia="en-GB"/>
        </w:rPr>
        <w:t>The allowance for uncollectible accounts, conservatism, and earnings management</w:t>
      </w:r>
      <w:r w:rsidRPr="00C83C2C">
        <w:rPr>
          <w:rFonts w:eastAsia="Times New Roman"/>
          <w:szCs w:val="24"/>
          <w:lang w:val="en" w:eastAsia="en-GB"/>
        </w:rPr>
        <w:t xml:space="preserve">”, </w:t>
      </w:r>
      <w:r w:rsidRPr="00C83C2C">
        <w:rPr>
          <w:rFonts w:eastAsia="Times New Roman"/>
          <w:i/>
          <w:szCs w:val="24"/>
          <w:lang w:val="en" w:eastAsia="en-GB"/>
        </w:rPr>
        <w:t>Journal of Accounting Research</w:t>
      </w:r>
      <w:r w:rsidRPr="00C83C2C">
        <w:rPr>
          <w:rFonts w:eastAsia="Times New Roman"/>
          <w:szCs w:val="24"/>
          <w:lang w:val="en" w:eastAsia="en-GB"/>
        </w:rPr>
        <w:t xml:space="preserve">, Vol. 48 No. 3, pp. 565-601. </w:t>
      </w:r>
    </w:p>
    <w:p w:rsidR="00F918AD" w:rsidRPr="00A5093C" w:rsidRDefault="005867DE" w:rsidP="00F918AD">
      <w:pPr>
        <w:widowControl/>
        <w:numPr>
          <w:ilvl w:val="0"/>
          <w:numId w:val="22"/>
        </w:numPr>
        <w:autoSpaceDE w:val="0"/>
        <w:autoSpaceDN w:val="0"/>
        <w:adjustRightInd w:val="0"/>
        <w:spacing w:after="0"/>
        <w:ind w:left="475" w:hanging="475"/>
        <w:textAlignment w:val="bottom"/>
        <w:rPr>
          <w:rFonts w:eastAsia="DFKai-SB"/>
          <w:color w:val="000000"/>
          <w:szCs w:val="24"/>
        </w:rPr>
      </w:pPr>
      <w:proofErr w:type="spellStart"/>
      <w:r w:rsidRPr="00F918AD">
        <w:rPr>
          <w:szCs w:val="24"/>
        </w:rPr>
        <w:t>Karamanou</w:t>
      </w:r>
      <w:bookmarkEnd w:id="22"/>
      <w:proofErr w:type="spellEnd"/>
      <w:r w:rsidRPr="00F918AD">
        <w:rPr>
          <w:szCs w:val="24"/>
        </w:rPr>
        <w:t>, I</w:t>
      </w:r>
      <w:r w:rsidR="00A5093C">
        <w:rPr>
          <w:szCs w:val="24"/>
        </w:rPr>
        <w:t>.</w:t>
      </w:r>
      <w:r w:rsidRPr="00F918AD">
        <w:rPr>
          <w:szCs w:val="24"/>
        </w:rPr>
        <w:t xml:space="preserve"> </w:t>
      </w:r>
      <w:r w:rsidR="00A5093C">
        <w:rPr>
          <w:szCs w:val="24"/>
        </w:rPr>
        <w:t xml:space="preserve">and </w:t>
      </w:r>
      <w:proofErr w:type="spellStart"/>
      <w:r w:rsidRPr="00F918AD">
        <w:rPr>
          <w:szCs w:val="24"/>
        </w:rPr>
        <w:t>Vafeas</w:t>
      </w:r>
      <w:proofErr w:type="spellEnd"/>
      <w:r w:rsidRPr="00F918AD">
        <w:rPr>
          <w:szCs w:val="24"/>
        </w:rPr>
        <w:t>, N</w:t>
      </w:r>
      <w:r w:rsidR="00A5093C">
        <w:rPr>
          <w:szCs w:val="24"/>
        </w:rPr>
        <w:t>., (</w:t>
      </w:r>
      <w:r w:rsidRPr="00F918AD">
        <w:rPr>
          <w:szCs w:val="24"/>
        </w:rPr>
        <w:t>2005</w:t>
      </w:r>
      <w:r w:rsidR="00A5093C">
        <w:rPr>
          <w:szCs w:val="24"/>
        </w:rPr>
        <w:t>)</w:t>
      </w:r>
      <w:r w:rsidRPr="00F918AD">
        <w:rPr>
          <w:szCs w:val="24"/>
        </w:rPr>
        <w:t xml:space="preserve">. The association between corporate boards, audit committees, and management earnings forecasts: An empirical analysis. </w:t>
      </w:r>
      <w:r w:rsidRPr="00F918AD">
        <w:rPr>
          <w:i/>
          <w:szCs w:val="24"/>
        </w:rPr>
        <w:t>Journal of Accounting Research</w:t>
      </w:r>
      <w:r w:rsidRPr="00F918AD">
        <w:rPr>
          <w:szCs w:val="24"/>
        </w:rPr>
        <w:t>, 43(3), pp.453–</w:t>
      </w:r>
      <w:r w:rsidR="00A5093C">
        <w:rPr>
          <w:szCs w:val="24"/>
        </w:rPr>
        <w:t>79</w:t>
      </w:r>
      <w:r w:rsidRPr="00F918AD">
        <w:rPr>
          <w:szCs w:val="24"/>
        </w:rPr>
        <w:t>6.</w:t>
      </w:r>
    </w:p>
    <w:p w:rsidR="00A5093C" w:rsidRPr="00A5093C" w:rsidRDefault="00A5093C" w:rsidP="00A5093C">
      <w:pPr>
        <w:widowControl/>
        <w:numPr>
          <w:ilvl w:val="0"/>
          <w:numId w:val="22"/>
        </w:numPr>
        <w:autoSpaceDE w:val="0"/>
        <w:autoSpaceDN w:val="0"/>
        <w:adjustRightInd w:val="0"/>
        <w:spacing w:after="0"/>
        <w:ind w:left="475" w:hanging="475"/>
        <w:textAlignment w:val="bottom"/>
        <w:rPr>
          <w:rFonts w:eastAsia="DFKai-SB"/>
          <w:color w:val="000000"/>
          <w:szCs w:val="24"/>
        </w:rPr>
      </w:pPr>
      <w:proofErr w:type="spellStart"/>
      <w:r w:rsidRPr="00A5093C">
        <w:rPr>
          <w:szCs w:val="24"/>
        </w:rPr>
        <w:t>Kirschenheiter</w:t>
      </w:r>
      <w:proofErr w:type="spellEnd"/>
      <w:r>
        <w:rPr>
          <w:szCs w:val="24"/>
        </w:rPr>
        <w:t>, M.</w:t>
      </w:r>
      <w:r w:rsidRPr="00A5093C">
        <w:rPr>
          <w:szCs w:val="24"/>
        </w:rPr>
        <w:t xml:space="preserve"> and N</w:t>
      </w:r>
      <w:r>
        <w:rPr>
          <w:szCs w:val="24"/>
        </w:rPr>
        <w:t xml:space="preserve">. D. </w:t>
      </w:r>
      <w:proofErr w:type="spellStart"/>
      <w:r>
        <w:rPr>
          <w:szCs w:val="24"/>
        </w:rPr>
        <w:t>M</w:t>
      </w:r>
      <w:r w:rsidRPr="00A5093C">
        <w:rPr>
          <w:szCs w:val="24"/>
        </w:rPr>
        <w:t>elumad</w:t>
      </w:r>
      <w:proofErr w:type="spellEnd"/>
      <w:r>
        <w:rPr>
          <w:szCs w:val="24"/>
        </w:rPr>
        <w:t>,</w:t>
      </w:r>
      <w:r w:rsidRPr="00A5093C">
        <w:rPr>
          <w:szCs w:val="24"/>
        </w:rPr>
        <w:t xml:space="preserve"> (2002)</w:t>
      </w:r>
      <w:r>
        <w:rPr>
          <w:szCs w:val="24"/>
        </w:rPr>
        <w:t xml:space="preserve">. </w:t>
      </w:r>
      <w:r w:rsidRPr="00A5093C">
        <w:rPr>
          <w:bCs/>
          <w:color w:val="1C1D1E"/>
          <w:szCs w:val="24"/>
        </w:rPr>
        <w:t>Can “Big Bath” and Earnings Smoothing Co‐exist as Equilibrium Financial Reporting Strategies?</w:t>
      </w:r>
      <w:r>
        <w:rPr>
          <w:bCs/>
          <w:color w:val="1C1D1E"/>
          <w:szCs w:val="24"/>
        </w:rPr>
        <w:t xml:space="preserve"> </w:t>
      </w:r>
      <w:r w:rsidRPr="00F918AD">
        <w:rPr>
          <w:i/>
          <w:szCs w:val="24"/>
        </w:rPr>
        <w:t>Journal of Accounting Research</w:t>
      </w:r>
      <w:r w:rsidRPr="00F918AD">
        <w:rPr>
          <w:szCs w:val="24"/>
        </w:rPr>
        <w:t>, 4</w:t>
      </w:r>
      <w:r>
        <w:rPr>
          <w:szCs w:val="24"/>
        </w:rPr>
        <w:t>0</w:t>
      </w:r>
      <w:r w:rsidRPr="00F918AD">
        <w:rPr>
          <w:szCs w:val="24"/>
        </w:rPr>
        <w:t>(3), pp.</w:t>
      </w:r>
      <w:r>
        <w:rPr>
          <w:szCs w:val="24"/>
        </w:rPr>
        <w:t>761</w:t>
      </w:r>
      <w:r w:rsidRPr="00F918AD">
        <w:rPr>
          <w:szCs w:val="24"/>
        </w:rPr>
        <w:t>–486.</w:t>
      </w:r>
    </w:p>
    <w:p w:rsidR="00F918AD" w:rsidRDefault="00D61E29" w:rsidP="00F918AD">
      <w:pPr>
        <w:widowControl/>
        <w:numPr>
          <w:ilvl w:val="0"/>
          <w:numId w:val="22"/>
        </w:numPr>
        <w:autoSpaceDE w:val="0"/>
        <w:autoSpaceDN w:val="0"/>
        <w:adjustRightInd w:val="0"/>
        <w:spacing w:after="0"/>
        <w:ind w:left="475" w:hanging="475"/>
        <w:textAlignment w:val="bottom"/>
        <w:rPr>
          <w:rFonts w:eastAsia="DFKai-SB"/>
          <w:color w:val="000000"/>
          <w:szCs w:val="24"/>
        </w:rPr>
      </w:pPr>
      <w:r w:rsidRPr="00F918AD">
        <w:rPr>
          <w:szCs w:val="24"/>
        </w:rPr>
        <w:t xml:space="preserve">Kothari, S.P., Leone, Andrew J. &amp; </w:t>
      </w:r>
      <w:proofErr w:type="spellStart"/>
      <w:r w:rsidRPr="00F918AD">
        <w:rPr>
          <w:szCs w:val="24"/>
        </w:rPr>
        <w:t>Wasley</w:t>
      </w:r>
      <w:proofErr w:type="spellEnd"/>
      <w:r w:rsidRPr="00F918AD">
        <w:rPr>
          <w:szCs w:val="24"/>
        </w:rPr>
        <w:t xml:space="preserve">, Charles E., 2005. Performance matched discretionary accrual </w:t>
      </w:r>
      <w:r w:rsidR="00713217" w:rsidRPr="00F918AD">
        <w:rPr>
          <w:szCs w:val="24"/>
        </w:rPr>
        <w:t>measures. (</w:t>
      </w:r>
      <w:r w:rsidRPr="00F918AD">
        <w:rPr>
          <w:szCs w:val="24"/>
        </w:rPr>
        <w:t xml:space="preserve">earning management). </w:t>
      </w:r>
      <w:r w:rsidRPr="00F918AD">
        <w:rPr>
          <w:i/>
          <w:szCs w:val="24"/>
        </w:rPr>
        <w:t>The Journal of Accounting and Economics</w:t>
      </w:r>
      <w:r w:rsidRPr="00F918AD">
        <w:rPr>
          <w:szCs w:val="24"/>
        </w:rPr>
        <w:t>, 39(1), pp.163–197.</w:t>
      </w:r>
      <w:bookmarkStart w:id="23" w:name="_Hlk10399708"/>
    </w:p>
    <w:p w:rsidR="00F918AD" w:rsidRDefault="005867DE" w:rsidP="00F918AD">
      <w:pPr>
        <w:widowControl/>
        <w:numPr>
          <w:ilvl w:val="0"/>
          <w:numId w:val="22"/>
        </w:numPr>
        <w:autoSpaceDE w:val="0"/>
        <w:autoSpaceDN w:val="0"/>
        <w:adjustRightInd w:val="0"/>
        <w:spacing w:after="0"/>
        <w:ind w:left="475" w:hanging="475"/>
        <w:textAlignment w:val="bottom"/>
        <w:rPr>
          <w:rFonts w:eastAsia="DFKai-SB"/>
          <w:color w:val="000000"/>
          <w:szCs w:val="24"/>
        </w:rPr>
      </w:pPr>
      <w:proofErr w:type="spellStart"/>
      <w:r w:rsidRPr="00F918AD">
        <w:rPr>
          <w:szCs w:val="24"/>
        </w:rPr>
        <w:t>Kuei</w:t>
      </w:r>
      <w:proofErr w:type="spellEnd"/>
      <w:r w:rsidRPr="00F918AD">
        <w:rPr>
          <w:szCs w:val="24"/>
        </w:rPr>
        <w:t xml:space="preserve">-Fu, L., Wang, C.-S. &amp; </w:t>
      </w:r>
      <w:proofErr w:type="spellStart"/>
      <w:r w:rsidRPr="00F918AD">
        <w:rPr>
          <w:szCs w:val="24"/>
        </w:rPr>
        <w:t>Qiu</w:t>
      </w:r>
      <w:proofErr w:type="spellEnd"/>
      <w:r w:rsidRPr="00F918AD">
        <w:rPr>
          <w:szCs w:val="24"/>
        </w:rPr>
        <w:t>-Dong, H., 2011</w:t>
      </w:r>
      <w:bookmarkEnd w:id="23"/>
      <w:r w:rsidRPr="00F918AD">
        <w:rPr>
          <w:szCs w:val="24"/>
        </w:rPr>
        <w:t xml:space="preserve">. The Motive for Earnings Management and Accounting for Asset Impairment: Evidence from China. Tai Da Guan Li </w:t>
      </w:r>
      <w:proofErr w:type="spellStart"/>
      <w:r w:rsidRPr="00F918AD">
        <w:rPr>
          <w:szCs w:val="24"/>
        </w:rPr>
        <w:t>Lun</w:t>
      </w:r>
      <w:proofErr w:type="spellEnd"/>
      <w:r w:rsidRPr="00F918AD">
        <w:rPr>
          <w:szCs w:val="24"/>
        </w:rPr>
        <w:t xml:space="preserve"> Cong, 22(1), pp.1–30.</w:t>
      </w:r>
      <w:bookmarkStart w:id="24" w:name="OLE_LINK4"/>
    </w:p>
    <w:p w:rsidR="00F918AD" w:rsidRDefault="00D61E29" w:rsidP="00F918AD">
      <w:pPr>
        <w:widowControl/>
        <w:numPr>
          <w:ilvl w:val="0"/>
          <w:numId w:val="22"/>
        </w:numPr>
        <w:autoSpaceDE w:val="0"/>
        <w:autoSpaceDN w:val="0"/>
        <w:adjustRightInd w:val="0"/>
        <w:spacing w:after="0"/>
        <w:ind w:left="475" w:hanging="475"/>
        <w:textAlignment w:val="bottom"/>
        <w:rPr>
          <w:rFonts w:eastAsia="DFKai-SB"/>
          <w:color w:val="000000"/>
          <w:szCs w:val="24"/>
        </w:rPr>
      </w:pPr>
      <w:proofErr w:type="spellStart"/>
      <w:r w:rsidRPr="00F918AD">
        <w:rPr>
          <w:szCs w:val="24"/>
        </w:rPr>
        <w:t>Leavell</w:t>
      </w:r>
      <w:proofErr w:type="spellEnd"/>
      <w:r w:rsidRPr="00F918AD">
        <w:rPr>
          <w:szCs w:val="24"/>
        </w:rPr>
        <w:t>, H. et al</w:t>
      </w:r>
      <w:bookmarkEnd w:id="24"/>
      <w:r w:rsidRPr="00F918AD">
        <w:rPr>
          <w:szCs w:val="24"/>
        </w:rPr>
        <w:t xml:space="preserve">., 2002. </w:t>
      </w:r>
      <w:r w:rsidR="00F918AD" w:rsidRPr="00F918AD">
        <w:rPr>
          <w:szCs w:val="24"/>
        </w:rPr>
        <w:t>Risk Management and Earnings Management: Two Corporate Option Strategies</w:t>
      </w:r>
      <w:r w:rsidRPr="00F918AD">
        <w:rPr>
          <w:szCs w:val="24"/>
        </w:rPr>
        <w:t xml:space="preserve">. Allied Academies International Conference. </w:t>
      </w:r>
      <w:r w:rsidRPr="00F918AD">
        <w:rPr>
          <w:color w:val="000000" w:themeColor="text1"/>
          <w:szCs w:val="24"/>
        </w:rPr>
        <w:t>Academy of Accounting and Financial Studies. Proceedings, 7(1), p.147.</w:t>
      </w:r>
      <w:bookmarkStart w:id="25" w:name="OLE_LINK6"/>
    </w:p>
    <w:p w:rsidR="00F918AD" w:rsidRDefault="00D61E29" w:rsidP="00F918AD">
      <w:pPr>
        <w:widowControl/>
        <w:numPr>
          <w:ilvl w:val="0"/>
          <w:numId w:val="22"/>
        </w:numPr>
        <w:autoSpaceDE w:val="0"/>
        <w:autoSpaceDN w:val="0"/>
        <w:adjustRightInd w:val="0"/>
        <w:spacing w:after="0"/>
        <w:ind w:left="475" w:hanging="475"/>
        <w:textAlignment w:val="bottom"/>
        <w:rPr>
          <w:rFonts w:eastAsia="DFKai-SB"/>
          <w:color w:val="000000"/>
          <w:szCs w:val="24"/>
        </w:rPr>
      </w:pPr>
      <w:proofErr w:type="spellStart"/>
      <w:r w:rsidRPr="00F918AD">
        <w:rPr>
          <w:szCs w:val="24"/>
        </w:rPr>
        <w:t>Latifah</w:t>
      </w:r>
      <w:proofErr w:type="spellEnd"/>
      <w:r w:rsidRPr="00F918AD">
        <w:rPr>
          <w:szCs w:val="24"/>
        </w:rPr>
        <w:t xml:space="preserve"> </w:t>
      </w:r>
      <w:proofErr w:type="spellStart"/>
      <w:r w:rsidRPr="00F918AD">
        <w:rPr>
          <w:szCs w:val="24"/>
        </w:rPr>
        <w:t>Binti</w:t>
      </w:r>
      <w:proofErr w:type="spellEnd"/>
      <w:r w:rsidRPr="00F918AD">
        <w:rPr>
          <w:szCs w:val="24"/>
        </w:rPr>
        <w:t xml:space="preserve"> </w:t>
      </w:r>
      <w:proofErr w:type="spellStart"/>
      <w:r w:rsidRPr="00F918AD">
        <w:rPr>
          <w:szCs w:val="24"/>
        </w:rPr>
        <w:t>Nono</w:t>
      </w:r>
      <w:proofErr w:type="spellEnd"/>
      <w:r w:rsidRPr="00F918AD">
        <w:rPr>
          <w:szCs w:val="24"/>
        </w:rPr>
        <w:t xml:space="preserve"> &amp; </w:t>
      </w:r>
      <w:proofErr w:type="spellStart"/>
      <w:r w:rsidRPr="00F918AD">
        <w:rPr>
          <w:szCs w:val="24"/>
        </w:rPr>
        <w:t>Siti</w:t>
      </w:r>
      <w:proofErr w:type="spellEnd"/>
      <w:r w:rsidRPr="00F918AD">
        <w:rPr>
          <w:szCs w:val="24"/>
        </w:rPr>
        <w:t xml:space="preserve"> </w:t>
      </w:r>
      <w:proofErr w:type="spellStart"/>
      <w:r w:rsidRPr="00F918AD">
        <w:rPr>
          <w:szCs w:val="24"/>
        </w:rPr>
        <w:t>Khomsatun</w:t>
      </w:r>
      <w:proofErr w:type="spellEnd"/>
      <w:r w:rsidRPr="00F918AD">
        <w:rPr>
          <w:szCs w:val="24"/>
        </w:rPr>
        <w:t>, 2018</w:t>
      </w:r>
      <w:bookmarkEnd w:id="25"/>
      <w:r w:rsidRPr="00F918AD">
        <w:rPr>
          <w:szCs w:val="24"/>
        </w:rPr>
        <w:t xml:space="preserve">. The Relationship of Reserve Account Disclosure Transparency and Accrual Earning Management with Audit Quality as Moderating. </w:t>
      </w:r>
      <w:proofErr w:type="spellStart"/>
      <w:r w:rsidRPr="00F918AD">
        <w:rPr>
          <w:i/>
          <w:szCs w:val="24"/>
        </w:rPr>
        <w:t>Jurnal</w:t>
      </w:r>
      <w:proofErr w:type="spellEnd"/>
      <w:r w:rsidRPr="00F918AD">
        <w:rPr>
          <w:i/>
          <w:szCs w:val="24"/>
        </w:rPr>
        <w:t xml:space="preserve"> </w:t>
      </w:r>
      <w:proofErr w:type="spellStart"/>
      <w:r w:rsidRPr="00F918AD">
        <w:rPr>
          <w:i/>
          <w:szCs w:val="24"/>
        </w:rPr>
        <w:t>Dinamika</w:t>
      </w:r>
      <w:proofErr w:type="spellEnd"/>
      <w:r w:rsidRPr="00F918AD">
        <w:rPr>
          <w:i/>
          <w:szCs w:val="24"/>
        </w:rPr>
        <w:t xml:space="preserve"> </w:t>
      </w:r>
      <w:proofErr w:type="spellStart"/>
      <w:r w:rsidRPr="00F918AD">
        <w:rPr>
          <w:i/>
          <w:szCs w:val="24"/>
        </w:rPr>
        <w:t>Akuntansi</w:t>
      </w:r>
      <w:proofErr w:type="spellEnd"/>
      <w:r w:rsidRPr="00F918AD">
        <w:rPr>
          <w:szCs w:val="24"/>
        </w:rPr>
        <w:t>, 10(1), pp.58–70.</w:t>
      </w:r>
    </w:p>
    <w:p w:rsidR="00F918AD" w:rsidRDefault="005867DE" w:rsidP="00F918AD">
      <w:pPr>
        <w:widowControl/>
        <w:numPr>
          <w:ilvl w:val="0"/>
          <w:numId w:val="22"/>
        </w:numPr>
        <w:autoSpaceDE w:val="0"/>
        <w:autoSpaceDN w:val="0"/>
        <w:adjustRightInd w:val="0"/>
        <w:spacing w:after="0"/>
        <w:ind w:left="475" w:hanging="475"/>
        <w:textAlignment w:val="bottom"/>
        <w:rPr>
          <w:rFonts w:eastAsia="DFKai-SB"/>
          <w:color w:val="000000"/>
          <w:szCs w:val="24"/>
        </w:rPr>
      </w:pPr>
      <w:proofErr w:type="spellStart"/>
      <w:r w:rsidRPr="00F918AD">
        <w:rPr>
          <w:szCs w:val="24"/>
        </w:rPr>
        <w:lastRenderedPageBreak/>
        <w:t>McNichols</w:t>
      </w:r>
      <w:proofErr w:type="spellEnd"/>
      <w:r w:rsidRPr="00F918AD">
        <w:rPr>
          <w:szCs w:val="24"/>
        </w:rPr>
        <w:t xml:space="preserve">, M., 2000. Research design issues in earnings management studies. </w:t>
      </w:r>
      <w:r w:rsidRPr="00F918AD">
        <w:rPr>
          <w:i/>
          <w:szCs w:val="24"/>
        </w:rPr>
        <w:t>Journal of Accounting and Public Policy</w:t>
      </w:r>
      <w:r w:rsidRPr="00F918AD">
        <w:rPr>
          <w:szCs w:val="24"/>
        </w:rPr>
        <w:t>, 19(4,5), pp.313–345.</w:t>
      </w:r>
    </w:p>
    <w:p w:rsidR="00F918AD" w:rsidRPr="00F643CB" w:rsidRDefault="005867DE" w:rsidP="00F918AD">
      <w:pPr>
        <w:widowControl/>
        <w:numPr>
          <w:ilvl w:val="0"/>
          <w:numId w:val="22"/>
        </w:numPr>
        <w:autoSpaceDE w:val="0"/>
        <w:autoSpaceDN w:val="0"/>
        <w:adjustRightInd w:val="0"/>
        <w:spacing w:after="0"/>
        <w:ind w:left="475" w:hanging="475"/>
        <w:textAlignment w:val="bottom"/>
        <w:rPr>
          <w:rFonts w:eastAsia="DFKai-SB"/>
          <w:color w:val="000000"/>
          <w:szCs w:val="24"/>
        </w:rPr>
      </w:pPr>
      <w:r w:rsidRPr="00F918AD">
        <w:rPr>
          <w:rFonts w:eastAsia="Times New Roman"/>
          <w:szCs w:val="24"/>
          <w:lang w:val="en" w:eastAsia="en-GB"/>
        </w:rPr>
        <w:t>McNicholson, M. and Wilson, P. (1988), “</w:t>
      </w:r>
      <w:r w:rsidRPr="00F918AD">
        <w:rPr>
          <w:rFonts w:eastAsia="Times New Roman"/>
          <w:iCs/>
          <w:szCs w:val="24"/>
          <w:lang w:val="en" w:eastAsia="en-GB"/>
        </w:rPr>
        <w:t>Evidence of earnings management from the provision for bad debts</w:t>
      </w:r>
      <w:r w:rsidRPr="00F918AD">
        <w:rPr>
          <w:rFonts w:eastAsia="Times New Roman"/>
          <w:szCs w:val="24"/>
          <w:lang w:val="en" w:eastAsia="en-GB"/>
        </w:rPr>
        <w:t xml:space="preserve">”, </w:t>
      </w:r>
      <w:r w:rsidRPr="00F918AD">
        <w:rPr>
          <w:rFonts w:eastAsia="Times New Roman"/>
          <w:i/>
          <w:szCs w:val="24"/>
          <w:lang w:val="en" w:eastAsia="en-GB"/>
        </w:rPr>
        <w:t>Journal of Accounting Research</w:t>
      </w:r>
      <w:r w:rsidRPr="00F918AD">
        <w:rPr>
          <w:rFonts w:eastAsia="Times New Roman"/>
          <w:szCs w:val="24"/>
          <w:lang w:val="en" w:eastAsia="en-GB"/>
        </w:rPr>
        <w:t xml:space="preserve">, Vol. 26 No. 1, pp. 1-31. </w:t>
      </w:r>
    </w:p>
    <w:p w:rsidR="00F643CB" w:rsidRPr="00F643CB" w:rsidRDefault="00F643CB" w:rsidP="00F643CB">
      <w:pPr>
        <w:pStyle w:val="ListParagraph"/>
        <w:numPr>
          <w:ilvl w:val="0"/>
          <w:numId w:val="22"/>
        </w:numPr>
        <w:spacing w:after="0" w:line="240" w:lineRule="auto"/>
        <w:rPr>
          <w:rFonts w:eastAsia="Times New Roman"/>
          <w:szCs w:val="24"/>
          <w:lang w:val="en" w:eastAsia="en-GB"/>
        </w:rPr>
      </w:pPr>
      <w:r w:rsidRPr="00F643CB">
        <w:rPr>
          <w:rFonts w:eastAsia="Times New Roman"/>
          <w:szCs w:val="24"/>
          <w:lang w:val="en" w:eastAsia="en-GB"/>
        </w:rPr>
        <w:t>Ma, C. (1988), “</w:t>
      </w:r>
      <w:r w:rsidRPr="00F643CB">
        <w:rPr>
          <w:rFonts w:eastAsia="Times New Roman"/>
          <w:iCs/>
          <w:szCs w:val="24"/>
          <w:lang w:val="en" w:eastAsia="en-GB"/>
        </w:rPr>
        <w:t>Loan loss reserves and income smoothing: the experience in the US Banking industry</w:t>
      </w:r>
      <w:r w:rsidRPr="00F643CB">
        <w:rPr>
          <w:rFonts w:eastAsia="Times New Roman"/>
          <w:i/>
          <w:szCs w:val="24"/>
          <w:lang w:val="en" w:eastAsia="en-GB"/>
        </w:rPr>
        <w:t>”, Journal of Business Finance &amp; Accounting</w:t>
      </w:r>
      <w:r w:rsidRPr="00F643CB">
        <w:rPr>
          <w:rFonts w:eastAsia="Times New Roman"/>
          <w:szCs w:val="24"/>
          <w:lang w:val="en" w:eastAsia="en-GB"/>
        </w:rPr>
        <w:t xml:space="preserve">, Vol. 15 No. 4, pp. 487-497. </w:t>
      </w:r>
    </w:p>
    <w:p w:rsidR="00F918AD" w:rsidRDefault="005867DE" w:rsidP="00F918AD">
      <w:pPr>
        <w:widowControl/>
        <w:numPr>
          <w:ilvl w:val="0"/>
          <w:numId w:val="22"/>
        </w:numPr>
        <w:autoSpaceDE w:val="0"/>
        <w:autoSpaceDN w:val="0"/>
        <w:adjustRightInd w:val="0"/>
        <w:spacing w:after="0"/>
        <w:ind w:left="475" w:hanging="475"/>
        <w:textAlignment w:val="bottom"/>
        <w:rPr>
          <w:rFonts w:eastAsia="DFKai-SB"/>
          <w:color w:val="000000"/>
          <w:szCs w:val="24"/>
        </w:rPr>
      </w:pPr>
      <w:proofErr w:type="spellStart"/>
      <w:r w:rsidRPr="00F918AD">
        <w:rPr>
          <w:szCs w:val="24"/>
        </w:rPr>
        <w:t>Riedl</w:t>
      </w:r>
      <w:proofErr w:type="spellEnd"/>
      <w:r w:rsidRPr="00F918AD">
        <w:rPr>
          <w:szCs w:val="24"/>
        </w:rPr>
        <w:t xml:space="preserve">, EJ., (2004). ‘Long-lived Asset Impairments’. </w:t>
      </w:r>
      <w:r w:rsidRPr="00F918AD">
        <w:rPr>
          <w:i/>
          <w:szCs w:val="24"/>
        </w:rPr>
        <w:t>Accounting Review,</w:t>
      </w:r>
      <w:r w:rsidRPr="00F918AD">
        <w:rPr>
          <w:szCs w:val="24"/>
        </w:rPr>
        <w:t xml:space="preserve"> 79, pp.823-852.</w:t>
      </w:r>
      <w:bookmarkStart w:id="26" w:name="_Hlk10401281"/>
    </w:p>
    <w:p w:rsidR="00F918AD" w:rsidRDefault="00D61E29" w:rsidP="00F918AD">
      <w:pPr>
        <w:widowControl/>
        <w:numPr>
          <w:ilvl w:val="0"/>
          <w:numId w:val="22"/>
        </w:numPr>
        <w:autoSpaceDE w:val="0"/>
        <w:autoSpaceDN w:val="0"/>
        <w:adjustRightInd w:val="0"/>
        <w:spacing w:after="0"/>
        <w:ind w:left="475" w:hanging="475"/>
        <w:textAlignment w:val="bottom"/>
        <w:rPr>
          <w:rFonts w:eastAsia="DFKai-SB"/>
          <w:color w:val="000000"/>
          <w:szCs w:val="24"/>
        </w:rPr>
      </w:pPr>
      <w:r w:rsidRPr="00F918AD">
        <w:rPr>
          <w:szCs w:val="24"/>
        </w:rPr>
        <w:t>Riley, M</w:t>
      </w:r>
      <w:r w:rsidR="00F643CB">
        <w:rPr>
          <w:szCs w:val="24"/>
        </w:rPr>
        <w:t>.</w:t>
      </w:r>
      <w:r w:rsidRPr="00F918AD">
        <w:rPr>
          <w:szCs w:val="24"/>
        </w:rPr>
        <w:t xml:space="preserve"> E. </w:t>
      </w:r>
      <w:r w:rsidR="00F643CB">
        <w:rPr>
          <w:szCs w:val="24"/>
        </w:rPr>
        <w:t xml:space="preserve">and </w:t>
      </w:r>
      <w:proofErr w:type="spellStart"/>
      <w:r w:rsidRPr="00F918AD">
        <w:rPr>
          <w:szCs w:val="24"/>
        </w:rPr>
        <w:t>Pasewark</w:t>
      </w:r>
      <w:proofErr w:type="spellEnd"/>
      <w:r w:rsidRPr="00F918AD">
        <w:rPr>
          <w:szCs w:val="24"/>
        </w:rPr>
        <w:t>, W</w:t>
      </w:r>
      <w:r w:rsidR="00F643CB">
        <w:rPr>
          <w:szCs w:val="24"/>
        </w:rPr>
        <w:t>.</w:t>
      </w:r>
      <w:r w:rsidRPr="00F918AD">
        <w:rPr>
          <w:szCs w:val="24"/>
        </w:rPr>
        <w:t xml:space="preserve"> R., </w:t>
      </w:r>
      <w:r w:rsidR="00F643CB">
        <w:rPr>
          <w:szCs w:val="24"/>
        </w:rPr>
        <w:t>(</w:t>
      </w:r>
      <w:r w:rsidRPr="00F918AD">
        <w:rPr>
          <w:szCs w:val="24"/>
        </w:rPr>
        <w:t>2009</w:t>
      </w:r>
      <w:bookmarkEnd w:id="26"/>
      <w:r w:rsidR="00F643CB">
        <w:rPr>
          <w:szCs w:val="24"/>
        </w:rPr>
        <w:t>)</w:t>
      </w:r>
      <w:r w:rsidRPr="00F918AD">
        <w:rPr>
          <w:szCs w:val="24"/>
        </w:rPr>
        <w:t>. Assessing the allowance for doubtful accounts; using historical data to evaluate the estimation process. Journal of Accountancy, 208(3), pp.40–44,12,14.</w:t>
      </w:r>
    </w:p>
    <w:p w:rsidR="00F918AD" w:rsidRDefault="005867DE" w:rsidP="00F918AD">
      <w:pPr>
        <w:widowControl/>
        <w:numPr>
          <w:ilvl w:val="0"/>
          <w:numId w:val="22"/>
        </w:numPr>
        <w:autoSpaceDE w:val="0"/>
        <w:autoSpaceDN w:val="0"/>
        <w:adjustRightInd w:val="0"/>
        <w:spacing w:after="0"/>
        <w:ind w:left="475" w:hanging="475"/>
        <w:textAlignment w:val="bottom"/>
        <w:rPr>
          <w:rFonts w:eastAsia="DFKai-SB"/>
          <w:color w:val="000000"/>
          <w:szCs w:val="24"/>
        </w:rPr>
      </w:pPr>
      <w:proofErr w:type="spellStart"/>
      <w:r w:rsidRPr="00F918AD">
        <w:rPr>
          <w:szCs w:val="24"/>
        </w:rPr>
        <w:t>Roychowdhury</w:t>
      </w:r>
      <w:proofErr w:type="spellEnd"/>
      <w:r w:rsidRPr="00F918AD">
        <w:rPr>
          <w:szCs w:val="24"/>
        </w:rPr>
        <w:t xml:space="preserve">, </w:t>
      </w:r>
      <w:proofErr w:type="spellStart"/>
      <w:r w:rsidRPr="00F918AD">
        <w:rPr>
          <w:szCs w:val="24"/>
        </w:rPr>
        <w:t>Sugata</w:t>
      </w:r>
      <w:proofErr w:type="spellEnd"/>
      <w:r w:rsidRPr="00F918AD">
        <w:rPr>
          <w:szCs w:val="24"/>
        </w:rPr>
        <w:t xml:space="preserve">, 2006. Earnings management through real activities manipulation. (earnings per share by using financial disclosure). </w:t>
      </w:r>
      <w:r w:rsidRPr="00F918AD">
        <w:rPr>
          <w:i/>
          <w:szCs w:val="24"/>
        </w:rPr>
        <w:t>The Journal of Accounting and Economics</w:t>
      </w:r>
      <w:r w:rsidRPr="00F918AD">
        <w:rPr>
          <w:szCs w:val="24"/>
        </w:rPr>
        <w:t>, 42(3), pp.335–370.</w:t>
      </w:r>
    </w:p>
    <w:p w:rsidR="00F918AD" w:rsidRDefault="005867DE" w:rsidP="00F918AD">
      <w:pPr>
        <w:widowControl/>
        <w:numPr>
          <w:ilvl w:val="0"/>
          <w:numId w:val="22"/>
        </w:numPr>
        <w:autoSpaceDE w:val="0"/>
        <w:autoSpaceDN w:val="0"/>
        <w:adjustRightInd w:val="0"/>
        <w:spacing w:after="0"/>
        <w:ind w:left="475" w:hanging="475"/>
        <w:textAlignment w:val="bottom"/>
        <w:rPr>
          <w:rFonts w:eastAsia="DFKai-SB"/>
          <w:color w:val="000000"/>
          <w:szCs w:val="24"/>
        </w:rPr>
      </w:pPr>
      <w:proofErr w:type="spellStart"/>
      <w:r w:rsidRPr="00F918AD">
        <w:rPr>
          <w:szCs w:val="24"/>
        </w:rPr>
        <w:t>Peaple</w:t>
      </w:r>
      <w:proofErr w:type="spellEnd"/>
      <w:r w:rsidRPr="00F918AD">
        <w:rPr>
          <w:szCs w:val="24"/>
        </w:rPr>
        <w:t>, A., 2018. Feeling Good About Bad Chinese Debt. Wall Street Journal, p.B.10.</w:t>
      </w:r>
    </w:p>
    <w:p w:rsidR="00F918AD" w:rsidRDefault="005867DE" w:rsidP="00F918AD">
      <w:pPr>
        <w:widowControl/>
        <w:numPr>
          <w:ilvl w:val="0"/>
          <w:numId w:val="22"/>
        </w:numPr>
        <w:autoSpaceDE w:val="0"/>
        <w:autoSpaceDN w:val="0"/>
        <w:adjustRightInd w:val="0"/>
        <w:spacing w:after="0"/>
        <w:ind w:left="475" w:hanging="475"/>
        <w:textAlignment w:val="bottom"/>
        <w:rPr>
          <w:rFonts w:eastAsia="DFKai-SB"/>
          <w:color w:val="000000"/>
          <w:szCs w:val="24"/>
        </w:rPr>
      </w:pPr>
      <w:r w:rsidRPr="00F918AD">
        <w:rPr>
          <w:szCs w:val="24"/>
        </w:rPr>
        <w:t>Pardo, C., 2008. Key-account-management in business markets: an empirical test of common assumptions. The Journal of Business &amp; Industrial Marketing, 23(5), pp.301–310.</w:t>
      </w:r>
    </w:p>
    <w:p w:rsidR="00F918AD" w:rsidRDefault="005867DE" w:rsidP="00F918AD">
      <w:pPr>
        <w:widowControl/>
        <w:numPr>
          <w:ilvl w:val="0"/>
          <w:numId w:val="22"/>
        </w:numPr>
        <w:autoSpaceDE w:val="0"/>
        <w:autoSpaceDN w:val="0"/>
        <w:adjustRightInd w:val="0"/>
        <w:spacing w:after="0"/>
        <w:ind w:left="475" w:hanging="475"/>
        <w:textAlignment w:val="bottom"/>
        <w:rPr>
          <w:rFonts w:eastAsia="DFKai-SB"/>
          <w:color w:val="000000"/>
          <w:szCs w:val="24"/>
        </w:rPr>
      </w:pPr>
      <w:r w:rsidRPr="00F918AD">
        <w:rPr>
          <w:szCs w:val="24"/>
        </w:rPr>
        <w:t>Strong</w:t>
      </w:r>
      <w:r w:rsidR="00F918AD">
        <w:rPr>
          <w:szCs w:val="24"/>
        </w:rPr>
        <w:t xml:space="preserve"> </w:t>
      </w:r>
      <w:r w:rsidRPr="00F918AD">
        <w:rPr>
          <w:szCs w:val="24"/>
        </w:rPr>
        <w:t>J.</w:t>
      </w:r>
      <w:r w:rsidR="00F918AD">
        <w:rPr>
          <w:szCs w:val="24"/>
        </w:rPr>
        <w:t xml:space="preserve"> </w:t>
      </w:r>
      <w:r w:rsidRPr="00F918AD">
        <w:rPr>
          <w:szCs w:val="24"/>
        </w:rPr>
        <w:t>S., John,</w:t>
      </w:r>
      <w:r w:rsidR="00F918AD">
        <w:rPr>
          <w:szCs w:val="24"/>
        </w:rPr>
        <w:t xml:space="preserve"> </w:t>
      </w:r>
      <w:r w:rsidRPr="00F918AD">
        <w:rPr>
          <w:szCs w:val="24"/>
        </w:rPr>
        <w:t>R.,</w:t>
      </w:r>
      <w:r w:rsidR="00F918AD">
        <w:rPr>
          <w:szCs w:val="24"/>
        </w:rPr>
        <w:t xml:space="preserve"> </w:t>
      </w:r>
      <w:r w:rsidRPr="00F918AD">
        <w:rPr>
          <w:szCs w:val="24"/>
        </w:rPr>
        <w:t>M.,</w:t>
      </w:r>
      <w:r w:rsidR="00F92A9E" w:rsidRPr="00F918AD">
        <w:rPr>
          <w:szCs w:val="24"/>
        </w:rPr>
        <w:t xml:space="preserve"> </w:t>
      </w:r>
      <w:r w:rsidRPr="00F918AD">
        <w:rPr>
          <w:szCs w:val="24"/>
        </w:rPr>
        <w:t xml:space="preserve">1987. ‘Asset </w:t>
      </w:r>
      <w:proofErr w:type="spellStart"/>
      <w:r w:rsidRPr="00F918AD">
        <w:rPr>
          <w:szCs w:val="24"/>
        </w:rPr>
        <w:t>Writed</w:t>
      </w:r>
      <w:proofErr w:type="spellEnd"/>
      <w:r w:rsidRPr="00F918AD">
        <w:rPr>
          <w:szCs w:val="24"/>
        </w:rPr>
        <w:t xml:space="preserve"> Downs: Managerial </w:t>
      </w:r>
      <w:proofErr w:type="spellStart"/>
      <w:r w:rsidRPr="00F918AD">
        <w:rPr>
          <w:szCs w:val="24"/>
        </w:rPr>
        <w:t>Ineentives</w:t>
      </w:r>
      <w:proofErr w:type="spellEnd"/>
      <w:r w:rsidRPr="00F918AD">
        <w:rPr>
          <w:szCs w:val="24"/>
        </w:rPr>
        <w:t xml:space="preserve"> and Security Returns’. </w:t>
      </w:r>
      <w:r w:rsidRPr="00F918AD">
        <w:rPr>
          <w:i/>
          <w:szCs w:val="24"/>
        </w:rPr>
        <w:t>The Journal of Finance</w:t>
      </w:r>
      <w:r w:rsidRPr="00F918AD">
        <w:rPr>
          <w:szCs w:val="24"/>
        </w:rPr>
        <w:t>, 42, pp.643-661.</w:t>
      </w:r>
    </w:p>
    <w:p w:rsidR="00241B4E" w:rsidRPr="00F918AD" w:rsidRDefault="00D61E29" w:rsidP="00F918AD">
      <w:pPr>
        <w:widowControl/>
        <w:numPr>
          <w:ilvl w:val="0"/>
          <w:numId w:val="22"/>
        </w:numPr>
        <w:autoSpaceDE w:val="0"/>
        <w:autoSpaceDN w:val="0"/>
        <w:adjustRightInd w:val="0"/>
        <w:spacing w:after="0"/>
        <w:ind w:left="475" w:hanging="475"/>
        <w:textAlignment w:val="bottom"/>
        <w:rPr>
          <w:rFonts w:eastAsia="DFKai-SB"/>
          <w:color w:val="000000"/>
          <w:szCs w:val="24"/>
        </w:rPr>
      </w:pPr>
      <w:r w:rsidRPr="00F918AD">
        <w:rPr>
          <w:szCs w:val="24"/>
        </w:rPr>
        <w:t>Yuan, G. &amp; Xu, L., 2012. Bad debt provisions of financial institutions. International Journal of Managerial Finance, 8(4), pp.344–364.</w:t>
      </w:r>
    </w:p>
    <w:sectPr w:rsidR="00241B4E" w:rsidRPr="00F918AD">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497" w:rsidRDefault="00122497">
      <w:pPr>
        <w:spacing w:after="0" w:line="240" w:lineRule="auto"/>
      </w:pPr>
      <w:r>
        <w:separator/>
      </w:r>
    </w:p>
  </w:endnote>
  <w:endnote w:type="continuationSeparator" w:id="0">
    <w:p w:rsidR="00122497" w:rsidRDefault="0012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default"/>
    <w:sig w:usb0="00000000" w:usb1="00000000" w:usb2="00000016" w:usb3="00000000" w:csb0="0004000F" w:csb1="00000000"/>
  </w:font>
  <w:font w:name="DengXian Light">
    <w:altName w:val="Microsoft YaHei"/>
    <w:charset w:val="86"/>
    <w:family w:val="auto"/>
    <w:pitch w:val="default"/>
    <w:sig w:usb0="00000000" w:usb1="00000000"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MingLiU">
    <w:altName w:val="Arial Unicode MS"/>
    <w:panose1 w:val="02010609000101010101"/>
    <w:charset w:val="88"/>
    <w:family w:val="modern"/>
    <w:pitch w:val="fixed"/>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JhengHei Light"/>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887023"/>
      <w:docPartObj>
        <w:docPartGallery w:val="Page Numbers (Bottom of Page)"/>
        <w:docPartUnique/>
      </w:docPartObj>
    </w:sdtPr>
    <w:sdtEndPr>
      <w:rPr>
        <w:noProof/>
        <w:sz w:val="22"/>
        <w:szCs w:val="22"/>
      </w:rPr>
    </w:sdtEndPr>
    <w:sdtContent>
      <w:p w:rsidR="00700DD6" w:rsidRPr="00613962" w:rsidRDefault="00700DD6">
        <w:pPr>
          <w:pStyle w:val="Footer"/>
          <w:jc w:val="center"/>
          <w:rPr>
            <w:sz w:val="22"/>
            <w:szCs w:val="22"/>
          </w:rPr>
        </w:pPr>
        <w:r w:rsidRPr="00613962">
          <w:rPr>
            <w:sz w:val="22"/>
            <w:szCs w:val="22"/>
          </w:rPr>
          <w:fldChar w:fldCharType="begin"/>
        </w:r>
        <w:r w:rsidRPr="00613962">
          <w:rPr>
            <w:sz w:val="22"/>
            <w:szCs w:val="22"/>
          </w:rPr>
          <w:instrText xml:space="preserve"> PAGE   \* MERGEFORMAT </w:instrText>
        </w:r>
        <w:r w:rsidRPr="00613962">
          <w:rPr>
            <w:sz w:val="22"/>
            <w:szCs w:val="22"/>
          </w:rPr>
          <w:fldChar w:fldCharType="separate"/>
        </w:r>
        <w:r w:rsidR="00CB6319">
          <w:rPr>
            <w:noProof/>
            <w:sz w:val="22"/>
            <w:szCs w:val="22"/>
          </w:rPr>
          <w:t>21</w:t>
        </w:r>
        <w:r w:rsidRPr="00613962">
          <w:rPr>
            <w:noProof/>
            <w:sz w:val="22"/>
            <w:szCs w:val="22"/>
          </w:rPr>
          <w:fldChar w:fldCharType="end"/>
        </w:r>
      </w:p>
    </w:sdtContent>
  </w:sdt>
  <w:p w:rsidR="007E350F" w:rsidRDefault="007E3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497" w:rsidRDefault="00122497">
      <w:pPr>
        <w:spacing w:after="0" w:line="240" w:lineRule="auto"/>
      </w:pPr>
      <w:r>
        <w:separator/>
      </w:r>
    </w:p>
  </w:footnote>
  <w:footnote w:type="continuationSeparator" w:id="0">
    <w:p w:rsidR="00122497" w:rsidRDefault="00122497">
      <w:pPr>
        <w:spacing w:after="0" w:line="240" w:lineRule="auto"/>
      </w:pPr>
      <w:r>
        <w:continuationSeparator/>
      </w:r>
    </w:p>
  </w:footnote>
  <w:footnote w:id="1">
    <w:p w:rsidR="007E350F" w:rsidRPr="00C36F2D" w:rsidRDefault="007E350F" w:rsidP="00265E8D">
      <w:pPr>
        <w:spacing w:after="0" w:line="240" w:lineRule="auto"/>
        <w:rPr>
          <w:rFonts w:eastAsia="Times New Roman"/>
          <w:sz w:val="20"/>
          <w:szCs w:val="20"/>
        </w:rPr>
      </w:pPr>
      <w:r w:rsidRPr="00C36F2D">
        <w:rPr>
          <w:rStyle w:val="FootnoteReference"/>
          <w:sz w:val="20"/>
          <w:szCs w:val="20"/>
        </w:rPr>
        <w:t>*</w:t>
      </w:r>
      <w:r w:rsidRPr="00C36F2D">
        <w:rPr>
          <w:sz w:val="20"/>
          <w:szCs w:val="20"/>
        </w:rPr>
        <w:t xml:space="preserve"> Corresponding author</w:t>
      </w:r>
      <w:r>
        <w:rPr>
          <w:sz w:val="20"/>
          <w:szCs w:val="20"/>
        </w:rPr>
        <w:t xml:space="preserve">: </w:t>
      </w:r>
      <w:proofErr w:type="spellStart"/>
      <w:r w:rsidRPr="00C36F2D">
        <w:rPr>
          <w:sz w:val="20"/>
          <w:szCs w:val="20"/>
        </w:rPr>
        <w:t>Neapolis</w:t>
      </w:r>
      <w:proofErr w:type="spellEnd"/>
      <w:r w:rsidRPr="00C36F2D">
        <w:rPr>
          <w:sz w:val="20"/>
          <w:szCs w:val="20"/>
        </w:rPr>
        <w:t xml:space="preserve"> University </w:t>
      </w:r>
      <w:proofErr w:type="spellStart"/>
      <w:r w:rsidRPr="00C36F2D">
        <w:rPr>
          <w:sz w:val="20"/>
          <w:szCs w:val="20"/>
        </w:rPr>
        <w:t>Pafos</w:t>
      </w:r>
      <w:proofErr w:type="spellEnd"/>
      <w:r w:rsidRPr="00C36F2D">
        <w:rPr>
          <w:sz w:val="20"/>
          <w:szCs w:val="20"/>
        </w:rPr>
        <w:t>,</w:t>
      </w:r>
      <w:r w:rsidRPr="00C36F2D">
        <w:rPr>
          <w:rFonts w:eastAsia="Times New Roman"/>
          <w:sz w:val="20"/>
          <w:szCs w:val="20"/>
        </w:rPr>
        <w:t xml:space="preserve"> 2 </w:t>
      </w:r>
      <w:proofErr w:type="spellStart"/>
      <w:r w:rsidRPr="00C36F2D">
        <w:rPr>
          <w:rFonts w:eastAsia="Times New Roman"/>
          <w:sz w:val="20"/>
          <w:szCs w:val="20"/>
        </w:rPr>
        <w:t>Danais</w:t>
      </w:r>
      <w:proofErr w:type="spellEnd"/>
      <w:r w:rsidRPr="00C36F2D">
        <w:rPr>
          <w:rFonts w:eastAsia="Times New Roman"/>
          <w:sz w:val="20"/>
          <w:szCs w:val="20"/>
        </w:rPr>
        <w:t xml:space="preserve"> Avenue, 8042 </w:t>
      </w:r>
      <w:proofErr w:type="spellStart"/>
      <w:r w:rsidRPr="00C36F2D">
        <w:rPr>
          <w:rFonts w:eastAsia="Times New Roman"/>
          <w:sz w:val="20"/>
          <w:szCs w:val="20"/>
        </w:rPr>
        <w:t>Pafos</w:t>
      </w:r>
      <w:proofErr w:type="spellEnd"/>
      <w:r w:rsidRPr="00C36F2D">
        <w:rPr>
          <w:rFonts w:eastAsia="Times New Roman"/>
          <w:sz w:val="20"/>
          <w:szCs w:val="20"/>
        </w:rPr>
        <w:t>, Cyprus,</w:t>
      </w:r>
      <w:r>
        <w:rPr>
          <w:rFonts w:eastAsia="Times New Roman"/>
          <w:sz w:val="20"/>
          <w:szCs w:val="20"/>
        </w:rPr>
        <w:t xml:space="preserve"> tel.: +35726843508, </w:t>
      </w:r>
      <w:hyperlink r:id="rId1" w:history="1">
        <w:r w:rsidRPr="00C36F2D">
          <w:rPr>
            <w:rStyle w:val="Hyperlink"/>
            <w:rFonts w:eastAsia="Times New Roman"/>
            <w:sz w:val="20"/>
            <w:szCs w:val="20"/>
          </w:rPr>
          <w:t>c.volos@nup.ac.cy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DBA"/>
    <w:multiLevelType w:val="multilevel"/>
    <w:tmpl w:val="781E8A0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8E68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8B1E3A"/>
    <w:multiLevelType w:val="multilevel"/>
    <w:tmpl w:val="A126DA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214EC2"/>
    <w:multiLevelType w:val="hybridMultilevel"/>
    <w:tmpl w:val="696E2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85997"/>
    <w:multiLevelType w:val="multilevel"/>
    <w:tmpl w:val="98AA1A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E6B2D"/>
    <w:multiLevelType w:val="hybridMultilevel"/>
    <w:tmpl w:val="BA4A600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708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F99A5C"/>
    <w:multiLevelType w:val="singleLevel"/>
    <w:tmpl w:val="26F99A5C"/>
    <w:lvl w:ilvl="0">
      <w:start w:val="4"/>
      <w:numFmt w:val="decimal"/>
      <w:suff w:val="space"/>
      <w:lvlText w:val="%1."/>
      <w:lvlJc w:val="left"/>
      <w:pPr>
        <w:ind w:left="120" w:firstLine="0"/>
      </w:pPr>
    </w:lvl>
  </w:abstractNum>
  <w:abstractNum w:abstractNumId="8" w15:restartNumberingAfterBreak="0">
    <w:nsid w:val="2792584A"/>
    <w:multiLevelType w:val="multilevel"/>
    <w:tmpl w:val="2792584A"/>
    <w:lvl w:ilvl="0">
      <w:start w:val="1"/>
      <w:numFmt w:val="decimal"/>
      <w:lvlText w:val="%1."/>
      <w:lvlJc w:val="left"/>
      <w:pPr>
        <w:ind w:left="1145"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8E22F68"/>
    <w:multiLevelType w:val="multilevel"/>
    <w:tmpl w:val="B1EA12D4"/>
    <w:lvl w:ilvl="0">
      <w:start w:val="1"/>
      <w:numFmt w:val="decimal"/>
      <w:lvlText w:val="%1.0"/>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2DDC7E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890F67"/>
    <w:multiLevelType w:val="singleLevel"/>
    <w:tmpl w:val="127A3FB6"/>
    <w:lvl w:ilvl="0">
      <w:start w:val="1"/>
      <w:numFmt w:val="decimal"/>
      <w:lvlText w:val="[%1]"/>
      <w:lvlJc w:val="left"/>
      <w:pPr>
        <w:tabs>
          <w:tab w:val="num" w:pos="480"/>
        </w:tabs>
        <w:ind w:left="480" w:hanging="480"/>
      </w:pPr>
      <w:rPr>
        <w:rFonts w:hint="eastAsia"/>
      </w:rPr>
    </w:lvl>
  </w:abstractNum>
  <w:abstractNum w:abstractNumId="12" w15:restartNumberingAfterBreak="0">
    <w:nsid w:val="4A637273"/>
    <w:multiLevelType w:val="multilevel"/>
    <w:tmpl w:val="1AE64D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3224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6D7A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955EA6"/>
    <w:multiLevelType w:val="multilevel"/>
    <w:tmpl w:val="CB8C3F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4E37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7679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2944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FB56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192921"/>
    <w:multiLevelType w:val="multilevel"/>
    <w:tmpl w:val="174867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575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3"/>
  </w:num>
  <w:num w:numId="4">
    <w:abstractNumId w:val="9"/>
  </w:num>
  <w:num w:numId="5">
    <w:abstractNumId w:val="15"/>
  </w:num>
  <w:num w:numId="6">
    <w:abstractNumId w:val="17"/>
  </w:num>
  <w:num w:numId="7">
    <w:abstractNumId w:val="20"/>
  </w:num>
  <w:num w:numId="8">
    <w:abstractNumId w:val="19"/>
  </w:num>
  <w:num w:numId="9">
    <w:abstractNumId w:val="21"/>
  </w:num>
  <w:num w:numId="10">
    <w:abstractNumId w:val="0"/>
  </w:num>
  <w:num w:numId="11">
    <w:abstractNumId w:val="4"/>
  </w:num>
  <w:num w:numId="12">
    <w:abstractNumId w:val="14"/>
  </w:num>
  <w:num w:numId="13">
    <w:abstractNumId w:val="6"/>
  </w:num>
  <w:num w:numId="14">
    <w:abstractNumId w:val="1"/>
  </w:num>
  <w:num w:numId="15">
    <w:abstractNumId w:val="10"/>
  </w:num>
  <w:num w:numId="16">
    <w:abstractNumId w:val="12"/>
  </w:num>
  <w:num w:numId="17">
    <w:abstractNumId w:val="2"/>
  </w:num>
  <w:num w:numId="18">
    <w:abstractNumId w:val="5"/>
  </w:num>
  <w:num w:numId="19">
    <w:abstractNumId w:val="13"/>
  </w:num>
  <w:num w:numId="20">
    <w:abstractNumId w:val="18"/>
  </w:num>
  <w:num w:numId="21">
    <w:abstractNumId w:val="16"/>
  </w:num>
  <w:num w:numId="2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F"/>
    <w:rsid w:val="00001AC6"/>
    <w:rsid w:val="00002499"/>
    <w:rsid w:val="00003E1B"/>
    <w:rsid w:val="000074F6"/>
    <w:rsid w:val="00007533"/>
    <w:rsid w:val="0001262C"/>
    <w:rsid w:val="00016B77"/>
    <w:rsid w:val="000230F4"/>
    <w:rsid w:val="00025B63"/>
    <w:rsid w:val="00030D6B"/>
    <w:rsid w:val="00030FB6"/>
    <w:rsid w:val="0003271B"/>
    <w:rsid w:val="00050131"/>
    <w:rsid w:val="00054CB5"/>
    <w:rsid w:val="000617BF"/>
    <w:rsid w:val="00063AD0"/>
    <w:rsid w:val="00065AD1"/>
    <w:rsid w:val="000729B3"/>
    <w:rsid w:val="000803BF"/>
    <w:rsid w:val="000849B0"/>
    <w:rsid w:val="00091389"/>
    <w:rsid w:val="00092600"/>
    <w:rsid w:val="00092FF2"/>
    <w:rsid w:val="00096A7C"/>
    <w:rsid w:val="000A4781"/>
    <w:rsid w:val="000A6B6C"/>
    <w:rsid w:val="000C23E7"/>
    <w:rsid w:val="000F58A4"/>
    <w:rsid w:val="000F7FD0"/>
    <w:rsid w:val="00100ECB"/>
    <w:rsid w:val="00102FD5"/>
    <w:rsid w:val="00104E9C"/>
    <w:rsid w:val="00110F7A"/>
    <w:rsid w:val="00117930"/>
    <w:rsid w:val="00122497"/>
    <w:rsid w:val="001267DD"/>
    <w:rsid w:val="00131BDF"/>
    <w:rsid w:val="001363FF"/>
    <w:rsid w:val="00140B6D"/>
    <w:rsid w:val="00142479"/>
    <w:rsid w:val="00150F76"/>
    <w:rsid w:val="00152779"/>
    <w:rsid w:val="00164980"/>
    <w:rsid w:val="0016696E"/>
    <w:rsid w:val="00167530"/>
    <w:rsid w:val="00173E31"/>
    <w:rsid w:val="00174429"/>
    <w:rsid w:val="001801C9"/>
    <w:rsid w:val="0018414A"/>
    <w:rsid w:val="00194D0C"/>
    <w:rsid w:val="001A4299"/>
    <w:rsid w:val="001A52C9"/>
    <w:rsid w:val="001B0210"/>
    <w:rsid w:val="001B2A3A"/>
    <w:rsid w:val="001B55F3"/>
    <w:rsid w:val="001B70ED"/>
    <w:rsid w:val="001C4ED0"/>
    <w:rsid w:val="001C525F"/>
    <w:rsid w:val="001C5366"/>
    <w:rsid w:val="001C733B"/>
    <w:rsid w:val="001D7893"/>
    <w:rsid w:val="001D7F6A"/>
    <w:rsid w:val="001F1730"/>
    <w:rsid w:val="001F48F5"/>
    <w:rsid w:val="001F60C3"/>
    <w:rsid w:val="00216096"/>
    <w:rsid w:val="00220489"/>
    <w:rsid w:val="00222EB4"/>
    <w:rsid w:val="00232AD6"/>
    <w:rsid w:val="00236D6E"/>
    <w:rsid w:val="00241B4E"/>
    <w:rsid w:val="00242B58"/>
    <w:rsid w:val="0025335B"/>
    <w:rsid w:val="00255E63"/>
    <w:rsid w:val="00260130"/>
    <w:rsid w:val="00265E8D"/>
    <w:rsid w:val="0027392A"/>
    <w:rsid w:val="00273A58"/>
    <w:rsid w:val="00280C61"/>
    <w:rsid w:val="002861C7"/>
    <w:rsid w:val="00291520"/>
    <w:rsid w:val="00292241"/>
    <w:rsid w:val="0029401A"/>
    <w:rsid w:val="00294D59"/>
    <w:rsid w:val="002A2B40"/>
    <w:rsid w:val="002A3EB2"/>
    <w:rsid w:val="002A480A"/>
    <w:rsid w:val="002B56AF"/>
    <w:rsid w:val="002C7D59"/>
    <w:rsid w:val="002D44E5"/>
    <w:rsid w:val="002D6150"/>
    <w:rsid w:val="002E11A5"/>
    <w:rsid w:val="002E1A9A"/>
    <w:rsid w:val="002E3D0A"/>
    <w:rsid w:val="002F45CC"/>
    <w:rsid w:val="00303289"/>
    <w:rsid w:val="00307B37"/>
    <w:rsid w:val="00310483"/>
    <w:rsid w:val="00312C45"/>
    <w:rsid w:val="00321195"/>
    <w:rsid w:val="003255EC"/>
    <w:rsid w:val="00325CA1"/>
    <w:rsid w:val="00326BB6"/>
    <w:rsid w:val="00334325"/>
    <w:rsid w:val="003368D1"/>
    <w:rsid w:val="00341E11"/>
    <w:rsid w:val="00345871"/>
    <w:rsid w:val="00347FF9"/>
    <w:rsid w:val="003512C8"/>
    <w:rsid w:val="003520B6"/>
    <w:rsid w:val="00354828"/>
    <w:rsid w:val="003629E6"/>
    <w:rsid w:val="00364C59"/>
    <w:rsid w:val="00371A30"/>
    <w:rsid w:val="0037468D"/>
    <w:rsid w:val="003819BE"/>
    <w:rsid w:val="00396CC5"/>
    <w:rsid w:val="003A1B7E"/>
    <w:rsid w:val="003A6C3A"/>
    <w:rsid w:val="003B6668"/>
    <w:rsid w:val="003B7F3C"/>
    <w:rsid w:val="003C0019"/>
    <w:rsid w:val="003C4E4D"/>
    <w:rsid w:val="003C681E"/>
    <w:rsid w:val="003D4B03"/>
    <w:rsid w:val="003D4DF2"/>
    <w:rsid w:val="003E21C3"/>
    <w:rsid w:val="003E3020"/>
    <w:rsid w:val="003E581B"/>
    <w:rsid w:val="003F112F"/>
    <w:rsid w:val="00403D42"/>
    <w:rsid w:val="00404499"/>
    <w:rsid w:val="004059DF"/>
    <w:rsid w:val="00406CF7"/>
    <w:rsid w:val="00407FD2"/>
    <w:rsid w:val="00413FBE"/>
    <w:rsid w:val="004160E9"/>
    <w:rsid w:val="004260EE"/>
    <w:rsid w:val="00432086"/>
    <w:rsid w:val="00434348"/>
    <w:rsid w:val="00436514"/>
    <w:rsid w:val="004516BE"/>
    <w:rsid w:val="00457656"/>
    <w:rsid w:val="00460127"/>
    <w:rsid w:val="004628C9"/>
    <w:rsid w:val="0046670D"/>
    <w:rsid w:val="00470467"/>
    <w:rsid w:val="00475338"/>
    <w:rsid w:val="004802FA"/>
    <w:rsid w:val="004848A1"/>
    <w:rsid w:val="00485948"/>
    <w:rsid w:val="004863E4"/>
    <w:rsid w:val="004B5D80"/>
    <w:rsid w:val="004C1153"/>
    <w:rsid w:val="004C1CC0"/>
    <w:rsid w:val="004C499C"/>
    <w:rsid w:val="004D063D"/>
    <w:rsid w:val="004E11D8"/>
    <w:rsid w:val="004E169C"/>
    <w:rsid w:val="004F293E"/>
    <w:rsid w:val="004F4164"/>
    <w:rsid w:val="004F6A9A"/>
    <w:rsid w:val="0050137D"/>
    <w:rsid w:val="00503C1E"/>
    <w:rsid w:val="005174F0"/>
    <w:rsid w:val="005177A4"/>
    <w:rsid w:val="00525E9D"/>
    <w:rsid w:val="00526EDE"/>
    <w:rsid w:val="00534F5F"/>
    <w:rsid w:val="00537285"/>
    <w:rsid w:val="00537558"/>
    <w:rsid w:val="00537AC6"/>
    <w:rsid w:val="00543A60"/>
    <w:rsid w:val="0054475D"/>
    <w:rsid w:val="00544E83"/>
    <w:rsid w:val="0055194D"/>
    <w:rsid w:val="0055210C"/>
    <w:rsid w:val="00553F00"/>
    <w:rsid w:val="00554E1D"/>
    <w:rsid w:val="00557971"/>
    <w:rsid w:val="0056453F"/>
    <w:rsid w:val="00565D95"/>
    <w:rsid w:val="00566B85"/>
    <w:rsid w:val="00570B49"/>
    <w:rsid w:val="00571FD9"/>
    <w:rsid w:val="00582925"/>
    <w:rsid w:val="00583A94"/>
    <w:rsid w:val="00583B1F"/>
    <w:rsid w:val="0058405F"/>
    <w:rsid w:val="005867DE"/>
    <w:rsid w:val="00591093"/>
    <w:rsid w:val="005A0E90"/>
    <w:rsid w:val="005A1E6E"/>
    <w:rsid w:val="005A357D"/>
    <w:rsid w:val="005A38D5"/>
    <w:rsid w:val="005A529F"/>
    <w:rsid w:val="005A6B17"/>
    <w:rsid w:val="005B07B5"/>
    <w:rsid w:val="005B14B3"/>
    <w:rsid w:val="005B3C5A"/>
    <w:rsid w:val="005B4099"/>
    <w:rsid w:val="005B497D"/>
    <w:rsid w:val="005B7A20"/>
    <w:rsid w:val="005B7D60"/>
    <w:rsid w:val="005C1008"/>
    <w:rsid w:val="005C21FF"/>
    <w:rsid w:val="005D0ED6"/>
    <w:rsid w:val="005D3A5D"/>
    <w:rsid w:val="005E012F"/>
    <w:rsid w:val="005E132F"/>
    <w:rsid w:val="005E5ED6"/>
    <w:rsid w:val="005F12CB"/>
    <w:rsid w:val="006025BA"/>
    <w:rsid w:val="00613962"/>
    <w:rsid w:val="00616924"/>
    <w:rsid w:val="00616B74"/>
    <w:rsid w:val="00627F99"/>
    <w:rsid w:val="00631A8C"/>
    <w:rsid w:val="00633612"/>
    <w:rsid w:val="00633CF8"/>
    <w:rsid w:val="00642DD7"/>
    <w:rsid w:val="006455C7"/>
    <w:rsid w:val="00647BE3"/>
    <w:rsid w:val="00647D65"/>
    <w:rsid w:val="00654315"/>
    <w:rsid w:val="0065699E"/>
    <w:rsid w:val="0066155F"/>
    <w:rsid w:val="00664DE4"/>
    <w:rsid w:val="0067646F"/>
    <w:rsid w:val="006764EE"/>
    <w:rsid w:val="00677FC7"/>
    <w:rsid w:val="00686609"/>
    <w:rsid w:val="00690FA8"/>
    <w:rsid w:val="00691C86"/>
    <w:rsid w:val="00696C96"/>
    <w:rsid w:val="006A3028"/>
    <w:rsid w:val="006A38C5"/>
    <w:rsid w:val="006B07C8"/>
    <w:rsid w:val="006B3532"/>
    <w:rsid w:val="006B7308"/>
    <w:rsid w:val="006C6994"/>
    <w:rsid w:val="006D3180"/>
    <w:rsid w:val="006D6669"/>
    <w:rsid w:val="006F6E46"/>
    <w:rsid w:val="00700DD6"/>
    <w:rsid w:val="00701963"/>
    <w:rsid w:val="00703B1F"/>
    <w:rsid w:val="00713217"/>
    <w:rsid w:val="00715CEF"/>
    <w:rsid w:val="00720E7A"/>
    <w:rsid w:val="007261EA"/>
    <w:rsid w:val="00727DDB"/>
    <w:rsid w:val="00743661"/>
    <w:rsid w:val="00745E69"/>
    <w:rsid w:val="00751092"/>
    <w:rsid w:val="00760729"/>
    <w:rsid w:val="00762C8B"/>
    <w:rsid w:val="00764948"/>
    <w:rsid w:val="00774175"/>
    <w:rsid w:val="007752A6"/>
    <w:rsid w:val="00775462"/>
    <w:rsid w:val="0077764F"/>
    <w:rsid w:val="007835E8"/>
    <w:rsid w:val="0078635E"/>
    <w:rsid w:val="007910A7"/>
    <w:rsid w:val="007927BE"/>
    <w:rsid w:val="007A6412"/>
    <w:rsid w:val="007B2661"/>
    <w:rsid w:val="007B449B"/>
    <w:rsid w:val="007C587D"/>
    <w:rsid w:val="007D2D2B"/>
    <w:rsid w:val="007D2DD9"/>
    <w:rsid w:val="007D314C"/>
    <w:rsid w:val="007D60C1"/>
    <w:rsid w:val="007E350F"/>
    <w:rsid w:val="007F47C4"/>
    <w:rsid w:val="007F5505"/>
    <w:rsid w:val="008006BD"/>
    <w:rsid w:val="0080081A"/>
    <w:rsid w:val="0080214A"/>
    <w:rsid w:val="008074DD"/>
    <w:rsid w:val="0081285D"/>
    <w:rsid w:val="00814182"/>
    <w:rsid w:val="00814C75"/>
    <w:rsid w:val="00825D3E"/>
    <w:rsid w:val="00827DFF"/>
    <w:rsid w:val="0084608D"/>
    <w:rsid w:val="0084788D"/>
    <w:rsid w:val="00854DA0"/>
    <w:rsid w:val="008632E0"/>
    <w:rsid w:val="00863472"/>
    <w:rsid w:val="008646DF"/>
    <w:rsid w:val="0086751C"/>
    <w:rsid w:val="008732DA"/>
    <w:rsid w:val="00874405"/>
    <w:rsid w:val="00876634"/>
    <w:rsid w:val="008851B9"/>
    <w:rsid w:val="008917E9"/>
    <w:rsid w:val="008946A4"/>
    <w:rsid w:val="00895572"/>
    <w:rsid w:val="008A01C5"/>
    <w:rsid w:val="008A66AB"/>
    <w:rsid w:val="008B1C31"/>
    <w:rsid w:val="008C352D"/>
    <w:rsid w:val="008C65C9"/>
    <w:rsid w:val="008D2BA2"/>
    <w:rsid w:val="00901774"/>
    <w:rsid w:val="00902FB7"/>
    <w:rsid w:val="00905E04"/>
    <w:rsid w:val="00920A76"/>
    <w:rsid w:val="00925ED0"/>
    <w:rsid w:val="009270CD"/>
    <w:rsid w:val="00930255"/>
    <w:rsid w:val="00931DB5"/>
    <w:rsid w:val="00950DF0"/>
    <w:rsid w:val="009554AF"/>
    <w:rsid w:val="00964756"/>
    <w:rsid w:val="009665E6"/>
    <w:rsid w:val="00984C13"/>
    <w:rsid w:val="00991828"/>
    <w:rsid w:val="00992CB2"/>
    <w:rsid w:val="00995927"/>
    <w:rsid w:val="0099615C"/>
    <w:rsid w:val="00996884"/>
    <w:rsid w:val="00996C1B"/>
    <w:rsid w:val="009A6341"/>
    <w:rsid w:val="009B09D6"/>
    <w:rsid w:val="009B75FB"/>
    <w:rsid w:val="009C179B"/>
    <w:rsid w:val="009C17C4"/>
    <w:rsid w:val="009C3D89"/>
    <w:rsid w:val="009C6CE3"/>
    <w:rsid w:val="009D0ED9"/>
    <w:rsid w:val="009D4D63"/>
    <w:rsid w:val="009F1439"/>
    <w:rsid w:val="009F469A"/>
    <w:rsid w:val="009F5EBE"/>
    <w:rsid w:val="009F71C6"/>
    <w:rsid w:val="00A02507"/>
    <w:rsid w:val="00A03B21"/>
    <w:rsid w:val="00A04ECD"/>
    <w:rsid w:val="00A127FB"/>
    <w:rsid w:val="00A12873"/>
    <w:rsid w:val="00A244B6"/>
    <w:rsid w:val="00A308FE"/>
    <w:rsid w:val="00A30B5D"/>
    <w:rsid w:val="00A3684D"/>
    <w:rsid w:val="00A430B7"/>
    <w:rsid w:val="00A5093C"/>
    <w:rsid w:val="00A512A0"/>
    <w:rsid w:val="00A51885"/>
    <w:rsid w:val="00A539B6"/>
    <w:rsid w:val="00A55121"/>
    <w:rsid w:val="00A614F1"/>
    <w:rsid w:val="00A63636"/>
    <w:rsid w:val="00A874DD"/>
    <w:rsid w:val="00A90837"/>
    <w:rsid w:val="00A92B8D"/>
    <w:rsid w:val="00AA6281"/>
    <w:rsid w:val="00AB115E"/>
    <w:rsid w:val="00AB123F"/>
    <w:rsid w:val="00AB6663"/>
    <w:rsid w:val="00AB674D"/>
    <w:rsid w:val="00AC2CE8"/>
    <w:rsid w:val="00AC5C5E"/>
    <w:rsid w:val="00AD1B03"/>
    <w:rsid w:val="00AD4666"/>
    <w:rsid w:val="00AD6808"/>
    <w:rsid w:val="00AE2DA4"/>
    <w:rsid w:val="00AE5D83"/>
    <w:rsid w:val="00AF0148"/>
    <w:rsid w:val="00AF1244"/>
    <w:rsid w:val="00AF50F5"/>
    <w:rsid w:val="00B04D1A"/>
    <w:rsid w:val="00B10B0A"/>
    <w:rsid w:val="00B11E9C"/>
    <w:rsid w:val="00B14AD7"/>
    <w:rsid w:val="00B167CA"/>
    <w:rsid w:val="00B43873"/>
    <w:rsid w:val="00B44CD1"/>
    <w:rsid w:val="00B47FB4"/>
    <w:rsid w:val="00B50B5F"/>
    <w:rsid w:val="00B520A4"/>
    <w:rsid w:val="00B53553"/>
    <w:rsid w:val="00B56767"/>
    <w:rsid w:val="00B6422A"/>
    <w:rsid w:val="00B66DF0"/>
    <w:rsid w:val="00B67128"/>
    <w:rsid w:val="00B74321"/>
    <w:rsid w:val="00B752FD"/>
    <w:rsid w:val="00B77B08"/>
    <w:rsid w:val="00B81127"/>
    <w:rsid w:val="00B81F15"/>
    <w:rsid w:val="00B85E4B"/>
    <w:rsid w:val="00B91390"/>
    <w:rsid w:val="00B91950"/>
    <w:rsid w:val="00B92C37"/>
    <w:rsid w:val="00B94638"/>
    <w:rsid w:val="00BC008A"/>
    <w:rsid w:val="00BC4581"/>
    <w:rsid w:val="00BC499C"/>
    <w:rsid w:val="00BC5086"/>
    <w:rsid w:val="00BD0BB9"/>
    <w:rsid w:val="00C110A3"/>
    <w:rsid w:val="00C2247B"/>
    <w:rsid w:val="00C23FFA"/>
    <w:rsid w:val="00C27F2C"/>
    <w:rsid w:val="00C307F0"/>
    <w:rsid w:val="00C31D15"/>
    <w:rsid w:val="00C44787"/>
    <w:rsid w:val="00C46095"/>
    <w:rsid w:val="00C46512"/>
    <w:rsid w:val="00C469E3"/>
    <w:rsid w:val="00C52EB0"/>
    <w:rsid w:val="00C53F2B"/>
    <w:rsid w:val="00C61314"/>
    <w:rsid w:val="00C64812"/>
    <w:rsid w:val="00C74C85"/>
    <w:rsid w:val="00C81328"/>
    <w:rsid w:val="00C83C2C"/>
    <w:rsid w:val="00C9032B"/>
    <w:rsid w:val="00CB1A68"/>
    <w:rsid w:val="00CB25AE"/>
    <w:rsid w:val="00CB37EE"/>
    <w:rsid w:val="00CB6319"/>
    <w:rsid w:val="00CD4FAC"/>
    <w:rsid w:val="00CE14F0"/>
    <w:rsid w:val="00CF7884"/>
    <w:rsid w:val="00D019F6"/>
    <w:rsid w:val="00D1392A"/>
    <w:rsid w:val="00D14CB8"/>
    <w:rsid w:val="00D174EF"/>
    <w:rsid w:val="00D24637"/>
    <w:rsid w:val="00D26254"/>
    <w:rsid w:val="00D30210"/>
    <w:rsid w:val="00D3021C"/>
    <w:rsid w:val="00D35620"/>
    <w:rsid w:val="00D3618A"/>
    <w:rsid w:val="00D40D90"/>
    <w:rsid w:val="00D41BDB"/>
    <w:rsid w:val="00D41EB2"/>
    <w:rsid w:val="00D4563C"/>
    <w:rsid w:val="00D509C9"/>
    <w:rsid w:val="00D55EBE"/>
    <w:rsid w:val="00D55F2B"/>
    <w:rsid w:val="00D61E29"/>
    <w:rsid w:val="00D62970"/>
    <w:rsid w:val="00D65333"/>
    <w:rsid w:val="00D70258"/>
    <w:rsid w:val="00D74384"/>
    <w:rsid w:val="00D7460B"/>
    <w:rsid w:val="00D76282"/>
    <w:rsid w:val="00DA1CA9"/>
    <w:rsid w:val="00DA1ECF"/>
    <w:rsid w:val="00DA3964"/>
    <w:rsid w:val="00DA7F98"/>
    <w:rsid w:val="00DB0627"/>
    <w:rsid w:val="00DB2079"/>
    <w:rsid w:val="00DB228D"/>
    <w:rsid w:val="00DB4934"/>
    <w:rsid w:val="00DB5117"/>
    <w:rsid w:val="00DE0C64"/>
    <w:rsid w:val="00DE622F"/>
    <w:rsid w:val="00DE771C"/>
    <w:rsid w:val="00DF4AE4"/>
    <w:rsid w:val="00DF62AD"/>
    <w:rsid w:val="00E00BE1"/>
    <w:rsid w:val="00E05464"/>
    <w:rsid w:val="00E13A30"/>
    <w:rsid w:val="00E16917"/>
    <w:rsid w:val="00E20844"/>
    <w:rsid w:val="00E215C2"/>
    <w:rsid w:val="00E27430"/>
    <w:rsid w:val="00E34A45"/>
    <w:rsid w:val="00E414C6"/>
    <w:rsid w:val="00E4665E"/>
    <w:rsid w:val="00E526B8"/>
    <w:rsid w:val="00E53FCF"/>
    <w:rsid w:val="00E542E8"/>
    <w:rsid w:val="00E57CEE"/>
    <w:rsid w:val="00E60E3F"/>
    <w:rsid w:val="00E7074E"/>
    <w:rsid w:val="00E72978"/>
    <w:rsid w:val="00E95EA8"/>
    <w:rsid w:val="00E97469"/>
    <w:rsid w:val="00E9758F"/>
    <w:rsid w:val="00E97FBD"/>
    <w:rsid w:val="00EA3EFB"/>
    <w:rsid w:val="00EB2A3C"/>
    <w:rsid w:val="00EC2E3D"/>
    <w:rsid w:val="00EE1082"/>
    <w:rsid w:val="00EE1223"/>
    <w:rsid w:val="00EE5352"/>
    <w:rsid w:val="00EF074A"/>
    <w:rsid w:val="00F04A14"/>
    <w:rsid w:val="00F2379C"/>
    <w:rsid w:val="00F3111B"/>
    <w:rsid w:val="00F314A4"/>
    <w:rsid w:val="00F42BEA"/>
    <w:rsid w:val="00F44B77"/>
    <w:rsid w:val="00F6067F"/>
    <w:rsid w:val="00F62441"/>
    <w:rsid w:val="00F643CB"/>
    <w:rsid w:val="00F66AF1"/>
    <w:rsid w:val="00F66B8D"/>
    <w:rsid w:val="00F721A1"/>
    <w:rsid w:val="00F72EC2"/>
    <w:rsid w:val="00F74E28"/>
    <w:rsid w:val="00F918AD"/>
    <w:rsid w:val="00F92A9E"/>
    <w:rsid w:val="00F9534A"/>
    <w:rsid w:val="00F961D5"/>
    <w:rsid w:val="00F96E3C"/>
    <w:rsid w:val="00F97817"/>
    <w:rsid w:val="00FB3939"/>
    <w:rsid w:val="00FB7B7F"/>
    <w:rsid w:val="00FC20C5"/>
    <w:rsid w:val="00FC485A"/>
    <w:rsid w:val="00FC7DC2"/>
    <w:rsid w:val="00FD45C7"/>
    <w:rsid w:val="00FE1218"/>
    <w:rsid w:val="00FE1DC3"/>
    <w:rsid w:val="00FF363F"/>
    <w:rsid w:val="0EDB2BCF"/>
    <w:rsid w:val="10E477CD"/>
    <w:rsid w:val="19EF1979"/>
    <w:rsid w:val="1E6A7EC6"/>
    <w:rsid w:val="2B1209CF"/>
    <w:rsid w:val="32A6044D"/>
    <w:rsid w:val="7360263C"/>
    <w:rsid w:val="7B7D1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AC271F"/>
  <w15:docId w15:val="{1FEF8E64-912E-4264-ACAF-9390BCD7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360" w:lineRule="auto"/>
      <w:jc w:val="both"/>
    </w:pPr>
    <w:rPr>
      <w:rFonts w:ascii="Times New Roman" w:hAnsi="Times New Roman"/>
      <w:kern w:val="2"/>
      <w:sz w:val="24"/>
      <w:szCs w:val="22"/>
      <w:lang w:val="en-US" w:eastAsia="zh-CN"/>
    </w:rPr>
  </w:style>
  <w:style w:type="paragraph" w:styleId="Heading1">
    <w:name w:val="heading 1"/>
    <w:basedOn w:val="Normal"/>
    <w:next w:val="Normal"/>
    <w:link w:val="Heading1Char"/>
    <w:uiPriority w:val="99"/>
    <w:qFormat/>
    <w:pPr>
      <w:keepNext/>
      <w:keepLines/>
      <w:outlineLvl w:val="0"/>
    </w:pPr>
    <w:rPr>
      <w:b/>
      <w:bCs/>
      <w:kern w:val="44"/>
      <w:szCs w:val="44"/>
    </w:rPr>
  </w:style>
  <w:style w:type="paragraph" w:styleId="Heading2">
    <w:name w:val="heading 2"/>
    <w:basedOn w:val="Normal"/>
    <w:next w:val="Normal"/>
    <w:link w:val="Heading2Char"/>
    <w:uiPriority w:val="99"/>
    <w:qFormat/>
    <w:pPr>
      <w:keepNext/>
      <w:keepLines/>
      <w:outlineLvl w:val="1"/>
    </w:pPr>
    <w:rPr>
      <w:rFonts w:eastAsia="DengXian Light"/>
      <w:b/>
      <w:bCs/>
      <w:szCs w:val="32"/>
    </w:rPr>
  </w:style>
  <w:style w:type="paragraph" w:styleId="Heading3">
    <w:name w:val="heading 3"/>
    <w:basedOn w:val="Normal"/>
    <w:next w:val="Normal"/>
    <w:link w:val="Heading3Char"/>
    <w:uiPriority w:val="99"/>
    <w:qFormat/>
    <w:pPr>
      <w:keepNext/>
      <w:keepLines/>
      <w:adjustRightInd w:val="0"/>
      <w:snapToGrid w:val="0"/>
      <w:spacing w:line="240" w:lineRule="auto"/>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99"/>
    <w:pPr>
      <w:ind w:leftChars="400" w:left="840"/>
    </w:pPr>
  </w:style>
  <w:style w:type="paragraph" w:styleId="BalloonText">
    <w:name w:val="Balloon Text"/>
    <w:basedOn w:val="Normal"/>
    <w:link w:val="BalloonTextChar"/>
    <w:uiPriority w:val="99"/>
    <w:semiHidden/>
    <w:pPr>
      <w:spacing w:line="240" w:lineRule="auto"/>
    </w:pPr>
    <w:rPr>
      <w:sz w:val="18"/>
      <w:szCs w:val="18"/>
    </w:rPr>
  </w:style>
  <w:style w:type="paragraph" w:styleId="Footer">
    <w:name w:val="footer"/>
    <w:basedOn w:val="Normal"/>
    <w:link w:val="FooterChar"/>
    <w:uiPriority w:val="99"/>
    <w:qFormat/>
    <w:pPr>
      <w:tabs>
        <w:tab w:val="center" w:pos="4153"/>
        <w:tab w:val="right" w:pos="8306"/>
      </w:tabs>
      <w:snapToGrid w:val="0"/>
      <w:spacing w:line="240" w:lineRule="auto"/>
      <w:jc w:val="left"/>
    </w:pPr>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Normal"/>
    <w:next w:val="Normal"/>
    <w:uiPriority w:val="99"/>
  </w:style>
  <w:style w:type="paragraph" w:styleId="TOC2">
    <w:name w:val="toc 2"/>
    <w:basedOn w:val="Normal"/>
    <w:next w:val="Normal"/>
    <w:uiPriority w:val="99"/>
    <w:pPr>
      <w:ind w:leftChars="200" w:left="420"/>
    </w:pPr>
  </w:style>
  <w:style w:type="character" w:styleId="Hyperlink">
    <w:name w:val="Hyperlink"/>
    <w:basedOn w:val="DefaultParagraphFont"/>
    <w:uiPriority w:val="99"/>
    <w:rPr>
      <w:rFonts w:cs="Times New Roman"/>
      <w:color w:val="0563C1"/>
      <w:u w:val="single"/>
    </w:rPr>
  </w:style>
  <w:style w:type="character" w:customStyle="1" w:styleId="Heading1Char">
    <w:name w:val="Heading 1 Char"/>
    <w:basedOn w:val="DefaultParagraphFont"/>
    <w:link w:val="Heading1"/>
    <w:uiPriority w:val="99"/>
    <w:locked/>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Pr>
      <w:rFonts w:ascii="Times New Roman" w:eastAsia="DengXian Light" w:hAnsi="Times New Roman" w:cs="Times New Roman"/>
      <w:b/>
      <w:bCs/>
      <w:sz w:val="32"/>
      <w:szCs w:val="32"/>
    </w:rPr>
  </w:style>
  <w:style w:type="character" w:customStyle="1" w:styleId="Heading3Char">
    <w:name w:val="Heading 3 Char"/>
    <w:basedOn w:val="DefaultParagraphFont"/>
    <w:link w:val="Heading3"/>
    <w:uiPriority w:val="99"/>
    <w:locked/>
    <w:rPr>
      <w:rFonts w:ascii="Times New Roman" w:hAnsi="Times New Roman" w:cs="Times New Roman"/>
      <w:b/>
      <w:bCs/>
      <w:sz w:val="32"/>
      <w:szCs w:val="32"/>
    </w:rPr>
  </w:style>
  <w:style w:type="paragraph" w:customStyle="1" w:styleId="Default">
    <w:name w:val="Default"/>
    <w:pPr>
      <w:widowControl w:val="0"/>
      <w:autoSpaceDE w:val="0"/>
      <w:autoSpaceDN w:val="0"/>
      <w:adjustRightInd w:val="0"/>
    </w:pPr>
    <w:rPr>
      <w:rFonts w:ascii="Times New Roman" w:hAnsi="Times New Roman"/>
      <w:color w:val="000000"/>
      <w:sz w:val="24"/>
      <w:szCs w:val="24"/>
      <w:lang w:val="en-US" w:eastAsia="zh-CN"/>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18"/>
      <w:szCs w:val="18"/>
    </w:rPr>
  </w:style>
  <w:style w:type="character" w:customStyle="1" w:styleId="HeaderChar">
    <w:name w:val="Header Char"/>
    <w:basedOn w:val="DefaultParagraphFont"/>
    <w:link w:val="Header"/>
    <w:uiPriority w:val="99"/>
    <w:qFormat/>
    <w:locked/>
    <w:rPr>
      <w:rFonts w:ascii="Times New Roman" w:hAnsi="Times New Roman" w:cs="Times New Roman"/>
      <w:sz w:val="18"/>
      <w:szCs w:val="18"/>
    </w:rPr>
  </w:style>
  <w:style w:type="character" w:customStyle="1" w:styleId="FooterChar">
    <w:name w:val="Footer Char"/>
    <w:basedOn w:val="DefaultParagraphFont"/>
    <w:link w:val="Footer"/>
    <w:uiPriority w:val="99"/>
    <w:qFormat/>
    <w:locked/>
    <w:rPr>
      <w:rFonts w:ascii="Times New Roman" w:hAnsi="Times New Roman" w:cs="Times New Roman"/>
      <w:sz w:val="18"/>
      <w:szCs w:val="18"/>
    </w:rPr>
  </w:style>
  <w:style w:type="character" w:customStyle="1" w:styleId="tgt">
    <w:name w:val="tgt"/>
    <w:basedOn w:val="DefaultParagraphFont"/>
    <w:uiPriority w:val="99"/>
    <w:rPr>
      <w:rFonts w:cs="Times New Roman"/>
    </w:rPr>
  </w:style>
  <w:style w:type="paragraph" w:styleId="ListParagraph">
    <w:name w:val="List Paragraph"/>
    <w:basedOn w:val="Normal"/>
    <w:uiPriority w:val="34"/>
    <w:qFormat/>
    <w:pPr>
      <w:ind w:left="720"/>
      <w:contextualSpacing/>
    </w:pPr>
  </w:style>
  <w:style w:type="character" w:styleId="FootnoteReference">
    <w:name w:val="footnote reference"/>
    <w:uiPriority w:val="99"/>
    <w:semiHidden/>
    <w:unhideWhenUsed/>
    <w:rsid w:val="00265E8D"/>
    <w:rPr>
      <w:vertAlign w:val="superscript"/>
    </w:rPr>
  </w:style>
  <w:style w:type="paragraph" w:styleId="FootnoteText">
    <w:name w:val="footnote text"/>
    <w:basedOn w:val="Normal"/>
    <w:link w:val="FootnoteTextChar"/>
    <w:uiPriority w:val="99"/>
    <w:semiHidden/>
    <w:unhideWhenUsed/>
    <w:rsid w:val="006543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315"/>
    <w:rPr>
      <w:rFonts w:ascii="Times New Roman" w:hAnsi="Times New Roman"/>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merald.com/insight/content/doi/10.1108/IJAIM-06-2015-0040/full/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s://www.emerald.com/insight/content/doi/10.1108/IJAIM-06-2015-0040/full/html" TargetMode="Externa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www.emerald.com/insight/content/doi/10.1108/IJAIM-06-2015-0040/full/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volos@nup.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CEBF41-78C2-4E21-8927-09D1A8FF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7831</Words>
  <Characters>44642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woshicsf@126.com</dc:creator>
  <cp:lastModifiedBy>Volos Chris</cp:lastModifiedBy>
  <cp:revision>3</cp:revision>
  <cp:lastPrinted>2020-02-04T08:37:00Z</cp:lastPrinted>
  <dcterms:created xsi:type="dcterms:W3CDTF">2020-06-23T09:20:00Z</dcterms:created>
  <dcterms:modified xsi:type="dcterms:W3CDTF">2020-06-23T09:20:00Z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