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DA" w:rsidRPr="004A069C" w:rsidRDefault="002B77DA" w:rsidP="002B77DA">
      <w:pPr>
        <w:jc w:val="center"/>
        <w:rPr>
          <w:rFonts w:ascii="TimesNewRomanPSMT" w:hAnsi="TimesNewRomanPSMT" w:hint="eastAsia"/>
          <w:b/>
          <w:color w:val="000000"/>
          <w:sz w:val="28"/>
          <w:szCs w:val="24"/>
        </w:rPr>
      </w:pPr>
      <w:r w:rsidRPr="004A069C">
        <w:rPr>
          <w:rFonts w:ascii="TimesNewRomanPSMT" w:hAnsi="TimesNewRomanPSMT"/>
          <w:b/>
          <w:color w:val="000000"/>
          <w:sz w:val="28"/>
          <w:szCs w:val="24"/>
        </w:rPr>
        <w:t>The Information Content of Insider Silence in Vietnam Security Market</w:t>
      </w:r>
    </w:p>
    <w:p w:rsidR="00F56AF1" w:rsidRPr="004A069C" w:rsidRDefault="00F56AF1" w:rsidP="00F56AF1">
      <w:pPr>
        <w:pStyle w:val="22"/>
        <w:spacing w:line="240" w:lineRule="auto"/>
        <w:jc w:val="center"/>
        <w:rPr>
          <w:sz w:val="24"/>
          <w:szCs w:val="24"/>
        </w:rPr>
      </w:pPr>
      <w:r w:rsidRPr="004A069C">
        <w:rPr>
          <w:sz w:val="24"/>
          <w:szCs w:val="24"/>
        </w:rPr>
        <w:t xml:space="preserve">Han-Ching Huang*, Chung Yuan Christian University, </w:t>
      </w:r>
      <w:hyperlink r:id="rId8" w:history="1">
        <w:r w:rsidRPr="004A069C">
          <w:rPr>
            <w:sz w:val="24"/>
            <w:szCs w:val="24"/>
          </w:rPr>
          <w:t>samprass@cycu.edu.tw</w:t>
        </w:r>
      </w:hyperlink>
    </w:p>
    <w:p w:rsidR="00F56AF1" w:rsidRPr="004A069C" w:rsidRDefault="00F4737F" w:rsidP="00F56AF1">
      <w:pPr>
        <w:tabs>
          <w:tab w:val="left" w:pos="3600"/>
        </w:tabs>
        <w:spacing w:after="40"/>
        <w:contextualSpacing/>
        <w:jc w:val="center"/>
        <w:rPr>
          <w:rFonts w:eastAsia="標楷體" w:cs="Times New Roman"/>
          <w:b/>
          <w:sz w:val="32"/>
          <w:szCs w:val="32"/>
        </w:rPr>
      </w:pPr>
      <w:r w:rsidRPr="004A069C">
        <w:rPr>
          <w:rFonts w:eastAsia="標楷體" w:cs="Times New Roman" w:hint="eastAsia"/>
          <w:lang w:eastAsia="zh-TW"/>
        </w:rPr>
        <w:t>T</w:t>
      </w:r>
      <w:r w:rsidRPr="004A069C">
        <w:rPr>
          <w:rFonts w:eastAsia="標楷體" w:cs="Times New Roman"/>
        </w:rPr>
        <w:t>ammy Tran</w:t>
      </w:r>
      <w:r w:rsidR="00F56AF1" w:rsidRPr="004A069C">
        <w:rPr>
          <w:rFonts w:cs="Times New Roman"/>
          <w:szCs w:val="24"/>
        </w:rPr>
        <w:t xml:space="preserve"> Chung, Chung Yuan Christian University, </w:t>
      </w:r>
      <w:r w:rsidR="00F56AF1" w:rsidRPr="004A069C">
        <w:rPr>
          <w:rFonts w:eastAsia="華康中楷體" w:cs="Times New Roman"/>
          <w:szCs w:val="24"/>
        </w:rPr>
        <w:t>10</w:t>
      </w:r>
      <w:r w:rsidR="00DE04EF" w:rsidRPr="004A069C">
        <w:rPr>
          <w:rFonts w:eastAsia="華康中楷體" w:cs="Times New Roman" w:hint="eastAsia"/>
          <w:szCs w:val="24"/>
          <w:lang w:eastAsia="zh-TW"/>
        </w:rPr>
        <w:t>6</w:t>
      </w:r>
      <w:r w:rsidR="00F56AF1" w:rsidRPr="004A069C">
        <w:rPr>
          <w:rFonts w:eastAsia="華康中楷體" w:cs="Times New Roman"/>
          <w:szCs w:val="24"/>
        </w:rPr>
        <w:t>9</w:t>
      </w:r>
      <w:r w:rsidR="00DE04EF" w:rsidRPr="004A069C">
        <w:rPr>
          <w:rFonts w:eastAsia="華康中楷體" w:cs="Times New Roman" w:hint="eastAsia"/>
          <w:szCs w:val="24"/>
          <w:lang w:eastAsia="zh-TW"/>
        </w:rPr>
        <w:t>6</w:t>
      </w:r>
      <w:r w:rsidR="00F56AF1" w:rsidRPr="004A069C">
        <w:rPr>
          <w:rFonts w:eastAsia="華康中楷體" w:cs="Times New Roman"/>
          <w:szCs w:val="24"/>
        </w:rPr>
        <w:t>0</w:t>
      </w:r>
      <w:r w:rsidR="00DE04EF" w:rsidRPr="004A069C">
        <w:rPr>
          <w:rFonts w:eastAsia="華康中楷體" w:cs="Times New Roman" w:hint="eastAsia"/>
          <w:szCs w:val="24"/>
          <w:lang w:eastAsia="zh-TW"/>
        </w:rPr>
        <w:t>13</w:t>
      </w:r>
      <w:r w:rsidR="00F56AF1" w:rsidRPr="004A069C">
        <w:rPr>
          <w:rFonts w:eastAsia="華康中楷體" w:cs="Times New Roman"/>
          <w:szCs w:val="24"/>
        </w:rPr>
        <w:t>@cycu.edu.tw</w:t>
      </w:r>
    </w:p>
    <w:p w:rsidR="00F56AF1" w:rsidRPr="004A069C" w:rsidRDefault="00F56AF1" w:rsidP="005A7690">
      <w:pPr>
        <w:jc w:val="center"/>
        <w:rPr>
          <w:b/>
          <w:sz w:val="28"/>
          <w:szCs w:val="28"/>
          <w:lang w:val="en-029"/>
        </w:rPr>
      </w:pPr>
    </w:p>
    <w:p w:rsidR="005A7690" w:rsidRPr="004A069C" w:rsidRDefault="005A7690" w:rsidP="005A7690">
      <w:pPr>
        <w:jc w:val="center"/>
        <w:rPr>
          <w:b/>
          <w:szCs w:val="24"/>
          <w:lang w:val="en-029"/>
        </w:rPr>
      </w:pPr>
      <w:r w:rsidRPr="004A069C">
        <w:rPr>
          <w:b/>
          <w:szCs w:val="24"/>
          <w:lang w:val="en-029"/>
        </w:rPr>
        <w:t>Abstract</w:t>
      </w:r>
    </w:p>
    <w:p w:rsidR="005A7690" w:rsidRPr="004A069C" w:rsidRDefault="005A7690" w:rsidP="005A7690">
      <w:pPr>
        <w:spacing w:line="360" w:lineRule="auto"/>
        <w:jc w:val="both"/>
        <w:rPr>
          <w:lang w:val="en-029"/>
        </w:rPr>
      </w:pPr>
      <w:r w:rsidRPr="004A069C">
        <w:rPr>
          <w:lang w:val="en-029"/>
        </w:rPr>
        <w:tab/>
      </w:r>
      <w:r w:rsidRPr="004A069C">
        <w:rPr>
          <w:rStyle w:val="fontstyle01"/>
          <w:rFonts w:cs="Times New Roman"/>
        </w:rPr>
        <w:t xml:space="preserve">Gao </w:t>
      </w:r>
      <w:r w:rsidRPr="004A069C">
        <w:rPr>
          <w:rFonts w:cs="Times New Roman"/>
          <w:szCs w:val="24"/>
        </w:rPr>
        <w:t>et al.</w:t>
      </w:r>
      <w:r w:rsidRPr="004A069C">
        <w:rPr>
          <w:rStyle w:val="fontstyle01"/>
          <w:rFonts w:cs="Times New Roman"/>
        </w:rPr>
        <w:t xml:space="preserve"> </w:t>
      </w:r>
      <w:r w:rsidR="00780CD7" w:rsidRPr="004A069C">
        <w:rPr>
          <w:rStyle w:val="fontstyle01"/>
          <w:rFonts w:cs="Times New Roman"/>
        </w:rPr>
        <w:t>[7]</w:t>
      </w:r>
      <w:r w:rsidRPr="004A069C">
        <w:rPr>
          <w:rStyle w:val="fontstyle01"/>
          <w:rFonts w:cs="Times New Roman"/>
        </w:rPr>
        <w:t xml:space="preserve"> find that</w:t>
      </w:r>
      <w:r w:rsidRPr="004A069C">
        <w:rPr>
          <w:lang w:val="en-029"/>
        </w:rPr>
        <w:t xml:space="preserve"> insider will not sell their stocks in the time of bad news </w:t>
      </w:r>
      <w:r w:rsidR="00B374DB" w:rsidRPr="004A069C">
        <w:rPr>
          <w:lang w:val="en-029"/>
        </w:rPr>
        <w:t>since they are</w:t>
      </w:r>
      <w:r w:rsidRPr="004A069C">
        <w:rPr>
          <w:lang w:val="en-029"/>
        </w:rPr>
        <w:t xml:space="preserve"> afraid of facing litigation risk, and they also </w:t>
      </w:r>
      <w:r w:rsidR="00B374DB" w:rsidRPr="004A069C">
        <w:rPr>
          <w:lang w:val="en-029"/>
        </w:rPr>
        <w:t xml:space="preserve">would </w:t>
      </w:r>
      <w:r w:rsidRPr="004A069C">
        <w:rPr>
          <w:lang w:val="en-029"/>
        </w:rPr>
        <w:t xml:space="preserve">not buy because of loss. Thus, insider will keep silence in this period to protect themselves. As a result, insider silence firms will have negative future abnormal return. </w:t>
      </w:r>
      <w:r w:rsidRPr="004A069C">
        <w:t xml:space="preserve">Hong and Li </w:t>
      </w:r>
      <w:r w:rsidR="00780CD7" w:rsidRPr="004A069C">
        <w:t>[9]</w:t>
      </w:r>
      <w:r w:rsidRPr="004A069C">
        <w:t xml:space="preserve"> find that when routine insider selling </w:t>
      </w:r>
      <w:r w:rsidR="00FE5289" w:rsidRPr="004A069C">
        <w:t xml:space="preserve">(buying) </w:t>
      </w:r>
      <w:r w:rsidRPr="004A069C">
        <w:t>sudden</w:t>
      </w:r>
      <w:r w:rsidR="00FE5289" w:rsidRPr="004A069C">
        <w:t>ly</w:t>
      </w:r>
      <w:r w:rsidRPr="004A069C">
        <w:t xml:space="preserve"> become silence, it is a signal for positive </w:t>
      </w:r>
      <w:r w:rsidR="00FE5289" w:rsidRPr="004A069C">
        <w:t xml:space="preserve">(negative) </w:t>
      </w:r>
      <w:r w:rsidRPr="004A069C">
        <w:t xml:space="preserve">future return. </w:t>
      </w:r>
      <w:r w:rsidRPr="004A069C">
        <w:rPr>
          <w:lang w:val="en-029"/>
        </w:rPr>
        <w:t xml:space="preserve">Although some papers </w:t>
      </w:r>
      <w:r w:rsidR="00FE5289" w:rsidRPr="004A069C">
        <w:rPr>
          <w:lang w:val="en-029"/>
        </w:rPr>
        <w:t>have</w:t>
      </w:r>
      <w:r w:rsidRPr="004A069C">
        <w:rPr>
          <w:lang w:val="en-029"/>
        </w:rPr>
        <w:t xml:space="preserve"> examined insider silence in the developed countries, no research explores insider silence in developing market. Therefore, we aim to find out the relationship between insider silence and firm future stock return in Vietnam security market to test whether the result is consistent with the available literature. </w:t>
      </w:r>
      <w:r w:rsidR="00FE5289" w:rsidRPr="004A069C">
        <w:rPr>
          <w:lang w:val="en-029"/>
        </w:rPr>
        <w:t>W</w:t>
      </w:r>
      <w:r w:rsidRPr="004A069C">
        <w:rPr>
          <w:lang w:val="en-029"/>
        </w:rPr>
        <w:t>e hypothesize that insider silence results in negative future return, future stock return of silence firms is more negative in the time of high</w:t>
      </w:r>
      <w:r w:rsidR="00FE5289" w:rsidRPr="004A069C">
        <w:rPr>
          <w:lang w:val="en-029"/>
        </w:rPr>
        <w:t>er</w:t>
      </w:r>
      <w:r w:rsidRPr="004A069C">
        <w:rPr>
          <w:lang w:val="en-029"/>
        </w:rPr>
        <w:t xml:space="preserve"> litigation risk and sudden insider silence have more impact on the stock return than unconditional insider silence. Empirical results shows although the effect of insider silence in Vietnam security market is weaker than </w:t>
      </w:r>
      <w:r w:rsidR="00FE5289" w:rsidRPr="004A069C">
        <w:rPr>
          <w:lang w:val="en-029"/>
        </w:rPr>
        <w:t xml:space="preserve">that </w:t>
      </w:r>
      <w:r w:rsidRPr="004A069C">
        <w:rPr>
          <w:lang w:val="en-029"/>
        </w:rPr>
        <w:t xml:space="preserve">in US security market, it is still consistent with </w:t>
      </w:r>
      <w:r w:rsidR="00FE5289" w:rsidRPr="004A069C">
        <w:rPr>
          <w:rStyle w:val="fontstyle01"/>
          <w:rFonts w:cs="Times New Roman"/>
        </w:rPr>
        <w:t xml:space="preserve">Gao </w:t>
      </w:r>
      <w:r w:rsidR="00FE5289" w:rsidRPr="004A069C">
        <w:rPr>
          <w:rFonts w:cs="Times New Roman"/>
          <w:szCs w:val="24"/>
        </w:rPr>
        <w:t>et al.</w:t>
      </w:r>
      <w:r w:rsidR="00FE5289" w:rsidRPr="004A069C">
        <w:rPr>
          <w:rStyle w:val="fontstyle01"/>
          <w:rFonts w:cs="Times New Roman"/>
        </w:rPr>
        <w:t xml:space="preserve"> </w:t>
      </w:r>
      <w:r w:rsidR="00780CD7" w:rsidRPr="004A069C">
        <w:rPr>
          <w:rStyle w:val="fontstyle01"/>
          <w:rFonts w:cs="Times New Roman"/>
        </w:rPr>
        <w:t>[7]</w:t>
      </w:r>
      <w:r w:rsidRPr="004A069C">
        <w:rPr>
          <w:lang w:val="en-029"/>
        </w:rPr>
        <w:t xml:space="preserve">. </w:t>
      </w:r>
      <w:r w:rsidR="00FE5289" w:rsidRPr="004A069C">
        <w:rPr>
          <w:rFonts w:ascii="新細明體" w:eastAsia="新細明體" w:hAnsi="新細明體" w:cs="Times New Roman" w:hint="eastAsia"/>
          <w:szCs w:val="24"/>
          <w:lang w:eastAsia="zh-TW"/>
        </w:rPr>
        <w:t>T</w:t>
      </w:r>
      <w:r w:rsidR="00FE5289" w:rsidRPr="004A069C">
        <w:rPr>
          <w:rFonts w:cs="Times New Roman"/>
          <w:szCs w:val="24"/>
        </w:rPr>
        <w:t xml:space="preserve">he negative effect of insider silence on firm’s future stock return is stronger in firm with higher litigation risk. </w:t>
      </w:r>
      <w:r w:rsidRPr="004A069C">
        <w:rPr>
          <w:lang w:val="en-029"/>
        </w:rPr>
        <w:t>Nevertheless, we cannot find the difference between the effects of sudden insider silence and unconditional insider silence on the future return.</w:t>
      </w:r>
    </w:p>
    <w:p w:rsidR="005A7690" w:rsidRPr="004A069C" w:rsidRDefault="005A7690" w:rsidP="005A7690">
      <w:pPr>
        <w:ind w:firstLine="720"/>
        <w:rPr>
          <w:lang w:val="en-029"/>
        </w:rPr>
      </w:pPr>
    </w:p>
    <w:p w:rsidR="005A7690" w:rsidRPr="004A069C" w:rsidRDefault="005A7690" w:rsidP="005A7690">
      <w:pPr>
        <w:spacing w:line="360" w:lineRule="auto"/>
        <w:rPr>
          <w:b/>
          <w:lang w:val="en-029"/>
        </w:rPr>
      </w:pPr>
      <w:r w:rsidRPr="004A069C">
        <w:rPr>
          <w:b/>
          <w:lang w:val="en-029"/>
        </w:rPr>
        <w:t>Keywords: Insider trading, Insider silence, Litigation risk, Vietnam Security market, Sudden Insider Silence.</w:t>
      </w:r>
    </w:p>
    <w:p w:rsidR="005A7690" w:rsidRPr="004A069C" w:rsidRDefault="005A7690" w:rsidP="005A7690">
      <w:pPr>
        <w:rPr>
          <w:lang w:val="en-029"/>
        </w:rPr>
      </w:pPr>
      <w:r w:rsidRPr="004A069C">
        <w:rPr>
          <w:lang w:val="en-029"/>
        </w:rPr>
        <w:t xml:space="preserve"> </w:t>
      </w:r>
    </w:p>
    <w:p w:rsidR="002177DA" w:rsidRPr="004A069C" w:rsidRDefault="005A7690" w:rsidP="00F56AF1">
      <w:pPr>
        <w:spacing w:line="360" w:lineRule="auto"/>
        <w:rPr>
          <w:rStyle w:val="fontstyle01"/>
          <w:rFonts w:ascii="Times New Roman" w:hAnsi="Times New Roman" w:cs="Times New Roman"/>
          <w:b/>
          <w:color w:val="auto"/>
        </w:rPr>
      </w:pPr>
      <w:r w:rsidRPr="004A069C">
        <w:rPr>
          <w:b/>
          <w:sz w:val="28"/>
          <w:lang w:val="en-029"/>
        </w:rPr>
        <w:br w:type="page"/>
      </w:r>
      <w:bookmarkStart w:id="0" w:name="_Toc27623008"/>
      <w:r w:rsidR="000630C3" w:rsidRPr="004A069C">
        <w:rPr>
          <w:rStyle w:val="fontstyle01"/>
          <w:rFonts w:ascii="Times New Roman" w:hAnsi="Times New Roman" w:cs="Times New Roman"/>
          <w:b/>
          <w:color w:val="auto"/>
        </w:rPr>
        <w:lastRenderedPageBreak/>
        <w:t>1</w:t>
      </w:r>
      <w:r w:rsidR="00F56AF1" w:rsidRPr="004A069C">
        <w:rPr>
          <w:rStyle w:val="fontstyle01"/>
          <w:rFonts w:ascii="Times New Roman" w:eastAsia="新細明體" w:hAnsi="Times New Roman" w:cs="Times New Roman"/>
          <w:b/>
          <w:color w:val="auto"/>
          <w:lang w:eastAsia="zh-TW"/>
        </w:rPr>
        <w:t>.</w:t>
      </w:r>
      <w:r w:rsidR="000630C3" w:rsidRPr="004A069C">
        <w:rPr>
          <w:rStyle w:val="fontstyle01"/>
          <w:rFonts w:ascii="Times New Roman" w:hAnsi="Times New Roman" w:cs="Times New Roman"/>
          <w:b/>
          <w:color w:val="auto"/>
        </w:rPr>
        <w:t xml:space="preserve"> </w:t>
      </w:r>
      <w:r w:rsidR="002177DA" w:rsidRPr="004A069C">
        <w:rPr>
          <w:rStyle w:val="fontstyle01"/>
          <w:rFonts w:ascii="Times New Roman" w:hAnsi="Times New Roman" w:cs="Times New Roman"/>
          <w:b/>
          <w:color w:val="auto"/>
        </w:rPr>
        <w:t>Introduction</w:t>
      </w:r>
      <w:bookmarkEnd w:id="0"/>
    </w:p>
    <w:p w:rsidR="002177DA" w:rsidRPr="000A6B26" w:rsidRDefault="00583B3B" w:rsidP="00E92203">
      <w:pPr>
        <w:spacing w:line="360" w:lineRule="auto"/>
        <w:ind w:firstLine="720"/>
        <w:jc w:val="both"/>
      </w:pPr>
      <w:r w:rsidRPr="004A069C">
        <w:rPr>
          <w:rStyle w:val="fontstyle01"/>
          <w:rFonts w:ascii="Times New Roman" w:hAnsi="Times New Roman" w:cs="Times New Roman" w:hint="eastAsia"/>
          <w:color w:val="auto"/>
        </w:rPr>
        <w:t>I</w:t>
      </w:r>
      <w:r w:rsidR="002177DA" w:rsidRPr="004A069C">
        <w:rPr>
          <w:rStyle w:val="fontstyle01"/>
          <w:rFonts w:ascii="Times New Roman" w:hAnsi="Times New Roman" w:cs="Times New Roman"/>
          <w:color w:val="auto"/>
        </w:rPr>
        <w:t xml:space="preserve">nsider trading </w:t>
      </w:r>
      <w:r w:rsidR="00BD5B5B" w:rsidRPr="004A069C">
        <w:rPr>
          <w:rStyle w:val="fontstyle01"/>
          <w:rFonts w:ascii="Times New Roman" w:eastAsia="新細明體" w:hAnsi="Times New Roman" w:cs="Times New Roman" w:hint="eastAsia"/>
          <w:color w:val="auto"/>
          <w:lang w:eastAsia="zh-TW"/>
        </w:rPr>
        <w:t>i</w:t>
      </w:r>
      <w:r w:rsidR="002177DA" w:rsidRPr="004A069C">
        <w:rPr>
          <w:rStyle w:val="fontstyle01"/>
          <w:rFonts w:ascii="Times New Roman" w:hAnsi="Times New Roman" w:cs="Times New Roman"/>
          <w:color w:val="auto"/>
        </w:rPr>
        <w:t xml:space="preserve">s an attractive issue in the last few decades. The insider is defined as the person with the ability to have the </w:t>
      </w:r>
      <w:r w:rsidR="00BD5B5B" w:rsidRPr="004A069C">
        <w:rPr>
          <w:rStyle w:val="fontstyle01"/>
          <w:rFonts w:ascii="Times New Roman" w:hAnsi="Times New Roman" w:cs="Times New Roman"/>
          <w:color w:val="auto"/>
        </w:rPr>
        <w:t xml:space="preserve">unpublicized </w:t>
      </w:r>
      <w:r w:rsidR="002177DA" w:rsidRPr="004A069C">
        <w:rPr>
          <w:rStyle w:val="fontstyle01"/>
          <w:rFonts w:ascii="Times New Roman" w:hAnsi="Times New Roman" w:cs="Times New Roman"/>
          <w:color w:val="auto"/>
        </w:rPr>
        <w:t>private information of the corporation. The advantage in information possession make</w:t>
      </w:r>
      <w:r w:rsidR="00BD5B5B" w:rsidRPr="004A069C">
        <w:rPr>
          <w:rStyle w:val="fontstyle01"/>
          <w:rFonts w:ascii="Times New Roman" w:hAnsi="Times New Roman" w:cs="Times New Roman"/>
          <w:color w:val="auto"/>
        </w:rPr>
        <w:t>s</w:t>
      </w:r>
      <w:r w:rsidR="002177DA" w:rsidRPr="004A069C">
        <w:rPr>
          <w:rStyle w:val="fontstyle01"/>
          <w:rFonts w:ascii="Times New Roman" w:hAnsi="Times New Roman" w:cs="Times New Roman"/>
          <w:color w:val="auto"/>
        </w:rPr>
        <w:t xml:space="preserve"> insider</w:t>
      </w:r>
      <w:r w:rsidR="00BD5B5B" w:rsidRPr="004A069C">
        <w:rPr>
          <w:rStyle w:val="fontstyle01"/>
          <w:rFonts w:ascii="Times New Roman" w:hAnsi="Times New Roman" w:cs="Times New Roman"/>
          <w:color w:val="auto"/>
        </w:rPr>
        <w:t>s</w:t>
      </w:r>
      <w:r w:rsidR="002177DA" w:rsidRPr="004A069C">
        <w:rPr>
          <w:rStyle w:val="fontstyle01"/>
          <w:rFonts w:ascii="Times New Roman" w:hAnsi="Times New Roman" w:cs="Times New Roman"/>
          <w:color w:val="auto"/>
        </w:rPr>
        <w:t xml:space="preserve"> have a better decision in their trading activities than normal investors. Therefore, insider trading is a plausible instrument which is used to predict the market movement and firm prospects. </w:t>
      </w:r>
      <w:r w:rsidR="002177DA" w:rsidRPr="004A069C">
        <w:rPr>
          <w:rFonts w:cs="Times New Roman"/>
          <w:szCs w:val="24"/>
        </w:rPr>
        <w:t xml:space="preserve">The main focus of researchers is about three main topics: the impact of insider trading </w:t>
      </w:r>
      <w:r w:rsidR="00BD5B5B" w:rsidRPr="004A069C">
        <w:rPr>
          <w:rFonts w:cs="Times New Roman"/>
          <w:szCs w:val="24"/>
        </w:rPr>
        <w:t>on</w:t>
      </w:r>
      <w:r w:rsidR="002177DA" w:rsidRPr="004A069C">
        <w:rPr>
          <w:rFonts w:cs="Times New Roman"/>
          <w:szCs w:val="24"/>
        </w:rPr>
        <w:t xml:space="preserve"> firm performance, the relationship between firm announcement event and insider trading behaviors, corporate insider trading and information behind these trades </w:t>
      </w:r>
      <w:r w:rsidR="00780CD7" w:rsidRPr="004A069C">
        <w:rPr>
          <w:rFonts w:cs="Times New Roman"/>
          <w:szCs w:val="24"/>
          <w:lang w:val="en-029"/>
        </w:rPr>
        <w:t>[3]</w:t>
      </w:r>
      <w:r w:rsidR="002177DA" w:rsidRPr="004A069C">
        <w:rPr>
          <w:rFonts w:cs="Times New Roman"/>
          <w:szCs w:val="24"/>
        </w:rPr>
        <w:t xml:space="preserve">. Some studies conducting on US market </w:t>
      </w:r>
      <w:r w:rsidR="00BD5B5B" w:rsidRPr="004A069C">
        <w:rPr>
          <w:rFonts w:cs="Times New Roman"/>
          <w:szCs w:val="24"/>
        </w:rPr>
        <w:t>have proved that</w:t>
      </w:r>
      <w:r w:rsidR="002177DA" w:rsidRPr="004A069C">
        <w:rPr>
          <w:rFonts w:cs="Times New Roman"/>
          <w:szCs w:val="24"/>
        </w:rPr>
        <w:t xml:space="preserve"> insider trading </w:t>
      </w:r>
      <w:r w:rsidR="00BD5B5B" w:rsidRPr="004A069C">
        <w:rPr>
          <w:rFonts w:cs="Times New Roman"/>
          <w:szCs w:val="24"/>
        </w:rPr>
        <w:t xml:space="preserve">is informative </w:t>
      </w:r>
      <w:r w:rsidR="002177DA" w:rsidRPr="004A069C">
        <w:rPr>
          <w:rFonts w:cs="Times New Roman"/>
          <w:szCs w:val="24"/>
        </w:rPr>
        <w:t>and predictab</w:t>
      </w:r>
      <w:r w:rsidR="00BD5B5B" w:rsidRPr="004A069C">
        <w:rPr>
          <w:rFonts w:cs="Times New Roman"/>
          <w:szCs w:val="24"/>
        </w:rPr>
        <w:t>le</w:t>
      </w:r>
      <w:r w:rsidR="002177DA" w:rsidRPr="004A069C">
        <w:rPr>
          <w:rFonts w:cs="Times New Roman"/>
          <w:szCs w:val="24"/>
        </w:rPr>
        <w:t xml:space="preserve"> </w:t>
      </w:r>
      <w:r w:rsidR="00BD5B5B" w:rsidRPr="004A069C">
        <w:rPr>
          <w:rFonts w:cs="Times New Roman"/>
          <w:szCs w:val="24"/>
        </w:rPr>
        <w:t>about</w:t>
      </w:r>
      <w:r w:rsidR="002177DA" w:rsidRPr="004A069C">
        <w:rPr>
          <w:rFonts w:cs="Times New Roman"/>
          <w:szCs w:val="24"/>
        </w:rPr>
        <w:t xml:space="preserve"> firm abnormal return </w:t>
      </w:r>
      <w:r w:rsidR="00780CD7" w:rsidRPr="004A069C">
        <w:rPr>
          <w:rStyle w:val="fontstyle01"/>
          <w:rFonts w:ascii="Times New Roman" w:hAnsi="Times New Roman" w:cs="Times New Roman"/>
          <w:color w:val="auto"/>
        </w:rPr>
        <w:t>[10]</w:t>
      </w:r>
      <w:r w:rsidR="002B3A18" w:rsidRPr="004A069C">
        <w:rPr>
          <w:rStyle w:val="fontstyle01"/>
          <w:rFonts w:ascii="Times New Roman" w:hAnsi="Times New Roman" w:cs="Times New Roman"/>
          <w:color w:val="auto"/>
        </w:rPr>
        <w:t>;</w:t>
      </w:r>
      <w:r w:rsidR="002177DA" w:rsidRPr="004A069C">
        <w:rPr>
          <w:rStyle w:val="fontstyle01"/>
          <w:rFonts w:ascii="Times New Roman" w:hAnsi="Times New Roman" w:cs="Times New Roman"/>
          <w:color w:val="auto"/>
        </w:rPr>
        <w:t xml:space="preserve"> </w:t>
      </w:r>
      <w:r w:rsidR="00780CD7" w:rsidRPr="000A6B26">
        <w:t>[6]</w:t>
      </w:r>
      <w:r w:rsidR="002B3A18" w:rsidRPr="000A6B26">
        <w:t>;</w:t>
      </w:r>
      <w:r w:rsidR="002177DA" w:rsidRPr="000A6B26">
        <w:t xml:space="preserve"> </w:t>
      </w:r>
      <w:r w:rsidR="004A069C" w:rsidRPr="000A6B26">
        <w:t>[19]</w:t>
      </w:r>
      <w:r w:rsidR="000A6B26" w:rsidRPr="000A6B26">
        <w:t>; [2]</w:t>
      </w:r>
      <w:r w:rsidR="002177DA" w:rsidRPr="000A6B26">
        <w:t>.</w:t>
      </w:r>
    </w:p>
    <w:p w:rsidR="002177DA" w:rsidRPr="004A069C" w:rsidRDefault="001229B8" w:rsidP="00E92203">
      <w:pPr>
        <w:spacing w:line="360" w:lineRule="auto"/>
        <w:ind w:firstLine="720"/>
        <w:jc w:val="both"/>
        <w:rPr>
          <w:rFonts w:cs="Times New Roman"/>
          <w:szCs w:val="24"/>
        </w:rPr>
      </w:pPr>
      <w:r w:rsidRPr="004A069C">
        <w:rPr>
          <w:rFonts w:hint="eastAsia"/>
        </w:rPr>
        <w:t xml:space="preserve">Although insider sales do not always </w:t>
      </w:r>
      <w:r w:rsidRPr="004A069C">
        <w:t>communicate</w:t>
      </w:r>
      <w:r w:rsidRPr="004A069C">
        <w:rPr>
          <w:rFonts w:hint="eastAsia"/>
        </w:rPr>
        <w:t xml:space="preserve"> unfavorable information</w:t>
      </w:r>
      <w:r w:rsidRPr="004A069C">
        <w:t>,</w:t>
      </w:r>
      <w:r w:rsidRPr="004A069C">
        <w:rPr>
          <w:rFonts w:hint="eastAsia"/>
        </w:rPr>
        <w:t xml:space="preserve"> since </w:t>
      </w:r>
      <w:r w:rsidRPr="004A069C">
        <w:t>sale</w:t>
      </w:r>
      <w:bookmarkStart w:id="1" w:name="_GoBack"/>
      <w:bookmarkEnd w:id="1"/>
      <w:r w:rsidRPr="004A069C">
        <w:t>s</w:t>
      </w:r>
      <w:r w:rsidRPr="004A069C">
        <w:rPr>
          <w:rFonts w:hint="eastAsia"/>
        </w:rPr>
        <w:t xml:space="preserve"> may meet the liquidity needs of insider</w:t>
      </w:r>
      <w:r w:rsidRPr="004A069C">
        <w:t>s</w:t>
      </w:r>
      <w:r w:rsidRPr="004A069C">
        <w:rPr>
          <w:rFonts w:hint="eastAsia"/>
        </w:rPr>
        <w:t xml:space="preserve">, insider purchases convey positive information about </w:t>
      </w:r>
      <w:r w:rsidRPr="004A069C">
        <w:t>a</w:t>
      </w:r>
      <w:r w:rsidRPr="004A069C">
        <w:rPr>
          <w:rFonts w:hint="eastAsia"/>
        </w:rPr>
        <w:t xml:space="preserve"> firm</w:t>
      </w:r>
      <w:r w:rsidRPr="004A069C">
        <w:t>’</w:t>
      </w:r>
      <w:r w:rsidRPr="004A069C">
        <w:rPr>
          <w:rFonts w:hint="eastAsia"/>
        </w:rPr>
        <w:t>s prospect.</w:t>
      </w:r>
      <w:r w:rsidRPr="004A069C">
        <w:t xml:space="preserve"> </w:t>
      </w:r>
      <w:r w:rsidR="002177DA" w:rsidRPr="004A069C">
        <w:rPr>
          <w:rStyle w:val="fontstyle01"/>
          <w:rFonts w:ascii="Times New Roman" w:hAnsi="Times New Roman" w:cs="Times New Roman"/>
          <w:color w:val="auto"/>
        </w:rPr>
        <w:t xml:space="preserve">Besides the examination on the event of insider purchasing and selling stocks, the phenomenon when corporation insiders do not trade also cannot be ignored. The nonoccurrence sometimes may contain important information. </w:t>
      </w:r>
      <w:r w:rsidR="002177DA" w:rsidRPr="0082104E">
        <w:rPr>
          <w:rStyle w:val="fontstyle01"/>
          <w:rFonts w:ascii="Times New Roman" w:hAnsi="Times New Roman" w:cs="Times New Roman"/>
          <w:color w:val="auto"/>
        </w:rPr>
        <w:t xml:space="preserve">Marin and Oliver </w:t>
      </w:r>
      <w:r w:rsidR="0082104E" w:rsidRPr="004A069C">
        <w:rPr>
          <w:rStyle w:val="fontstyle01"/>
          <w:rFonts w:ascii="Times New Roman" w:hAnsi="Times New Roman" w:cs="Times New Roman"/>
          <w:color w:val="auto"/>
        </w:rPr>
        <w:t>[1</w:t>
      </w:r>
      <w:r w:rsidR="0082104E" w:rsidRPr="0082104E">
        <w:rPr>
          <w:rStyle w:val="fontstyle01"/>
          <w:rFonts w:ascii="Times New Roman" w:hAnsi="Times New Roman" w:cs="Times New Roman" w:hint="eastAsia"/>
          <w:color w:val="auto"/>
        </w:rPr>
        <w:t>5</w:t>
      </w:r>
      <w:r w:rsidR="0082104E" w:rsidRPr="004A069C">
        <w:rPr>
          <w:rStyle w:val="fontstyle01"/>
          <w:rFonts w:ascii="Times New Roman" w:hAnsi="Times New Roman" w:cs="Times New Roman"/>
          <w:color w:val="auto"/>
        </w:rPr>
        <w:t>]</w:t>
      </w:r>
      <w:r w:rsidR="002177DA" w:rsidRPr="004A069C">
        <w:rPr>
          <w:rStyle w:val="fontstyle01"/>
          <w:rFonts w:ascii="Times New Roman" w:hAnsi="Times New Roman" w:cs="Times New Roman"/>
          <w:color w:val="auto"/>
        </w:rPr>
        <w:t xml:space="preserve"> find that there is a long period of silence from insider before a large drop in stock price. This period is around ten months and before this there is one month that the purchase volume from insider is unusual high. Some recent researches have proved that the absent of insider trading can also predict the firm performance and future stock return. Gao </w:t>
      </w:r>
      <w:r w:rsidR="002177DA" w:rsidRPr="004A069C">
        <w:rPr>
          <w:rFonts w:cs="Times New Roman"/>
          <w:szCs w:val="24"/>
        </w:rPr>
        <w:t>et al.</w:t>
      </w:r>
      <w:r w:rsidR="002177DA"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002177DA" w:rsidRPr="004A069C">
        <w:rPr>
          <w:rStyle w:val="fontstyle01"/>
          <w:rFonts w:ascii="Times New Roman" w:hAnsi="Times New Roman" w:cs="Times New Roman"/>
          <w:color w:val="auto"/>
        </w:rPr>
        <w:t xml:space="preserve"> show that insider silence relates to the litigation risk and negative future stock return. They investigate the unconditional insider silence, </w:t>
      </w:r>
      <w:r w:rsidR="002177DA" w:rsidRPr="004A069C">
        <w:rPr>
          <w:rFonts w:cs="Times New Roman"/>
          <w:szCs w:val="24"/>
        </w:rPr>
        <w:t xml:space="preserve">which is defined as firms have not had any trading from insider within last </w:t>
      </w:r>
      <w:r w:rsidRPr="004A069C">
        <w:rPr>
          <w:rFonts w:cs="Times New Roman"/>
          <w:szCs w:val="24"/>
        </w:rPr>
        <w:t>twelve</w:t>
      </w:r>
      <w:r w:rsidR="002177DA" w:rsidRPr="004A069C">
        <w:rPr>
          <w:rFonts w:cs="Times New Roman"/>
          <w:szCs w:val="24"/>
        </w:rPr>
        <w:t xml:space="preserve"> months. They find </w:t>
      </w:r>
      <w:r w:rsidRPr="004A069C">
        <w:rPr>
          <w:rFonts w:cs="Times New Roman"/>
          <w:szCs w:val="24"/>
        </w:rPr>
        <w:t xml:space="preserve">that </w:t>
      </w:r>
      <w:r w:rsidR="002177DA" w:rsidRPr="004A069C">
        <w:rPr>
          <w:rFonts w:cs="Times New Roman"/>
          <w:szCs w:val="24"/>
        </w:rPr>
        <w:t xml:space="preserve">the abnormal future return following insider silence firms is lower than that following the insider selling firms. </w:t>
      </w:r>
      <w:r w:rsidRPr="004A069C">
        <w:rPr>
          <w:rFonts w:cs="Times New Roman"/>
          <w:szCs w:val="24"/>
        </w:rPr>
        <w:t>W</w:t>
      </w:r>
      <w:r w:rsidR="002177DA" w:rsidRPr="004A069C">
        <w:rPr>
          <w:rFonts w:cs="Times New Roman"/>
          <w:szCs w:val="24"/>
        </w:rPr>
        <w:t>hen the firm faces bad news, the stock price will go down. If the insider sells their stock before it drops, they will be considered as using the private information for their personal purpose before the information being public. This will break the rule of U</w:t>
      </w:r>
      <w:r w:rsidRPr="004A069C">
        <w:rPr>
          <w:rFonts w:cs="Times New Roman"/>
          <w:szCs w:val="24"/>
        </w:rPr>
        <w:t>.</w:t>
      </w:r>
      <w:r w:rsidR="002177DA" w:rsidRPr="004A069C">
        <w:rPr>
          <w:rFonts w:cs="Times New Roman"/>
          <w:szCs w:val="24"/>
        </w:rPr>
        <w:t>S</w:t>
      </w:r>
      <w:r w:rsidRPr="004A069C">
        <w:rPr>
          <w:rFonts w:cs="Times New Roman"/>
          <w:szCs w:val="24"/>
        </w:rPr>
        <w:t>.</w:t>
      </w:r>
      <w:r w:rsidR="002177DA" w:rsidRPr="004A069C">
        <w:rPr>
          <w:rFonts w:cs="Times New Roman"/>
          <w:szCs w:val="24"/>
        </w:rPr>
        <w:t xml:space="preserve"> Securities and</w:t>
      </w:r>
      <w:r w:rsidRPr="004A069C">
        <w:rPr>
          <w:rFonts w:cs="Times New Roman"/>
          <w:szCs w:val="24"/>
        </w:rPr>
        <w:t xml:space="preserve"> </w:t>
      </w:r>
      <w:r w:rsidR="002177DA" w:rsidRPr="004A069C">
        <w:rPr>
          <w:rFonts w:cs="Times New Roman"/>
          <w:szCs w:val="24"/>
        </w:rPr>
        <w:t>Exchange Commission (SEC)</w:t>
      </w:r>
      <w:r w:rsidRPr="004A069C">
        <w:rPr>
          <w:rFonts w:cs="Times New Roman"/>
          <w:szCs w:val="24"/>
        </w:rPr>
        <w:t>. A</w:t>
      </w:r>
      <w:r w:rsidR="002177DA" w:rsidRPr="004A069C">
        <w:rPr>
          <w:rFonts w:cs="Times New Roman"/>
          <w:szCs w:val="24"/>
        </w:rPr>
        <w:t>s a result</w:t>
      </w:r>
      <w:r w:rsidRPr="004A069C">
        <w:rPr>
          <w:rFonts w:cs="Times New Roman"/>
          <w:szCs w:val="24"/>
        </w:rPr>
        <w:t>,</w:t>
      </w:r>
      <w:r w:rsidR="002177DA" w:rsidRPr="004A069C">
        <w:rPr>
          <w:rFonts w:cs="Times New Roman"/>
          <w:szCs w:val="24"/>
        </w:rPr>
        <w:t xml:space="preserve"> insider may have to face lawsuit. </w:t>
      </w:r>
      <w:r w:rsidRPr="004A069C">
        <w:rPr>
          <w:rFonts w:cs="Times New Roman"/>
          <w:szCs w:val="24"/>
        </w:rPr>
        <w:t>If they buy the stock</w:t>
      </w:r>
      <w:r w:rsidR="002177DA" w:rsidRPr="004A069C">
        <w:rPr>
          <w:rFonts w:cs="Times New Roman"/>
          <w:szCs w:val="24"/>
        </w:rPr>
        <w:t>,</w:t>
      </w:r>
      <w:r w:rsidRPr="004A069C">
        <w:rPr>
          <w:rFonts w:cs="Times New Roman"/>
          <w:szCs w:val="24"/>
        </w:rPr>
        <w:t xml:space="preserve"> they will lost their own money</w:t>
      </w:r>
      <w:r w:rsidR="002177DA" w:rsidRPr="004A069C">
        <w:rPr>
          <w:rFonts w:cs="Times New Roman"/>
          <w:szCs w:val="24"/>
        </w:rPr>
        <w:t xml:space="preserve">. </w:t>
      </w:r>
      <w:r w:rsidRPr="004A069C">
        <w:rPr>
          <w:rFonts w:cs="Times New Roman"/>
          <w:szCs w:val="24"/>
        </w:rPr>
        <w:t>Therefore</w:t>
      </w:r>
      <w:r w:rsidR="002177DA" w:rsidRPr="004A069C">
        <w:rPr>
          <w:rFonts w:cs="Times New Roman"/>
          <w:szCs w:val="24"/>
        </w:rPr>
        <w:t xml:space="preserve">, the best option for them is to keep silence until the favorable condition. </w:t>
      </w:r>
      <w:r w:rsidR="002177DA" w:rsidRPr="004A069C">
        <w:rPr>
          <w:rStyle w:val="fontstyle01"/>
          <w:rFonts w:ascii="Times New Roman" w:hAnsi="Times New Roman" w:cs="Times New Roman"/>
          <w:color w:val="auto"/>
        </w:rPr>
        <w:t xml:space="preserve">Moreover, </w:t>
      </w:r>
      <w:r w:rsidR="002177DA" w:rsidRPr="004A069C">
        <w:rPr>
          <w:rFonts w:cs="Times New Roman"/>
          <w:szCs w:val="24"/>
        </w:rPr>
        <w:t xml:space="preserve">Hong and Li </w:t>
      </w:r>
      <w:r w:rsidR="00780CD7" w:rsidRPr="004A069C">
        <w:rPr>
          <w:rFonts w:cs="Times New Roman"/>
          <w:szCs w:val="24"/>
        </w:rPr>
        <w:t>[9]</w:t>
      </w:r>
      <w:r w:rsidR="002177DA" w:rsidRPr="004A069C">
        <w:rPr>
          <w:rStyle w:val="fontstyle01"/>
          <w:rFonts w:ascii="Times New Roman" w:hAnsi="Times New Roman" w:cs="Times New Roman"/>
          <w:color w:val="auto"/>
        </w:rPr>
        <w:t xml:space="preserve"> </w:t>
      </w:r>
      <w:r w:rsidRPr="004A069C">
        <w:rPr>
          <w:rStyle w:val="fontstyle01"/>
          <w:rFonts w:ascii="Times New Roman" w:hAnsi="Times New Roman" w:cs="Times New Roman"/>
          <w:color w:val="auto"/>
        </w:rPr>
        <w:t xml:space="preserve">find that </w:t>
      </w:r>
      <w:r w:rsidR="002177DA" w:rsidRPr="004A069C">
        <w:rPr>
          <w:rStyle w:val="fontstyle01"/>
          <w:rFonts w:ascii="Times New Roman" w:hAnsi="Times New Roman" w:cs="Times New Roman"/>
          <w:color w:val="auto"/>
        </w:rPr>
        <w:t>the sudden insider silence can be used to predict</w:t>
      </w:r>
      <w:r w:rsidR="0086076D" w:rsidRPr="004A069C">
        <w:rPr>
          <w:rStyle w:val="fontstyle01"/>
          <w:rFonts w:ascii="Times New Roman" w:hAnsi="Times New Roman" w:cs="Times New Roman"/>
          <w:color w:val="auto"/>
        </w:rPr>
        <w:t xml:space="preserve"> </w:t>
      </w:r>
      <w:r w:rsidR="002177DA" w:rsidRPr="004A069C">
        <w:rPr>
          <w:rStyle w:val="fontstyle01"/>
          <w:rFonts w:ascii="Times New Roman" w:hAnsi="Times New Roman" w:cs="Times New Roman"/>
          <w:color w:val="auto"/>
        </w:rPr>
        <w:t>future stock return</w:t>
      </w:r>
      <w:r w:rsidR="002177DA" w:rsidRPr="004A069C">
        <w:rPr>
          <w:rFonts w:cs="Times New Roman"/>
          <w:szCs w:val="24"/>
        </w:rPr>
        <w:t xml:space="preserve">. In addition, both firm fundamental and future stock return of firms will increase if in previous </w:t>
      </w:r>
      <w:r w:rsidR="00543367" w:rsidRPr="004A069C">
        <w:rPr>
          <w:rFonts w:cs="Times New Roman"/>
          <w:szCs w:val="24"/>
        </w:rPr>
        <w:t>two</w:t>
      </w:r>
      <w:r w:rsidR="002177DA" w:rsidRPr="004A069C">
        <w:rPr>
          <w:rFonts w:cs="Times New Roman"/>
          <w:szCs w:val="24"/>
        </w:rPr>
        <w:t xml:space="preserve"> consecutive years, insider sell their stock at the same month and stop selling at the third year. This kind of insider silence could be described as the conditional sudden silence event. With different type of insider silence the information behind them can be different. That is, bad new and good new can be conveyed at the same time.</w:t>
      </w:r>
    </w:p>
    <w:p w:rsidR="002177DA" w:rsidRPr="004A069C" w:rsidRDefault="002177DA" w:rsidP="00E92203">
      <w:pPr>
        <w:spacing w:line="360" w:lineRule="auto"/>
        <w:ind w:firstLine="720"/>
        <w:jc w:val="both"/>
        <w:rPr>
          <w:rStyle w:val="fontstyle01"/>
          <w:rFonts w:ascii="Times New Roman" w:hAnsi="Times New Roman" w:cs="Times New Roman"/>
          <w:color w:val="auto"/>
        </w:rPr>
      </w:pPr>
      <w:r w:rsidRPr="004A069C">
        <w:rPr>
          <w:rFonts w:cs="Times New Roman"/>
          <w:szCs w:val="24"/>
        </w:rPr>
        <w:t xml:space="preserve">Most of the studies about insider trading and the above two researches about insider silence focus on </w:t>
      </w:r>
      <w:r w:rsidR="006A793A" w:rsidRPr="004A069C">
        <w:rPr>
          <w:rFonts w:cs="Times New Roman"/>
          <w:szCs w:val="24"/>
        </w:rPr>
        <w:t>U.S.</w:t>
      </w:r>
      <w:r w:rsidRPr="004A069C">
        <w:rPr>
          <w:rFonts w:cs="Times New Roman"/>
          <w:szCs w:val="24"/>
        </w:rPr>
        <w:t xml:space="preserve"> stocks which are in the well-developed and long history of operation stock market. Will these findings are still consistent with the emerging stock market? In fact, this explanation cannot apply for all securities market, especially for the small and emerging market as Vietnam</w:t>
      </w:r>
      <w:r w:rsidR="006A793A" w:rsidRPr="004A069C">
        <w:rPr>
          <w:rFonts w:cs="Times New Roman"/>
          <w:szCs w:val="24"/>
        </w:rPr>
        <w:t>,</w:t>
      </w:r>
      <w:r w:rsidRPr="004A069C">
        <w:rPr>
          <w:rFonts w:cs="Times New Roman"/>
          <w:szCs w:val="24"/>
        </w:rPr>
        <w:t xml:space="preserve"> which has a big gap behind US security market. The Vietnam security market only has </w:t>
      </w:r>
      <w:r w:rsidRPr="004A069C">
        <w:rPr>
          <w:rStyle w:val="fontstyle01"/>
          <w:rFonts w:ascii="Times New Roman" w:hAnsi="Times New Roman" w:cs="Times New Roman"/>
          <w:color w:val="auto"/>
        </w:rPr>
        <w:t xml:space="preserve">nearly </w:t>
      </w:r>
      <w:r w:rsidR="00543367" w:rsidRPr="004A069C">
        <w:rPr>
          <w:rStyle w:val="fontstyle01"/>
          <w:rFonts w:ascii="Times New Roman" w:hAnsi="Times New Roman" w:cs="Times New Roman"/>
          <w:color w:val="auto"/>
        </w:rPr>
        <w:t>twenty</w:t>
      </w:r>
      <w:r w:rsidRPr="004A069C">
        <w:rPr>
          <w:rStyle w:val="fontstyle01"/>
          <w:rFonts w:ascii="Times New Roman" w:hAnsi="Times New Roman" w:cs="Times New Roman"/>
          <w:color w:val="auto"/>
        </w:rPr>
        <w:t xml:space="preserve"> years of operation and a lot of differences in the regulations and procedures for insider trading. The law to regulate insider trading activities in Vietnam is reported imprecise. There are a lot of insiders who take the advantage of these loopholes to make their individual prospects. They are willing to break the rule and pay a small amount of fine to reach their larger profit from the insider trade. However, there is only one research which examines the impact of insider trading on future stock return and no research discusses about insider silence. </w:t>
      </w:r>
      <w:r w:rsidRPr="004A069C">
        <w:rPr>
          <w:rFonts w:cs="Times New Roman"/>
          <w:szCs w:val="24"/>
        </w:rPr>
        <w:t xml:space="preserve">Lefebvre and Nguyen </w:t>
      </w:r>
      <w:r w:rsidR="004A069C" w:rsidRPr="004A069C">
        <w:rPr>
          <w:rFonts w:cs="Times New Roman"/>
          <w:szCs w:val="24"/>
        </w:rPr>
        <w:t>[14]</w:t>
      </w:r>
      <w:r w:rsidRPr="004A069C">
        <w:rPr>
          <w:rFonts w:cs="Times New Roman"/>
          <w:szCs w:val="24"/>
        </w:rPr>
        <w:t xml:space="preserve"> explore the Vietnam insider trading activities and have the consistent result with studies in others develop market. That is, future abnormal return increases when insider buy their own company stock and decreases when they sell the stock.</w:t>
      </w:r>
    </w:p>
    <w:p w:rsidR="002177DA" w:rsidRPr="004A069C" w:rsidRDefault="002177DA" w:rsidP="00E92203">
      <w:pPr>
        <w:spacing w:line="360" w:lineRule="auto"/>
        <w:jc w:val="both"/>
        <w:rPr>
          <w:rFonts w:cs="Times New Roman"/>
          <w:szCs w:val="24"/>
        </w:rPr>
      </w:pPr>
      <w:r w:rsidRPr="004A069C">
        <w:rPr>
          <w:rStyle w:val="fontstyle01"/>
          <w:rFonts w:ascii="Times New Roman" w:hAnsi="Times New Roman" w:cs="Times New Roman"/>
          <w:color w:val="auto"/>
        </w:rPr>
        <w:tab/>
        <w:t xml:space="preserve">Due to the above reasons, it is necessary to examine the impact of insider silence on the future stock return of Vietnam stock market, a typical example for young and developing security market. </w:t>
      </w:r>
      <w:r w:rsidRPr="004A069C">
        <w:rPr>
          <w:rFonts w:cs="Times New Roman"/>
          <w:szCs w:val="24"/>
        </w:rPr>
        <w:t>Moreover, we investigate the effect of two kinds of insider silence, which are unconditional silence and sudden silence. Th</w:t>
      </w:r>
      <w:r w:rsidR="006A793A" w:rsidRPr="004A069C">
        <w:rPr>
          <w:rFonts w:cs="Times New Roman"/>
          <w:szCs w:val="24"/>
        </w:rPr>
        <w:t>us</w:t>
      </w:r>
      <w:r w:rsidRPr="004A069C">
        <w:rPr>
          <w:rFonts w:cs="Times New Roman"/>
          <w:szCs w:val="24"/>
        </w:rPr>
        <w:t xml:space="preserve">, the first purpose of this paper is to verify the result of existent researches, whether the above mentioned result is still consistent with Vietnam market. Second, we </w:t>
      </w:r>
      <w:r w:rsidR="006A793A" w:rsidRPr="004A069C">
        <w:rPr>
          <w:rFonts w:cs="Times New Roman"/>
          <w:szCs w:val="24"/>
        </w:rPr>
        <w:t>examine</w:t>
      </w:r>
      <w:r w:rsidRPr="004A069C">
        <w:rPr>
          <w:rFonts w:cs="Times New Roman"/>
          <w:szCs w:val="24"/>
        </w:rPr>
        <w:t xml:space="preserve"> whether there is the difference between impact of unconditional silence and sudden silence on the abnormal future stock return. </w:t>
      </w:r>
    </w:p>
    <w:p w:rsidR="002177DA" w:rsidRPr="004A069C" w:rsidRDefault="002177DA" w:rsidP="00E92203">
      <w:pPr>
        <w:spacing w:line="360" w:lineRule="auto"/>
        <w:jc w:val="both"/>
        <w:rPr>
          <w:rFonts w:cs="Times New Roman"/>
          <w:szCs w:val="24"/>
        </w:rPr>
      </w:pPr>
      <w:r w:rsidRPr="004A069C">
        <w:rPr>
          <w:rFonts w:cs="Times New Roman"/>
          <w:szCs w:val="24"/>
        </w:rPr>
        <w:tab/>
        <w:t xml:space="preserve">The </w:t>
      </w:r>
      <w:r w:rsidR="006A793A" w:rsidRPr="004A069C">
        <w:rPr>
          <w:rFonts w:cs="Times New Roman"/>
          <w:szCs w:val="24"/>
        </w:rPr>
        <w:t>contribution</w:t>
      </w:r>
      <w:r w:rsidRPr="004A069C">
        <w:rPr>
          <w:rFonts w:cs="Times New Roman"/>
          <w:szCs w:val="24"/>
        </w:rPr>
        <w:t xml:space="preserve"> of this paper is filling the gap in the research field about insider silence in Vietnam security market. In more details, this paper will test whether the available research result in developed market is consistent with emerging market or not. In addition, this will be a source of reference for anyone who </w:t>
      </w:r>
      <w:r w:rsidR="006A793A" w:rsidRPr="004A069C">
        <w:rPr>
          <w:rFonts w:cs="Times New Roman"/>
          <w:szCs w:val="24"/>
        </w:rPr>
        <w:t xml:space="preserve">is </w:t>
      </w:r>
      <w:r w:rsidRPr="004A069C">
        <w:rPr>
          <w:rFonts w:cs="Times New Roman"/>
          <w:szCs w:val="24"/>
        </w:rPr>
        <w:t>interested or work</w:t>
      </w:r>
      <w:r w:rsidR="006A793A" w:rsidRPr="004A069C">
        <w:rPr>
          <w:rFonts w:cs="Times New Roman"/>
          <w:szCs w:val="24"/>
        </w:rPr>
        <w:t>s</w:t>
      </w:r>
      <w:r w:rsidRPr="004A069C">
        <w:rPr>
          <w:rFonts w:cs="Times New Roman"/>
          <w:szCs w:val="24"/>
        </w:rPr>
        <w:t xml:space="preserve"> in the Vietnam security market to have a deeper understanding about the trading features of Vietnam insider. This also can be a material for Vietnam regulators to maintain the transparency trading environment by improving the regulations and strictly controlling the insider trading activities. </w:t>
      </w:r>
    </w:p>
    <w:p w:rsidR="005F5046" w:rsidRPr="004A069C" w:rsidRDefault="002177DA" w:rsidP="00F56AF1">
      <w:pPr>
        <w:spacing w:line="360" w:lineRule="auto"/>
        <w:jc w:val="both"/>
        <w:rPr>
          <w:rFonts w:cs="Times New Roman"/>
          <w:b/>
          <w:szCs w:val="24"/>
        </w:rPr>
      </w:pPr>
      <w:r w:rsidRPr="004A069C">
        <w:rPr>
          <w:rFonts w:cs="Times New Roman"/>
          <w:szCs w:val="24"/>
        </w:rPr>
        <w:tab/>
        <w:t>This paper is organized as follows. In section 2, we refer to some literatures about insider silence trading and insider trading in Vietnam</w:t>
      </w:r>
      <w:r w:rsidR="00D51890" w:rsidRPr="004A069C">
        <w:rPr>
          <w:rFonts w:cs="Times New Roman"/>
          <w:szCs w:val="24"/>
        </w:rPr>
        <w:t xml:space="preserve"> and propose three hypotheses</w:t>
      </w:r>
      <w:r w:rsidRPr="004A069C">
        <w:rPr>
          <w:rFonts w:cs="Times New Roman"/>
          <w:szCs w:val="24"/>
        </w:rPr>
        <w:t xml:space="preserve">. Section 3 </w:t>
      </w:r>
      <w:r w:rsidR="00D51890" w:rsidRPr="004A069C">
        <w:rPr>
          <w:rFonts w:cs="Times New Roman"/>
          <w:szCs w:val="24"/>
        </w:rPr>
        <w:t>present</w:t>
      </w:r>
      <w:r w:rsidRPr="004A069C">
        <w:rPr>
          <w:rFonts w:cs="Times New Roman"/>
          <w:szCs w:val="24"/>
        </w:rPr>
        <w:t xml:space="preserve">s </w:t>
      </w:r>
      <w:r w:rsidR="00D51890" w:rsidRPr="004A069C">
        <w:rPr>
          <w:rFonts w:cs="Times New Roman"/>
          <w:szCs w:val="24"/>
        </w:rPr>
        <w:t>data and methodology</w:t>
      </w:r>
      <w:r w:rsidRPr="004A069C">
        <w:rPr>
          <w:rFonts w:cs="Times New Roman"/>
          <w:szCs w:val="24"/>
        </w:rPr>
        <w:t xml:space="preserve">, </w:t>
      </w:r>
      <w:r w:rsidR="006A793A" w:rsidRPr="004A069C">
        <w:rPr>
          <w:rFonts w:cs="Times New Roman"/>
          <w:szCs w:val="24"/>
        </w:rPr>
        <w:t xml:space="preserve">and </w:t>
      </w:r>
      <w:r w:rsidRPr="004A069C">
        <w:rPr>
          <w:rFonts w:cs="Times New Roman"/>
          <w:szCs w:val="24"/>
        </w:rPr>
        <w:t>section 4</w:t>
      </w:r>
      <w:r w:rsidR="00D51890" w:rsidRPr="004A069C">
        <w:rPr>
          <w:rFonts w:cs="Times New Roman"/>
          <w:szCs w:val="24"/>
        </w:rPr>
        <w:t xml:space="preserve"> exhibits empirical results. F</w:t>
      </w:r>
      <w:r w:rsidRPr="004A069C">
        <w:rPr>
          <w:rFonts w:cs="Times New Roman"/>
          <w:szCs w:val="24"/>
        </w:rPr>
        <w:t xml:space="preserve">inal part is the conclusion. </w:t>
      </w:r>
    </w:p>
    <w:p w:rsidR="00F56AF1" w:rsidRPr="004A069C" w:rsidRDefault="005F5046" w:rsidP="00F56AF1">
      <w:pPr>
        <w:pStyle w:val="1"/>
        <w:jc w:val="left"/>
        <w:rPr>
          <w:sz w:val="24"/>
          <w:szCs w:val="24"/>
        </w:rPr>
      </w:pPr>
      <w:bookmarkStart w:id="2" w:name="_Toc27623009"/>
      <w:r w:rsidRPr="004A069C">
        <w:rPr>
          <w:sz w:val="24"/>
          <w:szCs w:val="24"/>
        </w:rPr>
        <w:t>2</w:t>
      </w:r>
      <w:r w:rsidR="00F56AF1" w:rsidRPr="004A069C">
        <w:rPr>
          <w:sz w:val="24"/>
          <w:szCs w:val="24"/>
        </w:rPr>
        <w:t>.</w:t>
      </w:r>
      <w:r w:rsidR="002177DA" w:rsidRPr="004A069C">
        <w:rPr>
          <w:sz w:val="24"/>
          <w:szCs w:val="24"/>
        </w:rPr>
        <w:t xml:space="preserve"> Literature Review</w:t>
      </w:r>
      <w:r w:rsidRPr="004A069C">
        <w:rPr>
          <w:sz w:val="24"/>
          <w:szCs w:val="24"/>
        </w:rPr>
        <w:t xml:space="preserve"> and Hypothe</w:t>
      </w:r>
      <w:bookmarkStart w:id="3" w:name="_Toc27623010"/>
      <w:bookmarkEnd w:id="2"/>
      <w:r w:rsidR="00F56AF1" w:rsidRPr="004A069C">
        <w:rPr>
          <w:sz w:val="24"/>
          <w:szCs w:val="24"/>
        </w:rPr>
        <w:t>ses</w:t>
      </w:r>
    </w:p>
    <w:p w:rsidR="00673F53" w:rsidRPr="004A069C" w:rsidRDefault="005F5046" w:rsidP="00F56AF1">
      <w:pPr>
        <w:pStyle w:val="1"/>
        <w:jc w:val="left"/>
        <w:rPr>
          <w:sz w:val="24"/>
          <w:szCs w:val="24"/>
        </w:rPr>
      </w:pPr>
      <w:r w:rsidRPr="004A069C">
        <w:rPr>
          <w:rStyle w:val="fontstyle01"/>
          <w:rFonts w:ascii="Times New Roman" w:hAnsi="Times New Roman" w:cs="Times New Roman"/>
          <w:color w:val="auto"/>
        </w:rPr>
        <w:t xml:space="preserve">2.1 </w:t>
      </w:r>
      <w:r w:rsidRPr="004A069C">
        <w:rPr>
          <w:rFonts w:cs="Times New Roman"/>
          <w:sz w:val="24"/>
          <w:szCs w:val="24"/>
        </w:rPr>
        <w:t>Literature Review</w:t>
      </w:r>
      <w:bookmarkEnd w:id="3"/>
      <w:r w:rsidR="007A0AC6" w:rsidRPr="004A069C">
        <w:rPr>
          <w:rFonts w:cs="Times New Roman"/>
          <w:sz w:val="24"/>
          <w:szCs w:val="24"/>
        </w:rPr>
        <w:t xml:space="preserve"> about insider trading</w:t>
      </w:r>
    </w:p>
    <w:p w:rsidR="002177DA" w:rsidRPr="004A069C" w:rsidRDefault="002177DA" w:rsidP="00673F53">
      <w:pPr>
        <w:spacing w:after="240" w:line="360" w:lineRule="auto"/>
        <w:ind w:firstLine="720"/>
        <w:jc w:val="both"/>
        <w:rPr>
          <w:rFonts w:cs="Times New Roman"/>
          <w:szCs w:val="24"/>
        </w:rPr>
      </w:pPr>
      <w:r w:rsidRPr="004A069C">
        <w:rPr>
          <w:rFonts w:cs="Times New Roman"/>
          <w:szCs w:val="24"/>
        </w:rPr>
        <w:t xml:space="preserve">Corporation insiders are including the firm’s employees, </w:t>
      </w:r>
      <w:r w:rsidR="002015FD" w:rsidRPr="004A069C">
        <w:rPr>
          <w:rFonts w:cs="Times New Roman"/>
          <w:szCs w:val="24"/>
        </w:rPr>
        <w:t xml:space="preserve">managers, directors, </w:t>
      </w:r>
      <w:r w:rsidRPr="004A069C">
        <w:rPr>
          <w:rFonts w:cs="Times New Roman"/>
          <w:szCs w:val="24"/>
        </w:rPr>
        <w:t xml:space="preserve">shareholders who hold more than 10% corporation voting shares, </w:t>
      </w:r>
      <w:r w:rsidR="002015FD" w:rsidRPr="004A069C">
        <w:rPr>
          <w:rFonts w:cs="Times New Roman"/>
          <w:szCs w:val="24"/>
        </w:rPr>
        <w:t>and</w:t>
      </w:r>
      <w:r w:rsidRPr="004A069C">
        <w:rPr>
          <w:rFonts w:cs="Times New Roman"/>
          <w:szCs w:val="24"/>
        </w:rPr>
        <w:t xml:space="preserve"> the family members of employees. They can access to the non-public materials about the organization performance which can affect the decision of investors to buy or sell stock. Insider trading is an event that corporation insider selling or purchasing the security of their own company. It is compulsory for insider to announce their trades to the financial supervision committee </w:t>
      </w:r>
      <w:r w:rsidR="004A069C" w:rsidRPr="004A069C">
        <w:rPr>
          <w:rFonts w:cs="Times New Roman"/>
          <w:szCs w:val="24"/>
        </w:rPr>
        <w:t>[16]</w:t>
      </w:r>
      <w:r w:rsidRPr="004A069C">
        <w:rPr>
          <w:rFonts w:cs="Times New Roman"/>
          <w:szCs w:val="24"/>
        </w:rPr>
        <w:t xml:space="preserve">. Due to the </w:t>
      </w:r>
      <w:r w:rsidR="002015FD" w:rsidRPr="004A069C">
        <w:rPr>
          <w:rFonts w:cs="Times New Roman"/>
          <w:szCs w:val="24"/>
        </w:rPr>
        <w:t xml:space="preserve">information </w:t>
      </w:r>
      <w:r w:rsidRPr="004A069C">
        <w:rPr>
          <w:rFonts w:cs="Times New Roman"/>
          <w:szCs w:val="24"/>
        </w:rPr>
        <w:t xml:space="preserve">advantage, corporation insiders could earn higher profit than their fellow investors. Therefore, the regulators always try to maintain a fair market place by establishing specific rules and restriction on insider trading activities. The trading activities of corporate insider can be a signal of the firm future prospects. Thus, there are always a high attention from investors, investment fund managers, regulators, and mass media to these trading activities. </w:t>
      </w: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Earlier from 1970 to 1976, some researchers study about the abnormal future return for insider trading of NYSE stock sample in different period of time </w:t>
      </w:r>
      <w:r w:rsidR="004A069C" w:rsidRPr="004A069C">
        <w:rPr>
          <w:rFonts w:cs="Times New Roman"/>
          <w:szCs w:val="24"/>
        </w:rPr>
        <w:t>[18]</w:t>
      </w:r>
      <w:r w:rsidRPr="004A069C">
        <w:rPr>
          <w:rFonts w:cs="Times New Roman"/>
          <w:szCs w:val="24"/>
        </w:rPr>
        <w:t xml:space="preserve">; </w:t>
      </w:r>
      <w:r w:rsidR="00780CD7" w:rsidRPr="004A069C">
        <w:rPr>
          <w:rFonts w:cs="Times New Roman"/>
          <w:szCs w:val="24"/>
        </w:rPr>
        <w:t>[10]</w:t>
      </w:r>
      <w:r w:rsidRPr="004A069C">
        <w:rPr>
          <w:rFonts w:cs="Times New Roman"/>
          <w:szCs w:val="24"/>
        </w:rPr>
        <w:t xml:space="preserve">; </w:t>
      </w:r>
      <w:r w:rsidR="00780CD7" w:rsidRPr="004A069C">
        <w:rPr>
          <w:rFonts w:cs="Times New Roman"/>
          <w:szCs w:val="24"/>
        </w:rPr>
        <w:t>[</w:t>
      </w:r>
      <w:r w:rsidRPr="004A069C">
        <w:rPr>
          <w:rFonts w:cs="Times New Roman"/>
          <w:szCs w:val="24"/>
        </w:rPr>
        <w:t>6</w:t>
      </w:r>
      <w:r w:rsidR="00780CD7" w:rsidRPr="004A069C">
        <w:rPr>
          <w:rFonts w:cs="Times New Roman"/>
          <w:szCs w:val="24"/>
        </w:rPr>
        <w:t>]</w:t>
      </w:r>
      <w:r w:rsidRPr="004A069C">
        <w:rPr>
          <w:rFonts w:cs="Times New Roman"/>
          <w:szCs w:val="24"/>
        </w:rPr>
        <w:t>. Although these studies use different definitions</w:t>
      </w:r>
      <w:r w:rsidR="00EE5C45" w:rsidRPr="004A069C">
        <w:rPr>
          <w:rFonts w:cs="Times New Roman"/>
          <w:szCs w:val="24"/>
        </w:rPr>
        <w:t xml:space="preserve"> of insider trading</w:t>
      </w:r>
      <w:r w:rsidRPr="004A069C">
        <w:rPr>
          <w:rFonts w:cs="Times New Roman"/>
          <w:szCs w:val="24"/>
        </w:rPr>
        <w:t xml:space="preserve">, the conclusion of these researches is </w:t>
      </w:r>
      <w:r w:rsidR="00CB698A" w:rsidRPr="004A069C">
        <w:rPr>
          <w:rFonts w:cs="Times New Roman"/>
          <w:szCs w:val="24"/>
        </w:rPr>
        <w:t xml:space="preserve">that </w:t>
      </w:r>
      <w:r w:rsidRPr="004A069C">
        <w:rPr>
          <w:rFonts w:cs="Times New Roman"/>
          <w:szCs w:val="24"/>
        </w:rPr>
        <w:t xml:space="preserve">insider trading can be an indication for the firm future abnormal return. Some research are conducted outside the US market with the similar results. </w:t>
      </w:r>
      <w:r w:rsidR="00EE5C45" w:rsidRPr="004A069C">
        <w:rPr>
          <w:rFonts w:cs="Times New Roman"/>
          <w:szCs w:val="24"/>
        </w:rPr>
        <w:t>In</w:t>
      </w:r>
      <w:r w:rsidRPr="004A069C">
        <w:rPr>
          <w:rFonts w:cs="Times New Roman"/>
          <w:szCs w:val="24"/>
        </w:rPr>
        <w:t xml:space="preserve"> the UK security market, although </w:t>
      </w:r>
      <w:r w:rsidRPr="0082104E">
        <w:rPr>
          <w:rFonts w:cs="Times New Roman"/>
          <w:szCs w:val="24"/>
        </w:rPr>
        <w:t xml:space="preserve">King and Roell </w:t>
      </w:r>
      <w:r w:rsidR="0082104E">
        <w:rPr>
          <w:rFonts w:cs="Times New Roman"/>
          <w:szCs w:val="24"/>
        </w:rPr>
        <w:t>[1</w:t>
      </w:r>
      <w:r w:rsidR="0082104E" w:rsidRPr="0082104E">
        <w:rPr>
          <w:rFonts w:cs="Times New Roman" w:hint="eastAsia"/>
          <w:szCs w:val="24"/>
        </w:rPr>
        <w:t>3</w:t>
      </w:r>
      <w:r w:rsidR="0082104E" w:rsidRPr="004A069C">
        <w:rPr>
          <w:rFonts w:cs="Times New Roman"/>
          <w:szCs w:val="24"/>
        </w:rPr>
        <w:t>]</w:t>
      </w:r>
      <w:r w:rsidRPr="004A069C">
        <w:rPr>
          <w:rFonts w:cs="Times New Roman"/>
          <w:szCs w:val="24"/>
        </w:rPr>
        <w:t xml:space="preserve"> and Pope et al. </w:t>
      </w:r>
      <w:r w:rsidR="004A069C" w:rsidRPr="004A069C">
        <w:rPr>
          <w:rFonts w:cs="Times New Roman"/>
          <w:szCs w:val="24"/>
        </w:rPr>
        <w:t>[17]</w:t>
      </w:r>
      <w:r w:rsidRPr="004A069C">
        <w:rPr>
          <w:rFonts w:cs="Times New Roman"/>
          <w:szCs w:val="24"/>
        </w:rPr>
        <w:t xml:space="preserve"> conduct the researches with different size of sample in the same period of time, the outcome of these two researches is consistent with the statement that insider buying can predict positive future of return but much weaker in the </w:t>
      </w:r>
      <w:r w:rsidR="00EE5C45" w:rsidRPr="004A069C">
        <w:rPr>
          <w:rFonts w:cs="Times New Roman"/>
          <w:szCs w:val="24"/>
        </w:rPr>
        <w:t>large</w:t>
      </w:r>
      <w:r w:rsidRPr="004A069C">
        <w:rPr>
          <w:rFonts w:cs="Times New Roman"/>
          <w:szCs w:val="24"/>
        </w:rPr>
        <w:t xml:space="preserve"> </w:t>
      </w:r>
      <w:r w:rsidR="00EE5C45" w:rsidRPr="004A069C">
        <w:rPr>
          <w:rFonts w:cs="Times New Roman"/>
          <w:szCs w:val="24"/>
        </w:rPr>
        <w:t xml:space="preserve">stock </w:t>
      </w:r>
      <w:r w:rsidRPr="004A069C">
        <w:rPr>
          <w:rFonts w:cs="Times New Roman"/>
          <w:szCs w:val="24"/>
        </w:rPr>
        <w:t xml:space="preserve">sample. In </w:t>
      </w:r>
      <w:r w:rsidR="00EE5C45" w:rsidRPr="004A069C">
        <w:rPr>
          <w:rFonts w:cs="Times New Roman"/>
          <w:szCs w:val="24"/>
        </w:rPr>
        <w:t xml:space="preserve">the </w:t>
      </w:r>
      <w:r w:rsidRPr="004A069C">
        <w:rPr>
          <w:rFonts w:cs="Times New Roman"/>
          <w:szCs w:val="24"/>
        </w:rPr>
        <w:t xml:space="preserve">Spain market, Del Brio et al. </w:t>
      </w:r>
      <w:r w:rsidR="00780CD7" w:rsidRPr="004A069C">
        <w:rPr>
          <w:rFonts w:cs="Times New Roman"/>
          <w:szCs w:val="24"/>
        </w:rPr>
        <w:t>[4]</w:t>
      </w:r>
      <w:r w:rsidRPr="004A069C">
        <w:rPr>
          <w:rFonts w:cs="Times New Roman"/>
          <w:szCs w:val="24"/>
        </w:rPr>
        <w:t xml:space="preserve"> find that there is abnormal return for insider who trade on their own company stock. However, if normal investors try to trade in the same direction with the insiders, they cannot earn anything. In German stocks market, the same result is that there is positive future stock return after buying transactions and negative future stock return after selling transactions from insider (</w:t>
      </w:r>
      <w:r w:rsidR="00780CD7" w:rsidRPr="004A069C">
        <w:rPr>
          <w:rFonts w:cs="Times New Roman" w:hint="eastAsia"/>
          <w:szCs w:val="24"/>
        </w:rPr>
        <w:t>[1]</w:t>
      </w:r>
      <w:r w:rsidRPr="004A069C">
        <w:rPr>
          <w:rFonts w:cs="Times New Roman"/>
          <w:szCs w:val="24"/>
        </w:rPr>
        <w:t xml:space="preserve">). The different kind of insiders trading which can have dissimilar effect to the firm performance. Seyhun </w:t>
      </w:r>
      <w:r w:rsidR="004A069C" w:rsidRPr="004A069C">
        <w:rPr>
          <w:rFonts w:cs="Times New Roman"/>
          <w:szCs w:val="24"/>
        </w:rPr>
        <w:t>[19]</w:t>
      </w:r>
      <w:r w:rsidRPr="004A069C">
        <w:rPr>
          <w:rFonts w:cs="Times New Roman"/>
          <w:szCs w:val="24"/>
        </w:rPr>
        <w:t xml:space="preserve"> f</w:t>
      </w:r>
      <w:r w:rsidR="00EE5C45" w:rsidRPr="004A069C">
        <w:rPr>
          <w:rFonts w:cs="Times New Roman"/>
          <w:szCs w:val="24"/>
        </w:rPr>
        <w:t>i</w:t>
      </w:r>
      <w:r w:rsidRPr="004A069C">
        <w:rPr>
          <w:rFonts w:cs="Times New Roman"/>
          <w:szCs w:val="24"/>
        </w:rPr>
        <w:t>nd</w:t>
      </w:r>
      <w:r w:rsidR="00EE5C45" w:rsidRPr="004A069C">
        <w:rPr>
          <w:rFonts w:cs="Times New Roman"/>
          <w:szCs w:val="24"/>
        </w:rPr>
        <w:t>s</w:t>
      </w:r>
      <w:r w:rsidRPr="004A069C">
        <w:rPr>
          <w:rFonts w:cs="Times New Roman"/>
          <w:szCs w:val="24"/>
        </w:rPr>
        <w:t xml:space="preserve"> that </w:t>
      </w:r>
      <w:r w:rsidR="00EE5C45" w:rsidRPr="004A069C">
        <w:rPr>
          <w:rFonts w:cs="Times New Roman"/>
          <w:szCs w:val="24"/>
        </w:rPr>
        <w:t>in</w:t>
      </w:r>
      <w:r w:rsidRPr="004A069C">
        <w:rPr>
          <w:rFonts w:cs="Times New Roman"/>
          <w:szCs w:val="24"/>
        </w:rPr>
        <w:t xml:space="preserve"> US security market</w:t>
      </w:r>
      <w:r w:rsidR="00EE5C45" w:rsidRPr="004A069C">
        <w:rPr>
          <w:rFonts w:cs="Times New Roman"/>
          <w:szCs w:val="24"/>
        </w:rPr>
        <w:t>,</w:t>
      </w:r>
      <w:r w:rsidRPr="004A069C">
        <w:rPr>
          <w:rFonts w:cs="Times New Roman"/>
          <w:szCs w:val="24"/>
        </w:rPr>
        <w:t xml:space="preserve"> the transaction of director is more powerful in predict</w:t>
      </w:r>
      <w:r w:rsidR="00EE5C45" w:rsidRPr="004A069C">
        <w:rPr>
          <w:rFonts w:cs="Times New Roman"/>
          <w:szCs w:val="24"/>
        </w:rPr>
        <w:t>ing</w:t>
      </w:r>
      <w:r w:rsidRPr="004A069C">
        <w:rPr>
          <w:rFonts w:cs="Times New Roman"/>
          <w:szCs w:val="24"/>
        </w:rPr>
        <w:t xml:space="preserve"> firm future return than normal insiders. Jenter </w:t>
      </w:r>
      <w:r w:rsidR="00780CD7" w:rsidRPr="004A069C">
        <w:rPr>
          <w:rFonts w:cs="Times New Roman"/>
          <w:szCs w:val="24"/>
        </w:rPr>
        <w:t>[11]</w:t>
      </w:r>
      <w:r w:rsidRPr="004A069C">
        <w:rPr>
          <w:rFonts w:cs="Times New Roman"/>
          <w:szCs w:val="24"/>
        </w:rPr>
        <w:t xml:space="preserve"> reflect</w:t>
      </w:r>
      <w:r w:rsidR="00EE5C45" w:rsidRPr="004A069C">
        <w:rPr>
          <w:rFonts w:cs="Times New Roman"/>
          <w:szCs w:val="24"/>
        </w:rPr>
        <w:t>s</w:t>
      </w:r>
      <w:r w:rsidRPr="004A069C">
        <w:rPr>
          <w:rFonts w:cs="Times New Roman"/>
          <w:szCs w:val="24"/>
        </w:rPr>
        <w:t xml:space="preserve"> that the high level manager trading and decision could expose the firm value. Seyhun </w:t>
      </w:r>
      <w:r w:rsidR="004A069C" w:rsidRPr="004A069C">
        <w:rPr>
          <w:rFonts w:cs="Times New Roman"/>
          <w:szCs w:val="24"/>
        </w:rPr>
        <w:t>[19]</w:t>
      </w:r>
      <w:r w:rsidRPr="004A069C">
        <w:rPr>
          <w:rFonts w:cs="Times New Roman"/>
          <w:szCs w:val="24"/>
        </w:rPr>
        <w:t xml:space="preserve"> conclu</w:t>
      </w:r>
      <w:r w:rsidR="00EE5C45" w:rsidRPr="004A069C">
        <w:rPr>
          <w:rFonts w:cs="Times New Roman"/>
          <w:szCs w:val="24"/>
        </w:rPr>
        <w:t>des</w:t>
      </w:r>
      <w:r w:rsidRPr="004A069C">
        <w:rPr>
          <w:rFonts w:cs="Times New Roman"/>
          <w:szCs w:val="24"/>
        </w:rPr>
        <w:t xml:space="preserve"> that both trading from US insiders and mimicking trade of outsider gain</w:t>
      </w:r>
      <w:r w:rsidR="00EE5C45" w:rsidRPr="004A069C">
        <w:rPr>
          <w:rFonts w:cs="Times New Roman"/>
          <w:szCs w:val="24"/>
        </w:rPr>
        <w:t xml:space="preserve"> profits</w:t>
      </w:r>
      <w:r w:rsidRPr="004A069C">
        <w:rPr>
          <w:rFonts w:cs="Times New Roman"/>
          <w:szCs w:val="24"/>
        </w:rPr>
        <w:t>.</w:t>
      </w: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Although there are a huge number of studies about the relationship of insider buying, </w:t>
      </w:r>
      <w:r w:rsidR="00D7013D" w:rsidRPr="004A069C">
        <w:rPr>
          <w:rFonts w:cs="Times New Roman"/>
          <w:szCs w:val="24"/>
        </w:rPr>
        <w:t xml:space="preserve">and </w:t>
      </w:r>
      <w:r w:rsidRPr="004A069C">
        <w:rPr>
          <w:rFonts w:cs="Times New Roman"/>
          <w:szCs w:val="24"/>
        </w:rPr>
        <w:t>selling, a few researches discus</w:t>
      </w:r>
      <w:r w:rsidR="00D7013D" w:rsidRPr="004A069C">
        <w:rPr>
          <w:rFonts w:cs="Times New Roman"/>
          <w:szCs w:val="24"/>
        </w:rPr>
        <w:t>s</w:t>
      </w:r>
      <w:r w:rsidRPr="004A069C">
        <w:rPr>
          <w:rFonts w:cs="Times New Roman"/>
          <w:szCs w:val="24"/>
        </w:rPr>
        <w:t xml:space="preserve"> about insider silence. The nonappearance of an event sometime exposes some essential information. </w:t>
      </w:r>
      <w:r w:rsidRPr="0082104E">
        <w:rPr>
          <w:rFonts w:cs="Times New Roman"/>
          <w:szCs w:val="24"/>
        </w:rPr>
        <w:t xml:space="preserve">Marin and Olivier </w:t>
      </w:r>
      <w:r w:rsidR="0082104E" w:rsidRPr="0082104E">
        <w:t>[15]</w:t>
      </w:r>
      <w:r w:rsidRPr="004A069C">
        <w:rPr>
          <w:rFonts w:cs="Times New Roman"/>
          <w:color w:val="0070C0"/>
          <w:szCs w:val="24"/>
        </w:rPr>
        <w:t xml:space="preserve"> </w:t>
      </w:r>
      <w:r w:rsidRPr="004A069C">
        <w:rPr>
          <w:rFonts w:cs="Times New Roman"/>
          <w:szCs w:val="24"/>
        </w:rPr>
        <w:t xml:space="preserve">concern about dropping in the amount of insider net selling after many month of consecutive selling and this dropping period is also the time of stock price crash. </w:t>
      </w:r>
      <w:r w:rsidR="00D7013D" w:rsidRPr="004A069C">
        <w:rPr>
          <w:rFonts w:cs="Times New Roman"/>
          <w:szCs w:val="24"/>
        </w:rPr>
        <w:t>On the contrary, insider only has a</w:t>
      </w:r>
      <w:r w:rsidRPr="004A069C">
        <w:rPr>
          <w:rFonts w:cs="Times New Roman"/>
          <w:szCs w:val="24"/>
        </w:rPr>
        <w:t xml:space="preserve"> </w:t>
      </w:r>
      <w:r w:rsidR="00D7013D" w:rsidRPr="004A069C">
        <w:rPr>
          <w:rFonts w:cs="Times New Roman"/>
          <w:szCs w:val="24"/>
        </w:rPr>
        <w:t>great</w:t>
      </w:r>
      <w:r w:rsidRPr="004A069C">
        <w:rPr>
          <w:rFonts w:cs="Times New Roman"/>
          <w:szCs w:val="24"/>
        </w:rPr>
        <w:t xml:space="preserve"> amount of buying one month before the suddenly rise of stock price and this is also the period lacking of insider trading. Giglio and Shue </w:t>
      </w:r>
      <w:r w:rsidR="00780CD7" w:rsidRPr="004A069C">
        <w:rPr>
          <w:rFonts w:cs="Times New Roman"/>
          <w:szCs w:val="24"/>
        </w:rPr>
        <w:t>[8]</w:t>
      </w:r>
      <w:r w:rsidRPr="004A069C">
        <w:rPr>
          <w:rFonts w:cs="Times New Roman"/>
          <w:szCs w:val="24"/>
        </w:rPr>
        <w:t xml:space="preserve"> study about the corporation merging</w:t>
      </w:r>
      <w:r w:rsidR="00D7013D" w:rsidRPr="004A069C">
        <w:rPr>
          <w:rFonts w:cs="Times New Roman"/>
          <w:szCs w:val="24"/>
        </w:rPr>
        <w:t xml:space="preserve"> and</w:t>
      </w:r>
      <w:r w:rsidRPr="004A069C">
        <w:rPr>
          <w:rFonts w:cs="Times New Roman"/>
          <w:szCs w:val="24"/>
        </w:rPr>
        <w:t xml:space="preserve"> show that silence is a positive signal. There is a high hazard ra</w:t>
      </w:r>
      <w:r w:rsidR="00D7013D" w:rsidRPr="004A069C">
        <w:rPr>
          <w:rFonts w:cs="Times New Roman"/>
          <w:szCs w:val="24"/>
        </w:rPr>
        <w:t>te after the merge announcement.</w:t>
      </w:r>
      <w:r w:rsidRPr="004A069C">
        <w:rPr>
          <w:rFonts w:cs="Times New Roman"/>
          <w:szCs w:val="24"/>
        </w:rPr>
        <w:t xml:space="preserve"> </w:t>
      </w:r>
      <w:r w:rsidR="00D7013D" w:rsidRPr="004A069C">
        <w:rPr>
          <w:rFonts w:cs="Times New Roman"/>
          <w:szCs w:val="24"/>
        </w:rPr>
        <w:t>I</w:t>
      </w:r>
      <w:r w:rsidRPr="004A069C">
        <w:rPr>
          <w:rFonts w:cs="Times New Roman"/>
          <w:szCs w:val="24"/>
        </w:rPr>
        <w:t xml:space="preserve">f </w:t>
      </w:r>
      <w:r w:rsidR="00D7013D" w:rsidRPr="004A069C">
        <w:rPr>
          <w:rFonts w:cs="Times New Roman"/>
          <w:szCs w:val="24"/>
        </w:rPr>
        <w:t xml:space="preserve">there is a silence </w:t>
      </w:r>
      <w:r w:rsidRPr="004A069C">
        <w:rPr>
          <w:rFonts w:cs="Times New Roman"/>
          <w:szCs w:val="24"/>
        </w:rPr>
        <w:t xml:space="preserve">during the period after announcement, this passage of time can predict the completion of merging. The important of silence in insider trading has been proved in </w:t>
      </w:r>
      <w:r w:rsidRPr="004A069C">
        <w:rPr>
          <w:rStyle w:val="fontstyle01"/>
          <w:rFonts w:ascii="Times New Roman" w:hAnsi="Times New Roman" w:cs="Times New Roman"/>
          <w:color w:val="auto"/>
        </w:rPr>
        <w:t xml:space="preserve">Gao </w:t>
      </w:r>
      <w:r w:rsidRPr="004A069C">
        <w:rPr>
          <w:rFonts w:cs="Times New Roman"/>
          <w:szCs w:val="24"/>
        </w:rPr>
        <w:t xml:space="preserve">et </w:t>
      </w:r>
      <w:r w:rsidR="00AE1BCE" w:rsidRPr="004A069C">
        <w:rPr>
          <w:rFonts w:cs="Times New Roman"/>
          <w:szCs w:val="24"/>
        </w:rPr>
        <w:t>a</w:t>
      </w:r>
      <w:r w:rsidRPr="004A069C">
        <w:rPr>
          <w:rFonts w:cs="Times New Roman"/>
          <w:szCs w:val="24"/>
        </w:rPr>
        <w:t>l.</w:t>
      </w:r>
      <w:r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00D7013D" w:rsidRPr="004A069C">
        <w:rPr>
          <w:rStyle w:val="fontstyle01"/>
          <w:rFonts w:ascii="Times New Roman" w:hAnsi="Times New Roman" w:cs="Times New Roman"/>
          <w:color w:val="auto"/>
        </w:rPr>
        <w:t xml:space="preserve"> and</w:t>
      </w:r>
      <w:r w:rsidRPr="004A069C">
        <w:rPr>
          <w:rStyle w:val="fontstyle01"/>
          <w:rFonts w:ascii="Times New Roman" w:hAnsi="Times New Roman" w:cs="Times New Roman"/>
          <w:color w:val="auto"/>
        </w:rPr>
        <w:t xml:space="preserve"> </w:t>
      </w:r>
      <w:r w:rsidRPr="004A069C">
        <w:rPr>
          <w:rFonts w:cs="Times New Roman"/>
          <w:szCs w:val="24"/>
        </w:rPr>
        <w:t xml:space="preserve">Hong and Li </w:t>
      </w:r>
      <w:r w:rsidR="00780CD7" w:rsidRPr="004A069C">
        <w:rPr>
          <w:rFonts w:cs="Times New Roman"/>
          <w:szCs w:val="24"/>
        </w:rPr>
        <w:t>[9]</w:t>
      </w:r>
      <w:r w:rsidRPr="004A069C">
        <w:rPr>
          <w:rFonts w:cs="Times New Roman"/>
          <w:szCs w:val="24"/>
        </w:rPr>
        <w:t xml:space="preserve"> in US security market. According to </w:t>
      </w:r>
      <w:r w:rsidRPr="004A069C">
        <w:rPr>
          <w:rStyle w:val="fontstyle01"/>
          <w:rFonts w:ascii="Times New Roman" w:hAnsi="Times New Roman" w:cs="Times New Roman"/>
          <w:color w:val="auto"/>
        </w:rPr>
        <w:t xml:space="preserve">Gao </w:t>
      </w:r>
      <w:r w:rsidRPr="004A069C">
        <w:rPr>
          <w:rFonts w:cs="Times New Roman"/>
          <w:szCs w:val="24"/>
        </w:rPr>
        <w:t>et al.</w:t>
      </w:r>
      <w:r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Pr="004A069C">
        <w:rPr>
          <w:rStyle w:val="fontstyle01"/>
          <w:rFonts w:ascii="Times New Roman" w:hAnsi="Times New Roman" w:cs="Times New Roman"/>
          <w:color w:val="auto"/>
        </w:rPr>
        <w:t xml:space="preserve">, </w:t>
      </w:r>
      <w:r w:rsidRPr="004A069C">
        <w:rPr>
          <w:rFonts w:cs="Times New Roman"/>
          <w:szCs w:val="24"/>
        </w:rPr>
        <w:t xml:space="preserve">firms which </w:t>
      </w:r>
      <w:r w:rsidR="00D7013D" w:rsidRPr="004A069C">
        <w:rPr>
          <w:rFonts w:cs="Times New Roman"/>
          <w:szCs w:val="24"/>
        </w:rPr>
        <w:t>are</w:t>
      </w:r>
      <w:r w:rsidRPr="004A069C">
        <w:rPr>
          <w:rFonts w:cs="Times New Roman"/>
          <w:szCs w:val="24"/>
        </w:rPr>
        <w:t xml:space="preserve"> insider silence in the past 12 months would experience lower stock cumulative excess return in the next 12 months period than firms which have insider net selling in the same period. When they compare firms which have litigation event and crash stock price to their peers with the same </w:t>
      </w:r>
      <w:r w:rsidR="00D7013D" w:rsidRPr="004A069C">
        <w:rPr>
          <w:rFonts w:cs="Times New Roman"/>
          <w:szCs w:val="24"/>
        </w:rPr>
        <w:t>s</w:t>
      </w:r>
      <w:r w:rsidRPr="004A069C">
        <w:rPr>
          <w:rFonts w:cs="Times New Roman"/>
          <w:szCs w:val="24"/>
        </w:rPr>
        <w:t xml:space="preserve">ize, b/M and industry, the insiders in litigation and crash price firms tend to stay silence more frequently than their peers. They use </w:t>
      </w:r>
      <w:r w:rsidR="00543367" w:rsidRPr="004A069C">
        <w:rPr>
          <w:rFonts w:cs="Times New Roman"/>
          <w:szCs w:val="24"/>
        </w:rPr>
        <w:t>three</w:t>
      </w:r>
      <w:r w:rsidRPr="004A069C">
        <w:rPr>
          <w:rFonts w:cs="Times New Roman"/>
          <w:szCs w:val="24"/>
        </w:rPr>
        <w:t xml:space="preserve"> proxies to measure the litigation risk of the firms: </w:t>
      </w:r>
      <w:r w:rsidRPr="0082104E">
        <w:rPr>
          <w:rFonts w:cs="Times New Roman"/>
          <w:color w:val="000000" w:themeColor="text1"/>
          <w:szCs w:val="24"/>
        </w:rPr>
        <w:t>Kim-Skinner</w:t>
      </w:r>
      <w:r w:rsidR="00FD49F4">
        <w:rPr>
          <w:rFonts w:ascii="新細明體" w:eastAsia="新細明體" w:hAnsi="新細明體" w:cs="Times New Roman" w:hint="eastAsia"/>
          <w:color w:val="000000" w:themeColor="text1"/>
          <w:szCs w:val="24"/>
          <w:lang w:eastAsia="zh-TW"/>
        </w:rPr>
        <w:t xml:space="preserve"> </w:t>
      </w:r>
      <w:r w:rsidR="00FD49F4" w:rsidRPr="004A069C">
        <w:rPr>
          <w:rStyle w:val="fontstyle01"/>
          <w:rFonts w:ascii="Times New Roman" w:hAnsi="Times New Roman" w:cs="Times New Roman"/>
          <w:color w:val="auto"/>
        </w:rPr>
        <w:t>[7]</w:t>
      </w:r>
      <w:r w:rsidRPr="004A069C">
        <w:rPr>
          <w:rFonts w:cs="Times New Roman"/>
          <w:szCs w:val="24"/>
        </w:rPr>
        <w:t xml:space="preserve">, </w:t>
      </w:r>
      <w:r w:rsidRPr="004A069C">
        <w:rPr>
          <w:rFonts w:eastAsia="Times New Roman" w:cs="Times New Roman"/>
          <w:szCs w:val="24"/>
        </w:rPr>
        <w:t xml:space="preserve">firm-level volatility, market-level volatility, and the result show that insider silence in firm with the high litigation risk would </w:t>
      </w:r>
      <w:r w:rsidR="00D7013D" w:rsidRPr="004A069C">
        <w:rPr>
          <w:rFonts w:eastAsia="Times New Roman" w:cs="Times New Roman"/>
          <w:szCs w:val="24"/>
        </w:rPr>
        <w:t>face</w:t>
      </w:r>
      <w:r w:rsidRPr="004A069C">
        <w:rPr>
          <w:rFonts w:eastAsia="Times New Roman" w:cs="Times New Roman"/>
          <w:szCs w:val="24"/>
        </w:rPr>
        <w:t xml:space="preserve"> more negative future stock return. </w:t>
      </w:r>
      <w:r w:rsidR="00AE1BCE" w:rsidRPr="004A069C">
        <w:rPr>
          <w:rFonts w:eastAsia="Times New Roman" w:cs="Times New Roman"/>
          <w:szCs w:val="24"/>
        </w:rPr>
        <w:t>A</w:t>
      </w:r>
      <w:r w:rsidRPr="004A069C">
        <w:rPr>
          <w:rFonts w:eastAsia="Times New Roman" w:cs="Times New Roman"/>
          <w:szCs w:val="24"/>
        </w:rPr>
        <w:t xml:space="preserve">fter leaving </w:t>
      </w:r>
      <w:r w:rsidR="00AE1BCE" w:rsidRPr="004A069C">
        <w:rPr>
          <w:rFonts w:eastAsia="Times New Roman" w:cs="Times New Roman"/>
          <w:szCs w:val="24"/>
        </w:rPr>
        <w:t>the</w:t>
      </w:r>
      <w:r w:rsidRPr="004A069C">
        <w:rPr>
          <w:rFonts w:eastAsia="Times New Roman" w:cs="Times New Roman"/>
          <w:szCs w:val="24"/>
        </w:rPr>
        <w:t xml:space="preserve"> firms with small number of insiders and firms with low market capitalizations</w:t>
      </w:r>
      <w:r w:rsidR="00AE1BCE" w:rsidRPr="004A069C">
        <w:rPr>
          <w:rFonts w:eastAsia="Times New Roman" w:cs="Times New Roman"/>
          <w:szCs w:val="24"/>
        </w:rPr>
        <w:t>,</w:t>
      </w:r>
      <w:r w:rsidRPr="004A069C">
        <w:rPr>
          <w:rFonts w:eastAsia="Times New Roman" w:cs="Times New Roman"/>
          <w:szCs w:val="24"/>
        </w:rPr>
        <w:t xml:space="preserve"> the return</w:t>
      </w:r>
      <w:r w:rsidR="00AE1BCE" w:rsidRPr="004A069C">
        <w:rPr>
          <w:rFonts w:eastAsia="Times New Roman" w:cs="Times New Roman"/>
          <w:szCs w:val="24"/>
        </w:rPr>
        <w:t>s</w:t>
      </w:r>
      <w:r w:rsidRPr="004A069C">
        <w:rPr>
          <w:rFonts w:eastAsia="Times New Roman" w:cs="Times New Roman"/>
          <w:szCs w:val="24"/>
        </w:rPr>
        <w:t xml:space="preserve"> of </w:t>
      </w:r>
      <w:r w:rsidR="00AE1BCE" w:rsidRPr="004A069C">
        <w:rPr>
          <w:rFonts w:eastAsia="Times New Roman" w:cs="Times New Roman"/>
          <w:szCs w:val="24"/>
        </w:rPr>
        <w:t xml:space="preserve">insider </w:t>
      </w:r>
      <w:r w:rsidRPr="004A069C">
        <w:rPr>
          <w:rFonts w:eastAsia="Times New Roman" w:cs="Times New Roman"/>
          <w:szCs w:val="24"/>
        </w:rPr>
        <w:t xml:space="preserve">silence firms </w:t>
      </w:r>
      <w:r w:rsidR="00AE1BCE" w:rsidRPr="004A069C">
        <w:rPr>
          <w:rFonts w:eastAsia="Times New Roman" w:cs="Times New Roman"/>
          <w:szCs w:val="24"/>
        </w:rPr>
        <w:t>are</w:t>
      </w:r>
      <w:r w:rsidRPr="004A069C">
        <w:rPr>
          <w:rFonts w:eastAsia="Times New Roman" w:cs="Times New Roman"/>
          <w:szCs w:val="24"/>
        </w:rPr>
        <w:t xml:space="preserve"> still negative. </w:t>
      </w:r>
      <w:r w:rsidRPr="004A069C">
        <w:rPr>
          <w:rFonts w:cs="Times New Roman"/>
          <w:szCs w:val="24"/>
        </w:rPr>
        <w:t xml:space="preserve">Hong and Li </w:t>
      </w:r>
      <w:r w:rsidR="00780CD7" w:rsidRPr="004A069C">
        <w:rPr>
          <w:rFonts w:cs="Times New Roman"/>
          <w:szCs w:val="24"/>
        </w:rPr>
        <w:t>[9]</w:t>
      </w:r>
      <w:r w:rsidRPr="004A069C">
        <w:rPr>
          <w:rFonts w:cs="Times New Roman"/>
          <w:szCs w:val="24"/>
        </w:rPr>
        <w:t xml:space="preserve"> </w:t>
      </w:r>
      <w:r w:rsidR="000434B1" w:rsidRPr="004A069C">
        <w:rPr>
          <w:rFonts w:cs="Times New Roman"/>
          <w:szCs w:val="24"/>
        </w:rPr>
        <w:t>show</w:t>
      </w:r>
      <w:r w:rsidRPr="004A069C">
        <w:rPr>
          <w:rFonts w:cs="Times New Roman"/>
          <w:szCs w:val="24"/>
        </w:rPr>
        <w:t xml:space="preserve"> that insider silence can also predict for the good news rather than only bad news. They examine the sudden insider silence by investigating the trading history of each insider. If a routine sells insider who sell their own corporation stock at the same month in </w:t>
      </w:r>
      <w:r w:rsidR="00543367" w:rsidRPr="004A069C">
        <w:rPr>
          <w:rFonts w:cs="Times New Roman"/>
          <w:szCs w:val="24"/>
        </w:rPr>
        <w:t>two</w:t>
      </w:r>
      <w:r w:rsidRPr="004A069C">
        <w:rPr>
          <w:rFonts w:cs="Times New Roman"/>
          <w:szCs w:val="24"/>
        </w:rPr>
        <w:t xml:space="preserve"> consecutive years suddenly stop selling in the same month of third year, this insider action will be put in the sell – sell – no trade group (SSN). If a routine </w:t>
      </w:r>
      <w:r w:rsidR="000434B1" w:rsidRPr="004A069C">
        <w:rPr>
          <w:rFonts w:cs="Times New Roman"/>
          <w:szCs w:val="24"/>
        </w:rPr>
        <w:t>buy</w:t>
      </w:r>
      <w:r w:rsidRPr="004A069C">
        <w:rPr>
          <w:rFonts w:cs="Times New Roman"/>
          <w:szCs w:val="24"/>
        </w:rPr>
        <w:t xml:space="preserve"> insider who purchases their own corporation stock at the same month in </w:t>
      </w:r>
      <w:r w:rsidR="00543367" w:rsidRPr="004A069C">
        <w:rPr>
          <w:rFonts w:cs="Times New Roman"/>
          <w:szCs w:val="24"/>
        </w:rPr>
        <w:t>two</w:t>
      </w:r>
      <w:r w:rsidRPr="004A069C">
        <w:rPr>
          <w:rFonts w:cs="Times New Roman"/>
          <w:szCs w:val="24"/>
        </w:rPr>
        <w:t xml:space="preserve"> consecutive years suddenly stop </w:t>
      </w:r>
      <w:r w:rsidR="000434B1" w:rsidRPr="004A069C">
        <w:rPr>
          <w:rFonts w:cs="Times New Roman"/>
          <w:szCs w:val="24"/>
        </w:rPr>
        <w:t>buy</w:t>
      </w:r>
      <w:r w:rsidRPr="004A069C">
        <w:rPr>
          <w:rFonts w:cs="Times New Roman"/>
          <w:szCs w:val="24"/>
        </w:rPr>
        <w:t>ing in the same month of third year, this insider action will be put in the purchase – purchase – no trade group (</w:t>
      </w:r>
      <w:r w:rsidR="000434B1" w:rsidRPr="004A069C">
        <w:rPr>
          <w:rFonts w:cs="Times New Roman"/>
          <w:szCs w:val="24"/>
        </w:rPr>
        <w:t>PP</w:t>
      </w:r>
      <w:r w:rsidRPr="004A069C">
        <w:rPr>
          <w:rFonts w:cs="Times New Roman"/>
          <w:szCs w:val="24"/>
        </w:rPr>
        <w:t xml:space="preserve">N). They find that ROA of firm </w:t>
      </w:r>
      <w:r w:rsidR="000434B1" w:rsidRPr="004A069C">
        <w:rPr>
          <w:rFonts w:cs="Times New Roman"/>
          <w:szCs w:val="24"/>
        </w:rPr>
        <w:t>is</w:t>
      </w:r>
      <w:r w:rsidRPr="004A069C">
        <w:rPr>
          <w:rFonts w:cs="Times New Roman"/>
          <w:szCs w:val="24"/>
        </w:rPr>
        <w:t xml:space="preserve"> higher in the current quarter if firms have SSN insider silence. The result for PPN insider silence firm is much weaker with negative ROA and firm operating cash flow. The firm insider should possess some material information related to firm fundamentals when routine sell insider chose to suddenly silence</w:t>
      </w:r>
      <w:r w:rsidR="000434B1" w:rsidRPr="004A069C">
        <w:rPr>
          <w:rFonts w:cs="Times New Roman"/>
          <w:szCs w:val="24"/>
        </w:rPr>
        <w:t>. I</w:t>
      </w:r>
      <w:r w:rsidRPr="004A069C">
        <w:rPr>
          <w:rFonts w:cs="Times New Roman"/>
          <w:szCs w:val="24"/>
        </w:rPr>
        <w:t>t is the signal for rising in firm’s profit. While routine purchase insider chooses to suddenly silence</w:t>
      </w:r>
      <w:r w:rsidR="000434B1" w:rsidRPr="004A069C">
        <w:rPr>
          <w:rFonts w:cs="Times New Roman"/>
          <w:szCs w:val="24"/>
        </w:rPr>
        <w:t>, it</w:t>
      </w:r>
      <w:r w:rsidRPr="004A069C">
        <w:rPr>
          <w:rFonts w:cs="Times New Roman"/>
          <w:szCs w:val="24"/>
        </w:rPr>
        <w:t xml:space="preserve"> c</w:t>
      </w:r>
      <w:r w:rsidR="000434B1" w:rsidRPr="004A069C">
        <w:rPr>
          <w:rFonts w:cs="Times New Roman"/>
          <w:szCs w:val="24"/>
        </w:rPr>
        <w:t>an</w:t>
      </w:r>
      <w:r w:rsidRPr="004A069C">
        <w:rPr>
          <w:rFonts w:cs="Times New Roman"/>
          <w:szCs w:val="24"/>
        </w:rPr>
        <w:t xml:space="preserve"> indicate the falling in firm fundamentals. They use Fama and MacBeth </w:t>
      </w:r>
      <w:r w:rsidR="00780CD7" w:rsidRPr="004A069C">
        <w:rPr>
          <w:rFonts w:cs="Times New Roman"/>
          <w:szCs w:val="24"/>
        </w:rPr>
        <w:t>[5]</w:t>
      </w:r>
      <w:r w:rsidRPr="004A069C">
        <w:rPr>
          <w:rFonts w:cs="Times New Roman"/>
          <w:szCs w:val="24"/>
        </w:rPr>
        <w:t xml:space="preserve"> regressions to analyze the prediction power of SSN and PPN to future stock return. Stocks in SSN group would have</w:t>
      </w:r>
      <w:r w:rsidR="00057A34" w:rsidRPr="004A069C">
        <w:rPr>
          <w:rFonts w:cs="Times New Roman"/>
          <w:szCs w:val="24"/>
        </w:rPr>
        <w:t xml:space="preserve"> </w:t>
      </w:r>
      <w:r w:rsidRPr="004A069C">
        <w:rPr>
          <w:rFonts w:cs="Times New Roman"/>
          <w:szCs w:val="24"/>
        </w:rPr>
        <w:t>higher three</w:t>
      </w:r>
      <w:r w:rsidR="00057A34" w:rsidRPr="004A069C">
        <w:rPr>
          <w:rFonts w:cs="Times New Roman"/>
          <w:szCs w:val="24"/>
        </w:rPr>
        <w:t>-month</w:t>
      </w:r>
      <w:r w:rsidRPr="004A069C">
        <w:rPr>
          <w:rFonts w:cs="Times New Roman"/>
          <w:szCs w:val="24"/>
        </w:rPr>
        <w:t xml:space="preserve"> cumulative return</w:t>
      </w:r>
      <w:r w:rsidR="00057A34" w:rsidRPr="004A069C">
        <w:rPr>
          <w:rFonts w:cs="Times New Roman"/>
          <w:szCs w:val="24"/>
        </w:rPr>
        <w:t>.</w:t>
      </w:r>
      <w:r w:rsidRPr="004A069C">
        <w:rPr>
          <w:rFonts w:cs="Times New Roman"/>
          <w:szCs w:val="24"/>
        </w:rPr>
        <w:t xml:space="preserve"> </w:t>
      </w:r>
      <w:r w:rsidR="00057A34" w:rsidRPr="004A069C">
        <w:rPr>
          <w:rFonts w:cs="Times New Roman"/>
          <w:szCs w:val="24"/>
        </w:rPr>
        <w:t>T</w:t>
      </w:r>
      <w:r w:rsidRPr="004A069C">
        <w:rPr>
          <w:rFonts w:cs="Times New Roman"/>
          <w:szCs w:val="24"/>
        </w:rPr>
        <w:t>h</w:t>
      </w:r>
      <w:r w:rsidR="00057A34" w:rsidRPr="004A069C">
        <w:rPr>
          <w:rFonts w:cs="Times New Roman"/>
          <w:szCs w:val="24"/>
        </w:rPr>
        <w:t>e higher return is associated with longer</w:t>
      </w:r>
      <w:r w:rsidRPr="004A069C">
        <w:rPr>
          <w:rFonts w:cs="Times New Roman"/>
          <w:szCs w:val="24"/>
        </w:rPr>
        <w:t xml:space="preserve"> holding </w:t>
      </w:r>
      <w:r w:rsidR="00057A34" w:rsidRPr="004A069C">
        <w:rPr>
          <w:rFonts w:cs="Times New Roman"/>
          <w:szCs w:val="24"/>
        </w:rPr>
        <w:t>period</w:t>
      </w:r>
      <w:r w:rsidRPr="004A069C">
        <w:rPr>
          <w:rFonts w:cs="Times New Roman"/>
          <w:szCs w:val="24"/>
        </w:rPr>
        <w:t xml:space="preserve">. </w:t>
      </w:r>
      <w:r w:rsidR="00057A34" w:rsidRPr="004A069C">
        <w:rPr>
          <w:rFonts w:eastAsia="新細明體" w:cs="Times New Roman" w:hint="eastAsia"/>
          <w:szCs w:val="24"/>
          <w:lang w:eastAsia="zh-TW"/>
        </w:rPr>
        <w:t xml:space="preserve">The </w:t>
      </w:r>
      <w:r w:rsidR="00057A34" w:rsidRPr="004A069C">
        <w:rPr>
          <w:rFonts w:cs="Times New Roman"/>
          <w:szCs w:val="24"/>
        </w:rPr>
        <w:t xml:space="preserve">future stock return </w:t>
      </w:r>
      <w:r w:rsidRPr="004A069C">
        <w:rPr>
          <w:rFonts w:cs="Times New Roman"/>
          <w:szCs w:val="24"/>
        </w:rPr>
        <w:t xml:space="preserve">in PPN group will </w:t>
      </w:r>
      <w:r w:rsidR="00057A34" w:rsidRPr="004A069C">
        <w:rPr>
          <w:rFonts w:cs="Times New Roman"/>
          <w:szCs w:val="24"/>
        </w:rPr>
        <w:t>decrease</w:t>
      </w:r>
      <w:r w:rsidRPr="004A069C">
        <w:rPr>
          <w:rFonts w:cs="Times New Roman"/>
          <w:szCs w:val="24"/>
        </w:rPr>
        <w:t xml:space="preserve"> in in coming three-months. The predictive power of SSN is stronger than PPN in both fundamental and firm future stock return. </w:t>
      </w:r>
      <w:r w:rsidR="00E15D89" w:rsidRPr="004A069C">
        <w:rPr>
          <w:rFonts w:cs="Times New Roman"/>
          <w:szCs w:val="24"/>
        </w:rPr>
        <w:t>I</w:t>
      </w:r>
      <w:r w:rsidRPr="004A069C">
        <w:rPr>
          <w:rFonts w:cs="Times New Roman"/>
          <w:szCs w:val="24"/>
        </w:rPr>
        <w:t>n the period of high litigation risk</w:t>
      </w:r>
      <w:r w:rsidR="00E15D89" w:rsidRPr="004A069C">
        <w:rPr>
          <w:rFonts w:cs="Times New Roman"/>
          <w:szCs w:val="24"/>
        </w:rPr>
        <w:t>,</w:t>
      </w:r>
      <w:r w:rsidRPr="004A069C">
        <w:rPr>
          <w:rFonts w:cs="Times New Roman"/>
          <w:szCs w:val="24"/>
        </w:rPr>
        <w:t xml:space="preserve"> routine insider prefer to stay silence rather than trading when they access to the private information </w:t>
      </w:r>
      <w:r w:rsidR="00E15D89" w:rsidRPr="004A069C">
        <w:rPr>
          <w:rFonts w:cs="Times New Roman"/>
          <w:szCs w:val="24"/>
        </w:rPr>
        <w:t>b</w:t>
      </w:r>
      <w:r w:rsidRPr="004A069C">
        <w:rPr>
          <w:rFonts w:cs="Times New Roman"/>
          <w:szCs w:val="24"/>
        </w:rPr>
        <w:t xml:space="preserve">ecause they suppose that the profit which they can earn by private information would </w:t>
      </w:r>
      <w:r w:rsidR="00E15D89" w:rsidRPr="004A069C">
        <w:rPr>
          <w:rFonts w:cs="Times New Roman"/>
          <w:szCs w:val="24"/>
        </w:rPr>
        <w:t xml:space="preserve">be </w:t>
      </w:r>
      <w:r w:rsidRPr="004A069C">
        <w:rPr>
          <w:rFonts w:cs="Times New Roman"/>
          <w:szCs w:val="24"/>
        </w:rPr>
        <w:t xml:space="preserve">less than the cost which they have to suffer from being prosecuted by regulators. The </w:t>
      </w:r>
      <w:r w:rsidR="00E15D89" w:rsidRPr="004A069C">
        <w:rPr>
          <w:rFonts w:cs="Times New Roman"/>
          <w:szCs w:val="24"/>
        </w:rPr>
        <w:t>future 3-month return future based on</w:t>
      </w:r>
      <w:r w:rsidRPr="004A069C">
        <w:rPr>
          <w:rFonts w:cs="Times New Roman"/>
          <w:szCs w:val="24"/>
        </w:rPr>
        <w:t xml:space="preserve"> SSN and PPN prediction is larger in high litigation risk </w:t>
      </w:r>
      <w:r w:rsidR="00E15D89" w:rsidRPr="004A069C">
        <w:rPr>
          <w:rFonts w:cs="Times New Roman"/>
          <w:szCs w:val="24"/>
        </w:rPr>
        <w:t>period</w:t>
      </w:r>
      <w:r w:rsidRPr="004A069C">
        <w:rPr>
          <w:rFonts w:cs="Times New Roman"/>
          <w:szCs w:val="24"/>
        </w:rPr>
        <w:t xml:space="preserve"> than </w:t>
      </w:r>
      <w:r w:rsidR="00E15D89" w:rsidRPr="004A069C">
        <w:rPr>
          <w:rFonts w:cs="Times New Roman"/>
          <w:szCs w:val="24"/>
        </w:rPr>
        <w:t xml:space="preserve">that in </w:t>
      </w:r>
      <w:r w:rsidRPr="004A069C">
        <w:rPr>
          <w:rFonts w:cs="Times New Roman"/>
          <w:szCs w:val="24"/>
        </w:rPr>
        <w:t xml:space="preserve">low </w:t>
      </w:r>
      <w:r w:rsidR="00E15D89" w:rsidRPr="004A069C">
        <w:rPr>
          <w:rFonts w:cs="Times New Roman"/>
          <w:szCs w:val="24"/>
        </w:rPr>
        <w:t>period</w:t>
      </w:r>
      <w:r w:rsidRPr="004A069C">
        <w:rPr>
          <w:rFonts w:cs="Times New Roman"/>
          <w:szCs w:val="24"/>
        </w:rPr>
        <w:t xml:space="preserve">. </w:t>
      </w:r>
    </w:p>
    <w:p w:rsidR="007A0AC6" w:rsidRPr="004A069C" w:rsidRDefault="007A0AC6" w:rsidP="007A0AC6">
      <w:pPr>
        <w:spacing w:line="360" w:lineRule="auto"/>
        <w:jc w:val="both"/>
        <w:rPr>
          <w:rFonts w:cs="Times New Roman"/>
          <w:b/>
          <w:szCs w:val="24"/>
        </w:rPr>
      </w:pPr>
      <w:r w:rsidRPr="004A069C">
        <w:rPr>
          <w:rFonts w:cs="Times New Roman"/>
          <w:b/>
          <w:szCs w:val="24"/>
        </w:rPr>
        <w:t>2.2 Insider trading in Vietnam market</w:t>
      </w:r>
    </w:p>
    <w:p w:rsidR="005955DB" w:rsidRPr="004A069C" w:rsidRDefault="002177DA" w:rsidP="00E92203">
      <w:pPr>
        <w:spacing w:line="360" w:lineRule="auto"/>
        <w:ind w:firstLine="720"/>
        <w:jc w:val="both"/>
        <w:rPr>
          <w:rFonts w:cs="Times New Roman"/>
          <w:szCs w:val="24"/>
          <w:shd w:val="clear" w:color="auto" w:fill="FFFFFF"/>
        </w:rPr>
      </w:pPr>
      <w:r w:rsidRPr="004A069C">
        <w:rPr>
          <w:rFonts w:cs="Times New Roman"/>
          <w:szCs w:val="24"/>
        </w:rPr>
        <w:t xml:space="preserve">Most of the studies about insider trading and insider silence have been conducted in US security market and some developed security market. There is a big absence of studies about these topics in emerging markets. In the case of Vietnam market, domestic researchers do not pay much attention to the impact of insider trading. Until now only a few research about insider trading have been conducted in Vietnam security market and there is no study about insider silence of this market. Vietnam established the Ho Chi Minh Securities Trading Center (HOSE) on 20 July 2000 with only 2 listed companies with total capitalization of 986 billion VND which equal to 0.28% GDP in 2000. In 2015, the Hanoi Stock Exchange was launched </w:t>
      </w:r>
      <w:r w:rsidR="00A75304" w:rsidRPr="004A069C">
        <w:rPr>
          <w:rFonts w:cs="Times New Roman"/>
          <w:szCs w:val="24"/>
        </w:rPr>
        <w:t>to</w:t>
      </w:r>
      <w:r w:rsidRPr="004A069C">
        <w:rPr>
          <w:rFonts w:cs="Times New Roman"/>
          <w:szCs w:val="24"/>
        </w:rPr>
        <w:t xml:space="preserve"> trade most</w:t>
      </w:r>
      <w:r w:rsidR="00A75304" w:rsidRPr="004A069C">
        <w:rPr>
          <w:rFonts w:cs="Times New Roman"/>
          <w:szCs w:val="24"/>
        </w:rPr>
        <w:t xml:space="preserve"> of the</w:t>
      </w:r>
      <w:r w:rsidRPr="004A069C">
        <w:rPr>
          <w:rFonts w:cs="Times New Roman"/>
          <w:szCs w:val="24"/>
        </w:rPr>
        <w:t xml:space="preserve"> small-cap and OTC stocks. Until the end of April 2019, Vietnam security market has 752 listed company including 375 companies in HOSE</w:t>
      </w:r>
      <w:r w:rsidR="005955DB" w:rsidRPr="004A069C">
        <w:rPr>
          <w:rFonts w:cs="Times New Roman"/>
          <w:szCs w:val="24"/>
        </w:rPr>
        <w:t xml:space="preserve">, </w:t>
      </w:r>
      <w:r w:rsidRPr="004A069C">
        <w:rPr>
          <w:rFonts w:cs="Times New Roman"/>
          <w:szCs w:val="24"/>
        </w:rPr>
        <w:t>and 377 companies in HNX.</w:t>
      </w:r>
      <w:r w:rsidR="002A5ED3" w:rsidRPr="004A069C">
        <w:rPr>
          <w:rFonts w:cs="Times New Roman"/>
          <w:szCs w:val="24"/>
        </w:rPr>
        <w:t xml:space="preserve"> The average trading volume per day is about 5000 billion VND.</w:t>
      </w:r>
      <w:r w:rsidRPr="004A069C">
        <w:rPr>
          <w:rFonts w:cs="Times New Roman"/>
          <w:szCs w:val="24"/>
        </w:rPr>
        <w:t xml:space="preserve"> In addition, there are 814 unlisted companies registered for trading in UpCOM in Hanoi. </w:t>
      </w:r>
      <w:r w:rsidR="00A75304" w:rsidRPr="004A069C">
        <w:rPr>
          <w:rFonts w:cs="Times New Roman"/>
          <w:szCs w:val="24"/>
        </w:rPr>
        <w:t>T</w:t>
      </w:r>
      <w:r w:rsidRPr="004A069C">
        <w:rPr>
          <w:rFonts w:cs="Times New Roman"/>
          <w:szCs w:val="24"/>
        </w:rPr>
        <w:t xml:space="preserve">here are </w:t>
      </w:r>
      <w:r w:rsidRPr="004A069C">
        <w:rPr>
          <w:rFonts w:cs="Times New Roman"/>
          <w:szCs w:val="24"/>
          <w:shd w:val="clear" w:color="auto" w:fill="FFFFFF"/>
        </w:rPr>
        <w:t xml:space="preserve">2112 companies which capitalize 5,436,823 billion VND equivalent to 98.2% GDP. </w:t>
      </w:r>
      <w:r w:rsidR="005955DB" w:rsidRPr="004A069C">
        <w:rPr>
          <w:rFonts w:cs="Times New Roman"/>
          <w:szCs w:val="24"/>
          <w:shd w:val="clear" w:color="auto" w:fill="FFFFFF"/>
        </w:rPr>
        <w:t xml:space="preserve">At the beginning the VN-Index has a base value of 100 as of July 28, 2000 and now it reach around 1000 point in 2019. </w:t>
      </w:r>
      <w:r w:rsidR="002A5ED3" w:rsidRPr="004A069C">
        <w:rPr>
          <w:rFonts w:cs="Times New Roman"/>
          <w:szCs w:val="24"/>
          <w:shd w:val="clear" w:color="auto" w:fill="FFFFFF"/>
        </w:rPr>
        <w:t xml:space="preserve">There is another index in Vietnam which is known as VN30 established in 2012 with the top 30 largest capitalization stocks.  </w:t>
      </w:r>
    </w:p>
    <w:p w:rsidR="002177DA" w:rsidRPr="004A069C" w:rsidRDefault="002177DA" w:rsidP="00E92203">
      <w:pPr>
        <w:spacing w:line="360" w:lineRule="auto"/>
        <w:ind w:firstLine="720"/>
        <w:jc w:val="both"/>
        <w:rPr>
          <w:rFonts w:cs="Times New Roman"/>
          <w:szCs w:val="24"/>
        </w:rPr>
      </w:pPr>
      <w:r w:rsidRPr="004A069C">
        <w:rPr>
          <w:rFonts w:cs="Times New Roman"/>
          <w:szCs w:val="24"/>
          <w:shd w:val="clear" w:color="auto" w:fill="FFFFFF"/>
        </w:rPr>
        <w:t xml:space="preserve">In comparison to the developed security market, the regulation for insider trading activities </w:t>
      </w:r>
      <w:r w:rsidR="00A75304" w:rsidRPr="004A069C">
        <w:rPr>
          <w:rFonts w:cs="Times New Roman"/>
          <w:szCs w:val="24"/>
          <w:shd w:val="clear" w:color="auto" w:fill="FFFFFF"/>
        </w:rPr>
        <w:t xml:space="preserve">in Vietnam </w:t>
      </w:r>
      <w:r w:rsidRPr="004A069C">
        <w:rPr>
          <w:rFonts w:cs="Times New Roman"/>
          <w:szCs w:val="24"/>
          <w:shd w:val="clear" w:color="auto" w:fill="FFFFFF"/>
        </w:rPr>
        <w:t>has a bit different in the percentage of share ow</w:t>
      </w:r>
      <w:r w:rsidR="00A75304" w:rsidRPr="004A069C">
        <w:rPr>
          <w:rFonts w:cs="Times New Roman"/>
          <w:szCs w:val="24"/>
          <w:shd w:val="clear" w:color="auto" w:fill="FFFFFF"/>
        </w:rPr>
        <w:t>ed</w:t>
      </w:r>
      <w:r w:rsidRPr="004A069C">
        <w:rPr>
          <w:rFonts w:cs="Times New Roman"/>
          <w:szCs w:val="24"/>
          <w:shd w:val="clear" w:color="auto" w:fill="FFFFFF"/>
        </w:rPr>
        <w:t xml:space="preserve"> by major shareholders and the disclosures trading time. The State Securities Committee (SSC) is the supervision financial institutions which controls the market participants in practicing the securities laws and regulations. The law relates to insider trading is The Securities Laws which was launched in 2006.</w:t>
      </w:r>
      <w:r w:rsidRPr="004A069C">
        <w:rPr>
          <w:rFonts w:cs="Times New Roman"/>
          <w:szCs w:val="24"/>
        </w:rPr>
        <w:t xml:space="preserve"> According to </w:t>
      </w:r>
      <w:r w:rsidRPr="004A069C">
        <w:rPr>
          <w:rFonts w:cs="Times New Roman"/>
          <w:szCs w:val="24"/>
          <w:shd w:val="clear" w:color="auto" w:fill="FFFFFF"/>
        </w:rPr>
        <w:t>The Securities Laws</w:t>
      </w:r>
      <w:r w:rsidR="00B7313E" w:rsidRPr="004A069C">
        <w:rPr>
          <w:rFonts w:cs="Times New Roman"/>
          <w:szCs w:val="24"/>
          <w:shd w:val="clear" w:color="auto" w:fill="FFFFFF"/>
        </w:rPr>
        <w:t>,</w:t>
      </w:r>
      <w:r w:rsidRPr="004A069C">
        <w:rPr>
          <w:rFonts w:cs="Times New Roman"/>
          <w:szCs w:val="24"/>
        </w:rPr>
        <w:t xml:space="preserve"> </w:t>
      </w:r>
      <w:r w:rsidRPr="004A069C">
        <w:rPr>
          <w:rFonts w:cs="Times New Roman"/>
          <w:szCs w:val="24"/>
          <w:shd w:val="clear" w:color="auto" w:fill="FFFFFF"/>
        </w:rPr>
        <w:t>insiders include major shareholders, top executives and other insiders. A</w:t>
      </w:r>
      <w:r w:rsidR="00B7313E" w:rsidRPr="004A069C">
        <w:rPr>
          <w:rFonts w:cs="Times New Roman"/>
          <w:szCs w:val="24"/>
          <w:shd w:val="clear" w:color="auto" w:fill="FFFFFF"/>
        </w:rPr>
        <w:t>ccording to</w:t>
      </w:r>
      <w:r w:rsidRPr="004A069C">
        <w:rPr>
          <w:rFonts w:cs="Times New Roman"/>
          <w:szCs w:val="24"/>
          <w:shd w:val="clear" w:color="auto" w:fill="FFFFFF"/>
        </w:rPr>
        <w:t xml:space="preserve"> Article 9, if the shareholders own more than 5% ownership or voting rights of the listed company, they will be the major shareholders of the listed company. Top executives are including Chairman, member of Board of Management (BOM), member of BOD, member of supervisory board, chief finance officer, chief accountant, and company’s representatives. The family members of major shareholders and top executives are classified as other insiders. </w:t>
      </w:r>
      <w:r w:rsidR="00B7313E" w:rsidRPr="004A069C">
        <w:rPr>
          <w:rFonts w:cs="Times New Roman"/>
          <w:szCs w:val="24"/>
          <w:shd w:val="clear" w:color="auto" w:fill="FFFFFF"/>
        </w:rPr>
        <w:t xml:space="preserve">In 2012, </w:t>
      </w:r>
      <w:r w:rsidRPr="004A069C">
        <w:rPr>
          <w:rFonts w:cs="Times New Roman"/>
          <w:szCs w:val="24"/>
          <w:shd w:val="clear" w:color="auto" w:fill="FFFFFF"/>
        </w:rPr>
        <w:t xml:space="preserve">Vietnam Circular Law instructed that insiders must announce to </w:t>
      </w:r>
      <w:r w:rsidRPr="004A069C">
        <w:rPr>
          <w:rFonts w:cs="Times New Roman"/>
          <w:szCs w:val="24"/>
        </w:rPr>
        <w:t xml:space="preserve">SSC and Stock Exchange (SE) their expected trading time frame and expected trading size at least </w:t>
      </w:r>
      <w:r w:rsidR="00AD082B" w:rsidRPr="004A069C">
        <w:rPr>
          <w:rFonts w:cs="Times New Roman"/>
          <w:szCs w:val="24"/>
        </w:rPr>
        <w:t>three</w:t>
      </w:r>
      <w:r w:rsidRPr="004A069C">
        <w:rPr>
          <w:rFonts w:cs="Times New Roman"/>
          <w:szCs w:val="24"/>
        </w:rPr>
        <w:t xml:space="preserve"> trading days prior to the beginning of trading time frame. The expected trading time frame does not exceed 30 trading days. Within </w:t>
      </w:r>
      <w:r w:rsidR="00AD082B" w:rsidRPr="004A069C">
        <w:rPr>
          <w:rFonts w:cs="Times New Roman"/>
          <w:szCs w:val="24"/>
        </w:rPr>
        <w:t>three</w:t>
      </w:r>
      <w:r w:rsidRPr="004A069C">
        <w:rPr>
          <w:rFonts w:cs="Times New Roman"/>
          <w:szCs w:val="24"/>
        </w:rPr>
        <w:t xml:space="preserve"> days after executing day, they have to report the trade results to SSC, SE and their own company. If they want to cancel the transactions, they have to explain the reasons to SSC and the Stock Exchange within </w:t>
      </w:r>
      <w:r w:rsidR="00543367" w:rsidRPr="004A069C">
        <w:rPr>
          <w:rFonts w:cs="Times New Roman"/>
          <w:szCs w:val="24"/>
        </w:rPr>
        <w:t>three</w:t>
      </w:r>
      <w:r w:rsidRPr="004A069C">
        <w:rPr>
          <w:rFonts w:cs="Times New Roman"/>
          <w:szCs w:val="24"/>
        </w:rPr>
        <w:t xml:space="preserve"> trading days after the end of the requested time frame. </w:t>
      </w:r>
    </w:p>
    <w:p w:rsidR="00DA2ABD" w:rsidRPr="004A069C" w:rsidRDefault="002177DA" w:rsidP="00AD082B">
      <w:pPr>
        <w:spacing w:line="360" w:lineRule="auto"/>
        <w:ind w:firstLine="360"/>
        <w:jc w:val="both"/>
        <w:rPr>
          <w:rFonts w:cs="Times New Roman"/>
          <w:szCs w:val="24"/>
        </w:rPr>
      </w:pPr>
      <w:r w:rsidRPr="004A069C">
        <w:rPr>
          <w:rFonts w:cs="Times New Roman"/>
          <w:szCs w:val="24"/>
        </w:rPr>
        <w:t xml:space="preserve">Lefebvre and Nguyen </w:t>
      </w:r>
      <w:r w:rsidR="004A069C" w:rsidRPr="004A069C">
        <w:rPr>
          <w:rFonts w:cs="Times New Roman"/>
          <w:szCs w:val="24"/>
        </w:rPr>
        <w:t>[14]</w:t>
      </w:r>
      <w:r w:rsidRPr="004A069C">
        <w:rPr>
          <w:rFonts w:cs="Times New Roman"/>
          <w:szCs w:val="24"/>
        </w:rPr>
        <w:t xml:space="preserve"> </w:t>
      </w:r>
      <w:r w:rsidR="00AD082B" w:rsidRPr="004A069C">
        <w:rPr>
          <w:rFonts w:cs="Times New Roman"/>
          <w:szCs w:val="24"/>
        </w:rPr>
        <w:t>examine</w:t>
      </w:r>
      <w:r w:rsidRPr="004A069C">
        <w:rPr>
          <w:rFonts w:cs="Times New Roman"/>
          <w:szCs w:val="24"/>
        </w:rPr>
        <w:t xml:space="preserve"> the abnormal return of insider trading in Vietnam security market. The stock experience positive future abnormal return </w:t>
      </w:r>
      <w:r w:rsidR="00AD082B" w:rsidRPr="004A069C">
        <w:rPr>
          <w:rFonts w:cs="Times New Roman"/>
          <w:szCs w:val="24"/>
        </w:rPr>
        <w:t xml:space="preserve">(2%) </w:t>
      </w:r>
      <w:r w:rsidRPr="004A069C">
        <w:rPr>
          <w:rFonts w:cs="Times New Roman"/>
          <w:szCs w:val="24"/>
        </w:rPr>
        <w:t xml:space="preserve">in 30 trading day after the purchase request. The sale request is followed by negative abnormal return </w:t>
      </w:r>
      <w:r w:rsidR="00AD082B" w:rsidRPr="004A069C">
        <w:rPr>
          <w:rFonts w:cs="Times New Roman"/>
          <w:szCs w:val="24"/>
        </w:rPr>
        <w:t xml:space="preserve">(-2.5%) </w:t>
      </w:r>
      <w:r w:rsidRPr="004A069C">
        <w:rPr>
          <w:rFonts w:cs="Times New Roman"/>
          <w:szCs w:val="24"/>
        </w:rPr>
        <w:t>in the same period of time. The private information exposes to the public through insiders</w:t>
      </w:r>
      <w:r w:rsidR="00AD082B" w:rsidRPr="004A069C">
        <w:rPr>
          <w:rFonts w:cs="Times New Roman"/>
          <w:szCs w:val="24"/>
        </w:rPr>
        <w:t>’</w:t>
      </w:r>
      <w:r w:rsidRPr="004A069C">
        <w:rPr>
          <w:rFonts w:cs="Times New Roman"/>
          <w:szCs w:val="24"/>
        </w:rPr>
        <w:t xml:space="preserve"> trade intentions. The </w:t>
      </w:r>
      <w:r w:rsidR="00DA2ABD" w:rsidRPr="004A069C">
        <w:rPr>
          <w:rFonts w:cs="Times New Roman"/>
          <w:szCs w:val="24"/>
        </w:rPr>
        <w:t xml:space="preserve">three-day </w:t>
      </w:r>
      <w:r w:rsidRPr="004A069C">
        <w:rPr>
          <w:rFonts w:cs="Times New Roman"/>
          <w:szCs w:val="24"/>
        </w:rPr>
        <w:t xml:space="preserve">market reaction after the trading request announcement day of purchase requests is stronger than </w:t>
      </w:r>
      <w:r w:rsidR="00DA2ABD" w:rsidRPr="004A069C">
        <w:rPr>
          <w:rFonts w:cs="Times New Roman"/>
          <w:szCs w:val="24"/>
        </w:rPr>
        <w:t xml:space="preserve">that of </w:t>
      </w:r>
      <w:r w:rsidRPr="004A069C">
        <w:rPr>
          <w:rFonts w:cs="Times New Roman"/>
          <w:szCs w:val="24"/>
        </w:rPr>
        <w:t xml:space="preserve">sale request. </w:t>
      </w:r>
      <w:r w:rsidR="00DA2ABD" w:rsidRPr="004A069C">
        <w:rPr>
          <w:rFonts w:cs="Times New Roman"/>
          <w:szCs w:val="24"/>
        </w:rPr>
        <w:t>A</w:t>
      </w:r>
      <w:r w:rsidRPr="004A069C">
        <w:rPr>
          <w:rFonts w:cs="Times New Roman"/>
          <w:szCs w:val="24"/>
        </w:rPr>
        <w:t>fter th</w:t>
      </w:r>
      <w:r w:rsidR="00DA2ABD" w:rsidRPr="004A069C">
        <w:rPr>
          <w:rFonts w:cs="Times New Roman"/>
          <w:szCs w:val="24"/>
        </w:rPr>
        <w:t>ree</w:t>
      </w:r>
      <w:r w:rsidRPr="004A069C">
        <w:rPr>
          <w:rFonts w:cs="Times New Roman"/>
          <w:szCs w:val="24"/>
        </w:rPr>
        <w:t xml:space="preserve"> days</w:t>
      </w:r>
      <w:r w:rsidR="00DA2ABD" w:rsidRPr="004A069C">
        <w:rPr>
          <w:rFonts w:cs="Times New Roman"/>
          <w:szCs w:val="24"/>
        </w:rPr>
        <w:t>,</w:t>
      </w:r>
      <w:r w:rsidRPr="004A069C">
        <w:rPr>
          <w:rFonts w:cs="Times New Roman"/>
          <w:szCs w:val="24"/>
        </w:rPr>
        <w:t xml:space="preserve"> the insider can execute their trade</w:t>
      </w:r>
      <w:r w:rsidR="00DA2ABD" w:rsidRPr="004A069C">
        <w:rPr>
          <w:rFonts w:cs="Times New Roman"/>
          <w:szCs w:val="24"/>
        </w:rPr>
        <w:t>.</w:t>
      </w:r>
      <w:r w:rsidRPr="004A069C">
        <w:rPr>
          <w:rFonts w:cs="Times New Roman"/>
          <w:szCs w:val="24"/>
        </w:rPr>
        <w:t xml:space="preserve"> </w:t>
      </w:r>
      <w:r w:rsidR="00DA2ABD" w:rsidRPr="004A069C">
        <w:rPr>
          <w:rFonts w:cs="Times New Roman"/>
          <w:szCs w:val="24"/>
        </w:rPr>
        <w:t>T</w:t>
      </w:r>
      <w:r w:rsidRPr="004A069C">
        <w:rPr>
          <w:rFonts w:cs="Times New Roman"/>
          <w:szCs w:val="24"/>
        </w:rPr>
        <w:t xml:space="preserve">he impact </w:t>
      </w:r>
      <w:r w:rsidR="00DA2ABD" w:rsidRPr="004A069C">
        <w:rPr>
          <w:rFonts w:cs="Times New Roman"/>
          <w:szCs w:val="24"/>
        </w:rPr>
        <w:t xml:space="preserve">of sale requests </w:t>
      </w:r>
      <w:r w:rsidRPr="004A069C">
        <w:rPr>
          <w:rFonts w:cs="Times New Roman"/>
          <w:szCs w:val="24"/>
        </w:rPr>
        <w:t xml:space="preserve">on abnormal return is stronger than </w:t>
      </w:r>
      <w:r w:rsidR="00DA2ABD" w:rsidRPr="004A069C">
        <w:rPr>
          <w:rFonts w:cs="Times New Roman"/>
          <w:szCs w:val="24"/>
        </w:rPr>
        <w:t xml:space="preserve">that of </w:t>
      </w:r>
      <w:r w:rsidRPr="004A069C">
        <w:rPr>
          <w:rFonts w:cs="Times New Roman"/>
          <w:szCs w:val="24"/>
        </w:rPr>
        <w:t xml:space="preserve">purchase requests. The abnormal return is insignificant after the completion announcements </w:t>
      </w:r>
      <w:r w:rsidR="00DA2ABD" w:rsidRPr="004A069C">
        <w:rPr>
          <w:rFonts w:cs="Times New Roman"/>
          <w:szCs w:val="24"/>
        </w:rPr>
        <w:t>of</w:t>
      </w:r>
      <w:r w:rsidRPr="004A069C">
        <w:rPr>
          <w:rFonts w:cs="Times New Roman"/>
          <w:szCs w:val="24"/>
        </w:rPr>
        <w:t xml:space="preserve"> insider purchase because market </w:t>
      </w:r>
      <w:r w:rsidR="00DA2ABD" w:rsidRPr="004A069C">
        <w:rPr>
          <w:rFonts w:cs="Times New Roman"/>
          <w:szCs w:val="24"/>
        </w:rPr>
        <w:t xml:space="preserve">has </w:t>
      </w:r>
      <w:r w:rsidRPr="004A069C">
        <w:rPr>
          <w:rFonts w:cs="Times New Roman"/>
          <w:szCs w:val="24"/>
        </w:rPr>
        <w:t>already react</w:t>
      </w:r>
      <w:r w:rsidR="00DA2ABD" w:rsidRPr="004A069C">
        <w:rPr>
          <w:rFonts w:cs="Times New Roman"/>
          <w:szCs w:val="24"/>
        </w:rPr>
        <w:t>ed</w:t>
      </w:r>
      <w:r w:rsidRPr="004A069C">
        <w:rPr>
          <w:rFonts w:cs="Times New Roman"/>
          <w:szCs w:val="24"/>
        </w:rPr>
        <w:t xml:space="preserve"> to the purchase intentions before. In contrast, after insider complete their sale</w:t>
      </w:r>
      <w:r w:rsidR="00DA2ABD" w:rsidRPr="004A069C">
        <w:rPr>
          <w:rFonts w:cs="Times New Roman"/>
          <w:szCs w:val="24"/>
        </w:rPr>
        <w:t>,</w:t>
      </w:r>
      <w:r w:rsidRPr="004A069C">
        <w:rPr>
          <w:rFonts w:cs="Times New Roman"/>
          <w:szCs w:val="24"/>
        </w:rPr>
        <w:t xml:space="preserve"> the normal investors continue to sell the stock massively</w:t>
      </w:r>
      <w:r w:rsidR="00DA2ABD" w:rsidRPr="004A069C">
        <w:rPr>
          <w:rFonts w:cs="Times New Roman"/>
          <w:szCs w:val="24"/>
        </w:rPr>
        <w:t>. Thus</w:t>
      </w:r>
      <w:r w:rsidRPr="004A069C">
        <w:rPr>
          <w:rFonts w:cs="Times New Roman"/>
          <w:szCs w:val="24"/>
        </w:rPr>
        <w:t xml:space="preserve">, the Vietnam outsiders are more sensitive </w:t>
      </w:r>
      <w:r w:rsidR="00DA2ABD" w:rsidRPr="004A069C">
        <w:rPr>
          <w:rFonts w:cs="Times New Roman"/>
          <w:szCs w:val="24"/>
        </w:rPr>
        <w:t>to</w:t>
      </w:r>
      <w:r w:rsidRPr="004A069C">
        <w:rPr>
          <w:rFonts w:cs="Times New Roman"/>
          <w:szCs w:val="24"/>
        </w:rPr>
        <w:t xml:space="preserve"> insider sale than insider purchase. There is no abnormal return </w:t>
      </w:r>
      <w:r w:rsidR="00DA2ABD" w:rsidRPr="004A069C">
        <w:rPr>
          <w:rFonts w:cs="Times New Roman"/>
          <w:szCs w:val="24"/>
        </w:rPr>
        <w:t>following the</w:t>
      </w:r>
      <w:r w:rsidRPr="004A069C">
        <w:rPr>
          <w:rFonts w:cs="Times New Roman"/>
          <w:szCs w:val="24"/>
        </w:rPr>
        <w:t xml:space="preserve"> trade cancellation because insiders may just cancel their trade </w:t>
      </w:r>
      <w:r w:rsidR="00DA2ABD" w:rsidRPr="004A069C">
        <w:rPr>
          <w:rFonts w:cs="Times New Roman"/>
          <w:szCs w:val="24"/>
        </w:rPr>
        <w:t>since</w:t>
      </w:r>
      <w:r w:rsidRPr="004A069C">
        <w:rPr>
          <w:rFonts w:cs="Times New Roman"/>
          <w:szCs w:val="24"/>
        </w:rPr>
        <w:t xml:space="preserve"> the stock price is inconsistent with their expect</w:t>
      </w:r>
      <w:r w:rsidR="00DA2ABD" w:rsidRPr="004A069C">
        <w:rPr>
          <w:rFonts w:cs="Times New Roman"/>
          <w:szCs w:val="24"/>
        </w:rPr>
        <w:t>ation</w:t>
      </w:r>
      <w:r w:rsidRPr="004A069C">
        <w:rPr>
          <w:rFonts w:cs="Times New Roman"/>
          <w:szCs w:val="24"/>
        </w:rPr>
        <w:t xml:space="preserve">. The abnormal return from purchase requests of top executives and sale requests of major shareholders are higher than the others group. </w:t>
      </w:r>
      <w:r w:rsidR="00DA2ABD" w:rsidRPr="004A069C">
        <w:rPr>
          <w:rFonts w:cs="Times New Roman"/>
          <w:szCs w:val="24"/>
        </w:rPr>
        <w:t xml:space="preserve">The </w:t>
      </w:r>
      <w:r w:rsidRPr="004A069C">
        <w:rPr>
          <w:rFonts w:cs="Times New Roman"/>
          <w:szCs w:val="24"/>
        </w:rPr>
        <w:t xml:space="preserve">abnormal returns from purchase requests of top executives and sale requests of major shareholders </w:t>
      </w:r>
      <w:r w:rsidR="00DA2ABD" w:rsidRPr="004A069C">
        <w:rPr>
          <w:rFonts w:cs="Times New Roman"/>
          <w:szCs w:val="24"/>
        </w:rPr>
        <w:t xml:space="preserve">in small-cap firms </w:t>
      </w:r>
      <w:r w:rsidRPr="004A069C">
        <w:rPr>
          <w:rFonts w:cs="Times New Roman"/>
          <w:szCs w:val="24"/>
        </w:rPr>
        <w:t>are significant</w:t>
      </w:r>
      <w:r w:rsidR="00DA2ABD" w:rsidRPr="004A069C">
        <w:rPr>
          <w:rFonts w:cs="Times New Roman"/>
          <w:szCs w:val="24"/>
        </w:rPr>
        <w:t>ly</w:t>
      </w:r>
      <w:r w:rsidRPr="004A069C">
        <w:rPr>
          <w:rFonts w:cs="Times New Roman"/>
          <w:szCs w:val="24"/>
        </w:rPr>
        <w:t xml:space="preserve"> larger than </w:t>
      </w:r>
      <w:r w:rsidR="00DA2ABD" w:rsidRPr="004A069C">
        <w:rPr>
          <w:rFonts w:cs="Times New Roman"/>
          <w:szCs w:val="24"/>
        </w:rPr>
        <w:t xml:space="preserve">those </w:t>
      </w:r>
      <w:r w:rsidRPr="004A069C">
        <w:rPr>
          <w:rFonts w:cs="Times New Roman"/>
          <w:szCs w:val="24"/>
        </w:rPr>
        <w:t xml:space="preserve">in big-cap firms.   </w:t>
      </w:r>
    </w:p>
    <w:p w:rsidR="00673F53" w:rsidRPr="004A069C" w:rsidRDefault="00295707" w:rsidP="007A0AC6">
      <w:pPr>
        <w:pStyle w:val="a3"/>
        <w:numPr>
          <w:ilvl w:val="1"/>
          <w:numId w:val="10"/>
        </w:numPr>
        <w:spacing w:line="360" w:lineRule="auto"/>
        <w:jc w:val="both"/>
        <w:outlineLvl w:val="1"/>
        <w:rPr>
          <w:rFonts w:cs="Times New Roman"/>
          <w:b/>
          <w:szCs w:val="24"/>
        </w:rPr>
      </w:pPr>
      <w:bookmarkStart w:id="4" w:name="_Toc27623011"/>
      <w:r w:rsidRPr="004A069C">
        <w:rPr>
          <w:rFonts w:cs="Times New Roman"/>
          <w:b/>
          <w:szCs w:val="24"/>
        </w:rPr>
        <w:t>Hypothese</w:t>
      </w:r>
      <w:r w:rsidR="002177DA" w:rsidRPr="004A069C">
        <w:rPr>
          <w:rFonts w:cs="Times New Roman"/>
          <w:b/>
          <w:szCs w:val="24"/>
        </w:rPr>
        <w:t>s</w:t>
      </w:r>
      <w:bookmarkEnd w:id="4"/>
      <w:r w:rsidR="002177DA" w:rsidRPr="004A069C">
        <w:rPr>
          <w:rFonts w:cs="Times New Roman"/>
          <w:b/>
          <w:szCs w:val="24"/>
        </w:rPr>
        <w:t xml:space="preserve"> </w:t>
      </w:r>
    </w:p>
    <w:p w:rsidR="002177DA" w:rsidRPr="004A069C" w:rsidRDefault="002177DA" w:rsidP="00E92203">
      <w:pPr>
        <w:spacing w:line="360" w:lineRule="auto"/>
        <w:ind w:firstLine="720"/>
        <w:jc w:val="both"/>
        <w:rPr>
          <w:rFonts w:cs="Times New Roman"/>
          <w:szCs w:val="24"/>
        </w:rPr>
      </w:pPr>
      <w:r w:rsidRPr="004A069C">
        <w:rPr>
          <w:rFonts w:cs="Times New Roman"/>
          <w:szCs w:val="24"/>
        </w:rPr>
        <w:t>Insider is known as a specific group of investors with favorable private information. They also have opportunities to receive stock options. Their trading activities are always restricted by many regulations and supervision organization to maintain the market transparency. The purposes of insider trading are variety. It may be inspired from non-informative or informative reasons. Some non-informative reasons are personal liquidity, portfolio diversification and regulation issues. When insider</w:t>
      </w:r>
      <w:r w:rsidR="002702C0" w:rsidRPr="004A069C">
        <w:rPr>
          <w:rFonts w:cs="Times New Roman"/>
          <w:szCs w:val="24"/>
        </w:rPr>
        <w:t>s</w:t>
      </w:r>
      <w:r w:rsidRPr="004A069C">
        <w:rPr>
          <w:rFonts w:cs="Times New Roman"/>
          <w:szCs w:val="24"/>
        </w:rPr>
        <w:t xml:space="preserve"> possess private information about firm performances, they will have opportunity to buy before good news and sell before bad news to gain additional profit or prevent losing. If they do that in the case of bad new, they may be arrested by the regulators, and the amount of punishing money may </w:t>
      </w:r>
      <w:r w:rsidR="002702C0" w:rsidRPr="004A069C">
        <w:rPr>
          <w:rFonts w:cs="Times New Roman"/>
          <w:szCs w:val="24"/>
        </w:rPr>
        <w:t xml:space="preserve">be </w:t>
      </w:r>
      <w:r w:rsidRPr="004A069C">
        <w:rPr>
          <w:rFonts w:cs="Times New Roman"/>
          <w:szCs w:val="24"/>
        </w:rPr>
        <w:t xml:space="preserve">larger than their gaining. Thus, to prevent from loss and being arrested, insider does not trade in the period of bad news. The previous studies has proved that in US market, firms which have insider silence in the last </w:t>
      </w:r>
      <w:r w:rsidR="00543367" w:rsidRPr="004A069C">
        <w:rPr>
          <w:rFonts w:cs="Times New Roman"/>
          <w:szCs w:val="24"/>
        </w:rPr>
        <w:t>twelve</w:t>
      </w:r>
      <w:r w:rsidRPr="004A069C">
        <w:rPr>
          <w:rFonts w:cs="Times New Roman"/>
          <w:szCs w:val="24"/>
        </w:rPr>
        <w:t xml:space="preserve"> months would suffer from negative excess return in the next </w:t>
      </w:r>
      <w:r w:rsidR="00543367" w:rsidRPr="004A069C">
        <w:rPr>
          <w:rFonts w:cs="Times New Roman"/>
          <w:szCs w:val="24"/>
        </w:rPr>
        <w:t>twelve</w:t>
      </w:r>
      <w:r w:rsidRPr="004A069C">
        <w:rPr>
          <w:rFonts w:cs="Times New Roman"/>
          <w:szCs w:val="24"/>
        </w:rPr>
        <w:t xml:space="preserve"> months (</w:t>
      </w:r>
      <w:r w:rsidR="00780CD7" w:rsidRPr="004A069C">
        <w:rPr>
          <w:rStyle w:val="fontstyle01"/>
          <w:rFonts w:ascii="Times New Roman" w:hAnsi="Times New Roman" w:cs="Times New Roman"/>
          <w:color w:val="auto"/>
        </w:rPr>
        <w:t>[7]</w:t>
      </w:r>
      <w:r w:rsidRPr="004A069C">
        <w:rPr>
          <w:rStyle w:val="fontstyle01"/>
          <w:rFonts w:ascii="Times New Roman" w:hAnsi="Times New Roman" w:cs="Times New Roman"/>
          <w:color w:val="auto"/>
        </w:rPr>
        <w:t xml:space="preserve">). In the case of Vietnam market, we also hypothesize that the Vietnam insider will do the same with US insider when they possess the bad news of their organization. The </w:t>
      </w:r>
      <w:r w:rsidRPr="004A069C">
        <w:rPr>
          <w:rFonts w:cs="Times New Roman"/>
          <w:szCs w:val="24"/>
        </w:rPr>
        <w:t>future excess return</w:t>
      </w:r>
      <w:r w:rsidR="002702C0" w:rsidRPr="004A069C">
        <w:rPr>
          <w:rFonts w:cs="Times New Roman"/>
          <w:szCs w:val="24"/>
        </w:rPr>
        <w:t>s</w:t>
      </w:r>
      <w:r w:rsidRPr="004A069C">
        <w:rPr>
          <w:rFonts w:cs="Times New Roman"/>
          <w:szCs w:val="24"/>
        </w:rPr>
        <w:t xml:space="preserve"> of silence firm</w:t>
      </w:r>
      <w:r w:rsidR="002702C0" w:rsidRPr="004A069C">
        <w:rPr>
          <w:rFonts w:cs="Times New Roman"/>
          <w:szCs w:val="24"/>
        </w:rPr>
        <w:t>s</w:t>
      </w:r>
      <w:r w:rsidRPr="004A069C">
        <w:rPr>
          <w:rFonts w:cs="Times New Roman"/>
          <w:szCs w:val="24"/>
        </w:rPr>
        <w:t xml:space="preserve"> would be lower than the selling stock </w:t>
      </w:r>
      <w:r w:rsidR="002702C0" w:rsidRPr="004A069C">
        <w:rPr>
          <w:rFonts w:cs="Times New Roman"/>
          <w:szCs w:val="24"/>
        </w:rPr>
        <w:t>firms</w:t>
      </w:r>
      <w:r w:rsidRPr="004A069C">
        <w:rPr>
          <w:rFonts w:cs="Times New Roman"/>
          <w:szCs w:val="24"/>
        </w:rPr>
        <w:t>. Therefore, we have the following hypothesis:</w:t>
      </w:r>
    </w:p>
    <w:p w:rsidR="00543367" w:rsidRPr="004A069C" w:rsidRDefault="00543367" w:rsidP="00E92203">
      <w:pPr>
        <w:spacing w:line="360" w:lineRule="auto"/>
        <w:ind w:firstLine="720"/>
        <w:jc w:val="both"/>
        <w:rPr>
          <w:rFonts w:cs="Times New Roman"/>
          <w:b/>
          <w:szCs w:val="24"/>
        </w:rPr>
      </w:pPr>
    </w:p>
    <w:p w:rsidR="002177DA" w:rsidRPr="004A069C" w:rsidRDefault="002177DA" w:rsidP="00E92203">
      <w:pPr>
        <w:spacing w:line="360" w:lineRule="auto"/>
        <w:ind w:firstLine="720"/>
        <w:jc w:val="both"/>
        <w:rPr>
          <w:rFonts w:cs="Times New Roman"/>
          <w:b/>
          <w:szCs w:val="24"/>
        </w:rPr>
      </w:pPr>
      <w:r w:rsidRPr="004A069C">
        <w:rPr>
          <w:rFonts w:cs="Times New Roman"/>
          <w:b/>
          <w:szCs w:val="24"/>
        </w:rPr>
        <w:t xml:space="preserve">Hypothesis 1: The silence stock </w:t>
      </w:r>
      <w:r w:rsidR="002702C0" w:rsidRPr="004A069C">
        <w:rPr>
          <w:rFonts w:cs="Times New Roman"/>
          <w:b/>
          <w:szCs w:val="24"/>
        </w:rPr>
        <w:t xml:space="preserve">firms </w:t>
      </w:r>
      <w:r w:rsidRPr="004A069C">
        <w:rPr>
          <w:rFonts w:cs="Times New Roman"/>
          <w:b/>
          <w:szCs w:val="24"/>
        </w:rPr>
        <w:t>ha</w:t>
      </w:r>
      <w:r w:rsidR="002702C0" w:rsidRPr="004A069C">
        <w:rPr>
          <w:rFonts w:cs="Times New Roman"/>
          <w:b/>
          <w:szCs w:val="24"/>
        </w:rPr>
        <w:t>ve</w:t>
      </w:r>
      <w:r w:rsidRPr="004A069C">
        <w:rPr>
          <w:rFonts w:cs="Times New Roman"/>
          <w:b/>
          <w:szCs w:val="24"/>
        </w:rPr>
        <w:t xml:space="preserve"> lower future excess return than the selling stock </w:t>
      </w:r>
      <w:r w:rsidR="002702C0" w:rsidRPr="004A069C">
        <w:rPr>
          <w:rFonts w:cs="Times New Roman"/>
          <w:b/>
          <w:szCs w:val="24"/>
        </w:rPr>
        <w:t xml:space="preserve">firms </w:t>
      </w:r>
      <w:r w:rsidRPr="004A069C">
        <w:rPr>
          <w:rFonts w:cs="Times New Roman"/>
          <w:b/>
          <w:szCs w:val="24"/>
        </w:rPr>
        <w:t>in Viet Nam security market.</w:t>
      </w:r>
    </w:p>
    <w:p w:rsidR="00543367" w:rsidRPr="004A069C" w:rsidRDefault="00543367" w:rsidP="00E92203">
      <w:pPr>
        <w:spacing w:line="360" w:lineRule="auto"/>
        <w:ind w:firstLine="720"/>
        <w:jc w:val="both"/>
        <w:rPr>
          <w:rFonts w:cs="Times New Roman"/>
          <w:b/>
          <w:szCs w:val="24"/>
        </w:rPr>
      </w:pP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Litigation risk is the main factor for insider silence, which have been proved in US security market </w:t>
      </w:r>
      <w:r w:rsidR="00780CD7" w:rsidRPr="004A069C">
        <w:rPr>
          <w:rStyle w:val="fontstyle01"/>
          <w:rFonts w:ascii="Times New Roman" w:hAnsi="Times New Roman" w:cs="Times New Roman"/>
          <w:color w:val="auto"/>
        </w:rPr>
        <w:t>[7]</w:t>
      </w:r>
      <w:r w:rsidRPr="004A069C">
        <w:rPr>
          <w:rFonts w:cs="Times New Roman"/>
          <w:szCs w:val="24"/>
        </w:rPr>
        <w:t>. We believe that Vietnam insider</w:t>
      </w:r>
      <w:r w:rsidR="009C3CB1" w:rsidRPr="004A069C">
        <w:rPr>
          <w:rFonts w:cs="Times New Roman"/>
          <w:szCs w:val="24"/>
        </w:rPr>
        <w:t>s</w:t>
      </w:r>
      <w:r w:rsidRPr="004A069C">
        <w:rPr>
          <w:rFonts w:cs="Times New Roman"/>
          <w:szCs w:val="24"/>
        </w:rPr>
        <w:t xml:space="preserve"> also face this litigation risk. Vietnam Criminal Laws </w:t>
      </w:r>
      <w:r w:rsidR="005C45EC" w:rsidRPr="004A069C">
        <w:rPr>
          <w:rFonts w:cs="Times New Roman"/>
          <w:szCs w:val="24"/>
        </w:rPr>
        <w:t>punish</w:t>
      </w:r>
      <w:r w:rsidRPr="004A069C">
        <w:rPr>
          <w:rFonts w:cs="Times New Roman"/>
          <w:szCs w:val="24"/>
        </w:rPr>
        <w:t xml:space="preserve"> illegal insider trading </w:t>
      </w:r>
      <w:r w:rsidR="005C45EC" w:rsidRPr="004A069C">
        <w:rPr>
          <w:rFonts w:cs="Times New Roman"/>
          <w:szCs w:val="24"/>
        </w:rPr>
        <w:t>based on</w:t>
      </w:r>
      <w:r w:rsidRPr="004A069C">
        <w:rPr>
          <w:rFonts w:cs="Times New Roman"/>
          <w:szCs w:val="24"/>
        </w:rPr>
        <w:t xml:space="preserve"> their current positions of the company. That is, illegal insiders are requested to return the abnormal profits from their trades, which is punished from VND 100 million - VND 500 million (about $ 5,000 -$ 25,000). In the case of serious result, they may have a sentence from 2 to 7 years imprisonment. </w:t>
      </w:r>
      <w:r w:rsidR="005C45EC" w:rsidRPr="004A069C">
        <w:rPr>
          <w:rFonts w:cs="Times New Roman"/>
          <w:szCs w:val="24"/>
        </w:rPr>
        <w:t>When</w:t>
      </w:r>
      <w:r w:rsidRPr="004A069C">
        <w:rPr>
          <w:rFonts w:cs="Times New Roman"/>
          <w:szCs w:val="24"/>
        </w:rPr>
        <w:t xml:space="preserve"> there is a serious negative news, it will make stock price drop dramatically. Thus, insider do not trade before this bad news become public to prevent them from being suspected by SSC for the offence of trading on private information. We </w:t>
      </w:r>
      <w:r w:rsidR="005C45EC" w:rsidRPr="004A069C">
        <w:rPr>
          <w:rFonts w:cs="Times New Roman"/>
          <w:szCs w:val="24"/>
        </w:rPr>
        <w:t>examine</w:t>
      </w:r>
      <w:r w:rsidRPr="004A069C">
        <w:rPr>
          <w:rFonts w:cs="Times New Roman"/>
          <w:szCs w:val="24"/>
        </w:rPr>
        <w:t xml:space="preserve"> whether Vietnam insider do not trade before the bad news because of the high litigation risk. If things are doing so, in the time of high litigation risk the future stock return of insider silence firms will be more negative.    </w:t>
      </w:r>
    </w:p>
    <w:p w:rsidR="00543367" w:rsidRPr="004A069C" w:rsidRDefault="00543367" w:rsidP="00E92203">
      <w:pPr>
        <w:spacing w:line="360" w:lineRule="auto"/>
        <w:ind w:firstLine="720"/>
        <w:jc w:val="both"/>
        <w:rPr>
          <w:rFonts w:cs="Times New Roman"/>
          <w:szCs w:val="24"/>
        </w:rPr>
      </w:pPr>
    </w:p>
    <w:p w:rsidR="002177DA" w:rsidRPr="004A069C" w:rsidRDefault="002177DA" w:rsidP="00E92203">
      <w:pPr>
        <w:spacing w:line="360" w:lineRule="auto"/>
        <w:ind w:firstLine="720"/>
        <w:jc w:val="both"/>
        <w:rPr>
          <w:rFonts w:cs="Times New Roman"/>
          <w:b/>
          <w:szCs w:val="24"/>
        </w:rPr>
      </w:pPr>
      <w:r w:rsidRPr="004A069C">
        <w:rPr>
          <w:rFonts w:cs="Times New Roman"/>
          <w:b/>
          <w:szCs w:val="24"/>
        </w:rPr>
        <w:t xml:space="preserve">Hypothesis 2: The negative effect of insider silence on firm’s future stock return </w:t>
      </w:r>
      <w:r w:rsidR="005344FF" w:rsidRPr="004A069C">
        <w:rPr>
          <w:rFonts w:cs="Times New Roman"/>
          <w:b/>
          <w:szCs w:val="24"/>
        </w:rPr>
        <w:t>is</w:t>
      </w:r>
      <w:r w:rsidRPr="004A069C">
        <w:rPr>
          <w:rFonts w:cs="Times New Roman"/>
          <w:b/>
          <w:szCs w:val="24"/>
        </w:rPr>
        <w:t xml:space="preserve"> stronger in firm with higher litigation risk in Viet Nam security market. </w:t>
      </w:r>
    </w:p>
    <w:p w:rsidR="00543367" w:rsidRPr="004A069C" w:rsidRDefault="00543367" w:rsidP="00E92203">
      <w:pPr>
        <w:spacing w:line="360" w:lineRule="auto"/>
        <w:ind w:firstLine="720"/>
        <w:jc w:val="both"/>
        <w:rPr>
          <w:rFonts w:cs="Times New Roman"/>
          <w:b/>
          <w:szCs w:val="24"/>
        </w:rPr>
      </w:pP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Hong and Li </w:t>
      </w:r>
      <w:r w:rsidR="00780CD7" w:rsidRPr="004A069C">
        <w:rPr>
          <w:rFonts w:cs="Times New Roman"/>
          <w:szCs w:val="24"/>
        </w:rPr>
        <w:t>[9]</w:t>
      </w:r>
      <w:r w:rsidRPr="004A069C">
        <w:rPr>
          <w:rFonts w:cs="Times New Roman"/>
          <w:szCs w:val="24"/>
        </w:rPr>
        <w:t xml:space="preserve"> defined another kind of insider silence, which are sudden insider silence of routine sells and routine purchases insider. In this hypothesis, we will compare the effect of two kinds of insider silence on firm future stock return in Vietnam security market. </w:t>
      </w:r>
      <w:r w:rsidR="006B7336" w:rsidRPr="004A069C">
        <w:rPr>
          <w:rFonts w:cs="Times New Roman"/>
          <w:szCs w:val="24"/>
        </w:rPr>
        <w:t xml:space="preserve">For </w:t>
      </w:r>
      <w:r w:rsidRPr="004A069C">
        <w:rPr>
          <w:rFonts w:cs="Times New Roman"/>
          <w:szCs w:val="24"/>
        </w:rPr>
        <w:t>unconditional insider</w:t>
      </w:r>
      <w:r w:rsidR="006B7336" w:rsidRPr="004A069C">
        <w:rPr>
          <w:rFonts w:cs="Times New Roman"/>
          <w:szCs w:val="24"/>
        </w:rPr>
        <w:t xml:space="preserve"> silence</w:t>
      </w:r>
      <w:r w:rsidRPr="004A069C">
        <w:rPr>
          <w:rFonts w:cs="Times New Roman"/>
          <w:szCs w:val="24"/>
        </w:rPr>
        <w:t xml:space="preserve">, some may </w:t>
      </w:r>
      <w:r w:rsidR="006B7336" w:rsidRPr="004A069C">
        <w:rPr>
          <w:rFonts w:cs="Times New Roman"/>
          <w:szCs w:val="24"/>
        </w:rPr>
        <w:t>result</w:t>
      </w:r>
      <w:r w:rsidRPr="004A069C">
        <w:rPr>
          <w:rFonts w:cs="Times New Roman"/>
          <w:szCs w:val="24"/>
        </w:rPr>
        <w:t xml:space="preserve"> from the non-informative reasons and some may </w:t>
      </w:r>
      <w:r w:rsidR="006B7336" w:rsidRPr="004A069C">
        <w:rPr>
          <w:rFonts w:cs="Times New Roman"/>
          <w:szCs w:val="24"/>
        </w:rPr>
        <w:t>result</w:t>
      </w:r>
      <w:r w:rsidRPr="004A069C">
        <w:rPr>
          <w:rFonts w:cs="Times New Roman"/>
          <w:szCs w:val="24"/>
        </w:rPr>
        <w:t xml:space="preserve"> from the informative reasons. When routine insider become silence, we assume that this silence will be more informative than the randomly silence. Thus, we expect that the sudden insider silence w</w:t>
      </w:r>
      <w:r w:rsidR="007823EB" w:rsidRPr="004A069C">
        <w:rPr>
          <w:rFonts w:cs="Times New Roman"/>
          <w:szCs w:val="24"/>
        </w:rPr>
        <w:t>ould</w:t>
      </w:r>
      <w:r w:rsidRPr="004A069C">
        <w:rPr>
          <w:rFonts w:cs="Times New Roman"/>
          <w:szCs w:val="24"/>
        </w:rPr>
        <w:t xml:space="preserve"> have more impact on firm future stock return than unconditional insider silence. That is, the future return of firms with conditional insider silence in routine purchases will be more negative than the future return of firms with unconditional insider silence.   </w:t>
      </w:r>
    </w:p>
    <w:p w:rsidR="00543367" w:rsidRPr="004A069C" w:rsidRDefault="00543367" w:rsidP="00E92203">
      <w:pPr>
        <w:spacing w:line="360" w:lineRule="auto"/>
        <w:ind w:firstLine="720"/>
        <w:jc w:val="both"/>
        <w:rPr>
          <w:rFonts w:cs="Times New Roman"/>
          <w:szCs w:val="24"/>
        </w:rPr>
      </w:pPr>
    </w:p>
    <w:p w:rsidR="00543367" w:rsidRPr="004A069C" w:rsidRDefault="002177DA" w:rsidP="00543367">
      <w:pPr>
        <w:spacing w:line="360" w:lineRule="auto"/>
        <w:ind w:firstLine="720"/>
        <w:jc w:val="both"/>
        <w:rPr>
          <w:rFonts w:cs="Times New Roman"/>
          <w:b/>
          <w:szCs w:val="24"/>
        </w:rPr>
      </w:pPr>
      <w:r w:rsidRPr="004A069C">
        <w:rPr>
          <w:rFonts w:cs="Times New Roman"/>
          <w:b/>
          <w:szCs w:val="24"/>
        </w:rPr>
        <w:t>Hypothesis 3: Sudden insider silence have more</w:t>
      </w:r>
      <w:r w:rsidR="00295707" w:rsidRPr="004A069C">
        <w:rPr>
          <w:rFonts w:cs="Times New Roman"/>
          <w:b/>
          <w:szCs w:val="24"/>
        </w:rPr>
        <w:t xml:space="preserve"> negative</w:t>
      </w:r>
      <w:r w:rsidRPr="004A069C">
        <w:rPr>
          <w:rFonts w:cs="Times New Roman"/>
          <w:b/>
          <w:szCs w:val="24"/>
        </w:rPr>
        <w:t xml:space="preserve"> impact on firm future stock return than unconditional insider silence in Viet Nam security market.</w:t>
      </w:r>
      <w:bookmarkStart w:id="5" w:name="_Toc27623012"/>
      <w:r w:rsidR="00543367" w:rsidRPr="004A069C">
        <w:rPr>
          <w:rFonts w:cs="Times New Roman"/>
          <w:b/>
          <w:szCs w:val="24"/>
        </w:rPr>
        <w:br/>
      </w:r>
    </w:p>
    <w:p w:rsidR="002177DA" w:rsidRPr="004A069C" w:rsidRDefault="005F5046" w:rsidP="00543367">
      <w:pPr>
        <w:spacing w:line="360" w:lineRule="auto"/>
        <w:jc w:val="both"/>
        <w:rPr>
          <w:rFonts w:cs="Times New Roman"/>
          <w:b/>
          <w:szCs w:val="24"/>
        </w:rPr>
      </w:pPr>
      <w:r w:rsidRPr="004A069C">
        <w:rPr>
          <w:b/>
          <w:szCs w:val="24"/>
        </w:rPr>
        <w:t>3</w:t>
      </w:r>
      <w:r w:rsidR="00F56AF1" w:rsidRPr="004A069C">
        <w:rPr>
          <w:b/>
          <w:szCs w:val="24"/>
        </w:rPr>
        <w:t>.</w:t>
      </w:r>
      <w:r w:rsidR="002177DA" w:rsidRPr="004A069C">
        <w:rPr>
          <w:b/>
          <w:szCs w:val="24"/>
        </w:rPr>
        <w:t xml:space="preserve"> Data and Methodology</w:t>
      </w:r>
      <w:bookmarkEnd w:id="5"/>
    </w:p>
    <w:p w:rsidR="002177DA" w:rsidRPr="004A069C" w:rsidRDefault="005F5046" w:rsidP="00F56AF1">
      <w:pPr>
        <w:pStyle w:val="2"/>
        <w:spacing w:after="240"/>
        <w:rPr>
          <w:rFonts w:ascii="Times New Roman" w:hAnsi="Times New Roman" w:cs="Times New Roman"/>
          <w:b/>
          <w:color w:val="auto"/>
          <w:sz w:val="24"/>
          <w:szCs w:val="24"/>
        </w:rPr>
      </w:pPr>
      <w:bookmarkStart w:id="6" w:name="_Toc27623013"/>
      <w:r w:rsidRPr="004A069C">
        <w:rPr>
          <w:rFonts w:ascii="Times New Roman" w:hAnsi="Times New Roman" w:cs="Times New Roman"/>
          <w:b/>
          <w:color w:val="auto"/>
          <w:sz w:val="24"/>
          <w:szCs w:val="24"/>
        </w:rPr>
        <w:t>3</w:t>
      </w:r>
      <w:r w:rsidR="002177DA" w:rsidRPr="004A069C">
        <w:rPr>
          <w:rFonts w:ascii="Times New Roman" w:hAnsi="Times New Roman" w:cs="Times New Roman"/>
          <w:b/>
          <w:color w:val="auto"/>
          <w:sz w:val="24"/>
          <w:szCs w:val="24"/>
        </w:rPr>
        <w:t>.1 Data</w:t>
      </w:r>
      <w:bookmarkEnd w:id="6"/>
    </w:p>
    <w:p w:rsidR="002177DA" w:rsidRPr="004A069C" w:rsidRDefault="002177DA" w:rsidP="00673F53">
      <w:pPr>
        <w:spacing w:after="240" w:line="360" w:lineRule="auto"/>
        <w:ind w:firstLine="720"/>
        <w:jc w:val="both"/>
        <w:rPr>
          <w:rFonts w:cs="Times New Roman"/>
          <w:szCs w:val="24"/>
        </w:rPr>
      </w:pPr>
      <w:r w:rsidRPr="004A069C">
        <w:rPr>
          <w:rFonts w:cs="Times New Roman"/>
          <w:szCs w:val="24"/>
        </w:rPr>
        <w:t xml:space="preserve">We </w:t>
      </w:r>
      <w:r w:rsidR="007823EB" w:rsidRPr="004A069C">
        <w:rPr>
          <w:rFonts w:cs="Times New Roman"/>
          <w:szCs w:val="24"/>
        </w:rPr>
        <w:t>examine</w:t>
      </w:r>
      <w:r w:rsidRPr="004A069C">
        <w:rPr>
          <w:rFonts w:cs="Times New Roman"/>
          <w:szCs w:val="24"/>
        </w:rPr>
        <w:t xml:space="preserve"> the insider trading activities of top 100 firms with highest market capitalization and liquidity in HOSE from January 2010 to December 2018. We choose the top 100 firms to ensure that the amount of data will be enough to provide the appropriate </w:t>
      </w:r>
      <w:r w:rsidR="007823EB" w:rsidRPr="004A069C">
        <w:rPr>
          <w:rFonts w:cs="Times New Roman"/>
          <w:szCs w:val="24"/>
        </w:rPr>
        <w:t>sample</w:t>
      </w:r>
      <w:r w:rsidRPr="004A069C">
        <w:rPr>
          <w:rFonts w:cs="Times New Roman"/>
          <w:szCs w:val="24"/>
        </w:rPr>
        <w:t xml:space="preserve">. </w:t>
      </w:r>
      <w:r w:rsidR="00701441" w:rsidRPr="004A069C">
        <w:rPr>
          <w:rFonts w:cs="Times New Roman"/>
          <w:szCs w:val="24"/>
        </w:rPr>
        <w:t xml:space="preserve">The total market capitalization of top 100 firms is around 54% of the total Vietnam stock market at the end of 2018. </w:t>
      </w:r>
      <w:r w:rsidRPr="004A069C">
        <w:rPr>
          <w:rStyle w:val="fontstyle01"/>
          <w:rFonts w:ascii="Times New Roman" w:hAnsi="Times New Roman" w:cs="Times New Roman"/>
          <w:color w:val="auto"/>
        </w:rPr>
        <w:t xml:space="preserve">The sample period we select can reflect the newest features of the Vietnam security market and this time is also the period that Vietnam security market has a stable period of operation. </w:t>
      </w: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The data about insider trading </w:t>
      </w:r>
      <w:r w:rsidR="007823EB" w:rsidRPr="004A069C">
        <w:rPr>
          <w:rFonts w:cs="Times New Roman"/>
          <w:szCs w:val="24"/>
        </w:rPr>
        <w:t>are</w:t>
      </w:r>
      <w:r w:rsidRPr="004A069C">
        <w:rPr>
          <w:rFonts w:cs="Times New Roman"/>
          <w:szCs w:val="24"/>
        </w:rPr>
        <w:t xml:space="preserve"> collected from the announcement of SSC which is the only organization to directly receive the insider trading report from listed firms. But the announcement of SSC are public separately and unorganized depending on the time of receiving the report from insiders. There are many financial websites which reorganize these information with the purpose to support the trading activities of investors. One of the most reliable website is cafef.vn. This website shows the announcements from SSC in a short time with a high accuracy. We will collect the data of insider trading via this website because their data are arranged by the company name, insider name, insider position, time of trading and the amount of stock. Others financial data such as firm’s market capitalization, </w:t>
      </w:r>
      <w:r w:rsidRPr="004A069C">
        <w:rPr>
          <w:rFonts w:cs="Times New Roman"/>
          <w:szCs w:val="24"/>
          <w:lang w:val="en-029"/>
        </w:rPr>
        <w:t>book-to-market ratio, past return</w:t>
      </w:r>
      <w:r w:rsidR="00733972" w:rsidRPr="004A069C">
        <w:rPr>
          <w:rFonts w:cs="Times New Roman"/>
          <w:szCs w:val="24"/>
          <w:lang w:val="en-029"/>
        </w:rPr>
        <w:t xml:space="preserve"> are</w:t>
      </w:r>
      <w:r w:rsidRPr="004A069C">
        <w:rPr>
          <w:rFonts w:cs="Times New Roman"/>
          <w:szCs w:val="24"/>
        </w:rPr>
        <w:t xml:space="preserve"> collect</w:t>
      </w:r>
      <w:r w:rsidR="00733972" w:rsidRPr="004A069C">
        <w:rPr>
          <w:rFonts w:cs="Times New Roman"/>
          <w:szCs w:val="24"/>
        </w:rPr>
        <w:t>ed</w:t>
      </w:r>
      <w:r w:rsidRPr="004A069C">
        <w:rPr>
          <w:rFonts w:cs="Times New Roman"/>
          <w:szCs w:val="24"/>
        </w:rPr>
        <w:t xml:space="preserve"> from VNDIRECT Securities Corporation, one of a large stock exchange in Vietnam</w:t>
      </w:r>
      <w:r w:rsidR="00733972" w:rsidRPr="004A069C">
        <w:rPr>
          <w:rFonts w:cs="Times New Roman"/>
          <w:szCs w:val="24"/>
        </w:rPr>
        <w:t>. T</w:t>
      </w:r>
      <w:r w:rsidRPr="004A069C">
        <w:rPr>
          <w:rFonts w:cs="Times New Roman"/>
          <w:szCs w:val="24"/>
        </w:rPr>
        <w:t>hen</w:t>
      </w:r>
      <w:r w:rsidR="00733972" w:rsidRPr="004A069C">
        <w:rPr>
          <w:rFonts w:cs="Times New Roman"/>
          <w:szCs w:val="24"/>
        </w:rPr>
        <w:t>, we</w:t>
      </w:r>
      <w:r w:rsidRPr="004A069C">
        <w:rPr>
          <w:rFonts w:cs="Times New Roman"/>
          <w:szCs w:val="24"/>
        </w:rPr>
        <w:t xml:space="preserve"> match them with each stock in suitable period.  </w:t>
      </w:r>
    </w:p>
    <w:p w:rsidR="00815A09" w:rsidRPr="004A069C" w:rsidRDefault="008008DB" w:rsidP="00E92203">
      <w:pPr>
        <w:spacing w:line="360" w:lineRule="auto"/>
        <w:ind w:firstLine="720"/>
        <w:jc w:val="both"/>
        <w:rPr>
          <w:rFonts w:cs="Times New Roman"/>
          <w:szCs w:val="24"/>
        </w:rPr>
      </w:pPr>
      <w:r w:rsidRPr="004A069C">
        <w:rPr>
          <w:rFonts w:cs="Times New Roman"/>
          <w:szCs w:val="24"/>
        </w:rPr>
        <w:t xml:space="preserve">Table </w:t>
      </w:r>
      <w:r w:rsidR="00B7118C" w:rsidRPr="004A069C">
        <w:rPr>
          <w:rFonts w:cs="Times New Roman"/>
          <w:szCs w:val="24"/>
        </w:rPr>
        <w:t>2</w:t>
      </w:r>
      <w:r w:rsidR="000D404C" w:rsidRPr="004A069C">
        <w:rPr>
          <w:rFonts w:cs="Times New Roman"/>
          <w:szCs w:val="24"/>
        </w:rPr>
        <w:t xml:space="preserve"> presents</w:t>
      </w:r>
      <w:r w:rsidR="004D0EE3" w:rsidRPr="004A069C">
        <w:rPr>
          <w:rFonts w:cs="Times New Roman"/>
          <w:szCs w:val="24"/>
        </w:rPr>
        <w:t xml:space="preserve"> the correlation</w:t>
      </w:r>
      <w:r w:rsidR="00815A09" w:rsidRPr="004A069C">
        <w:rPr>
          <w:rFonts w:cs="Times New Roman"/>
          <w:szCs w:val="24"/>
        </w:rPr>
        <w:t xml:space="preserve"> value</w:t>
      </w:r>
      <w:r w:rsidR="004D0EE3" w:rsidRPr="004A069C">
        <w:rPr>
          <w:rFonts w:cs="Times New Roman"/>
          <w:szCs w:val="24"/>
        </w:rPr>
        <w:t xml:space="preserve"> among variable</w:t>
      </w:r>
      <w:r w:rsidR="00815A09" w:rsidRPr="004A069C">
        <w:rPr>
          <w:rFonts w:cs="Times New Roman"/>
          <w:szCs w:val="24"/>
        </w:rPr>
        <w:t>s.</w:t>
      </w:r>
      <w:r w:rsidR="000D404C" w:rsidRPr="004A069C">
        <w:rPr>
          <w:rFonts w:cs="Times New Roman"/>
          <w:szCs w:val="24"/>
        </w:rPr>
        <w:t xml:space="preserve"> </w:t>
      </w:r>
      <w:r w:rsidR="00426329" w:rsidRPr="004A069C">
        <w:rPr>
          <w:rFonts w:cs="Times New Roman"/>
          <w:szCs w:val="24"/>
        </w:rPr>
        <w:t xml:space="preserve">There is a negative correlation between dummy Silence variable and the cumulative </w:t>
      </w:r>
      <w:r w:rsidR="00543367" w:rsidRPr="004A069C">
        <w:rPr>
          <w:rFonts w:cs="Times New Roman"/>
          <w:szCs w:val="24"/>
        </w:rPr>
        <w:t>six</w:t>
      </w:r>
      <w:r w:rsidR="00426329" w:rsidRPr="004A069C">
        <w:rPr>
          <w:rFonts w:cs="Times New Roman"/>
          <w:szCs w:val="24"/>
        </w:rPr>
        <w:t xml:space="preserve"> months abnormal return</w:t>
      </w:r>
      <w:r w:rsidR="000D404C" w:rsidRPr="004A069C">
        <w:rPr>
          <w:rFonts w:cs="Times New Roman"/>
          <w:szCs w:val="24"/>
        </w:rPr>
        <w:t xml:space="preserve">, which is consistent with the expectation. In addition, </w:t>
      </w:r>
      <w:r w:rsidR="00426329" w:rsidRPr="004A069C">
        <w:rPr>
          <w:rFonts w:cs="Times New Roman"/>
          <w:szCs w:val="24"/>
        </w:rPr>
        <w:t xml:space="preserve">this relationship is positive between dummy Buy variable and abnormal return. </w:t>
      </w:r>
    </w:p>
    <w:p w:rsidR="002177DA" w:rsidRPr="004A069C" w:rsidRDefault="005F5046" w:rsidP="00F56AF1">
      <w:pPr>
        <w:pStyle w:val="2"/>
        <w:spacing w:after="240"/>
        <w:rPr>
          <w:rFonts w:ascii="Times New Roman" w:hAnsi="Times New Roman" w:cs="Times New Roman"/>
          <w:b/>
          <w:color w:val="auto"/>
          <w:sz w:val="24"/>
          <w:szCs w:val="24"/>
        </w:rPr>
      </w:pPr>
      <w:bookmarkStart w:id="7" w:name="_Toc27623014"/>
      <w:r w:rsidRPr="004A069C">
        <w:rPr>
          <w:rFonts w:ascii="Times New Roman" w:hAnsi="Times New Roman" w:cs="Times New Roman"/>
          <w:b/>
          <w:color w:val="auto"/>
          <w:sz w:val="24"/>
          <w:szCs w:val="24"/>
        </w:rPr>
        <w:t>3</w:t>
      </w:r>
      <w:r w:rsidR="002177DA" w:rsidRPr="004A069C">
        <w:rPr>
          <w:rFonts w:ascii="Times New Roman" w:hAnsi="Times New Roman" w:cs="Times New Roman"/>
          <w:b/>
          <w:color w:val="auto"/>
          <w:sz w:val="24"/>
          <w:szCs w:val="24"/>
        </w:rPr>
        <w:t>.2 Methodology</w:t>
      </w:r>
      <w:bookmarkEnd w:id="7"/>
    </w:p>
    <w:p w:rsidR="002177DA" w:rsidRPr="004A069C" w:rsidRDefault="002177DA" w:rsidP="00673F53">
      <w:pPr>
        <w:spacing w:after="240" w:line="360" w:lineRule="auto"/>
        <w:ind w:firstLine="720"/>
        <w:jc w:val="both"/>
        <w:rPr>
          <w:rStyle w:val="fontstyle01"/>
          <w:rFonts w:ascii="Times New Roman" w:hAnsi="Times New Roman" w:cs="Times New Roman"/>
          <w:color w:val="auto"/>
        </w:rPr>
      </w:pPr>
      <w:r w:rsidRPr="004A069C">
        <w:rPr>
          <w:rStyle w:val="fontstyle01"/>
          <w:rFonts w:ascii="Times New Roman" w:hAnsi="Times New Roman" w:cs="Times New Roman"/>
          <w:color w:val="auto"/>
        </w:rPr>
        <w:t xml:space="preserve">First, we group the insider silence stock by their insider trading history. At month t, we check the trading activities of insider in the past </w:t>
      </w:r>
      <w:r w:rsidR="00543367" w:rsidRPr="004A069C">
        <w:rPr>
          <w:rStyle w:val="fontstyle01"/>
          <w:rFonts w:ascii="Times New Roman" w:hAnsi="Times New Roman" w:cs="Times New Roman"/>
          <w:color w:val="auto"/>
        </w:rPr>
        <w:t>twelve</w:t>
      </w:r>
      <w:r w:rsidRPr="004A069C">
        <w:rPr>
          <w:rStyle w:val="fontstyle01"/>
          <w:rFonts w:ascii="Times New Roman" w:hAnsi="Times New Roman" w:cs="Times New Roman"/>
          <w:color w:val="auto"/>
        </w:rPr>
        <w:t xml:space="preserve"> months to ex</w:t>
      </w:r>
      <w:r w:rsidR="002163C6" w:rsidRPr="004A069C">
        <w:rPr>
          <w:rStyle w:val="fontstyle01"/>
          <w:rFonts w:ascii="Times New Roman" w:hAnsi="Times New Roman" w:cs="Times New Roman"/>
          <w:color w:val="auto"/>
        </w:rPr>
        <w:t>plor</w:t>
      </w:r>
      <w:r w:rsidRPr="004A069C">
        <w:rPr>
          <w:rStyle w:val="fontstyle01"/>
          <w:rFonts w:ascii="Times New Roman" w:hAnsi="Times New Roman" w:cs="Times New Roman"/>
          <w:color w:val="auto"/>
        </w:rPr>
        <w:t>e whether the</w:t>
      </w:r>
      <w:r w:rsidR="002163C6" w:rsidRPr="004A069C">
        <w:rPr>
          <w:rStyle w:val="fontstyle01"/>
          <w:rFonts w:ascii="Times New Roman" w:hAnsi="Times New Roman" w:cs="Times New Roman"/>
          <w:color w:val="auto"/>
        </w:rPr>
        <w:t>re</w:t>
      </w:r>
      <w:r w:rsidRPr="004A069C">
        <w:rPr>
          <w:rStyle w:val="fontstyle01"/>
          <w:rFonts w:ascii="Times New Roman" w:hAnsi="Times New Roman" w:cs="Times New Roman"/>
          <w:color w:val="auto"/>
        </w:rPr>
        <w:t xml:space="preserve"> </w:t>
      </w:r>
      <w:r w:rsidR="002163C6" w:rsidRPr="004A069C">
        <w:rPr>
          <w:rStyle w:val="fontstyle01"/>
          <w:rFonts w:ascii="Times New Roman" w:hAnsi="Times New Roman" w:cs="Times New Roman"/>
          <w:color w:val="auto"/>
        </w:rPr>
        <w:t>i</w:t>
      </w:r>
      <w:r w:rsidRPr="004A069C">
        <w:rPr>
          <w:rStyle w:val="fontstyle01"/>
          <w:rFonts w:ascii="Times New Roman" w:hAnsi="Times New Roman" w:cs="Times New Roman"/>
          <w:color w:val="auto"/>
        </w:rPr>
        <w:t xml:space="preserve">s no insider trading in this period. If so, </w:t>
      </w:r>
      <w:r w:rsidR="002163C6" w:rsidRPr="004A069C">
        <w:rPr>
          <w:rStyle w:val="fontstyle01"/>
          <w:rFonts w:ascii="Times New Roman" w:hAnsi="Times New Roman" w:cs="Times New Roman"/>
          <w:color w:val="auto"/>
        </w:rPr>
        <w:t>the stock</w:t>
      </w:r>
      <w:r w:rsidRPr="004A069C">
        <w:rPr>
          <w:rStyle w:val="fontstyle01"/>
          <w:rFonts w:ascii="Times New Roman" w:hAnsi="Times New Roman" w:cs="Times New Roman"/>
          <w:color w:val="auto"/>
        </w:rPr>
        <w:t xml:space="preserve"> belong</w:t>
      </w:r>
      <w:r w:rsidR="002163C6" w:rsidRPr="004A069C">
        <w:rPr>
          <w:rStyle w:val="fontstyle01"/>
          <w:rFonts w:ascii="Times New Roman" w:hAnsi="Times New Roman" w:cs="Times New Roman"/>
          <w:color w:val="auto"/>
        </w:rPr>
        <w:t>s</w:t>
      </w:r>
      <w:r w:rsidRPr="004A069C">
        <w:rPr>
          <w:rStyle w:val="fontstyle01"/>
          <w:rFonts w:ascii="Times New Roman" w:hAnsi="Times New Roman" w:cs="Times New Roman"/>
          <w:color w:val="auto"/>
        </w:rPr>
        <w:t xml:space="preserve"> to insider silence group. Second, according to Gao </w:t>
      </w:r>
      <w:r w:rsidRPr="004A069C">
        <w:rPr>
          <w:rFonts w:cs="Times New Roman"/>
          <w:szCs w:val="24"/>
        </w:rPr>
        <w:t>et al.</w:t>
      </w:r>
      <w:r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007A22F5" w:rsidRPr="004A069C">
        <w:rPr>
          <w:rStyle w:val="fontstyle01"/>
          <w:rFonts w:ascii="Times New Roman" w:eastAsia="新細明體" w:hAnsi="Times New Roman" w:cs="Times New Roman" w:hint="eastAsia"/>
          <w:color w:val="auto"/>
          <w:lang w:eastAsia="zh-TW"/>
        </w:rPr>
        <w:t>,</w:t>
      </w:r>
      <w:r w:rsidRPr="004A069C">
        <w:rPr>
          <w:rStyle w:val="fontstyle01"/>
          <w:rFonts w:ascii="Times New Roman" w:hAnsi="Times New Roman" w:cs="Times New Roman"/>
          <w:color w:val="auto"/>
        </w:rPr>
        <w:t xml:space="preserve"> we calculate the net insider demand (NID). The net insider demand </w:t>
      </w:r>
      <w:r w:rsidR="002163C6" w:rsidRPr="004A069C">
        <w:rPr>
          <w:rStyle w:val="fontstyle01"/>
          <w:rFonts w:ascii="Times New Roman" w:hAnsi="Times New Roman" w:cs="Times New Roman"/>
          <w:color w:val="auto"/>
        </w:rPr>
        <w:t xml:space="preserve">in month j </w:t>
      </w:r>
      <w:r w:rsidRPr="004A069C">
        <w:rPr>
          <w:rStyle w:val="fontstyle01"/>
          <w:rFonts w:ascii="Times New Roman" w:hAnsi="Times New Roman" w:cs="Times New Roman"/>
          <w:color w:val="auto"/>
        </w:rPr>
        <w:t xml:space="preserve">is the total number of shares </w:t>
      </w:r>
      <w:r w:rsidR="002163C6" w:rsidRPr="004A069C">
        <w:rPr>
          <w:rStyle w:val="fontstyle01"/>
          <w:rFonts w:ascii="Times New Roman" w:hAnsi="Times New Roman" w:cs="Times New Roman"/>
          <w:color w:val="auto"/>
        </w:rPr>
        <w:t>bought by insider</w:t>
      </w:r>
      <w:r w:rsidRPr="004A069C">
        <w:rPr>
          <w:rStyle w:val="fontstyle01"/>
          <w:rFonts w:ascii="Times New Roman" w:hAnsi="Times New Roman" w:cs="Times New Roman"/>
          <w:color w:val="auto"/>
        </w:rPr>
        <w:t xml:space="preserve"> minus the number of shares sold by insider</w:t>
      </w:r>
      <w:r w:rsidR="002163C6" w:rsidRPr="004A069C">
        <w:rPr>
          <w:rStyle w:val="fontstyle01"/>
          <w:rFonts w:ascii="Times New Roman" w:hAnsi="Times New Roman" w:cs="Times New Roman"/>
          <w:color w:val="auto"/>
        </w:rPr>
        <w:t xml:space="preserve"> in the past m months</w:t>
      </w:r>
      <w:r w:rsidRPr="004A069C">
        <w:rPr>
          <w:rStyle w:val="fontstyle01"/>
          <w:rFonts w:ascii="Times New Roman" w:hAnsi="Times New Roman" w:cs="Times New Roman"/>
          <w:color w:val="auto"/>
        </w:rPr>
        <w:t xml:space="preserve">, divided by the total number of shares </w:t>
      </w:r>
      <w:r w:rsidR="0048062D" w:rsidRPr="004A069C">
        <w:rPr>
          <w:rStyle w:val="fontstyle01"/>
          <w:rFonts w:ascii="Times New Roman" w:hAnsi="Times New Roman" w:cs="Times New Roman"/>
          <w:color w:val="auto"/>
        </w:rPr>
        <w:t>trading by insider</w:t>
      </w:r>
      <w:r w:rsidRPr="004A069C">
        <w:rPr>
          <w:rStyle w:val="fontstyle01"/>
          <w:rFonts w:ascii="Times New Roman" w:hAnsi="Times New Roman" w:cs="Times New Roman"/>
          <w:color w:val="auto"/>
        </w:rPr>
        <w:t xml:space="preserve"> at month j–1.</w:t>
      </w:r>
    </w:p>
    <w:p w:rsidR="002177DA" w:rsidRPr="004A069C" w:rsidRDefault="005F17A5" w:rsidP="00E92203">
      <w:pPr>
        <w:spacing w:line="360" w:lineRule="auto"/>
        <w:ind w:firstLine="720"/>
        <w:jc w:val="both"/>
        <w:rPr>
          <w:rStyle w:val="fontstyle01"/>
          <w:rFonts w:ascii="Times New Roman" w:hAnsi="Times New Roman" w:cs="Times New Roman"/>
          <w:color w:val="auto"/>
        </w:rPr>
      </w:pPr>
      <m:oMath>
        <m:r>
          <m:rPr>
            <m:sty m:val="p"/>
          </m:rPr>
          <w:rPr>
            <w:rStyle w:val="fontstyle01"/>
            <w:rFonts w:ascii="Cambria Math" w:hAnsi="Cambria Math" w:cs="Times New Roman"/>
            <w:color w:val="auto"/>
          </w:rPr>
          <m:t>NID=</m:t>
        </m:r>
        <m:f>
          <m:fPr>
            <m:ctrlPr>
              <w:rPr>
                <w:rStyle w:val="fontstyle01"/>
                <w:rFonts w:ascii="Cambria Math" w:hAnsi="Cambria Math" w:cs="Times New Roman"/>
                <w:color w:val="auto"/>
              </w:rPr>
            </m:ctrlPr>
          </m:fPr>
          <m:num>
            <m:sSub>
              <m:sSubPr>
                <m:ctrlPr>
                  <w:rPr>
                    <w:rStyle w:val="fontstyle01"/>
                    <w:rFonts w:ascii="Cambria Math" w:hAnsi="Cambria Math" w:cs="Times New Roman"/>
                    <w:color w:val="auto"/>
                  </w:rPr>
                </m:ctrlPr>
              </m:sSubPr>
              <m:e>
                <m:r>
                  <m:rPr>
                    <m:sty m:val="p"/>
                  </m:rPr>
                  <w:rPr>
                    <w:rFonts w:ascii="Cambria Math" w:hAnsi="Cambria Math" w:cs="Times New Roman"/>
                    <w:szCs w:val="24"/>
                  </w:rPr>
                  <m:t># shares insiders buy</m:t>
                </m:r>
              </m:e>
              <m:sub>
                <m:r>
                  <m:rPr>
                    <m:sty m:val="p"/>
                  </m:rPr>
                  <w:rPr>
                    <w:rFonts w:ascii="Cambria Math" w:hAnsi="Cambria Math" w:cs="Times New Roman"/>
                    <w:szCs w:val="24"/>
                  </w:rPr>
                  <m:t>j-m,j-1</m:t>
                </m:r>
              </m:sub>
            </m:sSub>
            <m:r>
              <m:rPr>
                <m:sty m:val="p"/>
              </m:rPr>
              <w:rPr>
                <w:rStyle w:val="fontstyle01"/>
                <w:rFonts w:ascii="Cambria Math" w:hAnsi="Cambria Math" w:cs="Times New Roman"/>
                <w:color w:val="auto"/>
              </w:rPr>
              <m:t>-</m:t>
            </m:r>
            <m:sSub>
              <m:sSubPr>
                <m:ctrlPr>
                  <w:rPr>
                    <w:rStyle w:val="fontstyle01"/>
                    <w:rFonts w:ascii="Cambria Math" w:hAnsi="Cambria Math" w:cs="Times New Roman"/>
                    <w:color w:val="auto"/>
                  </w:rPr>
                </m:ctrlPr>
              </m:sSubPr>
              <m:e>
                <m:r>
                  <m:rPr>
                    <m:sty m:val="p"/>
                  </m:rPr>
                  <w:rPr>
                    <w:rFonts w:ascii="Cambria Math" w:hAnsi="Cambria Math" w:cs="Times New Roman"/>
                    <w:szCs w:val="24"/>
                  </w:rPr>
                  <m:t># shares insiders sell</m:t>
                </m:r>
              </m:e>
              <m:sub>
                <m:r>
                  <m:rPr>
                    <m:sty m:val="p"/>
                  </m:rPr>
                  <w:rPr>
                    <w:rFonts w:ascii="Cambria Math" w:hAnsi="Cambria Math" w:cs="Times New Roman"/>
                    <w:szCs w:val="24"/>
                  </w:rPr>
                  <m:t>j-m,j-1</m:t>
                </m:r>
              </m:sub>
            </m:sSub>
          </m:num>
          <m:den>
            <m:sSub>
              <m:sSubPr>
                <m:ctrlPr>
                  <w:rPr>
                    <w:rStyle w:val="fontstyle01"/>
                    <w:rFonts w:ascii="Cambria Math" w:hAnsi="Cambria Math" w:cs="Times New Roman"/>
                    <w:color w:val="auto"/>
                  </w:rPr>
                </m:ctrlPr>
              </m:sSubPr>
              <m:e>
                <m:r>
                  <m:rPr>
                    <m:sty m:val="p"/>
                  </m:rPr>
                  <w:rPr>
                    <w:rFonts w:ascii="Cambria Math" w:hAnsi="Cambria Math" w:cs="Times New Roman"/>
                    <w:szCs w:val="24"/>
                  </w:rPr>
                  <m:t xml:space="preserve"># </m:t>
                </m:r>
                <m:r>
                  <m:rPr>
                    <m:sty m:val="p"/>
                  </m:rPr>
                  <w:rPr>
                    <w:rStyle w:val="fontstyle01"/>
                    <w:rFonts w:ascii="Cambria Math" w:hAnsi="Cambria Math" w:cs="Times New Roman"/>
                    <w:color w:val="auto"/>
                  </w:rPr>
                  <m:t>shares trading by insider</m:t>
                </m:r>
              </m:e>
              <m:sub>
                <m:r>
                  <m:rPr>
                    <m:sty m:val="p"/>
                  </m:rPr>
                  <w:rPr>
                    <w:rFonts w:ascii="Cambria Math" w:hAnsi="Cambria Math" w:cs="Times New Roman"/>
                    <w:szCs w:val="24"/>
                  </w:rPr>
                  <m:t>j-1</m:t>
                </m:r>
              </m:sub>
            </m:sSub>
          </m:den>
        </m:f>
      </m:oMath>
      <w:r w:rsidR="002177DA" w:rsidRPr="004A069C">
        <w:rPr>
          <w:rStyle w:val="fontstyle01"/>
          <w:rFonts w:ascii="Times New Roman" w:hAnsi="Times New Roman" w:cs="Times New Roman"/>
          <w:color w:val="auto"/>
        </w:rPr>
        <w:t xml:space="preserve">              </w:t>
      </w:r>
      <w:r w:rsidR="002177DA" w:rsidRPr="004A069C">
        <w:rPr>
          <w:rStyle w:val="fontstyle01"/>
          <w:rFonts w:ascii="Times New Roman" w:hAnsi="Times New Roman" w:cs="Times New Roman"/>
          <w:color w:val="auto"/>
        </w:rPr>
        <w:tab/>
      </w:r>
      <w:r w:rsidR="002177DA" w:rsidRPr="004A069C">
        <w:rPr>
          <w:rStyle w:val="fontstyle01"/>
          <w:rFonts w:ascii="Times New Roman" w:hAnsi="Times New Roman" w:cs="Times New Roman"/>
          <w:color w:val="auto"/>
        </w:rPr>
        <w:tab/>
      </w:r>
      <w:r w:rsidR="00C60E9F" w:rsidRPr="004A069C">
        <w:rPr>
          <w:rStyle w:val="fontstyle01"/>
          <w:rFonts w:ascii="Times New Roman" w:hAnsi="Times New Roman" w:cs="Times New Roman"/>
          <w:color w:val="auto"/>
        </w:rPr>
        <w:tab/>
      </w:r>
      <w:r w:rsidR="002177DA" w:rsidRPr="004A069C">
        <w:rPr>
          <w:rStyle w:val="fontstyle01"/>
          <w:rFonts w:ascii="Times New Roman" w:hAnsi="Times New Roman" w:cs="Times New Roman"/>
          <w:color w:val="auto"/>
        </w:rPr>
        <w:t xml:space="preserve">  (1)</w:t>
      </w:r>
    </w:p>
    <w:p w:rsidR="002177DA" w:rsidRPr="004A069C" w:rsidRDefault="002177DA" w:rsidP="00E92203">
      <w:pPr>
        <w:spacing w:line="360" w:lineRule="auto"/>
        <w:ind w:firstLine="720"/>
        <w:jc w:val="both"/>
        <w:rPr>
          <w:rStyle w:val="fontstyle01"/>
          <w:rFonts w:ascii="Times New Roman" w:hAnsi="Times New Roman" w:cs="Times New Roman"/>
          <w:color w:val="auto"/>
        </w:rPr>
      </w:pPr>
      <w:r w:rsidRPr="004A069C">
        <w:rPr>
          <w:rStyle w:val="fontstyle01"/>
          <w:rFonts w:ascii="Times New Roman" w:hAnsi="Times New Roman" w:cs="Times New Roman"/>
          <w:color w:val="auto"/>
        </w:rPr>
        <w:t>Finally,</w:t>
      </w:r>
      <w:r w:rsidRPr="004A069C">
        <w:rPr>
          <w:rFonts w:cs="Times New Roman"/>
          <w:szCs w:val="24"/>
        </w:rPr>
        <w:t xml:space="preserve"> to investigate the effect of insider silence on future stock return, we use </w:t>
      </w:r>
      <w:r w:rsidRPr="004A069C">
        <w:rPr>
          <w:rStyle w:val="fontstyle01"/>
          <w:rFonts w:ascii="Times New Roman" w:hAnsi="Times New Roman" w:cs="Times New Roman"/>
          <w:color w:val="auto"/>
        </w:rPr>
        <w:t xml:space="preserve">the firm cumulative </w:t>
      </w:r>
      <w:r w:rsidR="00663444" w:rsidRPr="004A069C">
        <w:rPr>
          <w:rStyle w:val="fontstyle01"/>
          <w:rFonts w:ascii="Times New Roman" w:hAnsi="Times New Roman" w:cs="Times New Roman"/>
          <w:color w:val="auto"/>
        </w:rPr>
        <w:t>abnormal</w:t>
      </w:r>
      <w:r w:rsidRPr="004A069C">
        <w:rPr>
          <w:rStyle w:val="fontstyle01"/>
          <w:rFonts w:ascii="Times New Roman" w:hAnsi="Times New Roman" w:cs="Times New Roman"/>
          <w:color w:val="auto"/>
        </w:rPr>
        <w:t xml:space="preserve"> return</w:t>
      </w:r>
      <w:r w:rsidRPr="004A069C">
        <w:rPr>
          <w:rFonts w:cs="Times New Roman"/>
          <w:szCs w:val="24"/>
        </w:rPr>
        <w:t xml:space="preserve"> as </w:t>
      </w:r>
      <w:r w:rsidRPr="004A069C">
        <w:rPr>
          <w:rStyle w:val="fontstyle01"/>
          <w:rFonts w:ascii="Times New Roman" w:hAnsi="Times New Roman" w:cs="Times New Roman"/>
          <w:color w:val="auto"/>
        </w:rPr>
        <w:t>the dependent variable to</w:t>
      </w:r>
      <w:r w:rsidRPr="004A069C">
        <w:rPr>
          <w:rFonts w:cs="Times New Roman"/>
          <w:szCs w:val="24"/>
        </w:rPr>
        <w:t xml:space="preserve"> </w:t>
      </w:r>
      <w:r w:rsidRPr="004A069C">
        <w:rPr>
          <w:rStyle w:val="fontstyle01"/>
          <w:rFonts w:ascii="Times New Roman" w:hAnsi="Times New Roman" w:cs="Times New Roman"/>
          <w:color w:val="auto"/>
        </w:rPr>
        <w:t xml:space="preserve">run </w:t>
      </w:r>
      <w:r w:rsidR="00851895" w:rsidRPr="004A069C">
        <w:rPr>
          <w:rStyle w:val="fontstyle01"/>
          <w:rFonts w:ascii="Times New Roman" w:hAnsi="Times New Roman" w:cs="Times New Roman"/>
          <w:color w:val="auto"/>
        </w:rPr>
        <w:t>the</w:t>
      </w:r>
      <w:r w:rsidRPr="004A069C">
        <w:rPr>
          <w:rStyle w:val="fontstyle01"/>
          <w:rFonts w:ascii="Times New Roman" w:hAnsi="Times New Roman" w:cs="Times New Roman"/>
          <w:color w:val="auto"/>
        </w:rPr>
        <w:t xml:space="preserve"> regression. There are two dummies variable</w:t>
      </w:r>
      <w:r w:rsidR="00851895" w:rsidRPr="004A069C">
        <w:rPr>
          <w:rStyle w:val="fontstyle01"/>
          <w:rFonts w:ascii="Times New Roman" w:hAnsi="Times New Roman" w:cs="Times New Roman"/>
          <w:color w:val="auto"/>
        </w:rPr>
        <w:t>.</w:t>
      </w:r>
      <w:r w:rsidRPr="004A069C">
        <w:rPr>
          <w:rStyle w:val="fontstyle01"/>
          <w:rFonts w:ascii="Times New Roman" w:hAnsi="Times New Roman" w:cs="Times New Roman"/>
          <w:color w:val="auto"/>
        </w:rPr>
        <w:t xml:space="preserve"> </w:t>
      </w:r>
      <w:r w:rsidR="00851895" w:rsidRPr="004A069C">
        <w:rPr>
          <w:rStyle w:val="fontstyle01"/>
          <w:rFonts w:ascii="Times New Roman" w:hAnsi="Times New Roman" w:cs="Times New Roman"/>
          <w:color w:val="auto"/>
        </w:rPr>
        <w:t>I</w:t>
      </w:r>
      <w:r w:rsidRPr="004A069C">
        <w:rPr>
          <w:rStyle w:val="fontstyle01"/>
          <w:rFonts w:ascii="Times New Roman" w:hAnsi="Times New Roman" w:cs="Times New Roman"/>
          <w:color w:val="auto"/>
        </w:rPr>
        <w:t xml:space="preserve">f there is no insider trade in the past </w:t>
      </w:r>
      <w:r w:rsidR="00FC0BCC" w:rsidRPr="004A069C">
        <w:rPr>
          <w:rStyle w:val="fontstyle01"/>
          <w:rFonts w:ascii="Times New Roman" w:hAnsi="Times New Roman" w:cs="Times New Roman"/>
          <w:color w:val="auto"/>
        </w:rPr>
        <w:t>m</w:t>
      </w:r>
      <w:r w:rsidRPr="004A069C">
        <w:rPr>
          <w:rStyle w:val="fontstyle01"/>
          <w:rFonts w:ascii="Times New Roman" w:hAnsi="Times New Roman" w:cs="Times New Roman"/>
          <w:color w:val="auto"/>
        </w:rPr>
        <w:t xml:space="preserve"> months, dummy variable of insider silence </w:t>
      </w:r>
      <w:r w:rsidR="00851895" w:rsidRPr="004A069C">
        <w:rPr>
          <w:rStyle w:val="fontstyle01"/>
          <w:rFonts w:ascii="Times New Roman" w:hAnsi="Times New Roman" w:cs="Times New Roman"/>
          <w:color w:val="auto"/>
        </w:rPr>
        <w:t>(Silence) is</w:t>
      </w:r>
      <w:r w:rsidRPr="004A069C">
        <w:rPr>
          <w:rStyle w:val="fontstyle01"/>
          <w:rFonts w:ascii="Times New Roman" w:hAnsi="Times New Roman" w:cs="Times New Roman"/>
          <w:color w:val="auto"/>
        </w:rPr>
        <w:t xml:space="preserve"> equal to one. Moreover, if the</w:t>
      </w:r>
      <w:r w:rsidR="00FC0BCC" w:rsidRPr="004A069C">
        <w:rPr>
          <w:rStyle w:val="fontstyle01"/>
          <w:rFonts w:ascii="Times New Roman" w:hAnsi="Times New Roman" w:cs="Times New Roman"/>
          <w:color w:val="auto"/>
        </w:rPr>
        <w:t xml:space="preserve"> shares</w:t>
      </w:r>
      <w:r w:rsidRPr="004A069C">
        <w:rPr>
          <w:rStyle w:val="fontstyle01"/>
          <w:rFonts w:ascii="Times New Roman" w:hAnsi="Times New Roman" w:cs="Times New Roman"/>
          <w:color w:val="auto"/>
        </w:rPr>
        <w:t xml:space="preserve"> insider buy their own company stock </w:t>
      </w:r>
      <w:r w:rsidR="00FC0BCC" w:rsidRPr="004A069C">
        <w:rPr>
          <w:rStyle w:val="fontstyle01"/>
          <w:rFonts w:ascii="Times New Roman" w:hAnsi="Times New Roman" w:cs="Times New Roman"/>
          <w:color w:val="auto"/>
        </w:rPr>
        <w:t xml:space="preserve">is higher than those </w:t>
      </w:r>
      <w:r w:rsidRPr="004A069C">
        <w:rPr>
          <w:rStyle w:val="fontstyle01"/>
          <w:rFonts w:ascii="Times New Roman" w:hAnsi="Times New Roman" w:cs="Times New Roman"/>
          <w:color w:val="auto"/>
        </w:rPr>
        <w:t xml:space="preserve">in the past </w:t>
      </w:r>
      <w:r w:rsidR="00FC0BCC" w:rsidRPr="004A069C">
        <w:rPr>
          <w:rStyle w:val="fontstyle01"/>
          <w:rFonts w:ascii="Times New Roman" w:hAnsi="Times New Roman" w:cs="Times New Roman"/>
          <w:color w:val="auto"/>
        </w:rPr>
        <w:t>m</w:t>
      </w:r>
      <w:r w:rsidRPr="004A069C">
        <w:rPr>
          <w:rStyle w:val="fontstyle01"/>
          <w:rFonts w:ascii="Times New Roman" w:hAnsi="Times New Roman" w:cs="Times New Roman"/>
          <w:color w:val="auto"/>
        </w:rPr>
        <w:t xml:space="preserve"> months (NID is positive), dummy variable of insider buy </w:t>
      </w:r>
      <w:r w:rsidR="00851895" w:rsidRPr="004A069C">
        <w:rPr>
          <w:rStyle w:val="fontstyle01"/>
          <w:rFonts w:ascii="Times New Roman" w:hAnsi="Times New Roman" w:cs="Times New Roman"/>
          <w:color w:val="auto"/>
        </w:rPr>
        <w:t xml:space="preserve">(Buy) </w:t>
      </w:r>
      <w:r w:rsidRPr="004A069C">
        <w:rPr>
          <w:rStyle w:val="fontstyle01"/>
          <w:rFonts w:ascii="Times New Roman" w:hAnsi="Times New Roman" w:cs="Times New Roman"/>
          <w:color w:val="auto"/>
        </w:rPr>
        <w:t xml:space="preserve">will equal to one. The intercept indicate the </w:t>
      </w:r>
      <w:r w:rsidR="00FC0BCC" w:rsidRPr="004A069C">
        <w:rPr>
          <w:rStyle w:val="fontstyle01"/>
          <w:rFonts w:ascii="Times New Roman" w:hAnsi="Times New Roman" w:cs="Times New Roman"/>
          <w:color w:val="auto"/>
        </w:rPr>
        <w:t xml:space="preserve">impact of insider selling stock on </w:t>
      </w:r>
      <w:r w:rsidRPr="004A069C">
        <w:rPr>
          <w:rStyle w:val="fontstyle01"/>
          <w:rFonts w:ascii="Times New Roman" w:hAnsi="Times New Roman" w:cs="Times New Roman"/>
          <w:color w:val="auto"/>
        </w:rPr>
        <w:t>future return</w:t>
      </w:r>
      <w:r w:rsidR="00FC0BCC" w:rsidRPr="004A069C">
        <w:rPr>
          <w:rStyle w:val="fontstyle01"/>
          <w:rFonts w:ascii="Times New Roman" w:hAnsi="Times New Roman" w:cs="Times New Roman"/>
          <w:color w:val="auto"/>
        </w:rPr>
        <w:t>. T</w:t>
      </w:r>
      <w:r w:rsidRPr="004A069C">
        <w:rPr>
          <w:rStyle w:val="fontstyle01"/>
          <w:rFonts w:ascii="Times New Roman" w:hAnsi="Times New Roman" w:cs="Times New Roman"/>
          <w:color w:val="auto"/>
        </w:rPr>
        <w:t>he coefficient of du</w:t>
      </w:r>
      <w:r w:rsidR="00FC0BCC" w:rsidRPr="004A069C">
        <w:rPr>
          <w:rStyle w:val="fontstyle01"/>
          <w:rFonts w:ascii="Times New Roman" w:hAnsi="Times New Roman" w:cs="Times New Roman"/>
          <w:color w:val="auto"/>
        </w:rPr>
        <w:t>mmy variable of insider silence presents</w:t>
      </w:r>
      <w:r w:rsidRPr="004A069C">
        <w:rPr>
          <w:rStyle w:val="fontstyle01"/>
          <w:rFonts w:ascii="Times New Roman" w:hAnsi="Times New Roman" w:cs="Times New Roman"/>
          <w:color w:val="auto"/>
        </w:rPr>
        <w:t xml:space="preserve"> </w:t>
      </w:r>
      <w:r w:rsidR="00FC0BCC" w:rsidRPr="004A069C">
        <w:rPr>
          <w:rStyle w:val="fontstyle01"/>
          <w:rFonts w:ascii="Times New Roman" w:hAnsi="Times New Roman" w:cs="Times New Roman"/>
          <w:color w:val="auto"/>
        </w:rPr>
        <w:t>the difference between the impact of insider silence stocks and insider sell stocks on future return. Control variables</w:t>
      </w:r>
      <w:r w:rsidRPr="004A069C">
        <w:rPr>
          <w:rStyle w:val="fontstyle01"/>
          <w:rFonts w:ascii="Times New Roman" w:hAnsi="Times New Roman" w:cs="Times New Roman"/>
          <w:color w:val="auto"/>
        </w:rPr>
        <w:t xml:space="preserve"> include </w:t>
      </w:r>
      <w:r w:rsidRPr="004A069C">
        <w:rPr>
          <w:rFonts w:cs="Times New Roman"/>
          <w:szCs w:val="24"/>
        </w:rPr>
        <w:t>market capitalization, book to market ratio, past return of 12-month period and net stock issues.</w:t>
      </w:r>
      <w:r w:rsidRPr="004A069C">
        <w:rPr>
          <w:rStyle w:val="fontstyle01"/>
          <w:rFonts w:ascii="Times New Roman" w:hAnsi="Times New Roman" w:cs="Times New Roman"/>
          <w:color w:val="auto"/>
        </w:rPr>
        <w:t xml:space="preserve"> The regression model as following:</w:t>
      </w:r>
    </w:p>
    <w:p w:rsidR="002177DA" w:rsidRPr="004A069C" w:rsidRDefault="003F7F9B" w:rsidP="00E92203">
      <w:pPr>
        <w:spacing w:line="360" w:lineRule="auto"/>
        <w:ind w:firstLine="142"/>
        <w:jc w:val="center"/>
        <w:rPr>
          <w:rStyle w:val="fontstyle01"/>
          <w:rFonts w:ascii="Times New Roman" w:hAnsi="Times New Roman" w:cs="Times New Roman"/>
          <w:color w:val="auto"/>
        </w:rPr>
      </w:pP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r</m:t>
            </m:r>
          </m:e>
          <m:sub>
            <m:r>
              <m:rPr>
                <m:sty m:val="p"/>
              </m:rPr>
              <w:rPr>
                <w:rStyle w:val="fontstyle01"/>
                <w:rFonts w:ascii="Cambria Math" w:hAnsi="Cambria Math" w:cs="Times New Roman"/>
                <w:color w:val="auto"/>
              </w:rPr>
              <m:t>(t+6)</m:t>
            </m:r>
          </m:sub>
        </m:sSub>
        <m:r>
          <m:rPr>
            <m:sty m:val="p"/>
          </m:rPr>
          <w:rPr>
            <w:rStyle w:val="fontstyle01"/>
            <w:rFonts w:ascii="Cambria Math" w:hAnsi="Cambria Math" w:cs="Times New Roman"/>
            <w:color w:val="auto"/>
          </w:rPr>
          <m:t>=α+</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1</m:t>
            </m:r>
          </m:sub>
        </m:sSub>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2</m:t>
            </m:r>
          </m:sub>
        </m:sSub>
        <m:r>
          <m:rPr>
            <m:sty m:val="p"/>
          </m:rPr>
          <w:rPr>
            <w:rStyle w:val="fontstyle01"/>
            <w:rFonts w:ascii="Cambria Math" w:hAnsi="Cambria Math" w:cs="Times New Roman"/>
            <w:color w:val="auto"/>
          </w:rPr>
          <m:t xml:space="preserve">Buy+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Style w:val="fontstyle01"/>
            <w:rFonts w:ascii="Cambria Math" w:hAnsi="Cambria Math" w:cs="Times New Roman"/>
            <w:color w:val="auto"/>
          </w:rPr>
          <m:t>ln⁡(MC)+</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4</m:t>
            </m:r>
          </m:sub>
        </m:sSub>
        <m:r>
          <m:rPr>
            <m:sty m:val="p"/>
          </m:rPr>
          <w:rPr>
            <w:rStyle w:val="fontstyle01"/>
            <w:rFonts w:ascii="Cambria Math" w:hAnsi="Cambria Math" w:cs="Times New Roman"/>
            <w:color w:val="auto"/>
          </w:rPr>
          <m:t xml:space="preserve">ln⁡(BM)+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5</m:t>
            </m:r>
          </m:sub>
        </m:sSub>
        <m:r>
          <m:rPr>
            <m:sty m:val="p"/>
          </m:rPr>
          <w:rPr>
            <w:rStyle w:val="fontstyle01"/>
            <w:rFonts w:ascii="Cambria Math" w:hAnsi="Cambria Math" w:cs="Times New Roman"/>
            <w:color w:val="auto"/>
          </w:rPr>
          <m:t xml:space="preserve">PR+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6</m:t>
            </m:r>
          </m:sub>
        </m:sSub>
        <m:r>
          <m:rPr>
            <m:sty m:val="p"/>
          </m:rPr>
          <w:rPr>
            <w:rStyle w:val="fontstyle01"/>
            <w:rFonts w:ascii="Cambria Math" w:hAnsi="Cambria Math" w:cs="Times New Roman"/>
            <w:color w:val="auto"/>
          </w:rPr>
          <m:t>NI+ ε</m:t>
        </m:r>
      </m:oMath>
      <w:r w:rsidR="002177DA" w:rsidRPr="004A069C">
        <w:rPr>
          <w:rStyle w:val="fontstyle01"/>
          <w:rFonts w:ascii="Times New Roman" w:hAnsi="Times New Roman" w:cs="Times New Roman"/>
          <w:color w:val="auto"/>
        </w:rPr>
        <w:t xml:space="preserve">    (2)</w:t>
      </w:r>
    </w:p>
    <w:p w:rsidR="002177DA" w:rsidRPr="004A069C" w:rsidRDefault="002177DA" w:rsidP="00E92203">
      <w:pPr>
        <w:spacing w:line="360" w:lineRule="auto"/>
        <w:ind w:firstLine="720"/>
        <w:jc w:val="both"/>
        <w:rPr>
          <w:rFonts w:cs="Times New Roman"/>
          <w:szCs w:val="24"/>
        </w:rPr>
      </w:pPr>
      <w:r w:rsidRPr="004A069C">
        <w:rPr>
          <w:rStyle w:val="fontstyle01"/>
          <w:rFonts w:ascii="Times New Roman" w:hAnsi="Times New Roman" w:cs="Times New Roman"/>
          <w:color w:val="auto"/>
        </w:rPr>
        <w:t>where</w:t>
      </w: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r</m:t>
            </m:r>
          </m:e>
          <m:sub>
            <m:r>
              <m:rPr>
                <m:sty m:val="p"/>
              </m:rPr>
              <w:rPr>
                <w:rStyle w:val="fontstyle01"/>
                <w:rFonts w:ascii="Cambria Math" w:hAnsi="Cambria Math" w:cs="Times New Roman"/>
                <w:color w:val="auto"/>
              </w:rPr>
              <m:t>(t+6)</m:t>
            </m:r>
          </m:sub>
        </m:sSub>
      </m:oMath>
      <w:r w:rsidRPr="004A069C">
        <w:rPr>
          <w:rStyle w:val="fontstyle01"/>
          <w:rFonts w:ascii="Times New Roman" w:hAnsi="Times New Roman" w:cs="Times New Roman"/>
          <w:color w:val="auto"/>
        </w:rPr>
        <w:t xml:space="preserve"> is </w:t>
      </w:r>
      <w:r w:rsidRPr="004A069C">
        <w:rPr>
          <w:rFonts w:cs="Times New Roman"/>
          <w:szCs w:val="24"/>
        </w:rPr>
        <w:t xml:space="preserve">the stock’s future </w:t>
      </w:r>
      <w:r w:rsidR="00AA3CD3" w:rsidRPr="004A069C">
        <w:rPr>
          <w:rFonts w:cs="Times New Roman"/>
          <w:szCs w:val="24"/>
        </w:rPr>
        <w:t xml:space="preserve">6 months cumulative abnormal return </w:t>
      </w:r>
      <w:r w:rsidRPr="004A069C">
        <w:rPr>
          <w:rFonts w:cs="Times New Roman"/>
          <w:szCs w:val="24"/>
        </w:rPr>
        <w:t>(subtracting</w:t>
      </w:r>
      <w:r w:rsidR="00AA3CD3" w:rsidRPr="004A069C">
        <w:rPr>
          <w:rFonts w:cs="Times New Roman"/>
          <w:szCs w:val="24"/>
        </w:rPr>
        <w:t xml:space="preserve"> the market return – VN Index</w:t>
      </w:r>
      <w:r w:rsidRPr="004A069C">
        <w:rPr>
          <w:rFonts w:cs="Times New Roman"/>
          <w:szCs w:val="24"/>
        </w:rPr>
        <w:t xml:space="preserve">) over the period ( t + 1,  t + </w:t>
      </w:r>
      <w:r w:rsidR="00AA3CD3" w:rsidRPr="004A069C">
        <w:rPr>
          <w:rFonts w:cs="Times New Roman"/>
          <w:szCs w:val="24"/>
        </w:rPr>
        <w:t>6</w:t>
      </w:r>
      <w:r w:rsidRPr="004A069C">
        <w:rPr>
          <w:rFonts w:cs="Times New Roman"/>
          <w:szCs w:val="24"/>
        </w:rPr>
        <w:t xml:space="preserve">); </w:t>
      </w:r>
      <m:oMath>
        <m:r>
          <m:rPr>
            <m:sty m:val="p"/>
          </m:rPr>
          <w:rPr>
            <w:rStyle w:val="fontstyle01"/>
            <w:rFonts w:ascii="Cambria Math" w:hAnsi="Cambria Math" w:cs="Times New Roman"/>
            <w:color w:val="auto"/>
          </w:rPr>
          <m:t>Silence</m:t>
        </m:r>
      </m:oMath>
      <w:r w:rsidRPr="004A069C">
        <w:rPr>
          <w:rFonts w:cs="Times New Roman"/>
          <w:szCs w:val="24"/>
        </w:rPr>
        <w:t xml:space="preserve">  is dummy variable, </w:t>
      </w:r>
      <w:r w:rsidR="00FC0BCC" w:rsidRPr="004A069C">
        <w:rPr>
          <w:rFonts w:cs="Times New Roman"/>
          <w:szCs w:val="24"/>
        </w:rPr>
        <w:t xml:space="preserve">which is </w:t>
      </w:r>
      <w:r w:rsidRPr="004A069C">
        <w:rPr>
          <w:rFonts w:cs="Times New Roman"/>
          <w:szCs w:val="24"/>
        </w:rPr>
        <w:t xml:space="preserve">equal to one if there is no insider trading activity during the past 12-month period ( t − 12); </w:t>
      </w:r>
      <m:oMath>
        <m:r>
          <m:rPr>
            <m:sty m:val="p"/>
          </m:rPr>
          <w:rPr>
            <w:rStyle w:val="fontstyle01"/>
            <w:rFonts w:ascii="Cambria Math" w:hAnsi="Cambria Math" w:cs="Times New Roman"/>
            <w:color w:val="auto"/>
          </w:rPr>
          <m:t>Buy</m:t>
        </m:r>
      </m:oMath>
      <w:r w:rsidRPr="004A069C">
        <w:rPr>
          <w:rFonts w:cs="Times New Roman"/>
          <w:szCs w:val="24"/>
        </w:rPr>
        <w:t xml:space="preserve">  is dummy variable,  </w:t>
      </w:r>
      <w:r w:rsidR="00FC0BCC" w:rsidRPr="004A069C">
        <w:rPr>
          <w:rFonts w:cs="Times New Roman"/>
          <w:szCs w:val="24"/>
        </w:rPr>
        <w:t xml:space="preserve">which is </w:t>
      </w:r>
      <w:r w:rsidRPr="004A069C">
        <w:rPr>
          <w:rFonts w:cs="Times New Roman"/>
          <w:szCs w:val="24"/>
        </w:rPr>
        <w:t xml:space="preserve">equal to one if the net insider demand is positive </w:t>
      </w:r>
      <w:r w:rsidR="00FA437A" w:rsidRPr="004A069C">
        <w:rPr>
          <w:rFonts w:cs="Times New Roman"/>
          <w:szCs w:val="24"/>
        </w:rPr>
        <w:t>over the past 12-month period (</w:t>
      </w:r>
      <w:r w:rsidRPr="004A069C">
        <w:rPr>
          <w:rFonts w:cs="Times New Roman"/>
          <w:szCs w:val="24"/>
        </w:rPr>
        <w:t xml:space="preserve">t − 12); </w:t>
      </w:r>
      <m:oMath>
        <m:r>
          <m:rPr>
            <m:sty m:val="p"/>
          </m:rPr>
          <w:rPr>
            <w:rStyle w:val="fontstyle01"/>
            <w:rFonts w:ascii="Cambria Math" w:hAnsi="Cambria Math" w:cs="Times New Roman"/>
            <w:color w:val="auto"/>
          </w:rPr>
          <m:t>ln⁡(MC)</m:t>
        </m:r>
      </m:oMath>
      <w:r w:rsidRPr="004A069C">
        <w:rPr>
          <w:rFonts w:cs="Times New Roman"/>
          <w:szCs w:val="24"/>
        </w:rPr>
        <w:t xml:space="preserve"> is the natural log of price times number of shares outstanding at the end of </w:t>
      </w:r>
      <w:r w:rsidR="00FF0511" w:rsidRPr="004A069C">
        <w:rPr>
          <w:rFonts w:cs="Times New Roman"/>
          <w:szCs w:val="24"/>
        </w:rPr>
        <w:t>each month</w:t>
      </w:r>
      <w:r w:rsidRPr="004A069C">
        <w:rPr>
          <w:rFonts w:cs="Times New Roman"/>
          <w:szCs w:val="24"/>
        </w:rPr>
        <w:t xml:space="preserve">; </w:t>
      </w:r>
      <m:oMath>
        <m:r>
          <m:rPr>
            <m:sty m:val="p"/>
          </m:rPr>
          <w:rPr>
            <w:rStyle w:val="fontstyle01"/>
            <w:rFonts w:ascii="Cambria Math" w:hAnsi="Cambria Math" w:cs="Times New Roman"/>
            <w:color w:val="auto"/>
          </w:rPr>
          <m:t>ln⁡(BM)</m:t>
        </m:r>
      </m:oMath>
      <w:r w:rsidRPr="004A069C">
        <w:rPr>
          <w:rStyle w:val="fontstyle01"/>
          <w:rFonts w:ascii="Times New Roman" w:hAnsi="Times New Roman" w:cs="Times New Roman"/>
          <w:color w:val="auto"/>
        </w:rPr>
        <w:t xml:space="preserve"> is t</w:t>
      </w:r>
      <w:r w:rsidRPr="004A069C">
        <w:rPr>
          <w:rFonts w:cs="Times New Roman"/>
          <w:szCs w:val="24"/>
        </w:rPr>
        <w:t xml:space="preserve">he natural log of the ratio of the book value of equity to the market value of equity </w:t>
      </w:r>
      <w:r w:rsidR="00FC0BCC" w:rsidRPr="004A069C">
        <w:rPr>
          <w:rFonts w:cs="Times New Roman"/>
          <w:szCs w:val="24"/>
        </w:rPr>
        <w:t>on month</w:t>
      </w:r>
      <w:r w:rsidRPr="004A069C">
        <w:rPr>
          <w:rFonts w:cs="Times New Roman"/>
          <w:szCs w:val="24"/>
        </w:rPr>
        <w:t xml:space="preserve"> t-1; </w:t>
      </w:r>
      <m:oMath>
        <m:r>
          <m:rPr>
            <m:sty m:val="p"/>
          </m:rPr>
          <w:rPr>
            <w:rStyle w:val="fontstyle01"/>
            <w:rFonts w:ascii="Cambria Math" w:hAnsi="Cambria Math" w:cs="Times New Roman"/>
            <w:color w:val="auto"/>
          </w:rPr>
          <m:t>PR</m:t>
        </m:r>
      </m:oMath>
      <w:r w:rsidRPr="004A069C">
        <w:rPr>
          <w:rFonts w:cs="Times New Roman"/>
          <w:szCs w:val="24"/>
        </w:rPr>
        <w:t xml:space="preserve">  is the past return of stock when </w:t>
      </w:r>
      <w:r w:rsidR="00FC0BCC" w:rsidRPr="004A069C">
        <w:rPr>
          <w:rFonts w:cs="Times New Roman"/>
          <w:szCs w:val="24"/>
        </w:rPr>
        <w:t xml:space="preserve">investors </w:t>
      </w:r>
      <w:r w:rsidRPr="004A069C">
        <w:rPr>
          <w:rFonts w:cs="Times New Roman"/>
          <w:szCs w:val="24"/>
        </w:rPr>
        <w:t>buy and hold it from month t-11 to t</w:t>
      </w:r>
      <w:r w:rsidR="00FC0BCC" w:rsidRPr="004A069C">
        <w:rPr>
          <w:rFonts w:cs="Times New Roman"/>
          <w:szCs w:val="24"/>
        </w:rPr>
        <w:t>-</w:t>
      </w:r>
      <w:r w:rsidRPr="004A069C">
        <w:rPr>
          <w:rFonts w:cs="Times New Roman"/>
          <w:szCs w:val="24"/>
        </w:rPr>
        <w:t xml:space="preserve">1; </w:t>
      </w:r>
      <m:oMath>
        <m:r>
          <m:rPr>
            <m:sty m:val="p"/>
          </m:rPr>
          <w:rPr>
            <w:rStyle w:val="fontstyle01"/>
            <w:rFonts w:ascii="Cambria Math" w:hAnsi="Cambria Math" w:cs="Times New Roman"/>
            <w:color w:val="auto"/>
          </w:rPr>
          <m:t>NI</m:t>
        </m:r>
      </m:oMath>
      <w:r w:rsidRPr="004A069C">
        <w:rPr>
          <w:rFonts w:cs="Times New Roman"/>
          <w:szCs w:val="24"/>
        </w:rPr>
        <w:t xml:space="preserve">  is the net stock issues through stock split from the year of t -2 to the year of t-1.</w:t>
      </w: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According to hypothesis 1, the coefficient </w:t>
      </w:r>
      <w:r w:rsidR="00B764D6" w:rsidRPr="004A069C">
        <w:rPr>
          <w:rFonts w:eastAsia="新細明體" w:cs="Times New Roman" w:hint="eastAsia"/>
          <w:szCs w:val="24"/>
          <w:lang w:eastAsia="zh-TW"/>
        </w:rPr>
        <w:t>(</w:t>
      </w: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1</m:t>
            </m:r>
          </m:sub>
        </m:sSub>
      </m:oMath>
      <w:r w:rsidR="00B764D6" w:rsidRPr="004A069C">
        <w:rPr>
          <w:rFonts w:cs="Times New Roman"/>
          <w:szCs w:val="24"/>
        </w:rPr>
        <w:t>)</w:t>
      </w:r>
      <w:r w:rsidR="00D03B10" w:rsidRPr="004A069C">
        <w:rPr>
          <w:rFonts w:cs="Times New Roman"/>
          <w:szCs w:val="24"/>
        </w:rPr>
        <w:t xml:space="preserve">, which </w:t>
      </w:r>
      <w:r w:rsidRPr="004A069C">
        <w:rPr>
          <w:rFonts w:cs="Times New Roman"/>
          <w:szCs w:val="24"/>
        </w:rPr>
        <w:t xml:space="preserve">indicates the additional return of firm with insider silence </w:t>
      </w:r>
      <w:r w:rsidR="00D03B10" w:rsidRPr="004A069C">
        <w:rPr>
          <w:rFonts w:cs="Times New Roman"/>
          <w:szCs w:val="24"/>
        </w:rPr>
        <w:t xml:space="preserve">compared to firm with insider selling </w:t>
      </w:r>
      <w:r w:rsidRPr="004A069C">
        <w:rPr>
          <w:rFonts w:cs="Times New Roman"/>
          <w:szCs w:val="24"/>
        </w:rPr>
        <w:t>over the past 12 months should be negative.</w:t>
      </w:r>
      <w:r w:rsidR="00D03B10" w:rsidRPr="004A069C">
        <w:rPr>
          <w:rFonts w:cs="Times New Roman"/>
          <w:szCs w:val="24"/>
        </w:rPr>
        <w:t xml:space="preserve"> It implies that the silence stock firms have lower future excess return than the selling stock firms.</w:t>
      </w:r>
    </w:p>
    <w:p w:rsidR="00AA3CD3" w:rsidRPr="004A069C" w:rsidRDefault="002177DA" w:rsidP="00E92203">
      <w:pPr>
        <w:spacing w:line="360" w:lineRule="auto"/>
        <w:ind w:firstLine="720"/>
        <w:jc w:val="both"/>
        <w:rPr>
          <w:rFonts w:cs="Times New Roman"/>
          <w:szCs w:val="24"/>
        </w:rPr>
      </w:pPr>
      <w:r w:rsidRPr="004A069C">
        <w:rPr>
          <w:rFonts w:cs="Times New Roman"/>
          <w:szCs w:val="24"/>
        </w:rPr>
        <w:t>To test the second hypothesis, we add the t</w:t>
      </w:r>
      <w:r w:rsidR="007A6C80" w:rsidRPr="004A069C">
        <w:rPr>
          <w:rFonts w:cs="Times New Roman"/>
          <w:szCs w:val="24"/>
        </w:rPr>
        <w:t>wo</w:t>
      </w:r>
      <w:r w:rsidRPr="004A069C">
        <w:rPr>
          <w:rFonts w:cs="Times New Roman"/>
          <w:szCs w:val="24"/>
        </w:rPr>
        <w:t xml:space="preserve"> variables as the proxy of litigation risk. Following </w:t>
      </w:r>
      <w:r w:rsidRPr="004A069C">
        <w:rPr>
          <w:rStyle w:val="fontstyle01"/>
          <w:rFonts w:ascii="Times New Roman" w:hAnsi="Times New Roman" w:cs="Times New Roman"/>
          <w:color w:val="auto"/>
        </w:rPr>
        <w:t xml:space="preserve">Gao </w:t>
      </w:r>
      <w:r w:rsidRPr="004A069C">
        <w:rPr>
          <w:rFonts w:cs="Times New Roman"/>
          <w:szCs w:val="24"/>
        </w:rPr>
        <w:t>et al.</w:t>
      </w:r>
      <w:r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Pr="004A069C">
        <w:rPr>
          <w:rStyle w:val="fontstyle01"/>
          <w:rFonts w:ascii="Times New Roman" w:hAnsi="Times New Roman" w:cs="Times New Roman"/>
          <w:color w:val="auto"/>
        </w:rPr>
        <w:t xml:space="preserve">, we use </w:t>
      </w:r>
      <w:r w:rsidR="00AA3CD3" w:rsidRPr="004A069C">
        <w:rPr>
          <w:rStyle w:val="fontstyle01"/>
          <w:rFonts w:ascii="Times New Roman" w:hAnsi="Times New Roman" w:cs="Times New Roman"/>
          <w:color w:val="auto"/>
        </w:rPr>
        <w:t>two</w:t>
      </w:r>
      <w:r w:rsidRPr="004A069C">
        <w:rPr>
          <w:rStyle w:val="fontstyle01"/>
          <w:rFonts w:ascii="Times New Roman" w:hAnsi="Times New Roman" w:cs="Times New Roman"/>
          <w:color w:val="auto"/>
        </w:rPr>
        <w:t xml:space="preserve"> proxies to measure litigation risk, which are </w:t>
      </w:r>
      <w:r w:rsidRPr="004A069C">
        <w:rPr>
          <w:rFonts w:cs="Times New Roman"/>
          <w:szCs w:val="24"/>
        </w:rPr>
        <w:t xml:space="preserve">a firm-level stock volatility measure (Sigma), the market-level stock volatility measure (Market Sigma). </w:t>
      </w: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Next, we run the regression by adding one kind of litigation risk proxy as a new variable and an interaction term of litigation risk proxy and silence </w:t>
      </w:r>
      <w:r w:rsidR="007A6C80" w:rsidRPr="004A069C">
        <w:rPr>
          <w:rFonts w:cs="Times New Roman"/>
          <w:szCs w:val="24"/>
        </w:rPr>
        <w:t xml:space="preserve">dummy </w:t>
      </w:r>
      <w:r w:rsidRPr="004A069C">
        <w:rPr>
          <w:rFonts w:cs="Times New Roman"/>
          <w:szCs w:val="24"/>
        </w:rPr>
        <w:t xml:space="preserve">variable. The new regression model as below: </w:t>
      </w:r>
    </w:p>
    <w:p w:rsidR="002177DA" w:rsidRPr="004A069C" w:rsidRDefault="003F7F9B" w:rsidP="00C60E9F">
      <w:pPr>
        <w:spacing w:line="360" w:lineRule="auto"/>
        <w:ind w:firstLine="142"/>
        <w:jc w:val="right"/>
        <w:rPr>
          <w:rStyle w:val="fontstyle01"/>
          <w:rFonts w:ascii="Times New Roman" w:hAnsi="Times New Roman" w:cs="Times New Roman"/>
          <w:color w:val="auto"/>
        </w:rPr>
      </w:pP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r</m:t>
            </m:r>
          </m:e>
          <m:sub>
            <m:r>
              <m:rPr>
                <m:sty m:val="p"/>
              </m:rPr>
              <w:rPr>
                <w:rStyle w:val="fontstyle01"/>
                <w:rFonts w:ascii="Cambria Math" w:hAnsi="Cambria Math" w:cs="Times New Roman"/>
                <w:color w:val="auto"/>
              </w:rPr>
              <m:t>(t+6)</m:t>
            </m:r>
          </m:sub>
        </m:sSub>
        <m:r>
          <m:rPr>
            <m:sty m:val="p"/>
          </m:rPr>
          <w:rPr>
            <w:rStyle w:val="fontstyle01"/>
            <w:rFonts w:ascii="Cambria Math" w:hAnsi="Cambria Math" w:cs="Times New Roman"/>
            <w:color w:val="auto"/>
          </w:rPr>
          <m:t>=α+</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1</m:t>
            </m:r>
          </m:sub>
        </m:sSub>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2</m:t>
            </m:r>
          </m:sub>
        </m:sSub>
        <m:r>
          <m:rPr>
            <m:sty m:val="p"/>
          </m:rPr>
          <w:rPr>
            <w:rFonts w:ascii="Cambria Math" w:hAnsi="Cambria Math" w:cs="Times New Roman"/>
            <w:szCs w:val="24"/>
          </w:rPr>
          <m:t>Sigma</m:t>
        </m:r>
        <m:r>
          <m:rPr>
            <m:sty m:val="p"/>
          </m:rPr>
          <w:rPr>
            <w:rStyle w:val="fontstyle01"/>
            <w:rFonts w:ascii="Cambria Math" w:hAnsi="Cambria Math" w:cs="Times New Roman"/>
            <w:color w:val="auto"/>
          </w:rPr>
          <m:t>+</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Fonts w:ascii="Cambria Math" w:hAnsi="Cambria Math" w:cs="Times New Roman"/>
            <w:szCs w:val="24"/>
          </w:rPr>
          <m:t>Sigma</m:t>
        </m:r>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4</m:t>
            </m:r>
          </m:sub>
        </m:sSub>
        <m:r>
          <m:rPr>
            <m:sty m:val="p"/>
          </m:rPr>
          <w:rPr>
            <w:rStyle w:val="fontstyle01"/>
            <w:rFonts w:ascii="Cambria Math" w:hAnsi="Cambria Math" w:cs="Times New Roman"/>
            <w:color w:val="auto"/>
          </w:rPr>
          <m:t>Buy+</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5</m:t>
            </m:r>
          </m:sub>
        </m:sSub>
        <m:func>
          <m:funcPr>
            <m:ctrlPr>
              <w:rPr>
                <w:rStyle w:val="fontstyle01"/>
                <w:rFonts w:ascii="Cambria Math" w:hAnsi="Cambria Math" w:cs="Times New Roman"/>
                <w:color w:val="auto"/>
              </w:rPr>
            </m:ctrlPr>
          </m:funcPr>
          <m:fName>
            <m:r>
              <m:rPr>
                <m:sty m:val="p"/>
              </m:rPr>
              <w:rPr>
                <w:rStyle w:val="fontstyle01"/>
                <w:rFonts w:ascii="Cambria Math" w:hAnsi="Cambria Math" w:cs="Times New Roman"/>
                <w:color w:val="auto"/>
              </w:rPr>
              <m:t>ln</m:t>
            </m:r>
          </m:fName>
          <m:e>
            <m:d>
              <m:dPr>
                <m:ctrlPr>
                  <w:rPr>
                    <w:rStyle w:val="fontstyle01"/>
                    <w:rFonts w:ascii="Cambria Math" w:hAnsi="Cambria Math" w:cs="Times New Roman"/>
                    <w:color w:val="auto"/>
                  </w:rPr>
                </m:ctrlPr>
              </m:dPr>
              <m:e>
                <m:r>
                  <m:rPr>
                    <m:sty m:val="p"/>
                  </m:rPr>
                  <w:rPr>
                    <w:rStyle w:val="fontstyle01"/>
                    <w:rFonts w:ascii="Cambria Math" w:hAnsi="Cambria Math" w:cs="Times New Roman"/>
                    <w:color w:val="auto"/>
                  </w:rPr>
                  <m:t>MC</m:t>
                </m:r>
              </m:e>
            </m:d>
          </m:e>
        </m:func>
        <m:r>
          <m:rPr>
            <m:sty m:val="p"/>
          </m:rPr>
          <w:rPr>
            <w:rStyle w:val="fontstyle01"/>
            <w:rFonts w:ascii="Cambria Math" w:hAnsi="Cambria Math" w:cs="Times New Roman"/>
            <w:color w:val="auto"/>
          </w:rPr>
          <m:t>+</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6</m:t>
            </m:r>
          </m:sub>
        </m:sSub>
        <m:func>
          <m:funcPr>
            <m:ctrlPr>
              <w:rPr>
                <w:rStyle w:val="fontstyle01"/>
                <w:rFonts w:ascii="Cambria Math" w:hAnsi="Cambria Math" w:cs="Times New Roman"/>
                <w:color w:val="auto"/>
              </w:rPr>
            </m:ctrlPr>
          </m:funcPr>
          <m:fName>
            <m:r>
              <m:rPr>
                <m:sty m:val="p"/>
              </m:rPr>
              <w:rPr>
                <w:rStyle w:val="fontstyle01"/>
                <w:rFonts w:ascii="Cambria Math" w:hAnsi="Cambria Math" w:cs="Times New Roman"/>
                <w:color w:val="auto"/>
              </w:rPr>
              <m:t>ln</m:t>
            </m:r>
          </m:fName>
          <m:e>
            <m:d>
              <m:dPr>
                <m:ctrlPr>
                  <w:rPr>
                    <w:rStyle w:val="fontstyle01"/>
                    <w:rFonts w:ascii="Cambria Math" w:hAnsi="Cambria Math" w:cs="Times New Roman"/>
                    <w:color w:val="auto"/>
                  </w:rPr>
                </m:ctrlPr>
              </m:dPr>
              <m:e>
                <m:r>
                  <m:rPr>
                    <m:sty m:val="p"/>
                  </m:rPr>
                  <w:rPr>
                    <w:rStyle w:val="fontstyle01"/>
                    <w:rFonts w:ascii="Cambria Math" w:hAnsi="Cambria Math" w:cs="Times New Roman"/>
                    <w:color w:val="auto"/>
                  </w:rPr>
                  <m:t>BM</m:t>
                </m:r>
              </m:e>
            </m:d>
          </m:e>
        </m:func>
        <m:r>
          <m:rPr>
            <m:sty m:val="p"/>
          </m:rPr>
          <w:rPr>
            <w:rStyle w:val="fontstyle01"/>
            <w:rFonts w:ascii="Cambria Math" w:hAnsi="Cambria Math" w:cs="Times New Roman"/>
            <w:color w:val="auto"/>
          </w:rPr>
          <m:t xml:space="preserv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7</m:t>
            </m:r>
          </m:sub>
        </m:sSub>
        <m:r>
          <m:rPr>
            <m:sty m:val="p"/>
          </m:rPr>
          <w:rPr>
            <w:rStyle w:val="fontstyle01"/>
            <w:rFonts w:ascii="Cambria Math" w:hAnsi="Cambria Math" w:cs="Times New Roman"/>
            <w:color w:val="auto"/>
          </w:rPr>
          <m:t xml:space="preserve">PR+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8</m:t>
            </m:r>
          </m:sub>
        </m:sSub>
        <m:r>
          <m:rPr>
            <m:sty m:val="p"/>
          </m:rPr>
          <w:rPr>
            <w:rStyle w:val="fontstyle01"/>
            <w:rFonts w:ascii="Cambria Math" w:hAnsi="Cambria Math" w:cs="Times New Roman"/>
            <w:color w:val="auto"/>
          </w:rPr>
          <m:t>NI+ ε</m:t>
        </m:r>
      </m:oMath>
      <w:r w:rsidR="00C60E9F" w:rsidRPr="004A069C">
        <w:rPr>
          <w:rStyle w:val="fontstyle01"/>
          <w:rFonts w:ascii="Times New Roman" w:hAnsi="Times New Roman" w:cs="Times New Roman"/>
          <w:color w:val="auto"/>
        </w:rPr>
        <w:t xml:space="preserve">                                     (3)</w:t>
      </w:r>
    </w:p>
    <w:p w:rsidR="002177DA" w:rsidRPr="004A069C" w:rsidRDefault="003F7F9B" w:rsidP="002B59D4">
      <w:pPr>
        <w:spacing w:line="360" w:lineRule="auto"/>
        <w:ind w:firstLine="426"/>
        <w:jc w:val="right"/>
        <w:rPr>
          <w:rStyle w:val="fontstyle01"/>
          <w:rFonts w:ascii="Times New Roman" w:hAnsi="Times New Roman" w:cs="Times New Roman"/>
          <w:color w:val="auto"/>
        </w:rPr>
      </w:pP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r</m:t>
            </m:r>
          </m:e>
          <m:sub>
            <m:r>
              <m:rPr>
                <m:sty m:val="p"/>
              </m:rPr>
              <w:rPr>
                <w:rStyle w:val="fontstyle01"/>
                <w:rFonts w:ascii="Cambria Math" w:hAnsi="Cambria Math" w:cs="Times New Roman"/>
                <w:color w:val="auto"/>
              </w:rPr>
              <m:t>(t+6)</m:t>
            </m:r>
          </m:sub>
        </m:sSub>
        <m:r>
          <m:rPr>
            <m:sty m:val="p"/>
          </m:rPr>
          <w:rPr>
            <w:rStyle w:val="fontstyle01"/>
            <w:rFonts w:ascii="Cambria Math" w:hAnsi="Cambria Math" w:cs="Times New Roman"/>
            <w:color w:val="auto"/>
          </w:rPr>
          <m:t>=α+</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1</m:t>
            </m:r>
          </m:sub>
        </m:sSub>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2</m:t>
            </m:r>
          </m:sub>
        </m:sSub>
        <m:r>
          <m:rPr>
            <m:sty m:val="p"/>
          </m:rPr>
          <w:rPr>
            <w:rFonts w:ascii="Cambria Math" w:hAnsi="Cambria Math" w:cs="Times New Roman"/>
            <w:szCs w:val="24"/>
          </w:rPr>
          <m:t>MarketSigma</m:t>
        </m:r>
        <m:r>
          <m:rPr>
            <m:sty m:val="p"/>
          </m:rPr>
          <w:rPr>
            <w:rStyle w:val="fontstyle01"/>
            <w:rFonts w:ascii="Cambria Math" w:hAnsi="Cambria Math" w:cs="Times New Roman"/>
            <w:color w:val="auto"/>
          </w:rPr>
          <m:t>+</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Fonts w:ascii="Cambria Math" w:hAnsi="Cambria Math" w:cs="Times New Roman"/>
            <w:szCs w:val="24"/>
          </w:rPr>
          <m:t>MarketSigma</m:t>
        </m:r>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4</m:t>
            </m:r>
          </m:sub>
        </m:sSub>
        <m:r>
          <m:rPr>
            <m:sty m:val="p"/>
          </m:rPr>
          <w:rPr>
            <w:rStyle w:val="fontstyle01"/>
            <w:rFonts w:ascii="Cambria Math" w:hAnsi="Cambria Math" w:cs="Times New Roman"/>
            <w:color w:val="auto"/>
          </w:rPr>
          <m:t xml:space="preserve">Buy+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5</m:t>
            </m:r>
          </m:sub>
        </m:sSub>
        <m:r>
          <m:rPr>
            <m:sty m:val="p"/>
          </m:rPr>
          <w:rPr>
            <w:rStyle w:val="fontstyle01"/>
            <w:rFonts w:ascii="Cambria Math" w:hAnsi="Cambria Math" w:cs="Times New Roman"/>
            <w:color w:val="auto"/>
          </w:rPr>
          <m:t>ln⁡(MC)+</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6</m:t>
            </m:r>
          </m:sub>
        </m:sSub>
        <m:r>
          <m:rPr>
            <m:sty m:val="p"/>
          </m:rPr>
          <w:rPr>
            <w:rStyle w:val="fontstyle01"/>
            <w:rFonts w:ascii="Cambria Math" w:hAnsi="Cambria Math" w:cs="Times New Roman"/>
            <w:color w:val="auto"/>
          </w:rPr>
          <m:t xml:space="preserve">ln⁡(BM)+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7</m:t>
            </m:r>
          </m:sub>
        </m:sSub>
        <m:r>
          <m:rPr>
            <m:sty m:val="p"/>
          </m:rPr>
          <w:rPr>
            <w:rStyle w:val="fontstyle01"/>
            <w:rFonts w:ascii="Cambria Math" w:hAnsi="Cambria Math" w:cs="Times New Roman"/>
            <w:color w:val="auto"/>
          </w:rPr>
          <m:t xml:space="preserve">PR+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8</m:t>
            </m:r>
          </m:sub>
        </m:sSub>
        <m:r>
          <m:rPr>
            <m:sty m:val="p"/>
          </m:rPr>
          <w:rPr>
            <w:rStyle w:val="fontstyle01"/>
            <w:rFonts w:ascii="Cambria Math" w:hAnsi="Cambria Math" w:cs="Times New Roman"/>
            <w:color w:val="auto"/>
          </w:rPr>
          <m:t>NI+ ε</m:t>
        </m:r>
      </m:oMath>
      <w:r w:rsidR="002177DA" w:rsidRPr="004A069C">
        <w:rPr>
          <w:rStyle w:val="fontstyle01"/>
          <w:rFonts w:ascii="Times New Roman" w:hAnsi="Times New Roman" w:cs="Times New Roman"/>
          <w:color w:val="auto"/>
        </w:rPr>
        <w:t xml:space="preserve">  </w:t>
      </w:r>
      <w:r w:rsidR="002177DA" w:rsidRPr="004A069C">
        <w:rPr>
          <w:rStyle w:val="fontstyle01"/>
          <w:rFonts w:ascii="Times New Roman" w:hAnsi="Times New Roman" w:cs="Times New Roman"/>
          <w:color w:val="auto"/>
        </w:rPr>
        <w:tab/>
      </w:r>
      <w:r w:rsidR="00C60E9F" w:rsidRPr="004A069C">
        <w:rPr>
          <w:rStyle w:val="fontstyle01"/>
          <w:rFonts w:ascii="Times New Roman" w:hAnsi="Times New Roman" w:cs="Times New Roman"/>
          <w:color w:val="auto"/>
        </w:rPr>
        <w:t>(4)</w:t>
      </w:r>
    </w:p>
    <w:p w:rsidR="007A6C80" w:rsidRPr="004A069C" w:rsidRDefault="007A6C80" w:rsidP="00E92203">
      <w:pPr>
        <w:spacing w:line="360" w:lineRule="auto"/>
        <w:ind w:firstLine="720"/>
        <w:jc w:val="both"/>
        <w:rPr>
          <w:rStyle w:val="fontstyle01"/>
          <w:rFonts w:ascii="Times New Roman" w:hAnsi="Times New Roman" w:cs="Times New Roman"/>
          <w:color w:val="auto"/>
        </w:rPr>
      </w:pPr>
      <w:r w:rsidRPr="004A069C">
        <w:rPr>
          <w:rStyle w:val="fontstyle01"/>
          <w:rFonts w:ascii="Times New Roman" w:hAnsi="Times New Roman" w:cs="Times New Roman"/>
          <w:color w:val="auto"/>
        </w:rPr>
        <w:t>I</w:t>
      </w:r>
      <w:r w:rsidR="00AA3CD3" w:rsidRPr="004A069C">
        <w:rPr>
          <w:rStyle w:val="fontstyle01"/>
          <w:rFonts w:ascii="Times New Roman" w:hAnsi="Times New Roman" w:cs="Times New Roman"/>
          <w:color w:val="auto"/>
        </w:rPr>
        <w:t xml:space="preserve">n the equation (3), </w:t>
      </w:r>
      <w:r w:rsidRPr="004A069C">
        <w:rPr>
          <w:rStyle w:val="fontstyle01"/>
          <w:rFonts w:ascii="Times New Roman" w:hAnsi="Times New Roman" w:cs="Times New Roman"/>
          <w:color w:val="auto"/>
        </w:rPr>
        <w:t xml:space="preserve">and </w:t>
      </w:r>
      <w:r w:rsidR="00AA3CD3" w:rsidRPr="004A069C">
        <w:rPr>
          <w:rStyle w:val="fontstyle01"/>
          <w:rFonts w:ascii="Times New Roman" w:hAnsi="Times New Roman" w:cs="Times New Roman"/>
          <w:color w:val="auto"/>
        </w:rPr>
        <w:t xml:space="preserve">(4), </w:t>
      </w:r>
      <w:r w:rsidRPr="004A069C">
        <w:rPr>
          <w:rStyle w:val="fontstyle01"/>
          <w:rFonts w:ascii="Times New Roman" w:hAnsi="Times New Roman" w:cs="Times New Roman"/>
          <w:color w:val="auto"/>
        </w:rPr>
        <w:t xml:space="preserve">if </w:t>
      </w:r>
      <w:r w:rsidR="002177DA" w:rsidRPr="004A069C">
        <w:rPr>
          <w:rStyle w:val="fontstyle01"/>
          <w:rFonts w:ascii="Times New Roman" w:hAnsi="Times New Roman" w:cs="Times New Roman"/>
          <w:color w:val="auto"/>
        </w:rPr>
        <w:t xml:space="preserve">the </w:t>
      </w:r>
      <w:r w:rsidR="002177DA" w:rsidRPr="004A069C">
        <w:rPr>
          <w:rFonts w:cs="Times New Roman"/>
          <w:szCs w:val="24"/>
        </w:rPr>
        <w:t xml:space="preserve">coefficient of </w:t>
      </w:r>
      <w:r w:rsidR="002177DA" w:rsidRPr="004A069C">
        <w:rPr>
          <w:rStyle w:val="fontstyle01"/>
          <w:rFonts w:ascii="Times New Roman" w:hAnsi="Times New Roman" w:cs="Times New Roman"/>
          <w:color w:val="auto"/>
        </w:rPr>
        <w:t>interaction term (</w:t>
      </w: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Style w:val="fontstyle01"/>
            <w:rFonts w:ascii="Cambria Math" w:hAnsi="Cambria Math" w:cs="Times New Roman"/>
            <w:color w:val="auto"/>
          </w:rPr>
          <m:t>)</m:t>
        </m:r>
      </m:oMath>
      <w:r w:rsidR="002177DA" w:rsidRPr="004A069C">
        <w:rPr>
          <w:rStyle w:val="fontstyle01"/>
          <w:rFonts w:ascii="Times New Roman" w:hAnsi="Times New Roman" w:cs="Times New Roman"/>
          <w:color w:val="auto"/>
        </w:rPr>
        <w:t xml:space="preserve"> is negative</w:t>
      </w:r>
      <w:r w:rsidRPr="004A069C">
        <w:rPr>
          <w:rStyle w:val="fontstyle01"/>
          <w:rFonts w:ascii="Times New Roman" w:hAnsi="Times New Roman" w:cs="Times New Roman"/>
          <w:color w:val="auto"/>
        </w:rPr>
        <w:t>,</w:t>
      </w:r>
      <w:r w:rsidR="002177DA" w:rsidRPr="004A069C">
        <w:rPr>
          <w:rStyle w:val="fontstyle01"/>
          <w:rFonts w:ascii="Times New Roman" w:hAnsi="Times New Roman" w:cs="Times New Roman"/>
          <w:color w:val="auto"/>
        </w:rPr>
        <w:t xml:space="preserve"> </w:t>
      </w:r>
      <w:r w:rsidRPr="004A069C">
        <w:rPr>
          <w:rStyle w:val="fontstyle01"/>
          <w:rFonts w:ascii="Times New Roman" w:hAnsi="Times New Roman" w:cs="Times New Roman"/>
          <w:color w:val="auto"/>
        </w:rPr>
        <w:t xml:space="preserve">we can accept </w:t>
      </w:r>
      <w:r w:rsidRPr="004A069C">
        <w:rPr>
          <w:rFonts w:cs="Times New Roman"/>
          <w:szCs w:val="24"/>
        </w:rPr>
        <w:t>hypothesis</w:t>
      </w:r>
      <w:r w:rsidRPr="004A069C">
        <w:rPr>
          <w:rStyle w:val="fontstyle01"/>
          <w:rFonts w:ascii="Times New Roman" w:hAnsi="Times New Roman" w:cs="Times New Roman"/>
          <w:color w:val="auto"/>
        </w:rPr>
        <w:t xml:space="preserve"> 2. It indicates that t</w:t>
      </w:r>
      <w:r w:rsidRPr="004A069C">
        <w:rPr>
          <w:rFonts w:cs="Times New Roman"/>
          <w:szCs w:val="24"/>
        </w:rPr>
        <w:t>he negative effect of insider silence on firm’s future stock return is stronger in firm with higher litigation risk.</w:t>
      </w:r>
    </w:p>
    <w:p w:rsidR="007A6C80" w:rsidRPr="004A069C" w:rsidRDefault="007A6C80" w:rsidP="00E92203">
      <w:pPr>
        <w:spacing w:line="360" w:lineRule="auto"/>
        <w:ind w:firstLine="720"/>
        <w:jc w:val="both"/>
        <w:rPr>
          <w:rStyle w:val="fontstyle01"/>
          <w:rFonts w:ascii="Times New Roman" w:hAnsi="Times New Roman" w:cs="Times New Roman"/>
          <w:color w:val="auto"/>
        </w:rPr>
      </w:pPr>
    </w:p>
    <w:p w:rsidR="002177DA" w:rsidRPr="004A069C" w:rsidRDefault="002177DA" w:rsidP="00E92203">
      <w:pPr>
        <w:spacing w:line="360" w:lineRule="auto"/>
        <w:ind w:firstLine="720"/>
        <w:jc w:val="both"/>
        <w:rPr>
          <w:rFonts w:cs="Times New Roman"/>
          <w:szCs w:val="24"/>
        </w:rPr>
      </w:pPr>
      <w:r w:rsidRPr="004A069C">
        <w:rPr>
          <w:rFonts w:cs="Times New Roman"/>
          <w:szCs w:val="24"/>
        </w:rPr>
        <w:t xml:space="preserve">Following Hong and Li </w:t>
      </w:r>
      <w:r w:rsidR="00780CD7" w:rsidRPr="004A069C">
        <w:rPr>
          <w:rFonts w:cs="Times New Roman"/>
          <w:szCs w:val="24"/>
        </w:rPr>
        <w:t>[9]</w:t>
      </w:r>
      <w:r w:rsidR="00983FEA" w:rsidRPr="004A069C">
        <w:rPr>
          <w:rFonts w:cs="Times New Roman"/>
          <w:szCs w:val="24"/>
        </w:rPr>
        <w:t>,</w:t>
      </w:r>
      <w:r w:rsidRPr="004A069C">
        <w:rPr>
          <w:rFonts w:cs="Times New Roman"/>
          <w:szCs w:val="24"/>
        </w:rPr>
        <w:t xml:space="preserve"> we define routine insider sudden silence as follow. In each month that insider</w:t>
      </w:r>
      <w:r w:rsidR="00983FEA" w:rsidRPr="004A069C">
        <w:rPr>
          <w:rFonts w:cs="Times New Roman"/>
          <w:szCs w:val="24"/>
        </w:rPr>
        <w:t>s do not trade</w:t>
      </w:r>
      <w:r w:rsidRPr="004A069C">
        <w:rPr>
          <w:rFonts w:cs="Times New Roman"/>
          <w:szCs w:val="24"/>
        </w:rPr>
        <w:t xml:space="preserve">, we check the trading history of the firm in the past two continuous years on the same month. If they had insider purchase in that two months, we group these firms into routine purchase insider sudden silence firm. Vise versus, if firms have insider who sold their stock in that two months, they belong to routine sell insider sudden silence group. Instead of investigating the trading history of individual insider, we observe it at the firm level. </w:t>
      </w:r>
      <w:r w:rsidRPr="004A069C">
        <w:rPr>
          <w:rStyle w:val="fontstyle01"/>
          <w:rFonts w:ascii="Times New Roman" w:hAnsi="Times New Roman" w:cs="Times New Roman"/>
          <w:color w:val="auto"/>
        </w:rPr>
        <w:t xml:space="preserve">Dummy variable indicate </w:t>
      </w:r>
      <w:r w:rsidRPr="004A069C">
        <w:rPr>
          <w:rFonts w:cs="Times New Roman"/>
          <w:szCs w:val="24"/>
        </w:rPr>
        <w:t xml:space="preserve">routine purchase insider sudden silence (PPN) equal to one if firms have insider purchase their own company stock at the same month in 2 consecutive year but stop trading at the third year, </w:t>
      </w:r>
      <w:r w:rsidR="00983FEA" w:rsidRPr="004A069C">
        <w:rPr>
          <w:rFonts w:cs="Times New Roman"/>
          <w:szCs w:val="24"/>
        </w:rPr>
        <w:t>whereas</w:t>
      </w:r>
      <w:r w:rsidRPr="004A069C">
        <w:rPr>
          <w:rFonts w:cs="Times New Roman"/>
          <w:szCs w:val="24"/>
        </w:rPr>
        <w:t xml:space="preserve"> routine sell insider sudden silence (SSN)</w:t>
      </w:r>
      <w:r w:rsidR="00983FEA" w:rsidRPr="004A069C">
        <w:rPr>
          <w:rFonts w:cs="Times New Roman"/>
          <w:szCs w:val="24"/>
        </w:rPr>
        <w:t xml:space="preserve"> equal to one if firms have insider sell their own company stock at the same month in 2 consecutive year but stop trading at the third year</w:t>
      </w:r>
      <w:r w:rsidRPr="004A069C">
        <w:rPr>
          <w:rFonts w:cs="Times New Roman"/>
          <w:szCs w:val="24"/>
        </w:rPr>
        <w:t xml:space="preserve">. </w:t>
      </w:r>
    </w:p>
    <w:p w:rsidR="002177DA" w:rsidRPr="004A069C" w:rsidRDefault="003F7F9B" w:rsidP="002B59D4">
      <w:pPr>
        <w:spacing w:line="360" w:lineRule="auto"/>
        <w:ind w:firstLine="426"/>
        <w:jc w:val="center"/>
        <w:rPr>
          <w:rStyle w:val="fontstyle01"/>
          <w:rFonts w:ascii="Times New Roman" w:hAnsi="Times New Roman" w:cs="Times New Roman"/>
          <w:color w:val="auto"/>
        </w:rPr>
      </w:pP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r</m:t>
            </m:r>
          </m:e>
          <m:sub>
            <m:r>
              <m:rPr>
                <m:sty m:val="p"/>
              </m:rPr>
              <w:rPr>
                <w:rStyle w:val="fontstyle01"/>
                <w:rFonts w:ascii="Cambria Math" w:hAnsi="Cambria Math" w:cs="Times New Roman"/>
                <w:color w:val="auto"/>
              </w:rPr>
              <m:t>(t+6)</m:t>
            </m:r>
          </m:sub>
        </m:sSub>
        <m:r>
          <m:rPr>
            <m:sty m:val="p"/>
          </m:rPr>
          <w:rPr>
            <w:rStyle w:val="fontstyle01"/>
            <w:rFonts w:ascii="Cambria Math" w:hAnsi="Cambria Math" w:cs="Times New Roman"/>
            <w:color w:val="auto"/>
          </w:rPr>
          <m:t>=α+</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1</m:t>
            </m:r>
          </m:sub>
        </m:sSub>
        <m:r>
          <m:rPr>
            <m:sty m:val="p"/>
          </m:rPr>
          <w:rPr>
            <w:rStyle w:val="fontstyle01"/>
            <w:rFonts w:ascii="Cambria Math" w:hAnsi="Cambria Math" w:cs="Times New Roman"/>
            <w:color w:val="auto"/>
          </w:rPr>
          <m:t xml:space="preserve">Silence+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2</m:t>
            </m:r>
          </m:sub>
        </m:sSub>
        <m:r>
          <m:rPr>
            <m:sty m:val="p"/>
          </m:rPr>
          <w:rPr>
            <w:rStyle w:val="fontstyle01"/>
            <w:rFonts w:ascii="Cambria Math" w:hAnsi="Cambria Math" w:cs="Times New Roman"/>
            <w:color w:val="auto"/>
          </w:rPr>
          <m:t>Buy+</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Style w:val="fontstyle01"/>
            <w:rFonts w:ascii="Cambria Math" w:hAnsi="Cambria Math" w:cs="Times New Roman"/>
            <w:color w:val="auto"/>
          </w:rPr>
          <m:t xml:space="preserve">PPN+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4</m:t>
            </m:r>
          </m:sub>
        </m:sSub>
        <m:r>
          <m:rPr>
            <m:sty m:val="p"/>
          </m:rPr>
          <w:rPr>
            <w:rStyle w:val="fontstyle01"/>
            <w:rFonts w:ascii="Cambria Math" w:hAnsi="Cambria Math" w:cs="Times New Roman"/>
            <w:color w:val="auto"/>
          </w:rPr>
          <m:t xml:space="preserve">SSN+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5</m:t>
            </m:r>
          </m:sub>
        </m:sSub>
        <m:r>
          <m:rPr>
            <m:sty m:val="p"/>
          </m:rPr>
          <w:rPr>
            <w:rStyle w:val="fontstyle01"/>
            <w:rFonts w:ascii="Cambria Math" w:hAnsi="Cambria Math" w:cs="Times New Roman"/>
            <w:color w:val="auto"/>
          </w:rPr>
          <m:t>ln⁡(MC)+</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6</m:t>
            </m:r>
          </m:sub>
        </m:sSub>
        <m:r>
          <m:rPr>
            <m:sty m:val="p"/>
          </m:rPr>
          <w:rPr>
            <w:rStyle w:val="fontstyle01"/>
            <w:rFonts w:ascii="Cambria Math" w:hAnsi="Cambria Math" w:cs="Times New Roman"/>
            <w:color w:val="auto"/>
          </w:rPr>
          <m:t xml:space="preserve">ln⁡(BM)+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7</m:t>
            </m:r>
          </m:sub>
        </m:sSub>
        <m:r>
          <m:rPr>
            <m:sty m:val="p"/>
          </m:rPr>
          <w:rPr>
            <w:rStyle w:val="fontstyle01"/>
            <w:rFonts w:ascii="Cambria Math" w:hAnsi="Cambria Math" w:cs="Times New Roman"/>
            <w:color w:val="auto"/>
          </w:rPr>
          <m:t xml:space="preserve">PR+ </m:t>
        </m:r>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8</m:t>
            </m:r>
          </m:sub>
        </m:sSub>
        <m:r>
          <m:rPr>
            <m:sty m:val="p"/>
          </m:rPr>
          <w:rPr>
            <w:rStyle w:val="fontstyle01"/>
            <w:rFonts w:ascii="Cambria Math" w:hAnsi="Cambria Math" w:cs="Times New Roman"/>
            <w:color w:val="auto"/>
          </w:rPr>
          <m:t>NI+ ε</m:t>
        </m:r>
      </m:oMath>
      <w:r w:rsidR="003C7A55" w:rsidRPr="004A069C">
        <w:rPr>
          <w:rStyle w:val="fontstyle01"/>
          <w:rFonts w:ascii="Times New Roman" w:hAnsi="Times New Roman" w:cs="Times New Roman"/>
          <w:color w:val="auto"/>
        </w:rPr>
        <w:t xml:space="preserve">     </w:t>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r>
      <w:r w:rsidR="003C7A55" w:rsidRPr="004A069C">
        <w:rPr>
          <w:rStyle w:val="fontstyle01"/>
          <w:rFonts w:ascii="Times New Roman" w:hAnsi="Times New Roman" w:cs="Times New Roman"/>
          <w:color w:val="auto"/>
        </w:rPr>
        <w:tab/>
        <w:t>(5)</w:t>
      </w:r>
    </w:p>
    <w:p w:rsidR="005F5046" w:rsidRPr="004A069C" w:rsidRDefault="00FD759E" w:rsidP="00E168FA">
      <w:pPr>
        <w:spacing w:line="360" w:lineRule="auto"/>
        <w:ind w:firstLine="720"/>
        <w:jc w:val="both"/>
        <w:rPr>
          <w:rFonts w:cs="Times New Roman"/>
          <w:b/>
          <w:szCs w:val="24"/>
        </w:rPr>
      </w:pPr>
      <w:r w:rsidRPr="004A069C">
        <w:rPr>
          <w:rFonts w:cs="Times New Roman"/>
          <w:szCs w:val="24"/>
        </w:rPr>
        <w:t>According to</w:t>
      </w:r>
      <w:r w:rsidR="002177DA" w:rsidRPr="004A069C">
        <w:rPr>
          <w:rFonts w:cs="Times New Roman"/>
          <w:szCs w:val="24"/>
        </w:rPr>
        <w:t xml:space="preserve"> Hong and Li </w:t>
      </w:r>
      <w:r w:rsidR="00780CD7" w:rsidRPr="004A069C">
        <w:rPr>
          <w:rFonts w:cs="Times New Roman"/>
          <w:szCs w:val="24"/>
        </w:rPr>
        <w:t>[9]</w:t>
      </w:r>
      <w:r w:rsidR="002177DA" w:rsidRPr="004A069C">
        <w:rPr>
          <w:rFonts w:cs="Times New Roman"/>
          <w:szCs w:val="24"/>
        </w:rPr>
        <w:t xml:space="preserve">, </w:t>
      </w:r>
      <w:r w:rsidR="002177DA" w:rsidRPr="004A069C">
        <w:rPr>
          <w:rStyle w:val="fontstyle01"/>
          <w:rFonts w:ascii="Times New Roman" w:hAnsi="Times New Roman" w:cs="Times New Roman"/>
          <w:color w:val="auto"/>
        </w:rPr>
        <w:t xml:space="preserve">the sign for coefficient </w:t>
      </w: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3</m:t>
            </m:r>
          </m:sub>
        </m:sSub>
        <m:r>
          <m:rPr>
            <m:sty m:val="p"/>
          </m:rPr>
          <w:rPr>
            <w:rStyle w:val="fontstyle01"/>
            <w:rFonts w:ascii="Cambria Math" w:hAnsi="Cambria Math" w:cs="Times New Roman"/>
            <w:color w:val="auto"/>
          </w:rPr>
          <m:t xml:space="preserve"> </m:t>
        </m:r>
      </m:oMath>
      <w:r w:rsidR="002177DA" w:rsidRPr="004A069C">
        <w:rPr>
          <w:rStyle w:val="fontstyle01"/>
          <w:rFonts w:ascii="Times New Roman" w:hAnsi="Times New Roman" w:cs="Times New Roman"/>
          <w:color w:val="auto"/>
        </w:rPr>
        <w:t xml:space="preserve">of PPN variable </w:t>
      </w:r>
      <w:r w:rsidRPr="004A069C">
        <w:rPr>
          <w:rStyle w:val="fontstyle01"/>
          <w:rFonts w:ascii="Times New Roman" w:hAnsi="Times New Roman" w:cs="Times New Roman"/>
          <w:color w:val="auto"/>
        </w:rPr>
        <w:t>should be</w:t>
      </w:r>
      <w:r w:rsidR="002177DA" w:rsidRPr="004A069C">
        <w:rPr>
          <w:rStyle w:val="fontstyle01"/>
          <w:rFonts w:ascii="Times New Roman" w:hAnsi="Times New Roman" w:cs="Times New Roman"/>
          <w:color w:val="auto"/>
        </w:rPr>
        <w:t xml:space="preserve"> negative, and coefficient </w:t>
      </w:r>
      <m:oMath>
        <m:sSub>
          <m:sSubPr>
            <m:ctrlPr>
              <w:rPr>
                <w:rStyle w:val="fontstyle01"/>
                <w:rFonts w:ascii="Cambria Math" w:hAnsi="Cambria Math" w:cs="Times New Roman"/>
                <w:color w:val="auto"/>
              </w:rPr>
            </m:ctrlPr>
          </m:sSubPr>
          <m:e>
            <m:r>
              <m:rPr>
                <m:sty m:val="p"/>
              </m:rPr>
              <w:rPr>
                <w:rStyle w:val="fontstyle01"/>
                <w:rFonts w:ascii="Cambria Math" w:hAnsi="Cambria Math" w:cs="Times New Roman"/>
                <w:color w:val="auto"/>
              </w:rPr>
              <m:t>β</m:t>
            </m:r>
          </m:e>
          <m:sub>
            <m:r>
              <m:rPr>
                <m:sty m:val="p"/>
              </m:rPr>
              <w:rPr>
                <w:rStyle w:val="fontstyle01"/>
                <w:rFonts w:ascii="Cambria Math" w:hAnsi="Cambria Math" w:cs="Times New Roman"/>
                <w:color w:val="auto"/>
              </w:rPr>
              <m:t>4</m:t>
            </m:r>
          </m:sub>
        </m:sSub>
      </m:oMath>
      <w:r w:rsidR="002177DA" w:rsidRPr="004A069C">
        <w:rPr>
          <w:rStyle w:val="fontstyle01"/>
          <w:rFonts w:ascii="Times New Roman" w:hAnsi="Times New Roman" w:cs="Times New Roman"/>
          <w:color w:val="auto"/>
        </w:rPr>
        <w:t xml:space="preserve"> of SSN variable </w:t>
      </w:r>
      <w:r w:rsidRPr="004A069C">
        <w:rPr>
          <w:rStyle w:val="fontstyle01"/>
          <w:rFonts w:ascii="Times New Roman" w:hAnsi="Times New Roman" w:cs="Times New Roman"/>
          <w:color w:val="auto"/>
        </w:rPr>
        <w:t>should be</w:t>
      </w:r>
      <w:r w:rsidR="002177DA" w:rsidRPr="004A069C">
        <w:rPr>
          <w:rStyle w:val="fontstyle01"/>
          <w:rFonts w:ascii="Times New Roman" w:hAnsi="Times New Roman" w:cs="Times New Roman"/>
          <w:color w:val="auto"/>
        </w:rPr>
        <w:t xml:space="preserve"> positive</w:t>
      </w:r>
      <w:r w:rsidRPr="004A069C">
        <w:rPr>
          <w:rStyle w:val="fontstyle01"/>
          <w:rFonts w:ascii="Times New Roman" w:hAnsi="Times New Roman" w:cs="Times New Roman"/>
          <w:color w:val="auto"/>
        </w:rPr>
        <w:t>.</w:t>
      </w:r>
      <w:r w:rsidR="002177DA" w:rsidRPr="004A069C">
        <w:rPr>
          <w:rStyle w:val="fontstyle01"/>
          <w:rFonts w:ascii="Times New Roman" w:hAnsi="Times New Roman" w:cs="Times New Roman"/>
          <w:color w:val="auto"/>
        </w:rPr>
        <w:t xml:space="preserve"> </w:t>
      </w:r>
      <w:r w:rsidRPr="004A069C">
        <w:rPr>
          <w:rStyle w:val="fontstyle01"/>
          <w:rFonts w:ascii="Times New Roman" w:hAnsi="Times New Roman" w:cs="Times New Roman"/>
          <w:color w:val="auto"/>
        </w:rPr>
        <w:t>If</w:t>
      </w:r>
      <w:r w:rsidR="002177DA" w:rsidRPr="004A069C">
        <w:rPr>
          <w:rStyle w:val="fontstyle01"/>
          <w:rFonts w:ascii="Times New Roman" w:hAnsi="Times New Roman" w:cs="Times New Roman"/>
          <w:color w:val="auto"/>
        </w:rPr>
        <w:t xml:space="preserve"> the magnitude of </w:t>
      </w:r>
      <w:r w:rsidRPr="004A069C">
        <w:rPr>
          <w:rStyle w:val="fontstyle01"/>
          <w:rFonts w:ascii="Times New Roman" w:hAnsi="Times New Roman" w:cs="Times New Roman"/>
          <w:color w:val="auto"/>
        </w:rPr>
        <w:t>PPN (or SSN)</w:t>
      </w:r>
      <w:r w:rsidR="002177DA" w:rsidRPr="004A069C">
        <w:rPr>
          <w:rStyle w:val="fontstyle01"/>
          <w:rFonts w:ascii="Times New Roman" w:hAnsi="Times New Roman" w:cs="Times New Roman"/>
          <w:color w:val="auto"/>
        </w:rPr>
        <w:t xml:space="preserve"> are larger than coefficient of silence variable</w:t>
      </w:r>
      <w:r w:rsidRPr="004A069C">
        <w:rPr>
          <w:rStyle w:val="fontstyle01"/>
          <w:rFonts w:ascii="Times New Roman" w:hAnsi="Times New Roman" w:cs="Times New Roman"/>
          <w:color w:val="auto"/>
        </w:rPr>
        <w:t xml:space="preserve">, we can accept </w:t>
      </w:r>
      <w:r w:rsidRPr="004A069C">
        <w:rPr>
          <w:rFonts w:cs="Times New Roman"/>
          <w:szCs w:val="24"/>
        </w:rPr>
        <w:t>hypothesis</w:t>
      </w:r>
      <w:r w:rsidRPr="004A069C">
        <w:rPr>
          <w:rStyle w:val="fontstyle01"/>
          <w:rFonts w:ascii="Times New Roman" w:hAnsi="Times New Roman" w:cs="Times New Roman"/>
          <w:color w:val="auto"/>
        </w:rPr>
        <w:t xml:space="preserve"> 3. It indicates that</w:t>
      </w:r>
      <w:r w:rsidR="002177DA" w:rsidRPr="004A069C">
        <w:rPr>
          <w:rStyle w:val="fontstyle01"/>
          <w:rFonts w:ascii="Times New Roman" w:hAnsi="Times New Roman" w:cs="Times New Roman"/>
          <w:color w:val="auto"/>
        </w:rPr>
        <w:t xml:space="preserve"> </w:t>
      </w:r>
      <w:r w:rsidRPr="004A069C">
        <w:rPr>
          <w:rFonts w:cs="Times New Roman"/>
          <w:szCs w:val="24"/>
        </w:rPr>
        <w:t>sudden insider silence have more negative impact on firm future stock return than unconditional insider silence.</w:t>
      </w:r>
    </w:p>
    <w:p w:rsidR="00D028ED" w:rsidRPr="004A069C" w:rsidRDefault="005F5046" w:rsidP="00F56AF1">
      <w:pPr>
        <w:pStyle w:val="1"/>
        <w:spacing w:line="360" w:lineRule="auto"/>
        <w:jc w:val="left"/>
        <w:rPr>
          <w:sz w:val="24"/>
          <w:szCs w:val="24"/>
        </w:rPr>
      </w:pPr>
      <w:bookmarkStart w:id="8" w:name="_Toc27623015"/>
      <w:r w:rsidRPr="004A069C">
        <w:rPr>
          <w:sz w:val="24"/>
          <w:szCs w:val="24"/>
        </w:rPr>
        <w:t>4</w:t>
      </w:r>
      <w:r w:rsidR="00F56AF1" w:rsidRPr="004A069C">
        <w:rPr>
          <w:sz w:val="24"/>
          <w:szCs w:val="24"/>
        </w:rPr>
        <w:t>.</w:t>
      </w:r>
      <w:r w:rsidRPr="004A069C">
        <w:rPr>
          <w:sz w:val="24"/>
          <w:szCs w:val="24"/>
        </w:rPr>
        <w:t xml:space="preserve"> Empirical r</w:t>
      </w:r>
      <w:r w:rsidR="00D028ED" w:rsidRPr="004A069C">
        <w:rPr>
          <w:sz w:val="24"/>
          <w:szCs w:val="24"/>
        </w:rPr>
        <w:t>esult</w:t>
      </w:r>
      <w:r w:rsidR="00295707" w:rsidRPr="004A069C">
        <w:rPr>
          <w:sz w:val="24"/>
          <w:szCs w:val="24"/>
        </w:rPr>
        <w:t>s</w:t>
      </w:r>
      <w:bookmarkEnd w:id="8"/>
    </w:p>
    <w:p w:rsidR="00D028ED" w:rsidRPr="004A069C" w:rsidRDefault="00D028ED" w:rsidP="00E92203">
      <w:pPr>
        <w:spacing w:line="360" w:lineRule="auto"/>
        <w:ind w:firstLine="709"/>
        <w:jc w:val="both"/>
        <w:rPr>
          <w:rFonts w:cs="Times New Roman"/>
          <w:szCs w:val="24"/>
        </w:rPr>
      </w:pPr>
      <w:r w:rsidRPr="004A069C">
        <w:rPr>
          <w:rFonts w:cs="Times New Roman"/>
          <w:szCs w:val="24"/>
        </w:rPr>
        <w:t xml:space="preserve">Our </w:t>
      </w:r>
      <w:r w:rsidR="001E0FCB" w:rsidRPr="004A069C">
        <w:rPr>
          <w:rFonts w:cs="Times New Roman"/>
          <w:szCs w:val="24"/>
        </w:rPr>
        <w:t>sample</w:t>
      </w:r>
      <w:r w:rsidRPr="004A069C">
        <w:rPr>
          <w:rFonts w:cs="Times New Roman"/>
          <w:szCs w:val="24"/>
        </w:rPr>
        <w:t xml:space="preserve"> is </w:t>
      </w:r>
      <w:r w:rsidR="0066324E" w:rsidRPr="004A069C">
        <w:rPr>
          <w:rFonts w:cs="Times New Roman"/>
          <w:szCs w:val="24"/>
        </w:rPr>
        <w:t xml:space="preserve">composed by </w:t>
      </w:r>
      <w:r w:rsidRPr="004A069C">
        <w:rPr>
          <w:rFonts w:cs="Times New Roman"/>
          <w:szCs w:val="24"/>
        </w:rPr>
        <w:t>t</w:t>
      </w:r>
      <w:r w:rsidR="0066324E" w:rsidRPr="004A069C">
        <w:rPr>
          <w:rFonts w:cs="Times New Roman"/>
          <w:szCs w:val="24"/>
        </w:rPr>
        <w:t>op</w:t>
      </w:r>
      <w:r w:rsidRPr="004A069C">
        <w:rPr>
          <w:rFonts w:cs="Times New Roman"/>
          <w:szCs w:val="24"/>
        </w:rPr>
        <w:t xml:space="preserve"> 100 Vietnam firms from January 2010 to December 2018. To find out the frequency of </w:t>
      </w:r>
      <w:r w:rsidR="0066324E" w:rsidRPr="004A069C">
        <w:rPr>
          <w:rFonts w:cs="Times New Roman"/>
          <w:szCs w:val="24"/>
        </w:rPr>
        <w:t xml:space="preserve">insider </w:t>
      </w:r>
      <w:r w:rsidRPr="004A069C">
        <w:rPr>
          <w:rFonts w:cs="Times New Roman"/>
          <w:szCs w:val="24"/>
        </w:rPr>
        <w:t xml:space="preserve">silence </w:t>
      </w:r>
      <w:r w:rsidR="0066324E" w:rsidRPr="004A069C">
        <w:rPr>
          <w:rFonts w:cs="Times New Roman"/>
          <w:szCs w:val="24"/>
        </w:rPr>
        <w:t>in</w:t>
      </w:r>
      <w:r w:rsidRPr="004A069C">
        <w:rPr>
          <w:rFonts w:cs="Times New Roman"/>
          <w:szCs w:val="24"/>
        </w:rPr>
        <w:t xml:space="preserve"> 100 firms, we calculate the NID of each month </w:t>
      </w:r>
      <w:r w:rsidR="0066324E" w:rsidRPr="004A069C">
        <w:rPr>
          <w:rFonts w:cs="Times New Roman"/>
          <w:szCs w:val="24"/>
        </w:rPr>
        <w:t>in</w:t>
      </w:r>
      <w:r w:rsidRPr="004A069C">
        <w:rPr>
          <w:rFonts w:cs="Times New Roman"/>
          <w:szCs w:val="24"/>
        </w:rPr>
        <w:t xml:space="preserve"> different m month perio</w:t>
      </w:r>
      <w:r w:rsidR="0066324E" w:rsidRPr="004A069C">
        <w:rPr>
          <w:rFonts w:cs="Times New Roman"/>
          <w:szCs w:val="24"/>
        </w:rPr>
        <w:t>d (m = 6, 12, 24). We</w:t>
      </w:r>
      <w:r w:rsidRPr="004A069C">
        <w:rPr>
          <w:rFonts w:cs="Times New Roman"/>
          <w:szCs w:val="24"/>
        </w:rPr>
        <w:t xml:space="preserve"> split into three group </w:t>
      </w:r>
      <w:r w:rsidR="0066324E" w:rsidRPr="004A069C">
        <w:rPr>
          <w:rFonts w:cs="Times New Roman"/>
          <w:szCs w:val="24"/>
        </w:rPr>
        <w:t>(</w:t>
      </w:r>
      <w:r w:rsidRPr="004A069C">
        <w:rPr>
          <w:rFonts w:cs="Times New Roman"/>
          <w:szCs w:val="24"/>
        </w:rPr>
        <w:t>silence, buy and sell</w:t>
      </w:r>
      <w:r w:rsidR="0066324E" w:rsidRPr="004A069C">
        <w:rPr>
          <w:rFonts w:cs="Times New Roman"/>
          <w:szCs w:val="24"/>
        </w:rPr>
        <w:t>)</w:t>
      </w:r>
      <w:r w:rsidRPr="004A069C">
        <w:rPr>
          <w:rFonts w:cs="Times New Roman"/>
          <w:szCs w:val="24"/>
        </w:rPr>
        <w:t xml:space="preserve">, and then calculate the proportion of firm in each group </w:t>
      </w:r>
      <w:r w:rsidR="0066324E" w:rsidRPr="004A069C">
        <w:rPr>
          <w:rFonts w:cs="Times New Roman"/>
          <w:szCs w:val="24"/>
        </w:rPr>
        <w:t>in</w:t>
      </w:r>
      <w:r w:rsidRPr="004A069C">
        <w:rPr>
          <w:rFonts w:cs="Times New Roman"/>
          <w:szCs w:val="24"/>
        </w:rPr>
        <w:t xml:space="preserve"> different time </w:t>
      </w:r>
      <w:r w:rsidR="0066324E" w:rsidRPr="004A069C">
        <w:rPr>
          <w:rFonts w:cs="Times New Roman"/>
          <w:szCs w:val="24"/>
        </w:rPr>
        <w:t>period</w:t>
      </w:r>
      <w:r w:rsidR="00FA437A" w:rsidRPr="004A069C">
        <w:rPr>
          <w:rFonts w:cs="Times New Roman"/>
          <w:szCs w:val="24"/>
        </w:rPr>
        <w:t>.</w:t>
      </w:r>
      <w:r w:rsidRPr="004A069C">
        <w:rPr>
          <w:rFonts w:cs="Times New Roman"/>
          <w:szCs w:val="24"/>
        </w:rPr>
        <w:t xml:space="preserve">       </w:t>
      </w:r>
    </w:p>
    <w:p w:rsidR="00D028ED" w:rsidRPr="004A069C" w:rsidRDefault="00D028ED" w:rsidP="00E92203">
      <w:pPr>
        <w:spacing w:line="360" w:lineRule="auto"/>
        <w:jc w:val="both"/>
        <w:rPr>
          <w:rFonts w:cs="Times New Roman"/>
          <w:szCs w:val="24"/>
        </w:rPr>
      </w:pPr>
      <w:r w:rsidRPr="004A069C">
        <w:rPr>
          <w:rFonts w:cs="Times New Roman"/>
          <w:szCs w:val="24"/>
        </w:rPr>
        <w:tab/>
        <w:t>T</w:t>
      </w:r>
      <w:r w:rsidR="00B917FF" w:rsidRPr="004A069C">
        <w:rPr>
          <w:rFonts w:cs="Times New Roman"/>
          <w:szCs w:val="24"/>
        </w:rPr>
        <w:t>able 3 present</w:t>
      </w:r>
      <w:r w:rsidR="00B9409A" w:rsidRPr="004A069C">
        <w:rPr>
          <w:rFonts w:cs="Times New Roman"/>
          <w:szCs w:val="24"/>
        </w:rPr>
        <w:t>s that t</w:t>
      </w:r>
      <w:r w:rsidRPr="004A069C">
        <w:rPr>
          <w:rFonts w:cs="Times New Roman"/>
          <w:szCs w:val="24"/>
        </w:rPr>
        <w:t>he Vietnam insider tends to be silence very frequency. When the time to measure insider trading is 6 months, 89 among 100 firms</w:t>
      </w:r>
      <w:r w:rsidR="00B917FF" w:rsidRPr="004A069C">
        <w:rPr>
          <w:rFonts w:cs="Times New Roman"/>
          <w:szCs w:val="24"/>
        </w:rPr>
        <w:t xml:space="preserve"> shows insider silence</w:t>
      </w:r>
      <w:r w:rsidRPr="004A069C">
        <w:rPr>
          <w:rFonts w:cs="Times New Roman"/>
          <w:szCs w:val="24"/>
        </w:rPr>
        <w:t xml:space="preserve">. The percentage </w:t>
      </w:r>
      <w:r w:rsidR="00B917FF" w:rsidRPr="004A069C">
        <w:rPr>
          <w:rFonts w:cs="Times New Roman"/>
          <w:szCs w:val="24"/>
        </w:rPr>
        <w:t>in net</w:t>
      </w:r>
      <w:r w:rsidRPr="004A069C">
        <w:rPr>
          <w:rFonts w:cs="Times New Roman"/>
          <w:szCs w:val="24"/>
        </w:rPr>
        <w:t xml:space="preserve"> insider buy and sell</w:t>
      </w:r>
      <w:r w:rsidR="00C27F85" w:rsidRPr="004A069C">
        <w:rPr>
          <w:rFonts w:cs="Times New Roman"/>
          <w:szCs w:val="24"/>
        </w:rPr>
        <w:t xml:space="preserve"> firm</w:t>
      </w:r>
      <w:r w:rsidRPr="004A069C">
        <w:rPr>
          <w:rFonts w:cs="Times New Roman"/>
          <w:szCs w:val="24"/>
        </w:rPr>
        <w:t xml:space="preserve">, is 6% and 5% respectively. The proportion of silence firm decreases when the time </w:t>
      </w:r>
      <w:r w:rsidR="00C27F85" w:rsidRPr="004A069C">
        <w:rPr>
          <w:rFonts w:cs="Times New Roman"/>
          <w:szCs w:val="24"/>
        </w:rPr>
        <w:t>period</w:t>
      </w:r>
      <w:r w:rsidRPr="004A069C">
        <w:rPr>
          <w:rFonts w:cs="Times New Roman"/>
          <w:szCs w:val="24"/>
        </w:rPr>
        <w:t xml:space="preserve"> increases. </w:t>
      </w:r>
      <w:r w:rsidR="00C27F85" w:rsidRPr="004A069C">
        <w:rPr>
          <w:rFonts w:cs="Times New Roman"/>
          <w:szCs w:val="24"/>
        </w:rPr>
        <w:t>When</w:t>
      </w:r>
      <w:r w:rsidRPr="004A069C">
        <w:rPr>
          <w:rFonts w:cs="Times New Roman"/>
          <w:szCs w:val="24"/>
        </w:rPr>
        <w:t xml:space="preserve"> we expand the measuring window into 12 and 24 months, the </w:t>
      </w:r>
      <w:r w:rsidR="00C27F85" w:rsidRPr="004A069C">
        <w:rPr>
          <w:rFonts w:cs="Times New Roman"/>
          <w:szCs w:val="24"/>
        </w:rPr>
        <w:t xml:space="preserve">percentage of </w:t>
      </w:r>
      <w:r w:rsidRPr="004A069C">
        <w:rPr>
          <w:rFonts w:cs="Times New Roman"/>
          <w:szCs w:val="24"/>
        </w:rPr>
        <w:t>insiders silence firms decrease</w:t>
      </w:r>
      <w:r w:rsidR="00C27F85" w:rsidRPr="004A069C">
        <w:rPr>
          <w:rFonts w:cs="Times New Roman"/>
          <w:szCs w:val="24"/>
        </w:rPr>
        <w:t>s</w:t>
      </w:r>
      <w:r w:rsidRPr="004A069C">
        <w:rPr>
          <w:rFonts w:cs="Times New Roman"/>
          <w:szCs w:val="24"/>
        </w:rPr>
        <w:t xml:space="preserve"> to 54% and 26%. The percentage of insider buy firms is 26% in 12 months period and 40% in 24 months. Similarly, it also increases </w:t>
      </w:r>
      <w:r w:rsidR="00C27F85" w:rsidRPr="004A069C">
        <w:rPr>
          <w:rFonts w:cs="Times New Roman"/>
          <w:szCs w:val="24"/>
        </w:rPr>
        <w:t>in</w:t>
      </w:r>
      <w:r w:rsidRPr="004A069C">
        <w:rPr>
          <w:rFonts w:cs="Times New Roman"/>
          <w:szCs w:val="24"/>
        </w:rPr>
        <w:t xml:space="preserve"> insider sell firm 20% and 34% with 12 mont</w:t>
      </w:r>
      <w:r w:rsidR="00C27F85" w:rsidRPr="004A069C">
        <w:rPr>
          <w:rFonts w:cs="Times New Roman"/>
          <w:szCs w:val="24"/>
        </w:rPr>
        <w:t xml:space="preserve">hs and 24 months period. </w:t>
      </w:r>
      <w:r w:rsidRPr="004A069C">
        <w:rPr>
          <w:rFonts w:cs="Times New Roman"/>
          <w:szCs w:val="24"/>
        </w:rPr>
        <w:t>According to</w:t>
      </w:r>
      <w:r w:rsidRPr="004A069C">
        <w:rPr>
          <w:rStyle w:val="fontstyle01"/>
          <w:rFonts w:ascii="Times New Roman" w:hAnsi="Times New Roman" w:cs="Times New Roman"/>
          <w:color w:val="auto"/>
        </w:rPr>
        <w:t xml:space="preserve"> Gao </w:t>
      </w:r>
      <w:r w:rsidRPr="004A069C">
        <w:rPr>
          <w:rFonts w:cs="Times New Roman"/>
          <w:szCs w:val="24"/>
        </w:rPr>
        <w:t>et al.</w:t>
      </w:r>
      <w:r w:rsidRPr="004A069C">
        <w:rPr>
          <w:rStyle w:val="fontstyle01"/>
          <w:rFonts w:ascii="Times New Roman" w:hAnsi="Times New Roman" w:cs="Times New Roman"/>
          <w:color w:val="auto"/>
        </w:rPr>
        <w:t xml:space="preserve"> </w:t>
      </w:r>
      <w:r w:rsidR="00780CD7" w:rsidRPr="004A069C">
        <w:rPr>
          <w:rStyle w:val="fontstyle01"/>
          <w:rFonts w:ascii="Times New Roman" w:hAnsi="Times New Roman" w:cs="Times New Roman"/>
          <w:color w:val="auto"/>
        </w:rPr>
        <w:t>[7]</w:t>
      </w:r>
      <w:r w:rsidRPr="004A069C">
        <w:rPr>
          <w:rStyle w:val="fontstyle01"/>
          <w:rFonts w:ascii="Times New Roman" w:hAnsi="Times New Roman" w:cs="Times New Roman"/>
          <w:color w:val="auto"/>
        </w:rPr>
        <w:t>, 22% and 12% are the percentage of insider silence firm in US in 12 and 24 month of measurement.</w:t>
      </w:r>
      <w:r w:rsidRPr="004A069C">
        <w:rPr>
          <w:rFonts w:cs="Times New Roman"/>
          <w:szCs w:val="24"/>
        </w:rPr>
        <w:t xml:space="preserve"> We can conclude that</w:t>
      </w:r>
      <w:r w:rsidR="009D53F5" w:rsidRPr="004A069C">
        <w:rPr>
          <w:rFonts w:cs="Times New Roman"/>
          <w:szCs w:val="24"/>
        </w:rPr>
        <w:t xml:space="preserve"> the frequency of insider silence in Vietnam market is higher than that in US market</w:t>
      </w:r>
      <w:r w:rsidRPr="004A069C">
        <w:rPr>
          <w:rFonts w:cs="Times New Roman"/>
          <w:szCs w:val="24"/>
        </w:rPr>
        <w:t xml:space="preserve">. </w:t>
      </w:r>
    </w:p>
    <w:p w:rsidR="00D028ED" w:rsidRPr="004A069C" w:rsidRDefault="00FA437A" w:rsidP="00E92203">
      <w:pPr>
        <w:spacing w:line="360" w:lineRule="auto"/>
        <w:ind w:firstLine="720"/>
        <w:jc w:val="both"/>
        <w:rPr>
          <w:rFonts w:cs="Times New Roman"/>
          <w:szCs w:val="24"/>
        </w:rPr>
      </w:pPr>
      <w:r w:rsidRPr="004A069C">
        <w:rPr>
          <w:rFonts w:cs="Times New Roman"/>
          <w:szCs w:val="24"/>
        </w:rPr>
        <w:t>Table 4</w:t>
      </w:r>
      <w:r w:rsidR="00D028ED" w:rsidRPr="004A069C">
        <w:rPr>
          <w:rFonts w:cs="Times New Roman"/>
          <w:szCs w:val="24"/>
        </w:rPr>
        <w:t xml:space="preserve"> shows the results of equation (2) which </w:t>
      </w:r>
      <w:r w:rsidR="00742160" w:rsidRPr="004A069C">
        <w:rPr>
          <w:rFonts w:cs="Times New Roman"/>
          <w:szCs w:val="24"/>
        </w:rPr>
        <w:t>is used to test</w:t>
      </w:r>
      <w:r w:rsidR="00D028ED" w:rsidRPr="004A069C">
        <w:rPr>
          <w:rFonts w:cs="Times New Roman"/>
          <w:szCs w:val="24"/>
        </w:rPr>
        <w:t xml:space="preserve"> the hypothesis 1. </w:t>
      </w:r>
      <w:r w:rsidR="00742160" w:rsidRPr="004A069C">
        <w:rPr>
          <w:rFonts w:cs="Times New Roman"/>
          <w:szCs w:val="24"/>
        </w:rPr>
        <w:t>In panel regression, there are</w:t>
      </w:r>
      <w:r w:rsidR="00D028ED" w:rsidRPr="004A069C">
        <w:rPr>
          <w:rFonts w:cs="Times New Roman"/>
          <w:szCs w:val="24"/>
        </w:rPr>
        <w:t xml:space="preserve"> 4 models</w:t>
      </w:r>
      <w:r w:rsidR="00742160" w:rsidRPr="004A069C">
        <w:rPr>
          <w:rFonts w:cs="Times New Roman"/>
          <w:szCs w:val="24"/>
        </w:rPr>
        <w:t>,</w:t>
      </w:r>
      <w:r w:rsidR="00721463" w:rsidRPr="004A069C">
        <w:rPr>
          <w:rFonts w:cs="Times New Roman"/>
          <w:szCs w:val="24"/>
        </w:rPr>
        <w:t xml:space="preserve"> which </w:t>
      </w:r>
      <w:r w:rsidR="00D028ED" w:rsidRPr="004A069C">
        <w:rPr>
          <w:rFonts w:cs="Times New Roman"/>
          <w:szCs w:val="24"/>
        </w:rPr>
        <w:t>are no fixed effect, firm fixed effect, year fixed effect and both firm and year fixed effect.</w:t>
      </w:r>
      <w:r w:rsidR="00B57A8A" w:rsidRPr="004A069C">
        <w:rPr>
          <w:rFonts w:cs="Times New Roman"/>
          <w:szCs w:val="24"/>
        </w:rPr>
        <w:t xml:space="preserve"> </w:t>
      </w:r>
    </w:p>
    <w:p w:rsidR="00721463" w:rsidRPr="004A069C" w:rsidRDefault="00D028ED" w:rsidP="00E92203">
      <w:pPr>
        <w:spacing w:line="360" w:lineRule="auto"/>
        <w:ind w:firstLine="720"/>
        <w:jc w:val="both"/>
        <w:rPr>
          <w:rFonts w:cs="Times New Roman"/>
          <w:szCs w:val="24"/>
        </w:rPr>
      </w:pPr>
      <w:r w:rsidRPr="004A069C">
        <w:rPr>
          <w:rFonts w:cs="Times New Roman"/>
          <w:szCs w:val="24"/>
        </w:rPr>
        <w:t xml:space="preserve">Model 1 is the panel regression without adding fixed effects. Therefore, the coefficients illustrate the impact of silence on the cumulative abnormal return </w:t>
      </w:r>
      <w:r w:rsidR="00742160" w:rsidRPr="004A069C">
        <w:rPr>
          <w:rFonts w:cs="Times New Roman"/>
          <w:szCs w:val="24"/>
        </w:rPr>
        <w:t>with</w:t>
      </w:r>
      <w:r w:rsidRPr="004A069C">
        <w:rPr>
          <w:rFonts w:cs="Times New Roman"/>
          <w:szCs w:val="24"/>
        </w:rPr>
        <w:t xml:space="preserve"> the effect from both cross-section and time-series. </w:t>
      </w:r>
      <w:r w:rsidR="00742160" w:rsidRPr="004A069C">
        <w:rPr>
          <w:rFonts w:cs="Times New Roman"/>
          <w:szCs w:val="24"/>
        </w:rPr>
        <w:t>The impact of insider s</w:t>
      </w:r>
      <w:r w:rsidRPr="004A069C">
        <w:rPr>
          <w:rFonts w:cs="Times New Roman"/>
          <w:szCs w:val="24"/>
        </w:rPr>
        <w:t xml:space="preserve">ilence firms </w:t>
      </w:r>
      <w:r w:rsidR="00742160" w:rsidRPr="004A069C">
        <w:rPr>
          <w:rFonts w:cs="Times New Roman"/>
          <w:szCs w:val="24"/>
        </w:rPr>
        <w:t>on</w:t>
      </w:r>
      <w:r w:rsidRPr="004A069C">
        <w:rPr>
          <w:rFonts w:cs="Times New Roman"/>
          <w:szCs w:val="24"/>
        </w:rPr>
        <w:t xml:space="preserve"> abnormal return </w:t>
      </w:r>
      <w:r w:rsidR="00742160" w:rsidRPr="004A069C">
        <w:rPr>
          <w:rFonts w:cs="Times New Roman"/>
          <w:szCs w:val="24"/>
        </w:rPr>
        <w:t>is statistically negative (</w:t>
      </w:r>
      <w:r w:rsidRPr="004A069C">
        <w:rPr>
          <w:rFonts w:cs="Times New Roman"/>
          <w:szCs w:val="24"/>
        </w:rPr>
        <w:t>-4.22%</w:t>
      </w:r>
      <w:r w:rsidR="00742160" w:rsidRPr="004A069C">
        <w:rPr>
          <w:rFonts w:cs="Times New Roman"/>
          <w:szCs w:val="24"/>
        </w:rPr>
        <w:t>)</w:t>
      </w:r>
      <w:r w:rsidRPr="004A069C">
        <w:rPr>
          <w:rFonts w:cs="Times New Roman"/>
          <w:szCs w:val="24"/>
        </w:rPr>
        <w:t xml:space="preserve"> </w:t>
      </w:r>
      <w:r w:rsidR="00742160" w:rsidRPr="004A069C">
        <w:rPr>
          <w:rFonts w:cs="Times New Roman"/>
          <w:szCs w:val="24"/>
        </w:rPr>
        <w:t xml:space="preserve">in </w:t>
      </w:r>
      <w:r w:rsidR="00402C17" w:rsidRPr="004A069C">
        <w:rPr>
          <w:rFonts w:cs="Times New Roman"/>
          <w:szCs w:val="24"/>
        </w:rPr>
        <w:t>1% level</w:t>
      </w:r>
      <w:r w:rsidR="00742160" w:rsidRPr="004A069C">
        <w:rPr>
          <w:rFonts w:cs="Times New Roman"/>
          <w:szCs w:val="24"/>
        </w:rPr>
        <w:t>.</w:t>
      </w:r>
    </w:p>
    <w:p w:rsidR="00D028ED" w:rsidRPr="004A069C" w:rsidRDefault="00D028ED" w:rsidP="00E92203">
      <w:pPr>
        <w:spacing w:line="360" w:lineRule="auto"/>
        <w:ind w:firstLine="720"/>
        <w:jc w:val="both"/>
        <w:rPr>
          <w:rFonts w:cs="Times New Roman"/>
          <w:szCs w:val="24"/>
        </w:rPr>
      </w:pPr>
      <w:r w:rsidRPr="004A069C">
        <w:rPr>
          <w:rFonts w:cs="Times New Roman"/>
          <w:szCs w:val="24"/>
        </w:rPr>
        <w:t xml:space="preserve">We add fixed effect to control the year period in model 2. The cross section across the </w:t>
      </w:r>
      <w:r w:rsidR="008556D5" w:rsidRPr="004A069C">
        <w:rPr>
          <w:rFonts w:cs="Times New Roman"/>
          <w:szCs w:val="24"/>
        </w:rPr>
        <w:t>f</w:t>
      </w:r>
      <w:r w:rsidRPr="004A069C">
        <w:rPr>
          <w:rFonts w:cs="Times New Roman"/>
          <w:szCs w:val="24"/>
        </w:rPr>
        <w:t xml:space="preserve">irm affect the coefficient. </w:t>
      </w:r>
      <w:r w:rsidR="008556D5" w:rsidRPr="004A069C">
        <w:rPr>
          <w:rFonts w:cs="Times New Roman"/>
          <w:szCs w:val="24"/>
        </w:rPr>
        <w:t>T</w:t>
      </w:r>
      <w:r w:rsidRPr="004A069C">
        <w:rPr>
          <w:rFonts w:cs="Times New Roman"/>
          <w:szCs w:val="24"/>
        </w:rPr>
        <w:t xml:space="preserve">he </w:t>
      </w:r>
      <w:r w:rsidR="008556D5" w:rsidRPr="004A069C">
        <w:rPr>
          <w:rFonts w:cs="Times New Roman"/>
          <w:szCs w:val="24"/>
        </w:rPr>
        <w:t xml:space="preserve">results are </w:t>
      </w:r>
      <w:r w:rsidRPr="004A069C">
        <w:rPr>
          <w:rFonts w:cs="Times New Roman"/>
          <w:szCs w:val="24"/>
        </w:rPr>
        <w:t xml:space="preserve">similar </w:t>
      </w:r>
      <w:r w:rsidR="008556D5" w:rsidRPr="004A069C">
        <w:rPr>
          <w:rFonts w:cs="Times New Roman"/>
          <w:szCs w:val="24"/>
        </w:rPr>
        <w:t xml:space="preserve">with the </w:t>
      </w:r>
      <w:r w:rsidRPr="004A069C">
        <w:rPr>
          <w:rFonts w:cs="Times New Roman"/>
          <w:szCs w:val="24"/>
        </w:rPr>
        <w:t>model</w:t>
      </w:r>
      <w:r w:rsidR="008556D5" w:rsidRPr="004A069C">
        <w:rPr>
          <w:rFonts w:cs="Times New Roman"/>
          <w:szCs w:val="24"/>
        </w:rPr>
        <w:t xml:space="preserve"> 1.</w:t>
      </w:r>
      <w:r w:rsidRPr="004A069C">
        <w:rPr>
          <w:rFonts w:cs="Times New Roman"/>
          <w:szCs w:val="24"/>
        </w:rPr>
        <w:t xml:space="preserve"> </w:t>
      </w:r>
      <w:r w:rsidR="008556D5" w:rsidRPr="004A069C">
        <w:rPr>
          <w:rFonts w:cs="Times New Roman"/>
          <w:szCs w:val="24"/>
        </w:rPr>
        <w:t>The impact of insider silence firms on cumulative abnormal return is lower (</w:t>
      </w:r>
      <w:r w:rsidRPr="004A069C">
        <w:rPr>
          <w:rFonts w:cs="Times New Roman"/>
          <w:szCs w:val="24"/>
        </w:rPr>
        <w:t>3.94%</w:t>
      </w:r>
      <w:r w:rsidR="008556D5" w:rsidRPr="004A069C">
        <w:rPr>
          <w:rFonts w:cs="Times New Roman"/>
          <w:szCs w:val="24"/>
        </w:rPr>
        <w:t>)</w:t>
      </w:r>
      <w:r w:rsidRPr="004A069C">
        <w:rPr>
          <w:rFonts w:cs="Times New Roman"/>
          <w:szCs w:val="24"/>
        </w:rPr>
        <w:t xml:space="preserve"> lower </w:t>
      </w:r>
      <w:r w:rsidR="008556D5" w:rsidRPr="004A069C">
        <w:rPr>
          <w:rFonts w:cs="Times New Roman"/>
          <w:szCs w:val="24"/>
        </w:rPr>
        <w:t xml:space="preserve">than that of </w:t>
      </w:r>
      <w:r w:rsidRPr="004A069C">
        <w:rPr>
          <w:rFonts w:cs="Times New Roman"/>
          <w:szCs w:val="24"/>
        </w:rPr>
        <w:t xml:space="preserve">insider sell stock. </w:t>
      </w:r>
      <w:r w:rsidR="00863C1B" w:rsidRPr="004A069C">
        <w:rPr>
          <w:rFonts w:eastAsia="新細明體" w:cs="Times New Roman" w:hint="eastAsia"/>
          <w:szCs w:val="24"/>
          <w:lang w:eastAsia="zh-TW"/>
        </w:rPr>
        <w:t xml:space="preserve">The </w:t>
      </w:r>
      <w:r w:rsidR="00863C1B" w:rsidRPr="004A069C">
        <w:rPr>
          <w:rFonts w:cs="Times New Roman"/>
          <w:szCs w:val="24"/>
        </w:rPr>
        <w:t>coefficient of silence is still</w:t>
      </w:r>
      <w:r w:rsidRPr="004A069C">
        <w:rPr>
          <w:rFonts w:cs="Times New Roman"/>
          <w:szCs w:val="24"/>
        </w:rPr>
        <w:t xml:space="preserve"> significant </w:t>
      </w:r>
      <w:r w:rsidR="00863C1B" w:rsidRPr="004A069C">
        <w:rPr>
          <w:rFonts w:cs="Times New Roman"/>
          <w:szCs w:val="24"/>
        </w:rPr>
        <w:t>and that of buy is</w:t>
      </w:r>
      <w:r w:rsidRPr="004A069C">
        <w:rPr>
          <w:rFonts w:cs="Times New Roman"/>
          <w:szCs w:val="24"/>
        </w:rPr>
        <w:t xml:space="preserve"> insignificant</w:t>
      </w:r>
      <w:r w:rsidR="00863C1B" w:rsidRPr="004A069C">
        <w:rPr>
          <w:rFonts w:cs="Times New Roman"/>
          <w:szCs w:val="24"/>
        </w:rPr>
        <w:t>.</w:t>
      </w:r>
      <w:r w:rsidRPr="004A069C">
        <w:rPr>
          <w:rFonts w:cs="Times New Roman"/>
          <w:szCs w:val="24"/>
        </w:rPr>
        <w:t xml:space="preserve"> </w:t>
      </w:r>
    </w:p>
    <w:p w:rsidR="00D028ED" w:rsidRPr="004A069C" w:rsidRDefault="00D028ED" w:rsidP="00E92203">
      <w:pPr>
        <w:spacing w:line="360" w:lineRule="auto"/>
        <w:ind w:firstLine="720"/>
        <w:jc w:val="both"/>
        <w:rPr>
          <w:rFonts w:cs="Times New Roman"/>
          <w:szCs w:val="24"/>
        </w:rPr>
      </w:pPr>
      <w:r w:rsidRPr="004A069C">
        <w:rPr>
          <w:rFonts w:cs="Times New Roman"/>
          <w:szCs w:val="24"/>
        </w:rPr>
        <w:t xml:space="preserve">In model 3, the panel regression is controlled by the cross-sectional firm effect. When the coefficient depend on the time variation, the </w:t>
      </w:r>
      <w:r w:rsidR="00863C1B" w:rsidRPr="004A069C">
        <w:rPr>
          <w:rFonts w:cs="Times New Roman"/>
          <w:szCs w:val="24"/>
        </w:rPr>
        <w:t>impact</w:t>
      </w:r>
      <w:r w:rsidRPr="004A069C">
        <w:rPr>
          <w:rFonts w:cs="Times New Roman"/>
          <w:szCs w:val="24"/>
        </w:rPr>
        <w:t xml:space="preserve"> of silence firm </w:t>
      </w:r>
      <w:r w:rsidR="00863C1B" w:rsidRPr="004A069C">
        <w:rPr>
          <w:rFonts w:cs="Times New Roman"/>
          <w:szCs w:val="24"/>
        </w:rPr>
        <w:t xml:space="preserve">on </w:t>
      </w:r>
      <w:r w:rsidRPr="004A069C">
        <w:rPr>
          <w:rFonts w:cs="Times New Roman"/>
          <w:szCs w:val="24"/>
        </w:rPr>
        <w:t xml:space="preserve">cumulative abnormal return </w:t>
      </w:r>
      <w:r w:rsidR="00863C1B" w:rsidRPr="004A069C">
        <w:rPr>
          <w:rFonts w:cs="Times New Roman"/>
          <w:szCs w:val="24"/>
        </w:rPr>
        <w:t xml:space="preserve">is </w:t>
      </w:r>
      <w:r w:rsidRPr="004A069C">
        <w:rPr>
          <w:rFonts w:cs="Times New Roman"/>
          <w:szCs w:val="24"/>
        </w:rPr>
        <w:t xml:space="preserve">still </w:t>
      </w:r>
      <w:r w:rsidR="001D3890" w:rsidRPr="004A069C">
        <w:rPr>
          <w:rFonts w:cs="Times New Roman"/>
          <w:szCs w:val="24"/>
        </w:rPr>
        <w:t xml:space="preserve">significantly </w:t>
      </w:r>
      <w:r w:rsidRPr="004A069C">
        <w:rPr>
          <w:rFonts w:cs="Times New Roman"/>
          <w:szCs w:val="24"/>
        </w:rPr>
        <w:t xml:space="preserve">negative (-4.28%). The </w:t>
      </w:r>
      <w:r w:rsidR="00EE5693" w:rsidRPr="004A069C">
        <w:rPr>
          <w:rFonts w:cs="Times New Roman"/>
          <w:szCs w:val="24"/>
        </w:rPr>
        <w:t>impact</w:t>
      </w:r>
      <w:r w:rsidRPr="004A069C">
        <w:rPr>
          <w:rFonts w:cs="Times New Roman"/>
          <w:szCs w:val="24"/>
        </w:rPr>
        <w:t xml:space="preserve"> of insider buy stock </w:t>
      </w:r>
      <w:r w:rsidR="00EE5693" w:rsidRPr="004A069C">
        <w:rPr>
          <w:rFonts w:cs="Times New Roman"/>
          <w:szCs w:val="24"/>
        </w:rPr>
        <w:t xml:space="preserve">on cumulative abnormal return </w:t>
      </w:r>
      <w:r w:rsidRPr="004A069C">
        <w:rPr>
          <w:rFonts w:cs="Times New Roman"/>
          <w:szCs w:val="24"/>
        </w:rPr>
        <w:t xml:space="preserve">is </w:t>
      </w:r>
      <w:r w:rsidR="00465515" w:rsidRPr="004A069C">
        <w:rPr>
          <w:rFonts w:cs="Times New Roman"/>
          <w:szCs w:val="24"/>
        </w:rPr>
        <w:t xml:space="preserve">significantly </w:t>
      </w:r>
      <w:r w:rsidRPr="004A069C">
        <w:rPr>
          <w:rFonts w:cs="Times New Roman"/>
          <w:szCs w:val="24"/>
        </w:rPr>
        <w:t xml:space="preserve">larger </w:t>
      </w:r>
      <w:r w:rsidR="00465515" w:rsidRPr="004A069C">
        <w:rPr>
          <w:rFonts w:cs="Times New Roman"/>
          <w:szCs w:val="24"/>
        </w:rPr>
        <w:t xml:space="preserve">(1.38 %) </w:t>
      </w:r>
      <w:r w:rsidRPr="004A069C">
        <w:rPr>
          <w:rFonts w:cs="Times New Roman"/>
          <w:szCs w:val="24"/>
        </w:rPr>
        <w:t xml:space="preserve">than </w:t>
      </w:r>
      <w:r w:rsidR="00465515" w:rsidRPr="004A069C">
        <w:rPr>
          <w:rFonts w:cs="Times New Roman"/>
          <w:szCs w:val="24"/>
        </w:rPr>
        <w:t xml:space="preserve">that of </w:t>
      </w:r>
      <w:r w:rsidRPr="004A069C">
        <w:rPr>
          <w:rFonts w:cs="Times New Roman"/>
          <w:szCs w:val="24"/>
        </w:rPr>
        <w:t xml:space="preserve">insider sell stock </w:t>
      </w:r>
      <w:r w:rsidR="00465515" w:rsidRPr="004A069C">
        <w:rPr>
          <w:rFonts w:cs="Times New Roman"/>
          <w:szCs w:val="24"/>
        </w:rPr>
        <w:t>in</w:t>
      </w:r>
      <w:r w:rsidRPr="004A069C">
        <w:rPr>
          <w:rFonts w:cs="Times New Roman"/>
          <w:szCs w:val="24"/>
        </w:rPr>
        <w:t xml:space="preserve"> 5%</w:t>
      </w:r>
      <w:r w:rsidR="00402C17" w:rsidRPr="004A069C">
        <w:rPr>
          <w:rFonts w:cs="Times New Roman"/>
          <w:szCs w:val="24"/>
        </w:rPr>
        <w:t xml:space="preserve"> level</w:t>
      </w:r>
      <w:r w:rsidRPr="004A069C">
        <w:rPr>
          <w:rFonts w:cs="Times New Roman"/>
          <w:szCs w:val="24"/>
        </w:rPr>
        <w:t xml:space="preserve">, which is consistent with </w:t>
      </w:r>
      <w:r w:rsidR="000F2E0C" w:rsidRPr="004A069C">
        <w:rPr>
          <w:rStyle w:val="fontstyle01"/>
          <w:rFonts w:ascii="Times New Roman" w:hAnsi="Times New Roman" w:cs="Times New Roman"/>
          <w:color w:val="auto"/>
        </w:rPr>
        <w:t xml:space="preserve">Gao </w:t>
      </w:r>
      <w:r w:rsidR="000F2E0C" w:rsidRPr="004A069C">
        <w:rPr>
          <w:rFonts w:cs="Times New Roman"/>
          <w:szCs w:val="24"/>
        </w:rPr>
        <w:t>et al.</w:t>
      </w:r>
      <w:r w:rsidR="00780CD7" w:rsidRPr="004A069C">
        <w:rPr>
          <w:rFonts w:cs="Times New Roman"/>
          <w:szCs w:val="24"/>
        </w:rPr>
        <w:t xml:space="preserve"> </w:t>
      </w:r>
      <w:r w:rsidR="00780CD7" w:rsidRPr="004A069C">
        <w:rPr>
          <w:rStyle w:val="fontstyle01"/>
          <w:rFonts w:ascii="Times New Roman" w:hAnsi="Times New Roman" w:cs="Times New Roman"/>
          <w:color w:val="auto"/>
        </w:rPr>
        <w:t>[7]</w:t>
      </w:r>
      <w:r w:rsidRPr="004A069C">
        <w:rPr>
          <w:rFonts w:cs="Times New Roman"/>
          <w:szCs w:val="24"/>
        </w:rPr>
        <w:t xml:space="preserve">. </w:t>
      </w:r>
    </w:p>
    <w:p w:rsidR="002D73E5" w:rsidRPr="004A069C" w:rsidRDefault="00D028ED" w:rsidP="00E92203">
      <w:pPr>
        <w:spacing w:line="360" w:lineRule="auto"/>
        <w:ind w:firstLine="720"/>
        <w:jc w:val="both"/>
        <w:rPr>
          <w:rFonts w:cs="Times New Roman"/>
          <w:szCs w:val="24"/>
        </w:rPr>
      </w:pPr>
      <w:r w:rsidRPr="004A069C">
        <w:rPr>
          <w:rFonts w:cs="Times New Roman"/>
          <w:szCs w:val="24"/>
        </w:rPr>
        <w:t xml:space="preserve">In model 4, we </w:t>
      </w:r>
      <w:r w:rsidR="00791A87" w:rsidRPr="004A069C">
        <w:rPr>
          <w:rFonts w:cs="Times New Roman"/>
          <w:szCs w:val="24"/>
        </w:rPr>
        <w:t>control</w:t>
      </w:r>
      <w:r w:rsidRPr="004A069C">
        <w:rPr>
          <w:rFonts w:cs="Times New Roman"/>
          <w:szCs w:val="24"/>
        </w:rPr>
        <w:t xml:space="preserve"> both cross-sectional firm effect and time-series year effect. Although the coefficients rely on the (monthly) time-series variations for firms, it still present the similar sign direction. Coefficient of </w:t>
      </w:r>
      <w:r w:rsidR="00791A87" w:rsidRPr="004A069C">
        <w:rPr>
          <w:rFonts w:cs="Times New Roman"/>
          <w:szCs w:val="24"/>
        </w:rPr>
        <w:t>i</w:t>
      </w:r>
      <w:r w:rsidRPr="004A069C">
        <w:rPr>
          <w:rFonts w:cs="Times New Roman"/>
          <w:szCs w:val="24"/>
        </w:rPr>
        <w:t xml:space="preserve">nsider silence is negative </w:t>
      </w:r>
      <w:r w:rsidR="002D73E5" w:rsidRPr="004A069C">
        <w:rPr>
          <w:rFonts w:cs="Times New Roman"/>
          <w:szCs w:val="24"/>
        </w:rPr>
        <w:t>(-</w:t>
      </w:r>
      <w:r w:rsidRPr="004A069C">
        <w:rPr>
          <w:rFonts w:cs="Times New Roman"/>
          <w:szCs w:val="24"/>
        </w:rPr>
        <w:t>4.53%</w:t>
      </w:r>
      <w:r w:rsidR="002D73E5" w:rsidRPr="004A069C">
        <w:rPr>
          <w:rFonts w:cs="Times New Roman"/>
          <w:szCs w:val="24"/>
        </w:rPr>
        <w:t>)</w:t>
      </w:r>
      <w:r w:rsidRPr="004A069C">
        <w:rPr>
          <w:rFonts w:cs="Times New Roman"/>
          <w:szCs w:val="24"/>
        </w:rPr>
        <w:t xml:space="preserve">, coefficient of insider buy is positive </w:t>
      </w:r>
      <w:r w:rsidR="002D73E5" w:rsidRPr="004A069C">
        <w:rPr>
          <w:rFonts w:cs="Times New Roman"/>
          <w:szCs w:val="24"/>
        </w:rPr>
        <w:t>(</w:t>
      </w:r>
      <w:r w:rsidRPr="004A069C">
        <w:rPr>
          <w:rFonts w:cs="Times New Roman"/>
          <w:szCs w:val="24"/>
        </w:rPr>
        <w:t>1.69%</w:t>
      </w:r>
      <w:r w:rsidR="002D73E5" w:rsidRPr="004A069C">
        <w:rPr>
          <w:rFonts w:cs="Times New Roman"/>
          <w:szCs w:val="24"/>
        </w:rPr>
        <w:t>)</w:t>
      </w:r>
      <w:r w:rsidRPr="004A069C">
        <w:rPr>
          <w:rFonts w:cs="Times New Roman"/>
          <w:szCs w:val="24"/>
        </w:rPr>
        <w:t xml:space="preserve"> and both of them are statistically significant </w:t>
      </w:r>
      <w:r w:rsidR="002D73E5" w:rsidRPr="004A069C">
        <w:rPr>
          <w:rFonts w:cs="Times New Roman"/>
          <w:szCs w:val="24"/>
        </w:rPr>
        <w:t>at</w:t>
      </w:r>
      <w:r w:rsidRPr="004A069C">
        <w:rPr>
          <w:rFonts w:cs="Times New Roman"/>
          <w:szCs w:val="24"/>
        </w:rPr>
        <w:t xml:space="preserve"> 1%</w:t>
      </w:r>
      <w:r w:rsidR="002D73E5" w:rsidRPr="004A069C">
        <w:rPr>
          <w:rFonts w:cs="Times New Roman"/>
          <w:szCs w:val="24"/>
        </w:rPr>
        <w:t xml:space="preserve"> level</w:t>
      </w:r>
      <w:r w:rsidRPr="004A069C">
        <w:rPr>
          <w:rFonts w:cs="Times New Roman"/>
          <w:szCs w:val="24"/>
        </w:rPr>
        <w:t xml:space="preserve">. This </w:t>
      </w:r>
      <w:r w:rsidR="002D73E5" w:rsidRPr="004A069C">
        <w:rPr>
          <w:rFonts w:cs="Times New Roman"/>
          <w:szCs w:val="24"/>
        </w:rPr>
        <w:t>indicate</w:t>
      </w:r>
      <w:r w:rsidRPr="004A069C">
        <w:rPr>
          <w:rFonts w:cs="Times New Roman"/>
          <w:szCs w:val="24"/>
        </w:rPr>
        <w:t xml:space="preserve">s that the </w:t>
      </w:r>
      <w:r w:rsidR="002D73E5" w:rsidRPr="004A069C">
        <w:rPr>
          <w:rFonts w:cs="Times New Roman"/>
          <w:szCs w:val="24"/>
        </w:rPr>
        <w:t>future 6</w:t>
      </w:r>
      <w:r w:rsidR="002D73E5" w:rsidRPr="004A069C">
        <w:rPr>
          <w:rFonts w:ascii="新細明體" w:eastAsia="新細明體" w:hAnsi="新細明體" w:cs="Times New Roman" w:hint="eastAsia"/>
          <w:szCs w:val="24"/>
          <w:lang w:eastAsia="zh-TW"/>
        </w:rPr>
        <w:t>-</w:t>
      </w:r>
      <w:r w:rsidR="002D73E5" w:rsidRPr="004A069C">
        <w:rPr>
          <w:rFonts w:cs="Times New Roman"/>
          <w:szCs w:val="24"/>
        </w:rPr>
        <w:t>month cumulative abnormal return</w:t>
      </w:r>
      <w:r w:rsidRPr="004A069C">
        <w:rPr>
          <w:rFonts w:cs="Times New Roman"/>
          <w:szCs w:val="24"/>
        </w:rPr>
        <w:t xml:space="preserve"> </w:t>
      </w:r>
      <w:r w:rsidR="002D73E5" w:rsidRPr="004A069C">
        <w:rPr>
          <w:rFonts w:cs="Times New Roman"/>
          <w:szCs w:val="24"/>
        </w:rPr>
        <w:t>following</w:t>
      </w:r>
      <w:r w:rsidRPr="004A069C">
        <w:rPr>
          <w:rFonts w:cs="Times New Roman"/>
          <w:szCs w:val="24"/>
        </w:rPr>
        <w:t xml:space="preserve"> insider silence </w:t>
      </w:r>
      <w:r w:rsidR="002D73E5" w:rsidRPr="004A069C">
        <w:rPr>
          <w:rFonts w:cs="Times New Roman"/>
          <w:szCs w:val="24"/>
        </w:rPr>
        <w:t xml:space="preserve">is lower </w:t>
      </w:r>
      <w:r w:rsidR="002D73E5" w:rsidRPr="004A069C">
        <w:rPr>
          <w:rFonts w:ascii="新細明體" w:eastAsia="新細明體" w:hAnsi="新細明體" w:cs="Times New Roman" w:hint="eastAsia"/>
          <w:szCs w:val="24"/>
          <w:lang w:eastAsia="zh-TW"/>
        </w:rPr>
        <w:t>(</w:t>
      </w:r>
      <w:r w:rsidR="002D73E5" w:rsidRPr="004A069C">
        <w:rPr>
          <w:rFonts w:cs="Times New Roman"/>
          <w:szCs w:val="24"/>
        </w:rPr>
        <w:t>4.53%</w:t>
      </w:r>
      <w:r w:rsidR="002D73E5" w:rsidRPr="004A069C">
        <w:rPr>
          <w:rFonts w:ascii="新細明體" w:eastAsia="新細明體" w:hAnsi="新細明體" w:cs="Times New Roman" w:hint="eastAsia"/>
          <w:szCs w:val="24"/>
          <w:lang w:eastAsia="zh-TW"/>
        </w:rPr>
        <w:t xml:space="preserve">) </w:t>
      </w:r>
      <w:r w:rsidR="002D73E5" w:rsidRPr="004A069C">
        <w:rPr>
          <w:rFonts w:cs="Times New Roman"/>
          <w:szCs w:val="24"/>
        </w:rPr>
        <w:t>than</w:t>
      </w:r>
      <w:r w:rsidRPr="004A069C">
        <w:rPr>
          <w:rFonts w:cs="Times New Roman"/>
          <w:szCs w:val="24"/>
        </w:rPr>
        <w:t xml:space="preserve"> </w:t>
      </w:r>
      <w:r w:rsidR="002D73E5" w:rsidRPr="004A069C">
        <w:rPr>
          <w:rFonts w:cs="Times New Roman"/>
          <w:szCs w:val="24"/>
        </w:rPr>
        <w:t>that following</w:t>
      </w:r>
      <w:r w:rsidRPr="004A069C">
        <w:rPr>
          <w:rFonts w:cs="Times New Roman"/>
          <w:szCs w:val="24"/>
        </w:rPr>
        <w:t xml:space="preserve"> insider sell. </w:t>
      </w:r>
      <w:r w:rsidR="002D73E5" w:rsidRPr="004A069C">
        <w:rPr>
          <w:rFonts w:ascii="新細明體" w:eastAsia="新細明體" w:hAnsi="新細明體" w:cs="Times New Roman" w:hint="eastAsia"/>
          <w:szCs w:val="24"/>
          <w:lang w:eastAsia="zh-TW"/>
        </w:rPr>
        <w:t>T</w:t>
      </w:r>
      <w:r w:rsidR="002D73E5" w:rsidRPr="004A069C">
        <w:rPr>
          <w:rFonts w:cs="Times New Roman"/>
          <w:szCs w:val="24"/>
        </w:rPr>
        <w:t>he future 6</w:t>
      </w:r>
      <w:r w:rsidR="002D73E5" w:rsidRPr="004A069C">
        <w:rPr>
          <w:rFonts w:ascii="新細明體" w:eastAsia="新細明體" w:hAnsi="新細明體" w:cs="Times New Roman" w:hint="eastAsia"/>
          <w:szCs w:val="24"/>
          <w:lang w:eastAsia="zh-TW"/>
        </w:rPr>
        <w:t>-</w:t>
      </w:r>
      <w:r w:rsidR="002D73E5" w:rsidRPr="004A069C">
        <w:rPr>
          <w:rFonts w:cs="Times New Roman"/>
          <w:szCs w:val="24"/>
        </w:rPr>
        <w:t xml:space="preserve">month cumulative abnormal return following insider buy is higher </w:t>
      </w:r>
      <w:r w:rsidR="002D73E5" w:rsidRPr="004A069C">
        <w:rPr>
          <w:rFonts w:eastAsia="新細明體" w:cs="Times New Roman"/>
          <w:szCs w:val="24"/>
          <w:lang w:eastAsia="zh-TW"/>
        </w:rPr>
        <w:t>(1.69</w:t>
      </w:r>
      <w:r w:rsidR="002D73E5" w:rsidRPr="004A069C">
        <w:rPr>
          <w:rFonts w:cs="Times New Roman"/>
          <w:szCs w:val="24"/>
        </w:rPr>
        <w:t>%</w:t>
      </w:r>
      <w:r w:rsidR="002D73E5" w:rsidRPr="004A069C">
        <w:rPr>
          <w:rFonts w:eastAsia="新細明體" w:cs="Times New Roman"/>
          <w:szCs w:val="24"/>
          <w:lang w:eastAsia="zh-TW"/>
        </w:rPr>
        <w:t xml:space="preserve">) </w:t>
      </w:r>
      <w:r w:rsidR="002D73E5" w:rsidRPr="004A069C">
        <w:rPr>
          <w:rFonts w:cs="Times New Roman"/>
          <w:szCs w:val="24"/>
        </w:rPr>
        <w:t>than that following insider sell.</w:t>
      </w:r>
    </w:p>
    <w:p w:rsidR="00D028ED" w:rsidRPr="004A069C" w:rsidRDefault="00D028ED" w:rsidP="00E92203">
      <w:pPr>
        <w:spacing w:line="360" w:lineRule="auto"/>
        <w:ind w:firstLine="720"/>
        <w:jc w:val="both"/>
        <w:rPr>
          <w:rFonts w:cs="Times New Roman"/>
          <w:szCs w:val="24"/>
        </w:rPr>
      </w:pPr>
      <w:r w:rsidRPr="004A069C">
        <w:rPr>
          <w:rFonts w:cs="Times New Roman"/>
          <w:szCs w:val="24"/>
        </w:rPr>
        <w:t xml:space="preserve">The adjusted R-squared increases gradually across different models. Our panel regression becomes fitter when we adding the fixed effect. </w:t>
      </w:r>
      <w:r w:rsidR="005726D1" w:rsidRPr="004A069C">
        <w:rPr>
          <w:rFonts w:cs="Times New Roman"/>
          <w:szCs w:val="24"/>
        </w:rPr>
        <w:t>W</w:t>
      </w:r>
      <w:r w:rsidRPr="004A069C">
        <w:rPr>
          <w:rFonts w:cs="Times New Roman"/>
          <w:szCs w:val="24"/>
        </w:rPr>
        <w:t>ith no fixed effect, the adjusted R-squared is 3%</w:t>
      </w:r>
      <w:r w:rsidR="00721463" w:rsidRPr="004A069C">
        <w:rPr>
          <w:rFonts w:cs="Times New Roman"/>
          <w:szCs w:val="24"/>
        </w:rPr>
        <w:t xml:space="preserve">. </w:t>
      </w:r>
      <w:r w:rsidRPr="004A069C">
        <w:rPr>
          <w:rFonts w:cs="Times New Roman"/>
          <w:szCs w:val="24"/>
        </w:rPr>
        <w:t>This number rises to 11% when we add period fixed effect, it increases slightly to 13% with cross-sectional firm effect</w:t>
      </w:r>
      <w:r w:rsidR="005726D1" w:rsidRPr="004A069C">
        <w:rPr>
          <w:rFonts w:cs="Times New Roman"/>
          <w:szCs w:val="24"/>
        </w:rPr>
        <w:t>. I</w:t>
      </w:r>
      <w:r w:rsidRPr="004A069C">
        <w:rPr>
          <w:rFonts w:cs="Times New Roman"/>
          <w:szCs w:val="24"/>
        </w:rPr>
        <w:t>t reaches 2</w:t>
      </w:r>
      <w:r w:rsidR="005726D1" w:rsidRPr="004A069C">
        <w:rPr>
          <w:rFonts w:cs="Times New Roman"/>
          <w:szCs w:val="24"/>
        </w:rPr>
        <w:t>2</w:t>
      </w:r>
      <w:r w:rsidRPr="004A069C">
        <w:rPr>
          <w:rFonts w:cs="Times New Roman"/>
          <w:szCs w:val="24"/>
        </w:rPr>
        <w:t xml:space="preserve">% when controlling both year fixed effect and firm fixed effect. </w:t>
      </w:r>
    </w:p>
    <w:p w:rsidR="00755671" w:rsidRPr="004A069C" w:rsidRDefault="00D028ED" w:rsidP="00E92203">
      <w:pPr>
        <w:spacing w:line="360" w:lineRule="auto"/>
        <w:ind w:firstLine="720"/>
        <w:jc w:val="both"/>
        <w:rPr>
          <w:rFonts w:cs="Times New Roman"/>
          <w:szCs w:val="24"/>
        </w:rPr>
      </w:pPr>
      <w:r w:rsidRPr="004A069C">
        <w:rPr>
          <w:rFonts w:cs="Times New Roman"/>
          <w:szCs w:val="24"/>
        </w:rPr>
        <w:t xml:space="preserve">According to </w:t>
      </w:r>
      <w:r w:rsidR="005726D1" w:rsidRPr="004A069C">
        <w:rPr>
          <w:rFonts w:cs="Times New Roman"/>
          <w:szCs w:val="24"/>
        </w:rPr>
        <w:t>h</w:t>
      </w:r>
      <w:r w:rsidRPr="004A069C">
        <w:rPr>
          <w:rFonts w:cs="Times New Roman"/>
          <w:szCs w:val="24"/>
        </w:rPr>
        <w:t>ypothesis</w:t>
      </w:r>
      <w:r w:rsidR="005344FF" w:rsidRPr="004A069C">
        <w:rPr>
          <w:rFonts w:cs="Times New Roman"/>
          <w:szCs w:val="24"/>
        </w:rPr>
        <w:t xml:space="preserve"> 1</w:t>
      </w:r>
      <w:r w:rsidRPr="004A069C">
        <w:rPr>
          <w:rFonts w:cs="Times New Roman"/>
          <w:szCs w:val="24"/>
        </w:rPr>
        <w:t xml:space="preserve">, we </w:t>
      </w:r>
      <w:r w:rsidR="005726D1" w:rsidRPr="004A069C">
        <w:rPr>
          <w:rFonts w:cs="Times New Roman"/>
          <w:szCs w:val="24"/>
        </w:rPr>
        <w:t>infer</w:t>
      </w:r>
      <w:r w:rsidRPr="004A069C">
        <w:rPr>
          <w:rFonts w:cs="Times New Roman"/>
          <w:szCs w:val="24"/>
        </w:rPr>
        <w:t xml:space="preserve"> that the sign for </w:t>
      </w:r>
      <w:r w:rsidR="005726D1" w:rsidRPr="004A069C">
        <w:rPr>
          <w:rFonts w:cs="Times New Roman"/>
          <w:szCs w:val="24"/>
        </w:rPr>
        <w:t xml:space="preserve">insider </w:t>
      </w:r>
      <w:r w:rsidRPr="004A069C">
        <w:rPr>
          <w:rFonts w:cs="Times New Roman"/>
          <w:szCs w:val="24"/>
        </w:rPr>
        <w:t xml:space="preserve">silence is negative and </w:t>
      </w:r>
      <w:r w:rsidR="00B57A8A" w:rsidRPr="004A069C">
        <w:rPr>
          <w:rFonts w:cs="Times New Roman"/>
          <w:szCs w:val="24"/>
        </w:rPr>
        <w:t>buy</w:t>
      </w:r>
      <w:r w:rsidRPr="004A069C">
        <w:rPr>
          <w:rFonts w:cs="Times New Roman"/>
          <w:szCs w:val="24"/>
        </w:rPr>
        <w:t xml:space="preserve"> variable is positive. </w:t>
      </w:r>
      <w:r w:rsidR="005726D1" w:rsidRPr="004A069C">
        <w:rPr>
          <w:rFonts w:cs="Times New Roman"/>
          <w:szCs w:val="24"/>
        </w:rPr>
        <w:t>T</w:t>
      </w:r>
      <w:r w:rsidRPr="004A069C">
        <w:rPr>
          <w:rFonts w:cs="Times New Roman"/>
          <w:szCs w:val="24"/>
        </w:rPr>
        <w:t>he coefficients of silence stock variable are negative and statistically significant</w:t>
      </w:r>
      <w:r w:rsidR="00721463" w:rsidRPr="004A069C">
        <w:rPr>
          <w:rFonts w:cs="Times New Roman"/>
          <w:szCs w:val="24"/>
        </w:rPr>
        <w:t xml:space="preserve"> at 1% significant level</w:t>
      </w:r>
      <w:r w:rsidRPr="004A069C">
        <w:rPr>
          <w:rFonts w:cs="Times New Roman"/>
          <w:szCs w:val="24"/>
        </w:rPr>
        <w:t xml:space="preserve"> accord 4 models, we can conclude that hypothesis </w:t>
      </w:r>
      <w:r w:rsidR="005726D1" w:rsidRPr="004A069C">
        <w:rPr>
          <w:rFonts w:cs="Times New Roman"/>
          <w:szCs w:val="24"/>
        </w:rPr>
        <w:t xml:space="preserve">1 </w:t>
      </w:r>
      <w:r w:rsidRPr="004A069C">
        <w:rPr>
          <w:rFonts w:cs="Times New Roman"/>
          <w:szCs w:val="24"/>
        </w:rPr>
        <w:t xml:space="preserve">is accepted. The impact of insider silence on firm future abnormal return </w:t>
      </w:r>
      <w:r w:rsidR="00A13A05" w:rsidRPr="004A069C">
        <w:rPr>
          <w:rFonts w:cs="Times New Roman"/>
          <w:szCs w:val="24"/>
        </w:rPr>
        <w:t>in</w:t>
      </w:r>
      <w:r w:rsidRPr="004A069C">
        <w:rPr>
          <w:rFonts w:cs="Times New Roman"/>
          <w:szCs w:val="24"/>
        </w:rPr>
        <w:t xml:space="preserve"> Vietnam security market is </w:t>
      </w:r>
      <w:r w:rsidR="00A13A05" w:rsidRPr="004A069C">
        <w:rPr>
          <w:rFonts w:cs="Times New Roman"/>
          <w:szCs w:val="24"/>
        </w:rPr>
        <w:t>similar</w:t>
      </w:r>
      <w:r w:rsidRPr="004A069C">
        <w:rPr>
          <w:rFonts w:cs="Times New Roman"/>
          <w:szCs w:val="24"/>
        </w:rPr>
        <w:t xml:space="preserve"> with </w:t>
      </w:r>
      <w:r w:rsidR="00A13A05" w:rsidRPr="004A069C">
        <w:rPr>
          <w:rFonts w:cs="Times New Roman"/>
          <w:szCs w:val="24"/>
        </w:rPr>
        <w:t>that in</w:t>
      </w:r>
      <w:r w:rsidRPr="004A069C">
        <w:rPr>
          <w:rFonts w:cs="Times New Roman"/>
          <w:szCs w:val="24"/>
        </w:rPr>
        <w:t xml:space="preserve"> US security market. That is, firms with insider silence have lower future excess return than firms with insider sell. </w:t>
      </w:r>
    </w:p>
    <w:p w:rsidR="00847C3E" w:rsidRPr="004A069C" w:rsidRDefault="00A44AFF" w:rsidP="00E92203">
      <w:pPr>
        <w:spacing w:line="360" w:lineRule="auto"/>
        <w:jc w:val="both"/>
        <w:rPr>
          <w:rFonts w:cs="Times New Roman"/>
          <w:szCs w:val="24"/>
        </w:rPr>
      </w:pPr>
      <w:r w:rsidRPr="004A069C">
        <w:rPr>
          <w:rFonts w:cs="Times New Roman"/>
          <w:bCs/>
          <w:szCs w:val="24"/>
          <w:shd w:val="clear" w:color="auto" w:fill="FFFFFF"/>
        </w:rPr>
        <w:tab/>
      </w:r>
      <w:r w:rsidR="00663444" w:rsidRPr="004A069C">
        <w:rPr>
          <w:rFonts w:cs="Times New Roman"/>
          <w:bCs/>
          <w:szCs w:val="24"/>
          <w:shd w:val="clear" w:color="auto" w:fill="FFFFFF"/>
        </w:rPr>
        <w:t>In T</w:t>
      </w:r>
      <w:r w:rsidR="00295707" w:rsidRPr="004A069C">
        <w:rPr>
          <w:rFonts w:cs="Times New Roman"/>
          <w:bCs/>
          <w:szCs w:val="24"/>
          <w:shd w:val="clear" w:color="auto" w:fill="FFFFFF"/>
        </w:rPr>
        <w:t>able</w:t>
      </w:r>
      <w:r w:rsidR="00A13A05" w:rsidRPr="004A069C">
        <w:rPr>
          <w:rFonts w:cs="Times New Roman"/>
          <w:bCs/>
          <w:szCs w:val="24"/>
          <w:shd w:val="clear" w:color="auto" w:fill="FFFFFF"/>
        </w:rPr>
        <w:t>s</w:t>
      </w:r>
      <w:r w:rsidR="00295707" w:rsidRPr="004A069C">
        <w:rPr>
          <w:rFonts w:cs="Times New Roman"/>
          <w:bCs/>
          <w:szCs w:val="24"/>
          <w:shd w:val="clear" w:color="auto" w:fill="FFFFFF"/>
        </w:rPr>
        <w:t xml:space="preserve"> 5 and</w:t>
      </w:r>
      <w:r w:rsidR="00402C17" w:rsidRPr="004A069C">
        <w:rPr>
          <w:rFonts w:cs="Times New Roman"/>
          <w:bCs/>
          <w:szCs w:val="24"/>
          <w:shd w:val="clear" w:color="auto" w:fill="FFFFFF"/>
        </w:rPr>
        <w:t xml:space="preserve"> </w:t>
      </w:r>
      <w:r w:rsidR="00FA437A" w:rsidRPr="004A069C">
        <w:rPr>
          <w:rFonts w:cs="Times New Roman"/>
          <w:bCs/>
          <w:szCs w:val="24"/>
          <w:shd w:val="clear" w:color="auto" w:fill="FFFFFF"/>
        </w:rPr>
        <w:t>6</w:t>
      </w:r>
      <w:r w:rsidR="00B91403" w:rsidRPr="004A069C">
        <w:rPr>
          <w:rFonts w:cs="Times New Roman"/>
          <w:bCs/>
          <w:szCs w:val="24"/>
          <w:shd w:val="clear" w:color="auto" w:fill="FFFFFF"/>
        </w:rPr>
        <w:t xml:space="preserve">, we run panel regression to analyze the interaction between insider silence and litigation risk. </w:t>
      </w:r>
      <w:r w:rsidR="005726D1" w:rsidRPr="004A069C">
        <w:rPr>
          <w:rFonts w:cs="Times New Roman"/>
          <w:bCs/>
          <w:szCs w:val="24"/>
          <w:shd w:val="clear" w:color="auto" w:fill="FFFFFF"/>
        </w:rPr>
        <w:t xml:space="preserve">In </w:t>
      </w:r>
      <w:r w:rsidR="00B91403" w:rsidRPr="004A069C">
        <w:rPr>
          <w:rFonts w:cs="Times New Roman"/>
          <w:bCs/>
          <w:szCs w:val="24"/>
          <w:shd w:val="clear" w:color="auto" w:fill="FFFFFF"/>
        </w:rPr>
        <w:t xml:space="preserve">Table </w:t>
      </w:r>
      <w:r w:rsidR="005726D1" w:rsidRPr="004A069C">
        <w:rPr>
          <w:rFonts w:cs="Times New Roman"/>
          <w:bCs/>
          <w:szCs w:val="24"/>
          <w:shd w:val="clear" w:color="auto" w:fill="FFFFFF"/>
        </w:rPr>
        <w:t>5,</w:t>
      </w:r>
      <w:r w:rsidR="00B91403" w:rsidRPr="004A069C">
        <w:rPr>
          <w:rFonts w:cs="Times New Roman"/>
          <w:bCs/>
          <w:szCs w:val="24"/>
          <w:shd w:val="clear" w:color="auto" w:fill="FFFFFF"/>
        </w:rPr>
        <w:t xml:space="preserve"> we </w:t>
      </w:r>
      <w:r w:rsidR="00402C17" w:rsidRPr="004A069C">
        <w:rPr>
          <w:rFonts w:cs="Times New Roman"/>
          <w:bCs/>
          <w:szCs w:val="24"/>
          <w:shd w:val="clear" w:color="auto" w:fill="FFFFFF"/>
        </w:rPr>
        <w:t>use</w:t>
      </w:r>
      <w:r w:rsidR="00B91403" w:rsidRPr="004A069C">
        <w:rPr>
          <w:rFonts w:cs="Times New Roman"/>
          <w:bCs/>
          <w:szCs w:val="24"/>
          <w:shd w:val="clear" w:color="auto" w:fill="FFFFFF"/>
        </w:rPr>
        <w:t xml:space="preserve"> a firm-level stock volatility as a proxy for litigation risk. This proxy is changed to t</w:t>
      </w:r>
      <w:r w:rsidR="00B91403" w:rsidRPr="004A069C">
        <w:rPr>
          <w:rFonts w:cs="Times New Roman"/>
          <w:szCs w:val="24"/>
        </w:rPr>
        <w:t xml:space="preserve">he market-level stock volatility in </w:t>
      </w:r>
      <w:r w:rsidR="00A13A05" w:rsidRPr="004A069C">
        <w:rPr>
          <w:rFonts w:cs="Times New Roman"/>
          <w:szCs w:val="24"/>
        </w:rPr>
        <w:t>T</w:t>
      </w:r>
      <w:r w:rsidR="005726D1" w:rsidRPr="004A069C">
        <w:rPr>
          <w:rFonts w:cs="Times New Roman"/>
          <w:szCs w:val="24"/>
        </w:rPr>
        <w:t>able 6</w:t>
      </w:r>
      <w:r w:rsidR="00B91403" w:rsidRPr="004A069C">
        <w:rPr>
          <w:rFonts w:cs="Times New Roman"/>
          <w:szCs w:val="24"/>
        </w:rPr>
        <w:t xml:space="preserve">. </w:t>
      </w:r>
      <w:r w:rsidR="00847C3E" w:rsidRPr="004A069C">
        <w:rPr>
          <w:rFonts w:cs="Times New Roman"/>
          <w:szCs w:val="24"/>
        </w:rPr>
        <w:t>Similarly</w:t>
      </w:r>
      <w:r w:rsidR="005726D1" w:rsidRPr="004A069C">
        <w:rPr>
          <w:rFonts w:cs="Times New Roman"/>
          <w:szCs w:val="24"/>
        </w:rPr>
        <w:t>,</w:t>
      </w:r>
      <w:r w:rsidR="00847C3E" w:rsidRPr="004A069C">
        <w:rPr>
          <w:rFonts w:cs="Times New Roman"/>
          <w:szCs w:val="24"/>
        </w:rPr>
        <w:t xml:space="preserve"> </w:t>
      </w:r>
      <w:r w:rsidR="005726D1" w:rsidRPr="004A069C">
        <w:rPr>
          <w:rFonts w:cs="Times New Roman"/>
          <w:szCs w:val="24"/>
        </w:rPr>
        <w:t xml:space="preserve">in </w:t>
      </w:r>
      <w:r w:rsidR="00847C3E" w:rsidRPr="004A069C">
        <w:rPr>
          <w:rFonts w:cs="Times New Roman"/>
          <w:szCs w:val="24"/>
        </w:rPr>
        <w:t xml:space="preserve">each equation, we run four types of panel regression </w:t>
      </w:r>
      <w:r w:rsidR="005726D1" w:rsidRPr="004A069C">
        <w:rPr>
          <w:rFonts w:cs="Times New Roman"/>
          <w:szCs w:val="24"/>
        </w:rPr>
        <w:t>with</w:t>
      </w:r>
      <w:r w:rsidR="00847C3E" w:rsidRPr="004A069C">
        <w:rPr>
          <w:rFonts w:cs="Times New Roman"/>
          <w:szCs w:val="24"/>
        </w:rPr>
        <w:t xml:space="preserve"> no fixed effect, year fixed effect, firm fixed effect, both year and firm fixed effect.</w:t>
      </w:r>
    </w:p>
    <w:p w:rsidR="00632FD8" w:rsidRPr="004A069C" w:rsidRDefault="003B3010" w:rsidP="00E92203">
      <w:pPr>
        <w:spacing w:line="360" w:lineRule="auto"/>
        <w:jc w:val="both"/>
        <w:rPr>
          <w:rFonts w:cs="Times New Roman"/>
          <w:szCs w:val="24"/>
        </w:rPr>
      </w:pPr>
      <w:r w:rsidRPr="004A069C">
        <w:rPr>
          <w:rFonts w:cs="Times New Roman"/>
          <w:szCs w:val="24"/>
        </w:rPr>
        <w:tab/>
      </w:r>
      <w:r w:rsidR="00632FD8" w:rsidRPr="004A069C">
        <w:rPr>
          <w:rFonts w:cs="Times New Roman"/>
          <w:szCs w:val="24"/>
        </w:rPr>
        <w:t>M</w:t>
      </w:r>
      <w:r w:rsidRPr="004A069C">
        <w:rPr>
          <w:rFonts w:cs="Times New Roman"/>
          <w:szCs w:val="24"/>
        </w:rPr>
        <w:t>odel 1</w:t>
      </w:r>
      <w:r w:rsidR="00632FD8" w:rsidRPr="004A069C">
        <w:rPr>
          <w:rFonts w:cs="Times New Roman"/>
          <w:szCs w:val="24"/>
        </w:rPr>
        <w:t xml:space="preserve"> presents</w:t>
      </w:r>
      <w:r w:rsidR="001C750B" w:rsidRPr="004A069C">
        <w:rPr>
          <w:rFonts w:cs="Times New Roman"/>
          <w:szCs w:val="24"/>
        </w:rPr>
        <w:t xml:space="preserve"> </w:t>
      </w:r>
      <w:r w:rsidR="00632FD8" w:rsidRPr="004A069C">
        <w:rPr>
          <w:rFonts w:cs="Times New Roman"/>
          <w:szCs w:val="24"/>
        </w:rPr>
        <w:t>that in t</w:t>
      </w:r>
      <w:r w:rsidR="001C750B" w:rsidRPr="004A069C">
        <w:rPr>
          <w:rFonts w:cs="Times New Roman"/>
          <w:szCs w:val="24"/>
        </w:rPr>
        <w:t>he panel regression without adding fixed effect</w:t>
      </w:r>
      <w:r w:rsidR="00632FD8" w:rsidRPr="004A069C">
        <w:rPr>
          <w:rFonts w:cs="Times New Roman"/>
          <w:szCs w:val="24"/>
        </w:rPr>
        <w:t>, t</w:t>
      </w:r>
      <w:r w:rsidR="00847C3E" w:rsidRPr="004A069C">
        <w:rPr>
          <w:rFonts w:cs="Times New Roman"/>
          <w:szCs w:val="24"/>
        </w:rPr>
        <w:t>he coefficient of interaction term between insider silence and sigma variable</w:t>
      </w:r>
      <w:r w:rsidR="00632FD8" w:rsidRPr="004A069C">
        <w:rPr>
          <w:rFonts w:cs="Times New Roman"/>
          <w:szCs w:val="24"/>
        </w:rPr>
        <w:t>s</w:t>
      </w:r>
      <w:r w:rsidR="00847C3E" w:rsidRPr="004A069C">
        <w:rPr>
          <w:rFonts w:cs="Times New Roman"/>
          <w:szCs w:val="24"/>
        </w:rPr>
        <w:t xml:space="preserve"> is – 0.25%. It can be inferred </w:t>
      </w:r>
      <w:r w:rsidR="00E43835" w:rsidRPr="004A069C">
        <w:rPr>
          <w:rFonts w:cs="Times New Roman"/>
          <w:szCs w:val="24"/>
        </w:rPr>
        <w:t xml:space="preserve">that </w:t>
      </w:r>
      <w:r w:rsidR="009E0095" w:rsidRPr="004A069C">
        <w:rPr>
          <w:rFonts w:cs="Times New Roman"/>
          <w:szCs w:val="24"/>
        </w:rPr>
        <w:t>when the firm’s sigma increase</w:t>
      </w:r>
      <w:r w:rsidR="00632FD8" w:rsidRPr="004A069C">
        <w:rPr>
          <w:rFonts w:cs="Times New Roman"/>
          <w:szCs w:val="24"/>
        </w:rPr>
        <w:t>s</w:t>
      </w:r>
      <w:r w:rsidR="009E0095" w:rsidRPr="004A069C">
        <w:rPr>
          <w:rFonts w:cs="Times New Roman"/>
          <w:szCs w:val="24"/>
        </w:rPr>
        <w:t xml:space="preserve"> 1%, </w:t>
      </w:r>
      <w:r w:rsidR="00632FD8" w:rsidRPr="004A069C">
        <w:rPr>
          <w:rFonts w:cs="Times New Roman"/>
          <w:szCs w:val="24"/>
        </w:rPr>
        <w:t>the cumulative abnormal return of</w:t>
      </w:r>
      <w:r w:rsidR="009E0095" w:rsidRPr="004A069C">
        <w:rPr>
          <w:rFonts w:cs="Times New Roman"/>
          <w:szCs w:val="24"/>
        </w:rPr>
        <w:t xml:space="preserve"> silence firms </w:t>
      </w:r>
      <w:r w:rsidR="00632FD8" w:rsidRPr="004A069C">
        <w:rPr>
          <w:rFonts w:cs="Times New Roman"/>
          <w:szCs w:val="24"/>
        </w:rPr>
        <w:t>decreases</w:t>
      </w:r>
      <w:r w:rsidR="001C750B" w:rsidRPr="004A069C">
        <w:rPr>
          <w:rFonts w:cs="Times New Roman"/>
          <w:szCs w:val="24"/>
        </w:rPr>
        <w:t xml:space="preserve"> 0.25</w:t>
      </w:r>
      <w:r w:rsidR="0046319A" w:rsidRPr="004A069C">
        <w:rPr>
          <w:rFonts w:cs="Times New Roman"/>
          <w:szCs w:val="24"/>
        </w:rPr>
        <w:t xml:space="preserve">%. </w:t>
      </w:r>
    </w:p>
    <w:p w:rsidR="008936D5" w:rsidRPr="004A069C" w:rsidRDefault="001C750B" w:rsidP="00EF537B">
      <w:pPr>
        <w:spacing w:line="360" w:lineRule="auto"/>
        <w:ind w:firstLine="720"/>
        <w:jc w:val="both"/>
        <w:rPr>
          <w:rFonts w:cs="Times New Roman"/>
          <w:szCs w:val="24"/>
        </w:rPr>
      </w:pPr>
      <w:r w:rsidRPr="004A069C">
        <w:rPr>
          <w:rFonts w:cs="Times New Roman"/>
          <w:szCs w:val="24"/>
        </w:rPr>
        <w:t xml:space="preserve">However, the result </w:t>
      </w:r>
      <w:r w:rsidR="00D02000" w:rsidRPr="004A069C">
        <w:rPr>
          <w:rFonts w:cs="Times New Roman"/>
          <w:szCs w:val="24"/>
        </w:rPr>
        <w:t>is not</w:t>
      </w:r>
      <w:r w:rsidRPr="004A069C">
        <w:rPr>
          <w:rFonts w:eastAsia="Times New Roman" w:cs="Times New Roman"/>
          <w:szCs w:val="24"/>
        </w:rPr>
        <w:t xml:space="preserve"> </w:t>
      </w:r>
      <w:r w:rsidRPr="004A069C">
        <w:rPr>
          <w:rFonts w:cs="Times New Roman"/>
          <w:szCs w:val="24"/>
        </w:rPr>
        <w:t xml:space="preserve">statistically significant at 10% level. </w:t>
      </w:r>
      <w:r w:rsidR="00465309" w:rsidRPr="004A069C">
        <w:rPr>
          <w:rFonts w:cs="Times New Roman"/>
          <w:szCs w:val="24"/>
        </w:rPr>
        <w:t xml:space="preserve">The coefficients of interaction term </w:t>
      </w:r>
      <w:r w:rsidR="00D02000" w:rsidRPr="004A069C">
        <w:rPr>
          <w:rFonts w:cs="Times New Roman"/>
          <w:szCs w:val="24"/>
        </w:rPr>
        <w:t>are also</w:t>
      </w:r>
      <w:r w:rsidR="00465309" w:rsidRPr="004A069C">
        <w:rPr>
          <w:rFonts w:cs="Times New Roman"/>
          <w:szCs w:val="24"/>
        </w:rPr>
        <w:t xml:space="preserve"> negative when we rerun the regression by controlling the time period, firm cross-sectional individually and two of them at the same time. The coefficient</w:t>
      </w:r>
      <w:r w:rsidR="00D02000" w:rsidRPr="004A069C">
        <w:rPr>
          <w:rFonts w:cs="Times New Roman"/>
          <w:szCs w:val="24"/>
        </w:rPr>
        <w:t>s</w:t>
      </w:r>
      <w:r w:rsidR="00465309" w:rsidRPr="004A069C">
        <w:rPr>
          <w:rFonts w:cs="Times New Roman"/>
          <w:szCs w:val="24"/>
        </w:rPr>
        <w:t xml:space="preserve"> var</w:t>
      </w:r>
      <w:r w:rsidR="00D02000" w:rsidRPr="004A069C">
        <w:rPr>
          <w:rFonts w:cs="Times New Roman"/>
          <w:szCs w:val="24"/>
        </w:rPr>
        <w:t>y</w:t>
      </w:r>
      <w:r w:rsidR="00465309" w:rsidRPr="004A069C">
        <w:rPr>
          <w:rFonts w:cs="Times New Roman"/>
          <w:szCs w:val="24"/>
        </w:rPr>
        <w:t xml:space="preserve"> from </w:t>
      </w:r>
      <w:r w:rsidR="00465309" w:rsidRPr="004A069C">
        <w:rPr>
          <w:rFonts w:eastAsia="Times New Roman" w:cs="Times New Roman"/>
          <w:szCs w:val="24"/>
        </w:rPr>
        <w:t>-0.07%</w:t>
      </w:r>
      <w:r w:rsidR="00465309" w:rsidRPr="004A069C">
        <w:rPr>
          <w:rFonts w:cs="Times New Roman"/>
          <w:szCs w:val="24"/>
        </w:rPr>
        <w:t xml:space="preserve">, </w:t>
      </w:r>
      <w:r w:rsidR="00465309" w:rsidRPr="004A069C">
        <w:rPr>
          <w:rFonts w:eastAsia="Times New Roman" w:cs="Times New Roman"/>
          <w:szCs w:val="24"/>
        </w:rPr>
        <w:t>-0.14% and -0.02% in model</w:t>
      </w:r>
      <w:r w:rsidR="00D02000" w:rsidRPr="004A069C">
        <w:rPr>
          <w:rFonts w:eastAsia="Times New Roman" w:cs="Times New Roman"/>
          <w:szCs w:val="24"/>
        </w:rPr>
        <w:t>s</w:t>
      </w:r>
      <w:r w:rsidR="00465309" w:rsidRPr="004A069C">
        <w:rPr>
          <w:rFonts w:eastAsia="Times New Roman" w:cs="Times New Roman"/>
          <w:szCs w:val="24"/>
        </w:rPr>
        <w:t xml:space="preserve"> 2</w:t>
      </w:r>
      <w:r w:rsidR="002E087F" w:rsidRPr="004A069C">
        <w:rPr>
          <w:rFonts w:eastAsia="Times New Roman" w:cs="Times New Roman"/>
          <w:szCs w:val="24"/>
        </w:rPr>
        <w:t>, 3, 4</w:t>
      </w:r>
      <w:r w:rsidR="00465309" w:rsidRPr="004A069C">
        <w:rPr>
          <w:rFonts w:eastAsia="Times New Roman" w:cs="Times New Roman"/>
          <w:szCs w:val="24"/>
        </w:rPr>
        <w:t xml:space="preserve"> respectively</w:t>
      </w:r>
      <w:r w:rsidR="002E087F" w:rsidRPr="004A069C">
        <w:rPr>
          <w:rFonts w:eastAsia="Times New Roman" w:cs="Times New Roman"/>
          <w:szCs w:val="24"/>
        </w:rPr>
        <w:t>.</w:t>
      </w:r>
      <w:r w:rsidR="00465309" w:rsidRPr="004A069C">
        <w:rPr>
          <w:rFonts w:eastAsia="Times New Roman" w:cs="Times New Roman"/>
          <w:szCs w:val="24"/>
        </w:rPr>
        <w:t xml:space="preserve"> </w:t>
      </w:r>
      <w:r w:rsidR="00DD2B30" w:rsidRPr="004A069C">
        <w:rPr>
          <w:rFonts w:eastAsia="Times New Roman" w:cs="Times New Roman"/>
          <w:szCs w:val="24"/>
        </w:rPr>
        <w:t xml:space="preserve">Although the sign of these coefficients is negative as we expected, all of them are not </w:t>
      </w:r>
      <w:r w:rsidR="00DD2B30" w:rsidRPr="004A069C">
        <w:rPr>
          <w:rFonts w:cs="Times New Roman"/>
          <w:szCs w:val="24"/>
        </w:rPr>
        <w:t>statistically significant.</w:t>
      </w:r>
    </w:p>
    <w:p w:rsidR="00862FB8" w:rsidRPr="004A069C" w:rsidRDefault="00FA437A" w:rsidP="00E92203">
      <w:pPr>
        <w:spacing w:line="360" w:lineRule="auto"/>
        <w:jc w:val="both"/>
        <w:rPr>
          <w:rFonts w:cs="Times New Roman"/>
          <w:szCs w:val="24"/>
        </w:rPr>
      </w:pPr>
      <w:r w:rsidRPr="004A069C">
        <w:rPr>
          <w:rFonts w:cs="Times New Roman"/>
          <w:szCs w:val="24"/>
        </w:rPr>
        <w:tab/>
        <w:t>Table 6</w:t>
      </w:r>
      <w:r w:rsidR="006648EA" w:rsidRPr="004A069C">
        <w:rPr>
          <w:rFonts w:cs="Times New Roman"/>
          <w:szCs w:val="24"/>
        </w:rPr>
        <w:t xml:space="preserve"> is the </w:t>
      </w:r>
      <w:r w:rsidR="009635DF" w:rsidRPr="004A069C">
        <w:rPr>
          <w:rFonts w:cs="Times New Roman"/>
          <w:szCs w:val="24"/>
        </w:rPr>
        <w:t xml:space="preserve">regression of firm’s six month cumulative return on insider silence with the interaction term between silence and market sigma. In model 1, the coefficient of interaction term is </w:t>
      </w:r>
      <w:r w:rsidR="00D02000" w:rsidRPr="004A069C">
        <w:rPr>
          <w:rFonts w:cs="Times New Roman"/>
          <w:szCs w:val="24"/>
        </w:rPr>
        <w:t>negative (</w:t>
      </w:r>
      <w:r w:rsidR="009635DF" w:rsidRPr="004A069C">
        <w:rPr>
          <w:rFonts w:cs="Times New Roman"/>
          <w:szCs w:val="24"/>
        </w:rPr>
        <w:t>-0.02%</w:t>
      </w:r>
      <w:r w:rsidR="00D02000" w:rsidRPr="004A069C">
        <w:rPr>
          <w:rFonts w:cs="Times New Roman"/>
          <w:szCs w:val="24"/>
        </w:rPr>
        <w:t>)</w:t>
      </w:r>
      <w:r w:rsidR="0032373A" w:rsidRPr="004A069C">
        <w:rPr>
          <w:rFonts w:cs="Times New Roman"/>
          <w:szCs w:val="24"/>
        </w:rPr>
        <w:t xml:space="preserve"> and i</w:t>
      </w:r>
      <w:r w:rsidR="00D02000" w:rsidRPr="004A069C">
        <w:rPr>
          <w:rFonts w:cs="Times New Roman"/>
          <w:szCs w:val="24"/>
        </w:rPr>
        <w:t>n</w:t>
      </w:r>
      <w:r w:rsidR="0032373A" w:rsidRPr="004A069C">
        <w:rPr>
          <w:rFonts w:cs="Times New Roman"/>
          <w:szCs w:val="24"/>
        </w:rPr>
        <w:t>significant. This result is also the same when we control the cross-sectional among firms in model 2</w:t>
      </w:r>
      <w:r w:rsidR="00D02000" w:rsidRPr="004A069C">
        <w:rPr>
          <w:rFonts w:cs="Times New Roman"/>
          <w:szCs w:val="24"/>
        </w:rPr>
        <w:t>. T</w:t>
      </w:r>
      <w:r w:rsidR="0032373A" w:rsidRPr="004A069C">
        <w:rPr>
          <w:rFonts w:cs="Times New Roman"/>
          <w:szCs w:val="24"/>
        </w:rPr>
        <w:t xml:space="preserve">he coefficient of interaction term changes to -0.03% and it </w:t>
      </w:r>
      <w:r w:rsidR="00D02000" w:rsidRPr="004A069C">
        <w:rPr>
          <w:rFonts w:cs="Times New Roman"/>
          <w:szCs w:val="24"/>
        </w:rPr>
        <w:t>i</w:t>
      </w:r>
      <w:r w:rsidR="0032373A" w:rsidRPr="004A069C">
        <w:rPr>
          <w:rFonts w:cs="Times New Roman"/>
          <w:szCs w:val="24"/>
        </w:rPr>
        <w:t>s insignificant.</w:t>
      </w:r>
      <w:r w:rsidR="008828F9" w:rsidRPr="004A069C">
        <w:rPr>
          <w:rFonts w:cs="Times New Roman"/>
          <w:szCs w:val="24"/>
        </w:rPr>
        <w:t xml:space="preserve"> In model 3</w:t>
      </w:r>
      <w:r w:rsidR="00B34DEF" w:rsidRPr="004A069C">
        <w:rPr>
          <w:rFonts w:cs="Times New Roman"/>
          <w:szCs w:val="24"/>
        </w:rPr>
        <w:t xml:space="preserve">, when the dummy silence variable depends on the monthly time series, </w:t>
      </w:r>
      <w:r w:rsidR="00D02000" w:rsidRPr="004A069C">
        <w:rPr>
          <w:rFonts w:cs="Times New Roman"/>
          <w:szCs w:val="24"/>
        </w:rPr>
        <w:t>the result is negative and</w:t>
      </w:r>
      <w:r w:rsidR="00EB5C0C" w:rsidRPr="004A069C">
        <w:rPr>
          <w:rFonts w:cs="Times New Roman"/>
          <w:szCs w:val="24"/>
        </w:rPr>
        <w:t xml:space="preserve"> significant at 10% level</w:t>
      </w:r>
      <w:r w:rsidR="008828F9" w:rsidRPr="004A069C">
        <w:rPr>
          <w:rFonts w:cs="Times New Roman"/>
          <w:szCs w:val="24"/>
        </w:rPr>
        <w:t xml:space="preserve">. The cumulative abnormal return </w:t>
      </w:r>
      <w:r w:rsidR="00CD1F0C" w:rsidRPr="004A069C">
        <w:rPr>
          <w:rFonts w:cs="Times New Roman"/>
          <w:szCs w:val="24"/>
        </w:rPr>
        <w:t xml:space="preserve">of silence firm </w:t>
      </w:r>
      <w:r w:rsidR="00D02000" w:rsidRPr="004A069C">
        <w:rPr>
          <w:rFonts w:cs="Times New Roman"/>
          <w:szCs w:val="24"/>
        </w:rPr>
        <w:t>is</w:t>
      </w:r>
      <w:r w:rsidR="00CD1F0C" w:rsidRPr="004A069C">
        <w:rPr>
          <w:rFonts w:cs="Times New Roman"/>
          <w:szCs w:val="24"/>
        </w:rPr>
        <w:t xml:space="preserve"> lower</w:t>
      </w:r>
      <w:r w:rsidR="00D02000" w:rsidRPr="004A069C">
        <w:rPr>
          <w:rFonts w:ascii="新細明體" w:eastAsia="新細明體" w:hAnsi="新細明體" w:cs="Times New Roman" w:hint="eastAsia"/>
          <w:szCs w:val="24"/>
          <w:lang w:eastAsia="zh-TW"/>
        </w:rPr>
        <w:t xml:space="preserve"> (</w:t>
      </w:r>
      <w:r w:rsidR="00D02000" w:rsidRPr="004A069C">
        <w:rPr>
          <w:rFonts w:cs="Times New Roman"/>
          <w:szCs w:val="24"/>
        </w:rPr>
        <w:t>0.05%</w:t>
      </w:r>
      <w:r w:rsidR="00D02000" w:rsidRPr="004A069C">
        <w:rPr>
          <w:rFonts w:ascii="新細明體" w:eastAsia="新細明體" w:hAnsi="新細明體" w:cs="Times New Roman" w:hint="eastAsia"/>
          <w:szCs w:val="24"/>
          <w:lang w:eastAsia="zh-TW"/>
        </w:rPr>
        <w:t>)</w:t>
      </w:r>
      <w:r w:rsidR="00CD1F0C" w:rsidRPr="004A069C">
        <w:rPr>
          <w:rFonts w:cs="Times New Roman"/>
          <w:szCs w:val="24"/>
        </w:rPr>
        <w:t xml:space="preserve"> in the period of high volatil</w:t>
      </w:r>
      <w:r w:rsidR="00862FB8" w:rsidRPr="004A069C">
        <w:rPr>
          <w:rFonts w:cs="Times New Roman"/>
          <w:szCs w:val="24"/>
        </w:rPr>
        <w:t>e</w:t>
      </w:r>
      <w:r w:rsidR="00CD1F0C" w:rsidRPr="004A069C">
        <w:rPr>
          <w:rFonts w:cs="Times New Roman"/>
          <w:szCs w:val="24"/>
        </w:rPr>
        <w:t xml:space="preserve"> market return rather than </w:t>
      </w:r>
      <w:r w:rsidR="00862FB8" w:rsidRPr="004A069C">
        <w:rPr>
          <w:rFonts w:cs="Times New Roman"/>
          <w:szCs w:val="24"/>
        </w:rPr>
        <w:t xml:space="preserve">that in </w:t>
      </w:r>
      <w:r w:rsidR="00CD1F0C" w:rsidRPr="004A069C">
        <w:rPr>
          <w:rFonts w:cs="Times New Roman"/>
          <w:szCs w:val="24"/>
        </w:rPr>
        <w:t xml:space="preserve">the low volatility time. </w:t>
      </w:r>
      <w:r w:rsidR="007942AE" w:rsidRPr="004A069C">
        <w:rPr>
          <w:rFonts w:cs="Times New Roman"/>
          <w:szCs w:val="24"/>
        </w:rPr>
        <w:t>This means tha</w:t>
      </w:r>
      <w:r w:rsidR="00295707" w:rsidRPr="004A069C">
        <w:rPr>
          <w:rFonts w:cs="Times New Roman"/>
          <w:szCs w:val="24"/>
        </w:rPr>
        <w:t xml:space="preserve">t when the market volatility increases </w:t>
      </w:r>
      <w:r w:rsidR="007942AE" w:rsidRPr="004A069C">
        <w:rPr>
          <w:rFonts w:cs="Times New Roman"/>
          <w:szCs w:val="24"/>
        </w:rPr>
        <w:t xml:space="preserve">1%, the cumulative abnormal return of silence firm will </w:t>
      </w:r>
      <w:r w:rsidR="00295707" w:rsidRPr="004A069C">
        <w:rPr>
          <w:rFonts w:cs="Times New Roman"/>
          <w:szCs w:val="24"/>
        </w:rPr>
        <w:t>decreases</w:t>
      </w:r>
      <w:r w:rsidR="007942AE" w:rsidRPr="004A069C">
        <w:rPr>
          <w:rFonts w:cs="Times New Roman"/>
          <w:szCs w:val="24"/>
        </w:rPr>
        <w:t xml:space="preserve"> 0.05%. </w:t>
      </w:r>
      <w:r w:rsidR="00932831" w:rsidRPr="004A069C">
        <w:rPr>
          <w:rFonts w:cs="Times New Roman"/>
          <w:szCs w:val="24"/>
        </w:rPr>
        <w:t xml:space="preserve">After controlling both time series and firm cross-sectional effect, </w:t>
      </w:r>
      <w:r w:rsidR="003F140F" w:rsidRPr="004A069C">
        <w:rPr>
          <w:rFonts w:cs="Times New Roman"/>
          <w:szCs w:val="24"/>
        </w:rPr>
        <w:t>the cumulative abnormal return of silence firm in the time of high legislation risk is significantly lower</w:t>
      </w:r>
      <w:r w:rsidR="003F140F" w:rsidRPr="004A069C">
        <w:rPr>
          <w:rFonts w:cs="Times New Roman" w:hint="eastAsia"/>
          <w:szCs w:val="24"/>
        </w:rPr>
        <w:t xml:space="preserve"> (</w:t>
      </w:r>
      <w:r w:rsidR="003F140F" w:rsidRPr="004A069C">
        <w:rPr>
          <w:rFonts w:cs="Times New Roman"/>
          <w:szCs w:val="24"/>
        </w:rPr>
        <w:t>0.06%</w:t>
      </w:r>
      <w:r w:rsidR="003F140F" w:rsidRPr="004A069C">
        <w:rPr>
          <w:rFonts w:cs="Times New Roman" w:hint="eastAsia"/>
          <w:szCs w:val="24"/>
        </w:rPr>
        <w:t>)</w:t>
      </w:r>
      <w:r w:rsidR="003F140F" w:rsidRPr="004A069C">
        <w:rPr>
          <w:rFonts w:cs="Times New Roman"/>
          <w:szCs w:val="24"/>
        </w:rPr>
        <w:t xml:space="preserve"> than in the time of low legislation risk at 5% level</w:t>
      </w:r>
      <w:r w:rsidR="00DC3DAC" w:rsidRPr="004A069C">
        <w:rPr>
          <w:rFonts w:cs="Times New Roman"/>
          <w:szCs w:val="24"/>
        </w:rPr>
        <w:t>.</w:t>
      </w:r>
    </w:p>
    <w:p w:rsidR="00EF5A88" w:rsidRPr="004A069C" w:rsidRDefault="00B57A8A" w:rsidP="00E92203">
      <w:pPr>
        <w:spacing w:line="360" w:lineRule="auto"/>
        <w:jc w:val="both"/>
        <w:rPr>
          <w:rFonts w:cs="Times New Roman"/>
          <w:szCs w:val="24"/>
        </w:rPr>
      </w:pPr>
      <w:r w:rsidRPr="004A069C">
        <w:rPr>
          <w:rFonts w:cs="Times New Roman"/>
          <w:szCs w:val="24"/>
        </w:rPr>
        <w:tab/>
        <w:t xml:space="preserve">In conclusion, there is a relationship between insider silence and litigation risk in Vietnam stock market. The cumulative abnormal return which is contributed by the interaction term of silence and two </w:t>
      </w:r>
      <w:r w:rsidR="00720DE7" w:rsidRPr="004A069C">
        <w:rPr>
          <w:rFonts w:cs="Times New Roman"/>
          <w:szCs w:val="24"/>
        </w:rPr>
        <w:t xml:space="preserve">litigation risk </w:t>
      </w:r>
      <w:r w:rsidRPr="004A069C">
        <w:rPr>
          <w:rFonts w:cs="Times New Roman"/>
          <w:szCs w:val="24"/>
        </w:rPr>
        <w:t xml:space="preserve">measurements </w:t>
      </w:r>
      <w:r w:rsidR="00720DE7" w:rsidRPr="004A069C">
        <w:rPr>
          <w:rFonts w:cs="Times New Roman"/>
          <w:szCs w:val="24"/>
        </w:rPr>
        <w:t xml:space="preserve">are negative. However, </w:t>
      </w:r>
      <w:r w:rsidR="0025430A" w:rsidRPr="004A069C">
        <w:rPr>
          <w:rFonts w:cs="Times New Roman"/>
          <w:szCs w:val="24"/>
        </w:rPr>
        <w:t xml:space="preserve">if the proxy of litigation risk is the </w:t>
      </w:r>
      <w:r w:rsidR="00402C17" w:rsidRPr="004A069C">
        <w:rPr>
          <w:rFonts w:cs="Times New Roman"/>
          <w:szCs w:val="24"/>
        </w:rPr>
        <w:t xml:space="preserve">variability </w:t>
      </w:r>
      <w:r w:rsidR="00EF5A88" w:rsidRPr="004A069C">
        <w:rPr>
          <w:rFonts w:cs="Times New Roman"/>
          <w:szCs w:val="24"/>
        </w:rPr>
        <w:t xml:space="preserve">of firm stock price, </w:t>
      </w:r>
      <w:r w:rsidR="0025430A" w:rsidRPr="004A069C">
        <w:rPr>
          <w:rFonts w:cs="Times New Roman"/>
          <w:szCs w:val="24"/>
        </w:rPr>
        <w:t xml:space="preserve">we do not have the statistically significant result. If the proxy of litigation risk is the instability in the whole market stock </w:t>
      </w:r>
      <w:r w:rsidR="00D25C8A" w:rsidRPr="004A069C">
        <w:rPr>
          <w:rFonts w:cs="Times New Roman"/>
          <w:szCs w:val="24"/>
        </w:rPr>
        <w:t>return</w:t>
      </w:r>
      <w:r w:rsidR="0025430A" w:rsidRPr="004A069C">
        <w:rPr>
          <w:rFonts w:cs="Times New Roman"/>
          <w:szCs w:val="24"/>
        </w:rPr>
        <w:t xml:space="preserve">, the negative effect </w:t>
      </w:r>
      <w:r w:rsidR="00E56FF8" w:rsidRPr="004A069C">
        <w:rPr>
          <w:rFonts w:cs="Times New Roman"/>
          <w:szCs w:val="24"/>
        </w:rPr>
        <w:t xml:space="preserve">of interaction term is very slight. Therefore, hypothesis </w:t>
      </w:r>
      <w:r w:rsidR="00C67431" w:rsidRPr="004A069C">
        <w:rPr>
          <w:rFonts w:cs="Times New Roman"/>
          <w:szCs w:val="24"/>
        </w:rPr>
        <w:t xml:space="preserve">2 </w:t>
      </w:r>
      <w:r w:rsidR="00E56FF8" w:rsidRPr="004A069C">
        <w:rPr>
          <w:rFonts w:cs="Times New Roman"/>
          <w:szCs w:val="24"/>
        </w:rPr>
        <w:t xml:space="preserve">can be accepted. That is, </w:t>
      </w:r>
      <w:r w:rsidR="004E6CB6" w:rsidRPr="004A069C">
        <w:rPr>
          <w:rFonts w:cs="Times New Roman"/>
          <w:szCs w:val="24"/>
        </w:rPr>
        <w:t>t</w:t>
      </w:r>
      <w:r w:rsidR="00E56FF8" w:rsidRPr="004A069C">
        <w:rPr>
          <w:rFonts w:cs="Times New Roman"/>
          <w:szCs w:val="24"/>
        </w:rPr>
        <w:t xml:space="preserve">he </w:t>
      </w:r>
      <w:r w:rsidR="00EF5A88" w:rsidRPr="004A069C">
        <w:rPr>
          <w:rFonts w:cs="Times New Roman"/>
          <w:szCs w:val="24"/>
        </w:rPr>
        <w:t xml:space="preserve">negative effect of insider silence on firm’s future stock return </w:t>
      </w:r>
      <w:r w:rsidR="00C67431" w:rsidRPr="004A069C">
        <w:rPr>
          <w:rFonts w:cs="Times New Roman"/>
          <w:szCs w:val="24"/>
        </w:rPr>
        <w:t>is</w:t>
      </w:r>
      <w:r w:rsidR="00EF5A88" w:rsidRPr="004A069C">
        <w:rPr>
          <w:rFonts w:cs="Times New Roman"/>
          <w:szCs w:val="24"/>
        </w:rPr>
        <w:t xml:space="preserve"> stronger in firm with higher litigation risk in Viet Nam security market</w:t>
      </w:r>
      <w:r w:rsidR="004E6CB6" w:rsidRPr="004A069C">
        <w:rPr>
          <w:rFonts w:cs="Times New Roman"/>
          <w:szCs w:val="24"/>
        </w:rPr>
        <w:t>.</w:t>
      </w:r>
    </w:p>
    <w:p w:rsidR="003D4722" w:rsidRPr="004A069C" w:rsidRDefault="00E662DB" w:rsidP="00E92203">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Our final regression is the t</w:t>
      </w:r>
      <w:r w:rsidR="00402C17" w:rsidRPr="004A069C">
        <w:rPr>
          <w:rFonts w:cs="Times New Roman"/>
          <w:bCs/>
          <w:szCs w:val="24"/>
          <w:shd w:val="clear" w:color="auto" w:fill="FFFFFF"/>
        </w:rPr>
        <w:t>est about the effect of two kinds</w:t>
      </w:r>
      <w:r w:rsidRPr="004A069C">
        <w:rPr>
          <w:rFonts w:cs="Times New Roman"/>
          <w:bCs/>
          <w:szCs w:val="24"/>
          <w:shd w:val="clear" w:color="auto" w:fill="FFFFFF"/>
        </w:rPr>
        <w:t xml:space="preserve"> of insider silence on the cumulative abnormal return. After adding two dummy variable which represent for</w:t>
      </w:r>
      <w:r w:rsidR="000C6B2B" w:rsidRPr="004A069C">
        <w:rPr>
          <w:rFonts w:cs="Times New Roman"/>
          <w:bCs/>
          <w:szCs w:val="24"/>
          <w:shd w:val="clear" w:color="auto" w:fill="FFFFFF"/>
        </w:rPr>
        <w:t xml:space="preserve"> the sudden insider silence, we run the regression</w:t>
      </w:r>
      <w:r w:rsidR="00402C17" w:rsidRPr="004A069C">
        <w:rPr>
          <w:rFonts w:cs="Times New Roman"/>
          <w:bCs/>
          <w:szCs w:val="24"/>
          <w:shd w:val="clear" w:color="auto" w:fill="FFFFFF"/>
        </w:rPr>
        <w:t xml:space="preserve"> in T</w:t>
      </w:r>
      <w:r w:rsidR="003B3010" w:rsidRPr="004A069C">
        <w:rPr>
          <w:rFonts w:cs="Times New Roman"/>
          <w:bCs/>
          <w:szCs w:val="24"/>
          <w:shd w:val="clear" w:color="auto" w:fill="FFFFFF"/>
        </w:rPr>
        <w:t xml:space="preserve">able </w:t>
      </w:r>
      <w:r w:rsidR="00534A75" w:rsidRPr="004A069C">
        <w:rPr>
          <w:rFonts w:cs="Times New Roman" w:hint="eastAsia"/>
          <w:bCs/>
          <w:szCs w:val="24"/>
          <w:shd w:val="clear" w:color="auto" w:fill="FFFFFF"/>
        </w:rPr>
        <w:t xml:space="preserve">7 </w:t>
      </w:r>
      <w:r w:rsidR="000C6B2B" w:rsidRPr="004A069C">
        <w:rPr>
          <w:rFonts w:cs="Times New Roman"/>
          <w:bCs/>
          <w:szCs w:val="24"/>
          <w:shd w:val="clear" w:color="auto" w:fill="FFFFFF"/>
        </w:rPr>
        <w:t>with 4 different models as same as</w:t>
      </w:r>
      <w:r w:rsidR="00870776" w:rsidRPr="004A069C">
        <w:rPr>
          <w:rFonts w:cs="Times New Roman"/>
          <w:bCs/>
          <w:szCs w:val="24"/>
          <w:shd w:val="clear" w:color="auto" w:fill="FFFFFF"/>
        </w:rPr>
        <w:t xml:space="preserve"> the</w:t>
      </w:r>
      <w:r w:rsidR="000C6B2B" w:rsidRPr="004A069C">
        <w:rPr>
          <w:rFonts w:cs="Times New Roman"/>
          <w:bCs/>
          <w:szCs w:val="24"/>
          <w:shd w:val="clear" w:color="auto" w:fill="FFFFFF"/>
        </w:rPr>
        <w:t xml:space="preserve"> previous tests. </w:t>
      </w:r>
    </w:p>
    <w:p w:rsidR="007A2C4B" w:rsidRPr="004A069C" w:rsidRDefault="00402C17" w:rsidP="00E92203">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T</w:t>
      </w:r>
      <w:r w:rsidR="00FA437A" w:rsidRPr="004A069C">
        <w:rPr>
          <w:rFonts w:cs="Times New Roman"/>
          <w:bCs/>
          <w:szCs w:val="24"/>
          <w:shd w:val="clear" w:color="auto" w:fill="FFFFFF"/>
        </w:rPr>
        <w:t>able 7</w:t>
      </w:r>
      <w:r w:rsidR="00356A35" w:rsidRPr="004A069C">
        <w:rPr>
          <w:rFonts w:ascii="新細明體" w:eastAsia="新細明體" w:hAnsi="新細明體" w:cs="Times New Roman" w:hint="eastAsia"/>
          <w:bCs/>
          <w:szCs w:val="24"/>
          <w:shd w:val="clear" w:color="auto" w:fill="FFFFFF"/>
          <w:lang w:eastAsia="zh-TW"/>
        </w:rPr>
        <w:t xml:space="preserve"> </w:t>
      </w:r>
      <w:r w:rsidR="00356A35" w:rsidRPr="004A069C">
        <w:rPr>
          <w:rFonts w:cs="Times New Roman"/>
          <w:bCs/>
          <w:szCs w:val="24"/>
          <w:shd w:val="clear" w:color="auto" w:fill="FFFFFF"/>
        </w:rPr>
        <w:t>presents that</w:t>
      </w:r>
      <w:r w:rsidR="00870776" w:rsidRPr="004A069C">
        <w:rPr>
          <w:rFonts w:cs="Times New Roman"/>
          <w:bCs/>
          <w:szCs w:val="24"/>
          <w:shd w:val="clear" w:color="auto" w:fill="FFFFFF"/>
        </w:rPr>
        <w:t xml:space="preserve"> the coefficien</w:t>
      </w:r>
      <w:r w:rsidRPr="004A069C">
        <w:rPr>
          <w:rFonts w:cs="Times New Roman"/>
          <w:bCs/>
          <w:szCs w:val="24"/>
          <w:shd w:val="clear" w:color="auto" w:fill="FFFFFF"/>
        </w:rPr>
        <w:t>ts of PPN change</w:t>
      </w:r>
      <w:r w:rsidR="00870776" w:rsidRPr="004A069C">
        <w:rPr>
          <w:rFonts w:cs="Times New Roman"/>
          <w:bCs/>
          <w:szCs w:val="24"/>
          <w:shd w:val="clear" w:color="auto" w:fill="FFFFFF"/>
        </w:rPr>
        <w:t xml:space="preserve"> noticeably among 4 model</w:t>
      </w:r>
      <w:r w:rsidR="007A2C4B" w:rsidRPr="004A069C">
        <w:rPr>
          <w:rFonts w:cs="Times New Roman"/>
          <w:bCs/>
          <w:szCs w:val="24"/>
          <w:shd w:val="clear" w:color="auto" w:fill="FFFFFF"/>
        </w:rPr>
        <w:t>s</w:t>
      </w:r>
      <w:r w:rsidRPr="004A069C">
        <w:rPr>
          <w:rFonts w:cs="Times New Roman"/>
          <w:bCs/>
          <w:szCs w:val="24"/>
          <w:shd w:val="clear" w:color="auto" w:fill="FFFFFF"/>
        </w:rPr>
        <w:t xml:space="preserve">, which </w:t>
      </w:r>
      <w:r w:rsidR="00D33EDE" w:rsidRPr="004A069C">
        <w:rPr>
          <w:rFonts w:cs="Times New Roman"/>
          <w:bCs/>
          <w:szCs w:val="24"/>
          <w:shd w:val="clear" w:color="auto" w:fill="FFFFFF"/>
        </w:rPr>
        <w:t>var</w:t>
      </w:r>
      <w:r w:rsidR="007A2C4B" w:rsidRPr="004A069C">
        <w:rPr>
          <w:rFonts w:cs="Times New Roman"/>
          <w:bCs/>
          <w:szCs w:val="24"/>
          <w:shd w:val="clear" w:color="auto" w:fill="FFFFFF"/>
        </w:rPr>
        <w:t>y</w:t>
      </w:r>
      <w:r w:rsidR="00D33EDE" w:rsidRPr="004A069C">
        <w:rPr>
          <w:rFonts w:cs="Times New Roman"/>
          <w:bCs/>
          <w:szCs w:val="24"/>
          <w:shd w:val="clear" w:color="auto" w:fill="FFFFFF"/>
        </w:rPr>
        <w:t xml:space="preserve"> from -0.94% in no fixed effect model to </w:t>
      </w:r>
      <w:r w:rsidR="00D33EDE" w:rsidRPr="004A069C">
        <w:rPr>
          <w:rFonts w:eastAsia="Times New Roman" w:cs="Times New Roman"/>
          <w:szCs w:val="24"/>
        </w:rPr>
        <w:t>-3.30% in</w:t>
      </w:r>
      <w:r w:rsidR="00D33EDE" w:rsidRPr="004A069C">
        <w:rPr>
          <w:rFonts w:cs="Times New Roman"/>
          <w:bCs/>
          <w:szCs w:val="24"/>
          <w:shd w:val="clear" w:color="auto" w:fill="FFFFFF"/>
        </w:rPr>
        <w:t xml:space="preserve"> year fixed effect model and changed slightly to -3.06%</w:t>
      </w:r>
      <w:r w:rsidR="00DA0547" w:rsidRPr="004A069C">
        <w:rPr>
          <w:rFonts w:cs="Times New Roman"/>
          <w:bCs/>
          <w:szCs w:val="24"/>
          <w:shd w:val="clear" w:color="auto" w:fill="FFFFFF"/>
        </w:rPr>
        <w:t xml:space="preserve"> in </w:t>
      </w:r>
      <w:r w:rsidR="00D33EDE" w:rsidRPr="004A069C">
        <w:rPr>
          <w:rFonts w:cs="Times New Roman"/>
          <w:bCs/>
          <w:szCs w:val="24"/>
          <w:shd w:val="clear" w:color="auto" w:fill="FFFFFF"/>
        </w:rPr>
        <w:t>both firm and year fixed effect model. There is only one positive result as our expect</w:t>
      </w:r>
      <w:r w:rsidR="00573814" w:rsidRPr="004A069C">
        <w:rPr>
          <w:rFonts w:cs="Times New Roman"/>
          <w:bCs/>
          <w:szCs w:val="24"/>
          <w:shd w:val="clear" w:color="auto" w:fill="FFFFFF"/>
        </w:rPr>
        <w:t>ation</w:t>
      </w:r>
      <w:r w:rsidR="00D33EDE" w:rsidRPr="004A069C">
        <w:rPr>
          <w:rFonts w:cs="Times New Roman"/>
          <w:bCs/>
          <w:szCs w:val="24"/>
          <w:shd w:val="clear" w:color="auto" w:fill="FFFFFF"/>
        </w:rPr>
        <w:t xml:space="preserve"> in firm fixed effect model with the value of 0.79%. However, all of them are statistically insignificant</w:t>
      </w:r>
      <w:r w:rsidR="00E752B4" w:rsidRPr="004A069C">
        <w:rPr>
          <w:rFonts w:cs="Times New Roman"/>
          <w:bCs/>
          <w:szCs w:val="24"/>
          <w:shd w:val="clear" w:color="auto" w:fill="FFFFFF"/>
        </w:rPr>
        <w:t xml:space="preserve">. </w:t>
      </w:r>
      <w:r w:rsidR="007A2C4B" w:rsidRPr="004A069C">
        <w:rPr>
          <w:rFonts w:cs="Times New Roman"/>
          <w:bCs/>
          <w:szCs w:val="24"/>
          <w:shd w:val="clear" w:color="auto" w:fill="FFFFFF"/>
        </w:rPr>
        <w:t>Although t</w:t>
      </w:r>
      <w:r w:rsidR="00E752B4" w:rsidRPr="004A069C">
        <w:rPr>
          <w:rFonts w:cs="Times New Roman"/>
          <w:bCs/>
          <w:szCs w:val="24"/>
          <w:shd w:val="clear" w:color="auto" w:fill="FFFFFF"/>
        </w:rPr>
        <w:t>he coefficient</w:t>
      </w:r>
      <w:r w:rsidR="009F39E0" w:rsidRPr="004A069C">
        <w:rPr>
          <w:rFonts w:cs="Times New Roman"/>
          <w:bCs/>
          <w:szCs w:val="24"/>
          <w:shd w:val="clear" w:color="auto" w:fill="FFFFFF"/>
        </w:rPr>
        <w:t>s</w:t>
      </w:r>
      <w:r w:rsidR="00E752B4" w:rsidRPr="004A069C">
        <w:rPr>
          <w:rFonts w:cs="Times New Roman"/>
          <w:bCs/>
          <w:szCs w:val="24"/>
          <w:shd w:val="clear" w:color="auto" w:fill="FFFFFF"/>
        </w:rPr>
        <w:t xml:space="preserve"> of SSN variable</w:t>
      </w:r>
      <w:r w:rsidR="009F39E0" w:rsidRPr="004A069C">
        <w:rPr>
          <w:rFonts w:cs="Times New Roman"/>
          <w:bCs/>
          <w:szCs w:val="24"/>
          <w:shd w:val="clear" w:color="auto" w:fill="FFFFFF"/>
        </w:rPr>
        <w:t xml:space="preserve"> </w:t>
      </w:r>
      <w:r w:rsidR="007A2C4B" w:rsidRPr="004A069C">
        <w:rPr>
          <w:rFonts w:cs="Times New Roman"/>
          <w:bCs/>
          <w:szCs w:val="24"/>
          <w:shd w:val="clear" w:color="auto" w:fill="FFFFFF"/>
        </w:rPr>
        <w:t xml:space="preserve">are </w:t>
      </w:r>
      <w:r w:rsidR="00DA0547" w:rsidRPr="004A069C">
        <w:rPr>
          <w:rFonts w:cs="Times New Roman"/>
          <w:bCs/>
          <w:szCs w:val="24"/>
          <w:shd w:val="clear" w:color="auto" w:fill="FFFFFF"/>
        </w:rPr>
        <w:t>negative</w:t>
      </w:r>
      <w:r w:rsidR="00295707" w:rsidRPr="004A069C">
        <w:rPr>
          <w:rFonts w:cs="Times New Roman"/>
          <w:bCs/>
          <w:szCs w:val="24"/>
          <w:shd w:val="clear" w:color="auto" w:fill="FFFFFF"/>
        </w:rPr>
        <w:t>,</w:t>
      </w:r>
      <w:r w:rsidR="00DA0547" w:rsidRPr="004A069C">
        <w:rPr>
          <w:rFonts w:cs="Times New Roman"/>
          <w:bCs/>
          <w:szCs w:val="24"/>
          <w:shd w:val="clear" w:color="auto" w:fill="FFFFFF"/>
        </w:rPr>
        <w:t xml:space="preserve"> </w:t>
      </w:r>
      <w:r w:rsidR="007A2C4B" w:rsidRPr="004A069C">
        <w:rPr>
          <w:rFonts w:cs="Times New Roman"/>
          <w:bCs/>
          <w:szCs w:val="24"/>
          <w:shd w:val="clear" w:color="auto" w:fill="FFFFFF"/>
        </w:rPr>
        <w:t xml:space="preserve">which </w:t>
      </w:r>
      <w:r w:rsidR="00573814" w:rsidRPr="004A069C">
        <w:rPr>
          <w:rFonts w:cs="Times New Roman"/>
          <w:bCs/>
          <w:szCs w:val="24"/>
          <w:shd w:val="clear" w:color="auto" w:fill="FFFFFF"/>
        </w:rPr>
        <w:t xml:space="preserve">is </w:t>
      </w:r>
      <w:r w:rsidR="007A2C4B" w:rsidRPr="004A069C">
        <w:rPr>
          <w:rFonts w:cs="Times New Roman"/>
          <w:bCs/>
          <w:szCs w:val="24"/>
          <w:shd w:val="clear" w:color="auto" w:fill="FFFFFF"/>
        </w:rPr>
        <w:t xml:space="preserve">consistent with our assumption, they are also not significant. </w:t>
      </w:r>
      <w:r w:rsidR="00720E09" w:rsidRPr="004A069C">
        <w:rPr>
          <w:rFonts w:cs="Times New Roman"/>
          <w:bCs/>
          <w:szCs w:val="24"/>
          <w:shd w:val="clear" w:color="auto" w:fill="FFFFFF"/>
        </w:rPr>
        <w:t>Moreover, magnitude of PPN coefficient cannot excess that of silence coefficient</w:t>
      </w:r>
      <w:r w:rsidR="00295707" w:rsidRPr="004A069C">
        <w:rPr>
          <w:rFonts w:cs="Times New Roman"/>
          <w:bCs/>
          <w:szCs w:val="24"/>
          <w:shd w:val="clear" w:color="auto" w:fill="FFFFFF"/>
        </w:rPr>
        <w:t>,</w:t>
      </w:r>
      <w:r w:rsidR="00720E09" w:rsidRPr="004A069C">
        <w:rPr>
          <w:rFonts w:cs="Times New Roman"/>
          <w:bCs/>
          <w:szCs w:val="24"/>
          <w:shd w:val="clear" w:color="auto" w:fill="FFFFFF"/>
        </w:rPr>
        <w:t xml:space="preserve"> which is compatible with our expectation. </w:t>
      </w:r>
      <w:r w:rsidR="007A2C4B" w:rsidRPr="004A069C">
        <w:rPr>
          <w:rFonts w:cs="Times New Roman"/>
          <w:bCs/>
          <w:szCs w:val="24"/>
          <w:shd w:val="clear" w:color="auto" w:fill="FFFFFF"/>
        </w:rPr>
        <w:t xml:space="preserve">In short, the sudden insider silence cannot be </w:t>
      </w:r>
      <w:r w:rsidR="00FD5930" w:rsidRPr="004A069C">
        <w:rPr>
          <w:rFonts w:cs="Times New Roman"/>
          <w:bCs/>
          <w:szCs w:val="24"/>
          <w:shd w:val="clear" w:color="auto" w:fill="FFFFFF"/>
        </w:rPr>
        <w:t>well</w:t>
      </w:r>
      <w:r w:rsidR="00001C16" w:rsidRPr="004A069C">
        <w:rPr>
          <w:rFonts w:cs="Times New Roman"/>
          <w:bCs/>
          <w:szCs w:val="24"/>
          <w:shd w:val="clear" w:color="auto" w:fill="FFFFFF"/>
        </w:rPr>
        <w:t xml:space="preserve"> </w:t>
      </w:r>
      <w:r w:rsidR="007A2C4B" w:rsidRPr="004A069C">
        <w:rPr>
          <w:rFonts w:cs="Times New Roman"/>
          <w:bCs/>
          <w:szCs w:val="24"/>
          <w:shd w:val="clear" w:color="auto" w:fill="FFFFFF"/>
        </w:rPr>
        <w:t>explained in this regression.</w:t>
      </w:r>
    </w:p>
    <w:p w:rsidR="00123DE5" w:rsidRPr="004A069C" w:rsidRDefault="007A2C4B" w:rsidP="00E92203">
      <w:pPr>
        <w:spacing w:line="360" w:lineRule="auto"/>
        <w:ind w:firstLine="720"/>
        <w:jc w:val="both"/>
        <w:rPr>
          <w:rFonts w:cs="Times New Roman"/>
          <w:szCs w:val="24"/>
        </w:rPr>
      </w:pPr>
      <w:r w:rsidRPr="004A069C">
        <w:rPr>
          <w:rFonts w:cs="Times New Roman"/>
          <w:bCs/>
          <w:szCs w:val="24"/>
          <w:shd w:val="clear" w:color="auto" w:fill="FFFFFF"/>
        </w:rPr>
        <w:t xml:space="preserve">There are two reasons that </w:t>
      </w:r>
      <w:r w:rsidR="004E18AF" w:rsidRPr="004A069C">
        <w:rPr>
          <w:rFonts w:cs="Times New Roman"/>
          <w:bCs/>
          <w:szCs w:val="24"/>
          <w:shd w:val="clear" w:color="auto" w:fill="FFFFFF"/>
        </w:rPr>
        <w:t>can be considered as the source for the above problem. First,</w:t>
      </w:r>
      <w:r w:rsidR="00800106" w:rsidRPr="004A069C">
        <w:rPr>
          <w:rFonts w:cs="Times New Roman"/>
          <w:bCs/>
          <w:szCs w:val="24"/>
          <w:shd w:val="clear" w:color="auto" w:fill="FFFFFF"/>
        </w:rPr>
        <w:t xml:space="preserve"> </w:t>
      </w:r>
      <w:r w:rsidR="00FD5930" w:rsidRPr="004A069C">
        <w:rPr>
          <w:rFonts w:cs="Times New Roman"/>
          <w:bCs/>
          <w:szCs w:val="24"/>
          <w:shd w:val="clear" w:color="auto" w:fill="FFFFFF"/>
        </w:rPr>
        <w:t>the</w:t>
      </w:r>
      <w:r w:rsidR="00800106" w:rsidRPr="004A069C">
        <w:rPr>
          <w:rFonts w:cs="Times New Roman"/>
          <w:bCs/>
          <w:szCs w:val="24"/>
          <w:shd w:val="clear" w:color="auto" w:fill="FFFFFF"/>
        </w:rPr>
        <w:t xml:space="preserve"> data </w:t>
      </w:r>
      <w:r w:rsidR="00FD5930" w:rsidRPr="004A069C">
        <w:rPr>
          <w:rFonts w:cs="Times New Roman"/>
          <w:bCs/>
          <w:szCs w:val="24"/>
          <w:shd w:val="clear" w:color="auto" w:fill="FFFFFF"/>
        </w:rPr>
        <w:t>of</w:t>
      </w:r>
      <w:r w:rsidR="00800106" w:rsidRPr="004A069C">
        <w:rPr>
          <w:rFonts w:cs="Times New Roman"/>
          <w:bCs/>
          <w:szCs w:val="24"/>
          <w:shd w:val="clear" w:color="auto" w:fill="FFFFFF"/>
        </w:rPr>
        <w:t xml:space="preserve"> PPN and SSN </w:t>
      </w:r>
      <w:r w:rsidR="00FD5930" w:rsidRPr="004A069C">
        <w:rPr>
          <w:rFonts w:cs="Times New Roman"/>
          <w:bCs/>
          <w:szCs w:val="24"/>
          <w:shd w:val="clear" w:color="auto" w:fill="FFFFFF"/>
        </w:rPr>
        <w:t xml:space="preserve">is not sufficient </w:t>
      </w:r>
      <w:r w:rsidR="00800106" w:rsidRPr="004A069C">
        <w:rPr>
          <w:rFonts w:cs="Times New Roman"/>
          <w:bCs/>
          <w:szCs w:val="24"/>
          <w:shd w:val="clear" w:color="auto" w:fill="FFFFFF"/>
        </w:rPr>
        <w:t xml:space="preserve">in our regression. Our sample is </w:t>
      </w:r>
      <w:r w:rsidR="00FD5930" w:rsidRPr="004A069C">
        <w:rPr>
          <w:rFonts w:cs="Times New Roman"/>
          <w:bCs/>
          <w:szCs w:val="24"/>
          <w:shd w:val="clear" w:color="auto" w:fill="FFFFFF"/>
        </w:rPr>
        <w:t>eight</w:t>
      </w:r>
      <w:r w:rsidR="00800106" w:rsidRPr="004A069C">
        <w:rPr>
          <w:rFonts w:cs="Times New Roman"/>
          <w:bCs/>
          <w:szCs w:val="24"/>
          <w:shd w:val="clear" w:color="auto" w:fill="FFFFFF"/>
        </w:rPr>
        <w:t xml:space="preserve"> years from January 2010 to December 2018</w:t>
      </w:r>
      <w:r w:rsidR="00FD5930" w:rsidRPr="004A069C">
        <w:rPr>
          <w:rFonts w:cs="Times New Roman"/>
          <w:bCs/>
          <w:szCs w:val="24"/>
          <w:shd w:val="clear" w:color="auto" w:fill="FFFFFF"/>
        </w:rPr>
        <w:t>.</w:t>
      </w:r>
      <w:r w:rsidR="00C62C4D" w:rsidRPr="004A069C">
        <w:rPr>
          <w:rFonts w:cs="Times New Roman"/>
          <w:bCs/>
          <w:szCs w:val="24"/>
          <w:shd w:val="clear" w:color="auto" w:fill="FFFFFF"/>
        </w:rPr>
        <w:t xml:space="preserve"> </w:t>
      </w:r>
      <w:r w:rsidR="00FD5930" w:rsidRPr="004A069C">
        <w:rPr>
          <w:rFonts w:cs="Times New Roman"/>
          <w:bCs/>
          <w:szCs w:val="24"/>
          <w:shd w:val="clear" w:color="auto" w:fill="FFFFFF"/>
        </w:rPr>
        <w:t>I</w:t>
      </w:r>
      <w:r w:rsidR="00C62C4D" w:rsidRPr="004A069C">
        <w:rPr>
          <w:rFonts w:cs="Times New Roman"/>
          <w:bCs/>
          <w:szCs w:val="24"/>
          <w:shd w:val="clear" w:color="auto" w:fill="FFFFFF"/>
        </w:rPr>
        <w:t>t is enough for investigating the unconditional insider silence phenomenon, but this sample seems too small</w:t>
      </w:r>
      <w:r w:rsidR="00FD5930" w:rsidRPr="004A069C">
        <w:rPr>
          <w:rFonts w:cs="Times New Roman"/>
          <w:bCs/>
          <w:szCs w:val="24"/>
          <w:shd w:val="clear" w:color="auto" w:fill="FFFFFF"/>
        </w:rPr>
        <w:t xml:space="preserve"> for the sudden insider silence phenomenon</w:t>
      </w:r>
      <w:r w:rsidR="00C62C4D" w:rsidRPr="004A069C">
        <w:rPr>
          <w:rFonts w:cs="Times New Roman"/>
          <w:bCs/>
          <w:szCs w:val="24"/>
          <w:shd w:val="clear" w:color="auto" w:fill="FFFFFF"/>
        </w:rPr>
        <w:t xml:space="preserve">. </w:t>
      </w:r>
      <w:r w:rsidR="00DA0547" w:rsidRPr="004A069C">
        <w:rPr>
          <w:rFonts w:cs="Times New Roman"/>
          <w:bCs/>
          <w:szCs w:val="24"/>
          <w:shd w:val="clear" w:color="auto" w:fill="FFFFFF"/>
        </w:rPr>
        <w:t>To</w:t>
      </w:r>
      <w:r w:rsidR="00C62C4D" w:rsidRPr="004A069C">
        <w:rPr>
          <w:rFonts w:cs="Times New Roman"/>
          <w:bCs/>
          <w:szCs w:val="24"/>
          <w:shd w:val="clear" w:color="auto" w:fill="FFFFFF"/>
        </w:rPr>
        <w:t xml:space="preserve"> find out </w:t>
      </w:r>
      <w:r w:rsidR="007F5AC7" w:rsidRPr="004A069C">
        <w:rPr>
          <w:rFonts w:cs="Times New Roman"/>
          <w:bCs/>
          <w:szCs w:val="24"/>
          <w:shd w:val="clear" w:color="auto" w:fill="FFFFFF"/>
        </w:rPr>
        <w:t xml:space="preserve">whether </w:t>
      </w:r>
      <w:r w:rsidR="00C62C4D" w:rsidRPr="004A069C">
        <w:rPr>
          <w:rFonts w:cs="Times New Roman"/>
          <w:bCs/>
          <w:szCs w:val="24"/>
          <w:shd w:val="clear" w:color="auto" w:fill="FFFFFF"/>
        </w:rPr>
        <w:t>a month is the sudden silence month</w:t>
      </w:r>
      <w:r w:rsidR="007F5AC7" w:rsidRPr="004A069C">
        <w:rPr>
          <w:rFonts w:cs="Times New Roman"/>
          <w:bCs/>
          <w:szCs w:val="24"/>
          <w:shd w:val="clear" w:color="auto" w:fill="FFFFFF"/>
        </w:rPr>
        <w:t>,</w:t>
      </w:r>
      <w:r w:rsidR="00C62C4D" w:rsidRPr="004A069C">
        <w:rPr>
          <w:rFonts w:cs="Times New Roman"/>
          <w:bCs/>
          <w:szCs w:val="24"/>
          <w:shd w:val="clear" w:color="auto" w:fill="FFFFFF"/>
        </w:rPr>
        <w:t xml:space="preserve"> we need to have the t</w:t>
      </w:r>
      <w:r w:rsidR="007F5AC7" w:rsidRPr="004A069C">
        <w:rPr>
          <w:rFonts w:cs="Times New Roman"/>
          <w:bCs/>
          <w:szCs w:val="24"/>
          <w:shd w:val="clear" w:color="auto" w:fill="FFFFFF"/>
        </w:rPr>
        <w:t>rading history of the previous two</w:t>
      </w:r>
      <w:r w:rsidR="00C62C4D" w:rsidRPr="004A069C">
        <w:rPr>
          <w:rFonts w:cs="Times New Roman"/>
          <w:bCs/>
          <w:szCs w:val="24"/>
          <w:shd w:val="clear" w:color="auto" w:fill="FFFFFF"/>
        </w:rPr>
        <w:t xml:space="preserve"> years. Therefor</w:t>
      </w:r>
      <w:r w:rsidR="00E87E98" w:rsidRPr="004A069C">
        <w:rPr>
          <w:rFonts w:cs="Times New Roman"/>
          <w:bCs/>
          <w:szCs w:val="24"/>
          <w:shd w:val="clear" w:color="auto" w:fill="FFFFFF"/>
        </w:rPr>
        <w:t>e</w:t>
      </w:r>
      <w:r w:rsidR="00C62C4D" w:rsidRPr="004A069C">
        <w:rPr>
          <w:rFonts w:cs="Times New Roman"/>
          <w:bCs/>
          <w:szCs w:val="24"/>
          <w:shd w:val="clear" w:color="auto" w:fill="FFFFFF"/>
        </w:rPr>
        <w:t xml:space="preserve">, </w:t>
      </w:r>
      <w:r w:rsidR="00E87E98" w:rsidRPr="004A069C">
        <w:rPr>
          <w:rFonts w:cs="Times New Roman"/>
          <w:bCs/>
          <w:szCs w:val="24"/>
          <w:shd w:val="clear" w:color="auto" w:fill="FFFFFF"/>
        </w:rPr>
        <w:t xml:space="preserve">the number of month with PPN is only 32 months and SSN is 115 months. </w:t>
      </w:r>
      <w:r w:rsidR="00A8607A" w:rsidRPr="004A069C">
        <w:rPr>
          <w:rFonts w:cs="Times New Roman"/>
          <w:bCs/>
          <w:szCs w:val="24"/>
          <w:shd w:val="clear" w:color="auto" w:fill="FFFFFF"/>
        </w:rPr>
        <w:t>T</w:t>
      </w:r>
      <w:r w:rsidR="00E87E98" w:rsidRPr="004A069C">
        <w:rPr>
          <w:rFonts w:cs="Times New Roman"/>
          <w:bCs/>
          <w:szCs w:val="24"/>
          <w:shd w:val="clear" w:color="auto" w:fill="FFFFFF"/>
        </w:rPr>
        <w:t xml:space="preserve">his is not enough to have a correct </w:t>
      </w:r>
      <w:r w:rsidR="002B214E" w:rsidRPr="004A069C">
        <w:rPr>
          <w:rFonts w:cs="Times New Roman"/>
          <w:bCs/>
          <w:szCs w:val="24"/>
          <w:shd w:val="clear" w:color="auto" w:fill="FFFFFF"/>
        </w:rPr>
        <w:t>estimati</w:t>
      </w:r>
      <w:r w:rsidR="00A8607A" w:rsidRPr="004A069C">
        <w:rPr>
          <w:rFonts w:cs="Times New Roman"/>
          <w:bCs/>
          <w:szCs w:val="24"/>
          <w:shd w:val="clear" w:color="auto" w:fill="FFFFFF"/>
        </w:rPr>
        <w:t>on from the regression. Second</w:t>
      </w:r>
      <w:r w:rsidR="002B214E" w:rsidRPr="004A069C">
        <w:rPr>
          <w:rFonts w:cs="Times New Roman"/>
          <w:bCs/>
          <w:szCs w:val="24"/>
          <w:shd w:val="clear" w:color="auto" w:fill="FFFFFF"/>
        </w:rPr>
        <w:t xml:space="preserve">, </w:t>
      </w:r>
      <w:r w:rsidR="00A8607A" w:rsidRPr="004A069C">
        <w:rPr>
          <w:rFonts w:cs="Times New Roman"/>
          <w:bCs/>
          <w:szCs w:val="24"/>
          <w:shd w:val="clear" w:color="auto" w:fill="FFFFFF"/>
        </w:rPr>
        <w:t>the method to sort the sudden silence in our paper</w:t>
      </w:r>
      <w:r w:rsidR="002B214E" w:rsidRPr="004A069C">
        <w:rPr>
          <w:rFonts w:cs="Times New Roman"/>
          <w:bCs/>
          <w:szCs w:val="24"/>
          <w:shd w:val="clear" w:color="auto" w:fill="FFFFFF"/>
        </w:rPr>
        <w:t xml:space="preserve"> is differen</w:t>
      </w:r>
      <w:r w:rsidR="00A8607A" w:rsidRPr="004A069C">
        <w:rPr>
          <w:rFonts w:cs="Times New Roman"/>
          <w:bCs/>
          <w:szCs w:val="24"/>
          <w:shd w:val="clear" w:color="auto" w:fill="FFFFFF"/>
        </w:rPr>
        <w:t>t</w:t>
      </w:r>
      <w:r w:rsidR="002B214E" w:rsidRPr="004A069C">
        <w:rPr>
          <w:rFonts w:cs="Times New Roman"/>
          <w:bCs/>
          <w:szCs w:val="24"/>
          <w:shd w:val="clear" w:color="auto" w:fill="FFFFFF"/>
        </w:rPr>
        <w:t xml:space="preserve"> </w:t>
      </w:r>
      <w:r w:rsidR="00A8607A" w:rsidRPr="004A069C">
        <w:rPr>
          <w:rFonts w:cs="Times New Roman"/>
          <w:bCs/>
          <w:szCs w:val="24"/>
          <w:shd w:val="clear" w:color="auto" w:fill="FFFFFF"/>
        </w:rPr>
        <w:t>from</w:t>
      </w:r>
      <w:r w:rsidR="002B214E" w:rsidRPr="004A069C">
        <w:rPr>
          <w:rFonts w:cs="Times New Roman"/>
          <w:bCs/>
          <w:szCs w:val="24"/>
          <w:shd w:val="clear" w:color="auto" w:fill="FFFFFF"/>
        </w:rPr>
        <w:t xml:space="preserve"> the available literature. </w:t>
      </w:r>
      <w:r w:rsidR="0028111A" w:rsidRPr="004A069C">
        <w:rPr>
          <w:rFonts w:cs="Times New Roman"/>
          <w:szCs w:val="24"/>
        </w:rPr>
        <w:t xml:space="preserve">Hong and Li </w:t>
      </w:r>
      <w:r w:rsidR="00780CD7" w:rsidRPr="004A069C">
        <w:rPr>
          <w:rFonts w:cs="Times New Roman"/>
          <w:szCs w:val="24"/>
        </w:rPr>
        <w:t>[9]</w:t>
      </w:r>
      <w:r w:rsidR="0028111A" w:rsidRPr="004A069C">
        <w:rPr>
          <w:rFonts w:ascii="新細明體" w:eastAsia="新細明體" w:hAnsi="新細明體" w:cs="Times New Roman" w:hint="eastAsia"/>
          <w:szCs w:val="24"/>
          <w:lang w:eastAsia="zh-TW"/>
        </w:rPr>
        <w:t xml:space="preserve"> </w:t>
      </w:r>
      <w:r w:rsidR="002B214E" w:rsidRPr="004A069C">
        <w:rPr>
          <w:rFonts w:cs="Times New Roman"/>
          <w:szCs w:val="24"/>
        </w:rPr>
        <w:t>they</w:t>
      </w:r>
      <w:r w:rsidR="002E77A4" w:rsidRPr="004A069C">
        <w:rPr>
          <w:rFonts w:cs="Times New Roman"/>
          <w:szCs w:val="24"/>
        </w:rPr>
        <w:t xml:space="preserve"> </w:t>
      </w:r>
      <w:r w:rsidR="0028111A" w:rsidRPr="004A069C">
        <w:rPr>
          <w:rFonts w:cs="Times New Roman"/>
          <w:szCs w:val="24"/>
        </w:rPr>
        <w:t>acquire</w:t>
      </w:r>
      <w:r w:rsidR="002E77A4" w:rsidRPr="004A069C">
        <w:rPr>
          <w:rFonts w:cs="Times New Roman"/>
          <w:szCs w:val="24"/>
        </w:rPr>
        <w:t xml:space="preserve"> PPN and SSN variable by checking the trading activity of each insider individually</w:t>
      </w:r>
      <w:r w:rsidR="00B65BA0" w:rsidRPr="004A069C">
        <w:rPr>
          <w:rFonts w:cs="Times New Roman"/>
          <w:szCs w:val="24"/>
        </w:rPr>
        <w:t xml:space="preserve"> instead of calculating monthly NID as in our </w:t>
      </w:r>
      <w:r w:rsidR="0028111A" w:rsidRPr="004A069C">
        <w:rPr>
          <w:rFonts w:cs="Times New Roman"/>
          <w:szCs w:val="24"/>
        </w:rPr>
        <w:t>paper</w:t>
      </w:r>
      <w:r w:rsidR="00B65BA0" w:rsidRPr="004A069C">
        <w:rPr>
          <w:rFonts w:cs="Times New Roman"/>
          <w:szCs w:val="24"/>
        </w:rPr>
        <w:t>.</w:t>
      </w:r>
      <w:r w:rsidR="005510CD" w:rsidRPr="004A069C">
        <w:rPr>
          <w:rFonts w:cs="Times New Roman"/>
          <w:szCs w:val="24"/>
        </w:rPr>
        <w:t xml:space="preserve"> Because of the time limitation and a large number of insider, we cannot apply this method into our research.  </w:t>
      </w:r>
      <w:r w:rsidR="00B65BA0" w:rsidRPr="004A069C">
        <w:rPr>
          <w:rFonts w:cs="Times New Roman"/>
          <w:szCs w:val="24"/>
        </w:rPr>
        <w:t xml:space="preserve"> </w:t>
      </w:r>
    </w:p>
    <w:p w:rsidR="005F5046" w:rsidRPr="004A069C" w:rsidRDefault="00123DE5" w:rsidP="008D19C6">
      <w:pPr>
        <w:spacing w:line="360" w:lineRule="auto"/>
        <w:ind w:firstLine="720"/>
        <w:jc w:val="both"/>
        <w:rPr>
          <w:rFonts w:cs="Times New Roman"/>
          <w:bCs/>
          <w:szCs w:val="24"/>
          <w:shd w:val="clear" w:color="auto" w:fill="FFFFFF"/>
        </w:rPr>
      </w:pPr>
      <w:r w:rsidRPr="004A069C">
        <w:rPr>
          <w:rFonts w:cs="Times New Roman"/>
          <w:szCs w:val="24"/>
        </w:rPr>
        <w:t xml:space="preserve">To sum up, </w:t>
      </w:r>
      <w:r w:rsidR="00806DFA" w:rsidRPr="004A069C">
        <w:rPr>
          <w:rFonts w:cs="Times New Roman"/>
          <w:szCs w:val="24"/>
        </w:rPr>
        <w:t>the hypothesis 3 cannot be accepted. All of the coefficients of SSN and PPN variable are not statistically significant. In addition, the sign of some PPN coefficients are opposite to our expect</w:t>
      </w:r>
      <w:r w:rsidR="0028111A" w:rsidRPr="004A069C">
        <w:rPr>
          <w:rFonts w:cs="Times New Roman"/>
          <w:szCs w:val="24"/>
        </w:rPr>
        <w:t>ation</w:t>
      </w:r>
      <w:r w:rsidR="00806DFA" w:rsidRPr="004A069C">
        <w:rPr>
          <w:rFonts w:cs="Times New Roman"/>
          <w:szCs w:val="24"/>
        </w:rPr>
        <w:t>. It cannot be proved that there is a difference in the impact of sudden insider silence and unconditional insider silence on firm future stock return in Vietnam security market.</w:t>
      </w:r>
      <w:r w:rsidR="00D33EDE" w:rsidRPr="004A069C">
        <w:rPr>
          <w:rFonts w:cs="Times New Roman"/>
          <w:bCs/>
          <w:szCs w:val="24"/>
          <w:shd w:val="clear" w:color="auto" w:fill="FFFFFF"/>
        </w:rPr>
        <w:t xml:space="preserve"> </w:t>
      </w:r>
    </w:p>
    <w:p w:rsidR="004E55B2" w:rsidRPr="004A069C" w:rsidRDefault="005F5046" w:rsidP="008D19C6">
      <w:pPr>
        <w:pStyle w:val="1"/>
        <w:spacing w:line="360" w:lineRule="auto"/>
        <w:jc w:val="left"/>
        <w:rPr>
          <w:sz w:val="24"/>
          <w:szCs w:val="24"/>
        </w:rPr>
      </w:pPr>
      <w:bookmarkStart w:id="9" w:name="_Toc27623020"/>
      <w:r w:rsidRPr="004A069C">
        <w:rPr>
          <w:sz w:val="24"/>
          <w:szCs w:val="24"/>
        </w:rPr>
        <w:t>5</w:t>
      </w:r>
      <w:r w:rsidR="008D19C6" w:rsidRPr="004A069C">
        <w:rPr>
          <w:sz w:val="24"/>
          <w:szCs w:val="24"/>
        </w:rPr>
        <w:t>.</w:t>
      </w:r>
      <w:r w:rsidR="00A32612" w:rsidRPr="004A069C">
        <w:rPr>
          <w:sz w:val="24"/>
          <w:szCs w:val="24"/>
        </w:rPr>
        <w:t xml:space="preserve"> </w:t>
      </w:r>
      <w:r w:rsidR="004E1D4D" w:rsidRPr="004A069C">
        <w:rPr>
          <w:sz w:val="24"/>
          <w:szCs w:val="24"/>
        </w:rPr>
        <w:t>Conclusion</w:t>
      </w:r>
      <w:bookmarkEnd w:id="9"/>
    </w:p>
    <w:p w:rsidR="00DF6FC5" w:rsidRPr="004A069C" w:rsidRDefault="00B03A64" w:rsidP="00E92203">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 xml:space="preserve">In this paper, we </w:t>
      </w:r>
      <w:r w:rsidR="00DF6FC5" w:rsidRPr="004A069C">
        <w:rPr>
          <w:rFonts w:cs="Times New Roman"/>
          <w:bCs/>
          <w:szCs w:val="24"/>
          <w:shd w:val="clear" w:color="auto" w:fill="FFFFFF"/>
        </w:rPr>
        <w:t>calculate</w:t>
      </w:r>
      <w:r w:rsidRPr="004A069C">
        <w:rPr>
          <w:rFonts w:cs="Times New Roman"/>
          <w:bCs/>
          <w:szCs w:val="24"/>
          <w:shd w:val="clear" w:color="auto" w:fill="FFFFFF"/>
        </w:rPr>
        <w:t xml:space="preserve"> cumulative abnormal return of top 100 stock</w:t>
      </w:r>
      <w:r w:rsidR="00A32612" w:rsidRPr="004A069C">
        <w:rPr>
          <w:rFonts w:cs="Times New Roman"/>
          <w:bCs/>
          <w:szCs w:val="24"/>
          <w:shd w:val="clear" w:color="auto" w:fill="FFFFFF"/>
        </w:rPr>
        <w:t>s</w:t>
      </w:r>
      <w:r w:rsidRPr="004A069C">
        <w:rPr>
          <w:rFonts w:cs="Times New Roman"/>
          <w:bCs/>
          <w:szCs w:val="24"/>
          <w:shd w:val="clear" w:color="auto" w:fill="FFFFFF"/>
        </w:rPr>
        <w:t xml:space="preserve"> in Vietnam security market </w:t>
      </w:r>
      <w:r w:rsidR="00333491" w:rsidRPr="004A069C">
        <w:rPr>
          <w:rFonts w:cs="Times New Roman"/>
          <w:bCs/>
          <w:szCs w:val="24"/>
          <w:shd w:val="clear" w:color="auto" w:fill="FFFFFF"/>
        </w:rPr>
        <w:t>during</w:t>
      </w:r>
      <w:r w:rsidRPr="004A069C">
        <w:rPr>
          <w:rFonts w:cs="Times New Roman"/>
          <w:bCs/>
          <w:szCs w:val="24"/>
          <w:shd w:val="clear" w:color="auto" w:fill="FFFFFF"/>
        </w:rPr>
        <w:t xml:space="preserve"> the time they </w:t>
      </w:r>
      <w:r w:rsidR="00333491" w:rsidRPr="004A069C">
        <w:rPr>
          <w:rFonts w:cs="Times New Roman"/>
          <w:bCs/>
          <w:szCs w:val="24"/>
          <w:shd w:val="clear" w:color="auto" w:fill="FFFFFF"/>
        </w:rPr>
        <w:t>are</w:t>
      </w:r>
      <w:r w:rsidRPr="004A069C">
        <w:rPr>
          <w:rFonts w:cs="Times New Roman"/>
          <w:bCs/>
          <w:szCs w:val="24"/>
          <w:shd w:val="clear" w:color="auto" w:fill="FFFFFF"/>
        </w:rPr>
        <w:t xml:space="preserve"> insider silence. </w:t>
      </w:r>
      <w:r w:rsidR="00295707" w:rsidRPr="004A069C">
        <w:rPr>
          <w:rFonts w:cs="Times New Roman"/>
          <w:bCs/>
          <w:szCs w:val="24"/>
          <w:shd w:val="clear" w:color="auto" w:fill="FFFFFF"/>
        </w:rPr>
        <w:t>We</w:t>
      </w:r>
      <w:r w:rsidRPr="004A069C">
        <w:rPr>
          <w:rFonts w:cs="Times New Roman"/>
          <w:bCs/>
          <w:szCs w:val="24"/>
          <w:shd w:val="clear" w:color="auto" w:fill="FFFFFF"/>
        </w:rPr>
        <w:t xml:space="preserve"> test the available hypothesis about insider silence whether </w:t>
      </w:r>
      <w:r w:rsidR="00333491" w:rsidRPr="004A069C">
        <w:rPr>
          <w:rFonts w:cs="Times New Roman"/>
          <w:bCs/>
          <w:szCs w:val="24"/>
          <w:shd w:val="clear" w:color="auto" w:fill="FFFFFF"/>
        </w:rPr>
        <w:t>the results</w:t>
      </w:r>
      <w:r w:rsidR="00702808" w:rsidRPr="004A069C">
        <w:rPr>
          <w:rFonts w:cs="Times New Roman"/>
          <w:bCs/>
          <w:szCs w:val="24"/>
          <w:shd w:val="clear" w:color="auto" w:fill="FFFFFF"/>
        </w:rPr>
        <w:t xml:space="preserve"> </w:t>
      </w:r>
      <w:r w:rsidR="00333491" w:rsidRPr="004A069C">
        <w:rPr>
          <w:rFonts w:cs="Times New Roman"/>
          <w:bCs/>
          <w:szCs w:val="24"/>
          <w:shd w:val="clear" w:color="auto" w:fill="FFFFFF"/>
        </w:rPr>
        <w:t xml:space="preserve">in Vietnam market </w:t>
      </w:r>
      <w:r w:rsidR="00702808" w:rsidRPr="004A069C">
        <w:rPr>
          <w:rFonts w:cs="Times New Roman"/>
          <w:bCs/>
          <w:szCs w:val="24"/>
          <w:shd w:val="clear" w:color="auto" w:fill="FFFFFF"/>
        </w:rPr>
        <w:t>is</w:t>
      </w:r>
      <w:r w:rsidRPr="004A069C">
        <w:rPr>
          <w:rFonts w:cs="Times New Roman"/>
          <w:bCs/>
          <w:szCs w:val="24"/>
          <w:shd w:val="clear" w:color="auto" w:fill="FFFFFF"/>
        </w:rPr>
        <w:t xml:space="preserve"> still consistent </w:t>
      </w:r>
      <w:r w:rsidR="00333491" w:rsidRPr="004A069C">
        <w:rPr>
          <w:rFonts w:cs="Times New Roman"/>
          <w:bCs/>
          <w:szCs w:val="24"/>
          <w:shd w:val="clear" w:color="auto" w:fill="FFFFFF"/>
        </w:rPr>
        <w:t xml:space="preserve">with those </w:t>
      </w:r>
      <w:r w:rsidRPr="004A069C">
        <w:rPr>
          <w:rFonts w:cs="Times New Roman"/>
          <w:bCs/>
          <w:szCs w:val="24"/>
          <w:shd w:val="clear" w:color="auto" w:fill="FFFFFF"/>
        </w:rPr>
        <w:t xml:space="preserve">in </w:t>
      </w:r>
      <w:r w:rsidR="00333491" w:rsidRPr="004A069C">
        <w:rPr>
          <w:rFonts w:cs="Times New Roman"/>
          <w:bCs/>
          <w:szCs w:val="24"/>
          <w:shd w:val="clear" w:color="auto" w:fill="FFFFFF"/>
        </w:rPr>
        <w:t>U.S.</w:t>
      </w:r>
      <w:r w:rsidR="00C26CB9" w:rsidRPr="004A069C">
        <w:rPr>
          <w:rFonts w:cs="Times New Roman"/>
          <w:bCs/>
          <w:szCs w:val="24"/>
          <w:shd w:val="clear" w:color="auto" w:fill="FFFFFF"/>
        </w:rPr>
        <w:t xml:space="preserve"> stock market</w:t>
      </w:r>
      <w:r w:rsidRPr="004A069C">
        <w:rPr>
          <w:rFonts w:cs="Times New Roman"/>
          <w:bCs/>
          <w:szCs w:val="24"/>
          <w:shd w:val="clear" w:color="auto" w:fill="FFFFFF"/>
        </w:rPr>
        <w:t xml:space="preserve">. </w:t>
      </w:r>
    </w:p>
    <w:p w:rsidR="00A32612" w:rsidRPr="004A069C" w:rsidRDefault="00DF6FC5" w:rsidP="00E92203">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We</w:t>
      </w:r>
      <w:r w:rsidR="008E5CBB" w:rsidRPr="004A069C">
        <w:rPr>
          <w:rFonts w:cs="Times New Roman"/>
          <w:bCs/>
          <w:szCs w:val="24"/>
          <w:shd w:val="clear" w:color="auto" w:fill="FFFFFF"/>
        </w:rPr>
        <w:t xml:space="preserve"> can observe some </w:t>
      </w:r>
      <w:r w:rsidRPr="004A069C">
        <w:rPr>
          <w:rFonts w:cs="Times New Roman"/>
          <w:bCs/>
          <w:szCs w:val="24"/>
          <w:shd w:val="clear" w:color="auto" w:fill="FFFFFF"/>
        </w:rPr>
        <w:t>following</w:t>
      </w:r>
      <w:r w:rsidR="008E5CBB" w:rsidRPr="004A069C">
        <w:rPr>
          <w:rFonts w:cs="Times New Roman"/>
          <w:bCs/>
          <w:szCs w:val="24"/>
          <w:shd w:val="clear" w:color="auto" w:fill="FFFFFF"/>
        </w:rPr>
        <w:t xml:space="preserve"> findings</w:t>
      </w:r>
      <w:r w:rsidR="003D7038" w:rsidRPr="004A069C">
        <w:rPr>
          <w:rFonts w:cs="Times New Roman"/>
          <w:bCs/>
          <w:szCs w:val="24"/>
          <w:shd w:val="clear" w:color="auto" w:fill="FFFFFF"/>
        </w:rPr>
        <w:t xml:space="preserve"> </w:t>
      </w:r>
      <w:r w:rsidR="009A3CC0" w:rsidRPr="004A069C">
        <w:rPr>
          <w:rFonts w:cs="Times New Roman"/>
          <w:bCs/>
          <w:szCs w:val="24"/>
          <w:shd w:val="clear" w:color="auto" w:fill="FFFFFF"/>
        </w:rPr>
        <w:t>in</w:t>
      </w:r>
      <w:r w:rsidR="003D7038" w:rsidRPr="004A069C">
        <w:rPr>
          <w:rFonts w:cs="Times New Roman"/>
          <w:bCs/>
          <w:szCs w:val="24"/>
          <w:shd w:val="clear" w:color="auto" w:fill="FFFFFF"/>
        </w:rPr>
        <w:t xml:space="preserve"> Vietnam security market</w:t>
      </w:r>
      <w:r w:rsidR="008E5CBB" w:rsidRPr="004A069C">
        <w:rPr>
          <w:rFonts w:cs="Times New Roman"/>
          <w:bCs/>
          <w:szCs w:val="24"/>
          <w:shd w:val="clear" w:color="auto" w:fill="FFFFFF"/>
        </w:rPr>
        <w:t xml:space="preserve">. First, </w:t>
      </w:r>
      <w:r w:rsidR="003D7038" w:rsidRPr="004A069C">
        <w:rPr>
          <w:rFonts w:cs="Times New Roman"/>
          <w:bCs/>
          <w:szCs w:val="24"/>
          <w:shd w:val="clear" w:color="auto" w:fill="FFFFFF"/>
        </w:rPr>
        <w:t xml:space="preserve">firms which </w:t>
      </w:r>
      <w:r w:rsidR="009A3CC0" w:rsidRPr="004A069C">
        <w:rPr>
          <w:rFonts w:cs="Times New Roman"/>
          <w:bCs/>
          <w:szCs w:val="24"/>
          <w:shd w:val="clear" w:color="auto" w:fill="FFFFFF"/>
        </w:rPr>
        <w:t>are</w:t>
      </w:r>
      <w:r w:rsidR="003D7038" w:rsidRPr="004A069C">
        <w:rPr>
          <w:rFonts w:cs="Times New Roman"/>
          <w:bCs/>
          <w:szCs w:val="24"/>
          <w:shd w:val="clear" w:color="auto" w:fill="FFFFFF"/>
        </w:rPr>
        <w:t xml:space="preserve"> insider silence within the last 12 months have lower future 6</w:t>
      </w:r>
      <w:r w:rsidR="009A3CC0" w:rsidRPr="004A069C">
        <w:rPr>
          <w:rFonts w:cs="Times New Roman"/>
          <w:bCs/>
          <w:szCs w:val="24"/>
          <w:shd w:val="clear" w:color="auto" w:fill="FFFFFF"/>
        </w:rPr>
        <w:t>-</w:t>
      </w:r>
      <w:r w:rsidR="003D7038" w:rsidRPr="004A069C">
        <w:rPr>
          <w:rFonts w:cs="Times New Roman"/>
          <w:bCs/>
          <w:szCs w:val="24"/>
          <w:shd w:val="clear" w:color="auto" w:fill="FFFFFF"/>
        </w:rPr>
        <w:t>month cumulative abnormal return rather than firms which a</w:t>
      </w:r>
      <w:r w:rsidR="009A3CC0" w:rsidRPr="004A069C">
        <w:rPr>
          <w:rFonts w:cs="Times New Roman"/>
          <w:bCs/>
          <w:szCs w:val="24"/>
          <w:shd w:val="clear" w:color="auto" w:fill="FFFFFF"/>
        </w:rPr>
        <w:t>r</w:t>
      </w:r>
      <w:r w:rsidR="003D7038" w:rsidRPr="004A069C">
        <w:rPr>
          <w:rFonts w:cs="Times New Roman"/>
          <w:bCs/>
          <w:szCs w:val="24"/>
          <w:shd w:val="clear" w:color="auto" w:fill="FFFFFF"/>
        </w:rPr>
        <w:t xml:space="preserve">e insider sell at the same period. Second, when the litigation risk of the </w:t>
      </w:r>
      <w:r w:rsidR="009A3CC0" w:rsidRPr="004A069C">
        <w:rPr>
          <w:rFonts w:cs="Times New Roman"/>
          <w:bCs/>
          <w:szCs w:val="24"/>
          <w:shd w:val="clear" w:color="auto" w:fill="FFFFFF"/>
        </w:rPr>
        <w:t>firm</w:t>
      </w:r>
      <w:r w:rsidR="003D7038" w:rsidRPr="004A069C">
        <w:rPr>
          <w:rFonts w:cs="Times New Roman"/>
          <w:bCs/>
          <w:szCs w:val="24"/>
          <w:shd w:val="clear" w:color="auto" w:fill="FFFFFF"/>
        </w:rPr>
        <w:t xml:space="preserve"> increase</w:t>
      </w:r>
      <w:r w:rsidR="009A3CC0" w:rsidRPr="004A069C">
        <w:rPr>
          <w:rFonts w:cs="Times New Roman"/>
          <w:bCs/>
          <w:szCs w:val="24"/>
          <w:shd w:val="clear" w:color="auto" w:fill="FFFFFF"/>
        </w:rPr>
        <w:t>,</w:t>
      </w:r>
      <w:r w:rsidR="003D7038" w:rsidRPr="004A069C">
        <w:rPr>
          <w:rFonts w:cs="Times New Roman"/>
          <w:bCs/>
          <w:szCs w:val="24"/>
          <w:shd w:val="clear" w:color="auto" w:fill="FFFFFF"/>
        </w:rPr>
        <w:t xml:space="preserve"> insider silence firms will have more negative abnormal return than th</w:t>
      </w:r>
      <w:r w:rsidR="002E0EEC" w:rsidRPr="004A069C">
        <w:rPr>
          <w:rFonts w:cs="Times New Roman"/>
          <w:bCs/>
          <w:szCs w:val="24"/>
          <w:shd w:val="clear" w:color="auto" w:fill="FFFFFF"/>
        </w:rPr>
        <w:t>at in</w:t>
      </w:r>
      <w:r w:rsidR="003D7038" w:rsidRPr="004A069C">
        <w:rPr>
          <w:rFonts w:cs="Times New Roman"/>
          <w:bCs/>
          <w:szCs w:val="24"/>
          <w:shd w:val="clear" w:color="auto" w:fill="FFFFFF"/>
        </w:rPr>
        <w:t xml:space="preserve"> normal time. </w:t>
      </w:r>
      <w:r w:rsidRPr="004A069C">
        <w:rPr>
          <w:rFonts w:cs="Times New Roman"/>
          <w:bCs/>
          <w:szCs w:val="24"/>
          <w:shd w:val="clear" w:color="auto" w:fill="FFFFFF"/>
        </w:rPr>
        <w:t>However,</w:t>
      </w:r>
      <w:r w:rsidR="00FA437A" w:rsidRPr="004A069C">
        <w:rPr>
          <w:rFonts w:cs="Times New Roman"/>
          <w:bCs/>
          <w:szCs w:val="24"/>
          <w:shd w:val="clear" w:color="auto" w:fill="FFFFFF"/>
        </w:rPr>
        <w:t xml:space="preserve"> the statistic result in</w:t>
      </w:r>
      <w:r w:rsidR="003D7038" w:rsidRPr="004A069C">
        <w:rPr>
          <w:rFonts w:cs="Times New Roman"/>
          <w:bCs/>
          <w:szCs w:val="24"/>
          <w:shd w:val="clear" w:color="auto" w:fill="FFFFFF"/>
        </w:rPr>
        <w:t xml:space="preserve"> Vietnam seems weak when we use firm sigma as the proxy for litigation risk. Finally, there </w:t>
      </w:r>
      <w:r w:rsidR="009A3CC0" w:rsidRPr="004A069C">
        <w:rPr>
          <w:rFonts w:cs="Times New Roman"/>
          <w:bCs/>
          <w:szCs w:val="24"/>
          <w:shd w:val="clear" w:color="auto" w:fill="FFFFFF"/>
        </w:rPr>
        <w:t xml:space="preserve">is no or very little effect </w:t>
      </w:r>
      <w:r w:rsidR="003D7038" w:rsidRPr="004A069C">
        <w:rPr>
          <w:rFonts w:cs="Times New Roman"/>
          <w:bCs/>
          <w:szCs w:val="24"/>
          <w:shd w:val="clear" w:color="auto" w:fill="FFFFFF"/>
        </w:rPr>
        <w:t xml:space="preserve">when </w:t>
      </w:r>
      <w:r w:rsidR="009A3CC0" w:rsidRPr="004A069C">
        <w:rPr>
          <w:rFonts w:cs="Times New Roman"/>
          <w:bCs/>
          <w:szCs w:val="24"/>
          <w:shd w:val="clear" w:color="auto" w:fill="FFFFFF"/>
        </w:rPr>
        <w:t>the firms ar</w:t>
      </w:r>
      <w:r w:rsidR="003D7038" w:rsidRPr="004A069C">
        <w:rPr>
          <w:rFonts w:cs="Times New Roman"/>
          <w:bCs/>
          <w:szCs w:val="24"/>
          <w:shd w:val="clear" w:color="auto" w:fill="FFFFFF"/>
        </w:rPr>
        <w:t>e unconditional insider silence and sudden insider silence. In general,</w:t>
      </w:r>
      <w:r w:rsidR="00A32612" w:rsidRPr="004A069C">
        <w:rPr>
          <w:rFonts w:cs="Times New Roman"/>
          <w:bCs/>
          <w:szCs w:val="24"/>
          <w:shd w:val="clear" w:color="auto" w:fill="FFFFFF"/>
        </w:rPr>
        <w:t xml:space="preserve"> although</w:t>
      </w:r>
      <w:r w:rsidR="003D7038" w:rsidRPr="004A069C">
        <w:rPr>
          <w:rFonts w:cs="Times New Roman"/>
          <w:bCs/>
          <w:szCs w:val="24"/>
          <w:shd w:val="clear" w:color="auto" w:fill="FFFFFF"/>
        </w:rPr>
        <w:t xml:space="preserve"> </w:t>
      </w:r>
      <w:r w:rsidR="009A3CC0" w:rsidRPr="004A069C">
        <w:rPr>
          <w:rFonts w:cs="Times New Roman"/>
          <w:bCs/>
          <w:szCs w:val="24"/>
          <w:shd w:val="clear" w:color="auto" w:fill="FFFFFF"/>
        </w:rPr>
        <w:t>the results</w:t>
      </w:r>
      <w:r w:rsidR="00A32612" w:rsidRPr="004A069C">
        <w:rPr>
          <w:rFonts w:cs="Times New Roman"/>
          <w:bCs/>
          <w:szCs w:val="24"/>
          <w:shd w:val="clear" w:color="auto" w:fill="FFFFFF"/>
        </w:rPr>
        <w:t xml:space="preserve"> are weak, our findings are still consistent with the insider silence phenomenon. In the case of Vietnam security market, insider silence is </w:t>
      </w:r>
      <w:r w:rsidR="009A3CC0" w:rsidRPr="004A069C">
        <w:rPr>
          <w:rFonts w:cs="Times New Roman"/>
          <w:bCs/>
          <w:szCs w:val="24"/>
          <w:shd w:val="clear" w:color="auto" w:fill="FFFFFF"/>
        </w:rPr>
        <w:t xml:space="preserve">still </w:t>
      </w:r>
      <w:r w:rsidR="00A32612" w:rsidRPr="004A069C">
        <w:rPr>
          <w:rFonts w:cs="Times New Roman"/>
          <w:bCs/>
          <w:szCs w:val="24"/>
          <w:shd w:val="clear" w:color="auto" w:fill="FFFFFF"/>
        </w:rPr>
        <w:t xml:space="preserve">a signal for bad news and </w:t>
      </w:r>
      <w:r w:rsidRPr="004A069C">
        <w:rPr>
          <w:rFonts w:cs="Times New Roman"/>
          <w:bCs/>
          <w:szCs w:val="24"/>
          <w:shd w:val="clear" w:color="auto" w:fill="FFFFFF"/>
        </w:rPr>
        <w:t>results in negative</w:t>
      </w:r>
      <w:r w:rsidR="00A32612" w:rsidRPr="004A069C">
        <w:rPr>
          <w:rFonts w:cs="Times New Roman"/>
          <w:bCs/>
          <w:szCs w:val="24"/>
          <w:shd w:val="clear" w:color="auto" w:fill="FFFFFF"/>
        </w:rPr>
        <w:t xml:space="preserve"> future stock return. </w:t>
      </w:r>
    </w:p>
    <w:p w:rsidR="00B4549C" w:rsidRPr="004A069C" w:rsidRDefault="00A32612" w:rsidP="00E92203">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The results have been affect</w:t>
      </w:r>
      <w:r w:rsidR="00DF6FC5" w:rsidRPr="004A069C">
        <w:rPr>
          <w:rFonts w:cs="Times New Roman"/>
          <w:bCs/>
          <w:szCs w:val="24"/>
          <w:shd w:val="clear" w:color="auto" w:fill="FFFFFF"/>
        </w:rPr>
        <w:t>ed</w:t>
      </w:r>
      <w:r w:rsidRPr="004A069C">
        <w:rPr>
          <w:rFonts w:cs="Times New Roman"/>
          <w:bCs/>
          <w:szCs w:val="24"/>
          <w:shd w:val="clear" w:color="auto" w:fill="FFFFFF"/>
        </w:rPr>
        <w:t xml:space="preserve"> by some factors which may lead to some inaccura</w:t>
      </w:r>
      <w:r w:rsidR="00605B4C" w:rsidRPr="004A069C">
        <w:rPr>
          <w:rFonts w:cs="Times New Roman"/>
          <w:bCs/>
          <w:szCs w:val="24"/>
          <w:shd w:val="clear" w:color="auto" w:fill="FFFFFF"/>
        </w:rPr>
        <w:t>cy</w:t>
      </w:r>
      <w:r w:rsidRPr="004A069C">
        <w:rPr>
          <w:rFonts w:cs="Times New Roman"/>
          <w:bCs/>
          <w:szCs w:val="24"/>
          <w:shd w:val="clear" w:color="auto" w:fill="FFFFFF"/>
        </w:rPr>
        <w:t xml:space="preserve"> in our finding. Due to the time limitation, we cannot conduct the research in all available stocks </w:t>
      </w:r>
      <w:r w:rsidR="00605B4C" w:rsidRPr="004A069C">
        <w:rPr>
          <w:rFonts w:cs="Times New Roman"/>
          <w:bCs/>
          <w:szCs w:val="24"/>
          <w:shd w:val="clear" w:color="auto" w:fill="FFFFFF"/>
        </w:rPr>
        <w:t>in</w:t>
      </w:r>
      <w:r w:rsidRPr="004A069C">
        <w:rPr>
          <w:rFonts w:cs="Times New Roman"/>
          <w:bCs/>
          <w:szCs w:val="24"/>
          <w:shd w:val="clear" w:color="auto" w:fill="FFFFFF"/>
        </w:rPr>
        <w:t xml:space="preserve"> Vietnam </w:t>
      </w:r>
      <w:r w:rsidR="00605B4C" w:rsidRPr="004A069C">
        <w:rPr>
          <w:rFonts w:cs="Times New Roman"/>
          <w:bCs/>
          <w:szCs w:val="24"/>
          <w:shd w:val="clear" w:color="auto" w:fill="FFFFFF"/>
        </w:rPr>
        <w:t xml:space="preserve">stock market </w:t>
      </w:r>
      <w:r w:rsidRPr="004A069C">
        <w:rPr>
          <w:rFonts w:cs="Times New Roman"/>
          <w:bCs/>
          <w:szCs w:val="24"/>
          <w:shd w:val="clear" w:color="auto" w:fill="FFFFFF"/>
        </w:rPr>
        <w:t xml:space="preserve">and the </w:t>
      </w:r>
      <w:r w:rsidR="00605B4C" w:rsidRPr="004A069C">
        <w:rPr>
          <w:rFonts w:cs="Times New Roman"/>
          <w:bCs/>
          <w:szCs w:val="24"/>
          <w:shd w:val="clear" w:color="auto" w:fill="FFFFFF"/>
        </w:rPr>
        <w:t>eight</w:t>
      </w:r>
      <w:r w:rsidRPr="004A069C">
        <w:rPr>
          <w:rFonts w:cs="Times New Roman"/>
          <w:bCs/>
          <w:szCs w:val="24"/>
          <w:shd w:val="clear" w:color="auto" w:fill="FFFFFF"/>
        </w:rPr>
        <w:t xml:space="preserve"> year time period is a bit short. This shortage of time period mostly affect the hypothesis 3, when we need to check the insider trading activity in </w:t>
      </w:r>
      <w:r w:rsidR="00605B4C" w:rsidRPr="004A069C">
        <w:rPr>
          <w:rFonts w:cs="Times New Roman"/>
          <w:bCs/>
          <w:szCs w:val="24"/>
          <w:shd w:val="clear" w:color="auto" w:fill="FFFFFF"/>
        </w:rPr>
        <w:t>three</w:t>
      </w:r>
      <w:r w:rsidRPr="004A069C">
        <w:rPr>
          <w:rFonts w:cs="Times New Roman"/>
          <w:bCs/>
          <w:szCs w:val="24"/>
          <w:shd w:val="clear" w:color="auto" w:fill="FFFFFF"/>
        </w:rPr>
        <w:t xml:space="preserve"> continuous year. </w:t>
      </w:r>
      <w:r w:rsidR="00605B4C" w:rsidRPr="004A069C">
        <w:rPr>
          <w:rFonts w:cs="Times New Roman"/>
          <w:bCs/>
          <w:szCs w:val="24"/>
          <w:shd w:val="clear" w:color="auto" w:fill="FFFFFF"/>
        </w:rPr>
        <w:t>Since t</w:t>
      </w:r>
      <w:r w:rsidRPr="004A069C">
        <w:rPr>
          <w:rFonts w:cs="Times New Roman"/>
          <w:bCs/>
          <w:szCs w:val="24"/>
          <w:shd w:val="clear" w:color="auto" w:fill="FFFFFF"/>
        </w:rPr>
        <w:t>he financial data is collected from website</w:t>
      </w:r>
      <w:r w:rsidR="00605B4C" w:rsidRPr="004A069C">
        <w:rPr>
          <w:rFonts w:cs="Times New Roman"/>
          <w:bCs/>
          <w:szCs w:val="24"/>
          <w:shd w:val="clear" w:color="auto" w:fill="FFFFFF"/>
        </w:rPr>
        <w:t xml:space="preserve"> by ourselves</w:t>
      </w:r>
      <w:r w:rsidRPr="004A069C">
        <w:rPr>
          <w:rFonts w:cs="Times New Roman"/>
          <w:bCs/>
          <w:szCs w:val="24"/>
          <w:shd w:val="clear" w:color="auto" w:fill="FFFFFF"/>
        </w:rPr>
        <w:t xml:space="preserve">, there are some lacking of information and incompatible between different websites. </w:t>
      </w:r>
      <w:r w:rsidR="009E0095" w:rsidRPr="004A069C">
        <w:rPr>
          <w:rFonts w:cs="Times New Roman"/>
          <w:bCs/>
          <w:szCs w:val="24"/>
          <w:shd w:val="clear" w:color="auto" w:fill="FFFFFF"/>
        </w:rPr>
        <w:t xml:space="preserve">We collect data from many resource and the whole process is manually. Therefore, there may occur some errors which are unavoidable. </w:t>
      </w:r>
    </w:p>
    <w:p w:rsidR="008D19C6" w:rsidRPr="004A069C" w:rsidRDefault="00605B4C" w:rsidP="008D19C6">
      <w:pPr>
        <w:spacing w:line="360" w:lineRule="auto"/>
        <w:ind w:firstLine="720"/>
        <w:jc w:val="both"/>
        <w:rPr>
          <w:rFonts w:cs="Times New Roman"/>
          <w:bCs/>
          <w:szCs w:val="24"/>
          <w:shd w:val="clear" w:color="auto" w:fill="FFFFFF"/>
        </w:rPr>
      </w:pPr>
      <w:r w:rsidRPr="004A069C">
        <w:rPr>
          <w:rFonts w:cs="Times New Roman"/>
          <w:bCs/>
          <w:szCs w:val="24"/>
          <w:shd w:val="clear" w:color="auto" w:fill="FFFFFF"/>
        </w:rPr>
        <w:t>F</w:t>
      </w:r>
      <w:r w:rsidR="009E0095" w:rsidRPr="004A069C">
        <w:rPr>
          <w:rFonts w:cs="Times New Roman"/>
          <w:bCs/>
          <w:szCs w:val="24"/>
          <w:shd w:val="clear" w:color="auto" w:fill="FFFFFF"/>
        </w:rPr>
        <w:t>urther researches can conduct on a larger sample. For example, it can do with all the stock</w:t>
      </w:r>
      <w:r w:rsidRPr="004A069C">
        <w:rPr>
          <w:rFonts w:cs="Times New Roman"/>
          <w:bCs/>
          <w:szCs w:val="24"/>
          <w:shd w:val="clear" w:color="auto" w:fill="FFFFFF"/>
        </w:rPr>
        <w:t>s</w:t>
      </w:r>
      <w:r w:rsidR="009E0095" w:rsidRPr="004A069C">
        <w:rPr>
          <w:rFonts w:cs="Times New Roman"/>
          <w:bCs/>
          <w:szCs w:val="24"/>
          <w:shd w:val="clear" w:color="auto" w:fill="FFFFFF"/>
        </w:rPr>
        <w:t xml:space="preserve"> </w:t>
      </w:r>
      <w:r w:rsidRPr="004A069C">
        <w:rPr>
          <w:rFonts w:cs="Times New Roman"/>
          <w:bCs/>
          <w:szCs w:val="24"/>
          <w:shd w:val="clear" w:color="auto" w:fill="FFFFFF"/>
        </w:rPr>
        <w:t>in</w:t>
      </w:r>
      <w:r w:rsidR="009E0095" w:rsidRPr="004A069C">
        <w:rPr>
          <w:rFonts w:cs="Times New Roman"/>
          <w:bCs/>
          <w:szCs w:val="24"/>
          <w:shd w:val="clear" w:color="auto" w:fill="FFFFFF"/>
        </w:rPr>
        <w:t xml:space="preserve"> Vietnam market or a longer period result to have a better estimations.</w:t>
      </w:r>
      <w:r w:rsidR="00CE0FB8" w:rsidRPr="004A069C">
        <w:rPr>
          <w:rFonts w:cs="Times New Roman"/>
          <w:bCs/>
          <w:szCs w:val="24"/>
          <w:shd w:val="clear" w:color="auto" w:fill="FFFFFF"/>
        </w:rPr>
        <w:t xml:space="preserve"> </w:t>
      </w:r>
      <w:r w:rsidR="00FE5769" w:rsidRPr="004A069C">
        <w:rPr>
          <w:rFonts w:cs="Times New Roman"/>
          <w:bCs/>
          <w:szCs w:val="24"/>
          <w:shd w:val="clear" w:color="auto" w:fill="FFFFFF"/>
        </w:rPr>
        <w:t>The</w:t>
      </w:r>
      <w:r w:rsidR="00561BEC" w:rsidRPr="004A069C">
        <w:rPr>
          <w:rFonts w:cs="Times New Roman"/>
          <w:bCs/>
          <w:szCs w:val="24"/>
          <w:shd w:val="clear" w:color="auto" w:fill="FFFFFF"/>
        </w:rPr>
        <w:t xml:space="preserve"> trading volume of the market </w:t>
      </w:r>
      <w:r w:rsidR="00FE5769" w:rsidRPr="004A069C">
        <w:rPr>
          <w:rFonts w:cs="Times New Roman"/>
          <w:bCs/>
          <w:szCs w:val="24"/>
          <w:shd w:val="clear" w:color="auto" w:fill="FFFFFF"/>
        </w:rPr>
        <w:t xml:space="preserve">is another factors which may affect the insider trading. </w:t>
      </w:r>
      <w:r w:rsidR="00786CF6" w:rsidRPr="004A069C">
        <w:rPr>
          <w:rFonts w:cs="Times New Roman"/>
          <w:bCs/>
          <w:szCs w:val="24"/>
          <w:shd w:val="clear" w:color="auto" w:fill="FFFFFF"/>
        </w:rPr>
        <w:t>Because t</w:t>
      </w:r>
      <w:r w:rsidR="00FE5769" w:rsidRPr="004A069C">
        <w:rPr>
          <w:rFonts w:cs="Times New Roman"/>
          <w:bCs/>
          <w:szCs w:val="24"/>
          <w:shd w:val="clear" w:color="auto" w:fill="FFFFFF"/>
        </w:rPr>
        <w:t xml:space="preserve">his factors is ignored in our research, further papers may consider it to improve the result.  </w:t>
      </w:r>
      <w:r w:rsidR="00786CF6" w:rsidRPr="004A069C">
        <w:rPr>
          <w:rFonts w:eastAsia="新細明體" w:cs="Times New Roman" w:hint="eastAsia"/>
          <w:bCs/>
          <w:szCs w:val="24"/>
          <w:shd w:val="clear" w:color="auto" w:fill="FFFFFF"/>
          <w:lang w:eastAsia="zh-TW"/>
        </w:rPr>
        <w:t>F</w:t>
      </w:r>
      <w:r w:rsidR="00786CF6" w:rsidRPr="004A069C">
        <w:rPr>
          <w:rFonts w:eastAsia="新細明體" w:cs="Times New Roman"/>
          <w:bCs/>
          <w:szCs w:val="24"/>
          <w:shd w:val="clear" w:color="auto" w:fill="FFFFFF"/>
          <w:lang w:eastAsia="zh-TW"/>
        </w:rPr>
        <w:t xml:space="preserve">uture researchers can use </w:t>
      </w:r>
      <w:r w:rsidR="00786CF6" w:rsidRPr="004A069C">
        <w:rPr>
          <w:rFonts w:cs="Times New Roman"/>
          <w:bCs/>
          <w:szCs w:val="24"/>
          <w:shd w:val="clear" w:color="auto" w:fill="FFFFFF"/>
        </w:rPr>
        <w:t>free return or capital asset pricing model to calculate</w:t>
      </w:r>
      <w:r w:rsidR="009C0CBD" w:rsidRPr="004A069C">
        <w:rPr>
          <w:rFonts w:cs="Times New Roman"/>
          <w:bCs/>
          <w:szCs w:val="24"/>
          <w:shd w:val="clear" w:color="auto" w:fill="FFFFFF"/>
        </w:rPr>
        <w:t xml:space="preserve"> dependent variable to </w:t>
      </w:r>
      <w:r w:rsidR="00786CF6" w:rsidRPr="004A069C">
        <w:rPr>
          <w:rFonts w:cs="Times New Roman"/>
          <w:bCs/>
          <w:szCs w:val="24"/>
          <w:shd w:val="clear" w:color="auto" w:fill="FFFFFF"/>
        </w:rPr>
        <w:t>do</w:t>
      </w:r>
      <w:r w:rsidR="009C0CBD" w:rsidRPr="004A069C">
        <w:rPr>
          <w:rFonts w:cs="Times New Roman"/>
          <w:bCs/>
          <w:szCs w:val="24"/>
          <w:shd w:val="clear" w:color="auto" w:fill="FFFFFF"/>
        </w:rPr>
        <w:t xml:space="preserve"> the robustness </w:t>
      </w:r>
      <w:r w:rsidR="00786CF6" w:rsidRPr="004A069C">
        <w:rPr>
          <w:rFonts w:cs="Times New Roman"/>
          <w:bCs/>
          <w:szCs w:val="24"/>
          <w:shd w:val="clear" w:color="auto" w:fill="FFFFFF"/>
        </w:rPr>
        <w:t>check.</w:t>
      </w:r>
      <w:r w:rsidR="009C0CBD" w:rsidRPr="004A069C">
        <w:rPr>
          <w:rFonts w:cs="Times New Roman"/>
          <w:bCs/>
          <w:szCs w:val="24"/>
          <w:shd w:val="clear" w:color="auto" w:fill="FFFFFF"/>
        </w:rPr>
        <w:t xml:space="preserve"> </w:t>
      </w:r>
      <w:r w:rsidR="00782863" w:rsidRPr="004A069C">
        <w:rPr>
          <w:rFonts w:cs="Times New Roman"/>
          <w:bCs/>
          <w:szCs w:val="24"/>
          <w:shd w:val="clear" w:color="auto" w:fill="FFFFFF"/>
        </w:rPr>
        <w:t xml:space="preserve">To have a better result for hypothesis </w:t>
      </w:r>
      <w:r w:rsidR="00786CF6" w:rsidRPr="004A069C">
        <w:rPr>
          <w:rFonts w:cs="Times New Roman"/>
          <w:bCs/>
          <w:szCs w:val="24"/>
          <w:shd w:val="clear" w:color="auto" w:fill="FFFFFF"/>
        </w:rPr>
        <w:t>3,</w:t>
      </w:r>
      <w:r w:rsidR="00782863" w:rsidRPr="004A069C">
        <w:rPr>
          <w:rFonts w:cs="Times New Roman"/>
          <w:bCs/>
          <w:szCs w:val="24"/>
          <w:shd w:val="clear" w:color="auto" w:fill="FFFFFF"/>
        </w:rPr>
        <w:t xml:space="preserve"> </w:t>
      </w:r>
      <w:r w:rsidR="00786CF6" w:rsidRPr="004A069C">
        <w:rPr>
          <w:rFonts w:cs="Times New Roman"/>
          <w:bCs/>
          <w:szCs w:val="24"/>
          <w:shd w:val="clear" w:color="auto" w:fill="FFFFFF"/>
        </w:rPr>
        <w:t>future studies</w:t>
      </w:r>
      <w:r w:rsidR="00782863" w:rsidRPr="004A069C">
        <w:rPr>
          <w:rFonts w:cs="Times New Roman"/>
          <w:bCs/>
          <w:szCs w:val="24"/>
          <w:shd w:val="clear" w:color="auto" w:fill="FFFFFF"/>
        </w:rPr>
        <w:t xml:space="preserve"> can try new way of defining SSN and PPN such as the consecutive </w:t>
      </w:r>
      <w:r w:rsidR="00A13A05" w:rsidRPr="004A069C">
        <w:rPr>
          <w:rFonts w:cs="Times New Roman"/>
          <w:bCs/>
          <w:szCs w:val="24"/>
          <w:shd w:val="clear" w:color="auto" w:fill="FFFFFF"/>
        </w:rPr>
        <w:t>three</w:t>
      </w:r>
      <w:r w:rsidR="00FE5769" w:rsidRPr="004A069C">
        <w:rPr>
          <w:rFonts w:cs="Times New Roman"/>
          <w:bCs/>
          <w:szCs w:val="24"/>
          <w:shd w:val="clear" w:color="auto" w:fill="FFFFFF"/>
        </w:rPr>
        <w:t xml:space="preserve"> months in the same year</w:t>
      </w:r>
      <w:r w:rsidR="00A404E3" w:rsidRPr="004A069C">
        <w:rPr>
          <w:rFonts w:cs="Times New Roman"/>
          <w:bCs/>
          <w:szCs w:val="24"/>
          <w:shd w:val="clear" w:color="auto" w:fill="FFFFFF"/>
        </w:rPr>
        <w:t xml:space="preserve">. </w:t>
      </w:r>
      <w:bookmarkStart w:id="10" w:name="_Toc27623023"/>
    </w:p>
    <w:p w:rsidR="008D19C6" w:rsidRPr="004A069C" w:rsidRDefault="008D19C6" w:rsidP="008D19C6">
      <w:pPr>
        <w:spacing w:line="360" w:lineRule="auto"/>
        <w:ind w:firstLine="720"/>
        <w:jc w:val="both"/>
        <w:rPr>
          <w:rFonts w:cs="Times New Roman"/>
          <w:bCs/>
          <w:szCs w:val="24"/>
          <w:shd w:val="clear" w:color="auto" w:fill="FFFFFF"/>
        </w:rPr>
      </w:pPr>
    </w:p>
    <w:p w:rsidR="002E41CF" w:rsidRPr="004A069C" w:rsidRDefault="002E41CF" w:rsidP="008D19C6">
      <w:pPr>
        <w:spacing w:line="360" w:lineRule="auto"/>
        <w:jc w:val="both"/>
        <w:rPr>
          <w:rFonts w:cs="Times New Roman"/>
          <w:szCs w:val="24"/>
        </w:rPr>
      </w:pPr>
      <w:r w:rsidRPr="004A069C">
        <w:rPr>
          <w:rFonts w:cs="Times New Roman"/>
          <w:b/>
          <w:szCs w:val="28"/>
        </w:rPr>
        <w:t>Reference</w:t>
      </w:r>
      <w:bookmarkEnd w:id="10"/>
    </w:p>
    <w:p w:rsidR="002E41CF" w:rsidRPr="000A6B26" w:rsidRDefault="002E41CF" w:rsidP="00A43FBA">
      <w:pPr>
        <w:pStyle w:val="EndNoteBibliography"/>
        <w:numPr>
          <w:ilvl w:val="0"/>
          <w:numId w:val="12"/>
        </w:numPr>
        <w:spacing w:after="0" w:line="360" w:lineRule="auto"/>
        <w:rPr>
          <w:color w:val="000000" w:themeColor="text1"/>
          <w:szCs w:val="24"/>
        </w:rPr>
      </w:pPr>
      <w:r w:rsidRPr="004A069C">
        <w:rPr>
          <w:szCs w:val="24"/>
        </w:rPr>
        <w:t xml:space="preserve">Betzer, A., Metzger, D., &amp; Theissen, E. (2007). </w:t>
      </w:r>
      <w:r w:rsidRPr="004A069C">
        <w:rPr>
          <w:iCs/>
          <w:szCs w:val="24"/>
        </w:rPr>
        <w:t>Strategic trading by corporate insiders</w:t>
      </w:r>
      <w:r w:rsidRPr="004A069C">
        <w:rPr>
          <w:szCs w:val="24"/>
        </w:rPr>
        <w:t xml:space="preserve">. </w:t>
      </w:r>
      <w:r w:rsidRPr="000A6B26">
        <w:rPr>
          <w:color w:val="000000" w:themeColor="text1"/>
          <w:szCs w:val="24"/>
        </w:rPr>
        <w:t>Working Paper, University of Bonn.</w:t>
      </w:r>
    </w:p>
    <w:p w:rsidR="002E41CF" w:rsidRPr="000A6B26" w:rsidRDefault="002E41CF" w:rsidP="00A43FBA">
      <w:pPr>
        <w:pStyle w:val="EndNoteBibliography"/>
        <w:numPr>
          <w:ilvl w:val="0"/>
          <w:numId w:val="12"/>
        </w:numPr>
        <w:spacing w:after="0" w:line="360" w:lineRule="auto"/>
        <w:rPr>
          <w:color w:val="000000" w:themeColor="text1"/>
          <w:szCs w:val="24"/>
        </w:rPr>
      </w:pPr>
      <w:r w:rsidRPr="000A6B26">
        <w:rPr>
          <w:color w:val="000000" w:themeColor="text1"/>
          <w:szCs w:val="24"/>
        </w:rPr>
        <w:t xml:space="preserve">Cheuk, M.-Y., Fan, D. K., &amp; So, R. W. (2006). Insider trading in Hong Kong: Some stylized facts. </w:t>
      </w:r>
      <w:r w:rsidRPr="000A6B26">
        <w:rPr>
          <w:iCs/>
          <w:color w:val="000000" w:themeColor="text1"/>
          <w:szCs w:val="24"/>
        </w:rPr>
        <w:t>Pacific-Basin Finance Journal, 14</w:t>
      </w:r>
      <w:r w:rsidR="00FA437A" w:rsidRPr="000A6B26">
        <w:rPr>
          <w:color w:val="000000" w:themeColor="text1"/>
          <w:szCs w:val="24"/>
        </w:rPr>
        <w:t>(1), 73-90.</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Clacher, I., Hillier, D., &amp; Lhaopadchan, S. (2009). Corporate insider trading: A literature review. </w:t>
      </w:r>
      <w:r w:rsidRPr="004A069C">
        <w:rPr>
          <w:iCs/>
          <w:szCs w:val="24"/>
        </w:rPr>
        <w:t>Spanish Journal of Finance and Accounting, 38</w:t>
      </w:r>
      <w:r w:rsidRPr="004A069C">
        <w:rPr>
          <w:szCs w:val="24"/>
        </w:rPr>
        <w:t>(143), 373-397.</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Del Brio, E. B., Miguel, A., &amp; Perote, J. (2002). An investigation of insider trading profits in the Spanish stock market. </w:t>
      </w:r>
      <w:r w:rsidRPr="004A069C">
        <w:rPr>
          <w:iCs/>
          <w:szCs w:val="24"/>
        </w:rPr>
        <w:t>The Quarterly Review of Economics Finance, 42</w:t>
      </w:r>
      <w:r w:rsidRPr="004A069C">
        <w:rPr>
          <w:szCs w:val="24"/>
        </w:rPr>
        <w:t>(1), 73-94.</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Fama, E. F., &amp; MacBeth, J. D. (1973). Risk, return, and equilibrium: Empirical tests. </w:t>
      </w:r>
      <w:r w:rsidRPr="004A069C">
        <w:rPr>
          <w:iCs/>
          <w:szCs w:val="24"/>
        </w:rPr>
        <w:t>Journal of political economy, 81</w:t>
      </w:r>
      <w:r w:rsidRPr="004A069C">
        <w:rPr>
          <w:szCs w:val="24"/>
        </w:rPr>
        <w:t>(3), 607-636.</w:t>
      </w:r>
    </w:p>
    <w:p w:rsidR="002E41CF" w:rsidRPr="004A069C" w:rsidRDefault="002E41CF" w:rsidP="00A43FBA">
      <w:pPr>
        <w:pStyle w:val="EndNoteBibliography"/>
        <w:numPr>
          <w:ilvl w:val="0"/>
          <w:numId w:val="12"/>
        </w:numPr>
        <w:spacing w:after="0" w:line="360" w:lineRule="auto"/>
        <w:rPr>
          <w:szCs w:val="24"/>
        </w:rPr>
      </w:pPr>
      <w:r w:rsidRPr="004A069C">
        <w:rPr>
          <w:szCs w:val="24"/>
        </w:rPr>
        <w:t>Finnerty, J. E. (1976). Insiders and market efficiency.</w:t>
      </w:r>
      <w:r w:rsidRPr="004A069C">
        <w:rPr>
          <w:iCs/>
          <w:szCs w:val="24"/>
        </w:rPr>
        <w:t xml:space="preserve"> The Journal of Finance, 31</w:t>
      </w:r>
      <w:r w:rsidRPr="004A069C">
        <w:rPr>
          <w:szCs w:val="24"/>
        </w:rPr>
        <w:t>(4), 1141-1148.</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Gao, G., Ma, Q., &amp; Ng, D. T. (2015). The sound of silence: What do we know when insiders do not trade? </w:t>
      </w:r>
      <w:r w:rsidRPr="004A069C">
        <w:rPr>
          <w:iCs/>
          <w:szCs w:val="24"/>
        </w:rPr>
        <w:t>Johnson School Research Paper Series No. 3-2013</w:t>
      </w:r>
      <w:r w:rsidRPr="004A069C">
        <w:rPr>
          <w:szCs w:val="24"/>
        </w:rPr>
        <w:t>.</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Giglio, S., &amp; Shue, K. (2014). No news is news: do markets underreact to nothing? </w:t>
      </w:r>
      <w:r w:rsidRPr="004A069C">
        <w:rPr>
          <w:iCs/>
          <w:szCs w:val="24"/>
        </w:rPr>
        <w:t>The Review of Financial Studies, 27</w:t>
      </w:r>
      <w:r w:rsidR="00FA437A" w:rsidRPr="004A069C">
        <w:rPr>
          <w:szCs w:val="24"/>
        </w:rPr>
        <w:t>(12), 3389-3440.</w:t>
      </w:r>
    </w:p>
    <w:p w:rsidR="002E41CF" w:rsidRPr="004A069C" w:rsidRDefault="002E41CF" w:rsidP="00A43FBA">
      <w:pPr>
        <w:pStyle w:val="EndNoteBibliography"/>
        <w:numPr>
          <w:ilvl w:val="0"/>
          <w:numId w:val="12"/>
        </w:numPr>
        <w:spacing w:after="0" w:line="360" w:lineRule="auto"/>
        <w:rPr>
          <w:szCs w:val="24"/>
        </w:rPr>
      </w:pPr>
      <w:r w:rsidRPr="004A069C">
        <w:rPr>
          <w:szCs w:val="24"/>
        </w:rPr>
        <w:t xml:space="preserve">Hong, </w:t>
      </w:r>
      <w:r w:rsidR="00295707" w:rsidRPr="004A069C">
        <w:rPr>
          <w:szCs w:val="24"/>
        </w:rPr>
        <w:t>C. Y., &amp; Li, F. W. (2019). The information content of sudden insider s</w:t>
      </w:r>
      <w:r w:rsidRPr="004A069C">
        <w:rPr>
          <w:szCs w:val="24"/>
        </w:rPr>
        <w:t xml:space="preserve">ilence. </w:t>
      </w:r>
      <w:r w:rsidRPr="004A069C">
        <w:rPr>
          <w:iCs/>
          <w:szCs w:val="24"/>
        </w:rPr>
        <w:t>Journal of Financial Quantitative Analysis, 54</w:t>
      </w:r>
      <w:r w:rsidRPr="004A069C">
        <w:rPr>
          <w:szCs w:val="24"/>
        </w:rPr>
        <w:t>(4), 1499-1538.</w:t>
      </w:r>
    </w:p>
    <w:p w:rsidR="00FA437A" w:rsidRPr="004A069C" w:rsidRDefault="002E41CF" w:rsidP="00A43FBA">
      <w:pPr>
        <w:pStyle w:val="EndNoteBibliography"/>
        <w:numPr>
          <w:ilvl w:val="0"/>
          <w:numId w:val="12"/>
        </w:numPr>
        <w:spacing w:line="360" w:lineRule="auto"/>
        <w:rPr>
          <w:iCs/>
          <w:szCs w:val="24"/>
        </w:rPr>
      </w:pPr>
      <w:r w:rsidRPr="004A069C">
        <w:rPr>
          <w:szCs w:val="24"/>
        </w:rPr>
        <w:t xml:space="preserve">Jaffe, J. F. (1974). Special information and insider trading. </w:t>
      </w:r>
      <w:r w:rsidRPr="004A069C">
        <w:rPr>
          <w:iCs/>
          <w:szCs w:val="24"/>
        </w:rPr>
        <w:t>The Journal of Business, 47</w:t>
      </w:r>
      <w:r w:rsidRPr="004A069C">
        <w:rPr>
          <w:szCs w:val="24"/>
        </w:rPr>
        <w:t>(3), 410-428.</w:t>
      </w:r>
    </w:p>
    <w:p w:rsidR="002E41CF" w:rsidRPr="004A069C" w:rsidRDefault="002E41CF" w:rsidP="00A43FBA">
      <w:pPr>
        <w:pStyle w:val="EndNoteBibliography"/>
        <w:numPr>
          <w:ilvl w:val="0"/>
          <w:numId w:val="12"/>
        </w:numPr>
        <w:spacing w:line="360" w:lineRule="auto"/>
        <w:rPr>
          <w:iCs/>
          <w:szCs w:val="24"/>
        </w:rPr>
      </w:pPr>
      <w:r w:rsidRPr="004A069C">
        <w:rPr>
          <w:szCs w:val="24"/>
        </w:rPr>
        <w:t xml:space="preserve">Jenter, D. (2005). Market timing and managerial portfolio decisions. </w:t>
      </w:r>
      <w:r w:rsidRPr="004A069C">
        <w:rPr>
          <w:iCs/>
          <w:szCs w:val="24"/>
        </w:rPr>
        <w:t>The Journal of Finance, 60</w:t>
      </w:r>
      <w:r w:rsidRPr="004A069C">
        <w:rPr>
          <w:szCs w:val="24"/>
        </w:rPr>
        <w:t>(4), 1903-1949.</w:t>
      </w:r>
    </w:p>
    <w:p w:rsidR="002E41CF" w:rsidRPr="000A6B26" w:rsidRDefault="002E41CF" w:rsidP="00A43FBA">
      <w:pPr>
        <w:pStyle w:val="EndNoteBibliography"/>
        <w:numPr>
          <w:ilvl w:val="0"/>
          <w:numId w:val="12"/>
        </w:numPr>
        <w:spacing w:after="0" w:line="360" w:lineRule="auto"/>
        <w:rPr>
          <w:color w:val="000000" w:themeColor="text1"/>
          <w:szCs w:val="24"/>
        </w:rPr>
      </w:pPr>
      <w:r w:rsidRPr="000A6B26">
        <w:rPr>
          <w:color w:val="000000" w:themeColor="text1"/>
          <w:szCs w:val="24"/>
        </w:rPr>
        <w:t xml:space="preserve">Kim, I., &amp; Skinner, D. J. (2012). Measuring securities litigation risk. </w:t>
      </w:r>
      <w:r w:rsidRPr="000A6B26">
        <w:rPr>
          <w:iCs/>
          <w:color w:val="000000" w:themeColor="text1"/>
          <w:szCs w:val="24"/>
        </w:rPr>
        <w:t>Journal of Accounting Economics, 53</w:t>
      </w:r>
      <w:r w:rsidRPr="000A6B26">
        <w:rPr>
          <w:color w:val="000000" w:themeColor="text1"/>
          <w:szCs w:val="24"/>
        </w:rPr>
        <w:t>(1-2), 290-310.</w:t>
      </w:r>
    </w:p>
    <w:p w:rsidR="002E41CF" w:rsidRPr="0082104E" w:rsidRDefault="002E41CF" w:rsidP="00A43FBA">
      <w:pPr>
        <w:pStyle w:val="EndNoteBibliography"/>
        <w:numPr>
          <w:ilvl w:val="0"/>
          <w:numId w:val="12"/>
        </w:numPr>
        <w:spacing w:after="0" w:line="360" w:lineRule="auto"/>
        <w:rPr>
          <w:color w:val="000000" w:themeColor="text1"/>
          <w:szCs w:val="24"/>
        </w:rPr>
      </w:pPr>
      <w:r w:rsidRPr="0082104E">
        <w:rPr>
          <w:color w:val="000000" w:themeColor="text1"/>
          <w:szCs w:val="24"/>
        </w:rPr>
        <w:t>King, M., &amp; Roell, A. (1988). Insider trading.</w:t>
      </w:r>
      <w:r w:rsidRPr="0082104E">
        <w:rPr>
          <w:iCs/>
          <w:color w:val="000000" w:themeColor="text1"/>
          <w:szCs w:val="24"/>
        </w:rPr>
        <w:t xml:space="preserve"> Economic policy, 3</w:t>
      </w:r>
      <w:r w:rsidRPr="0082104E">
        <w:rPr>
          <w:color w:val="000000" w:themeColor="text1"/>
          <w:szCs w:val="24"/>
        </w:rPr>
        <w:t>(6), 163-193.</w:t>
      </w:r>
    </w:p>
    <w:p w:rsidR="002E41CF" w:rsidRPr="0082104E" w:rsidRDefault="002E41CF" w:rsidP="00A43FBA">
      <w:pPr>
        <w:pStyle w:val="EndNoteBibliography"/>
        <w:numPr>
          <w:ilvl w:val="0"/>
          <w:numId w:val="12"/>
        </w:numPr>
        <w:spacing w:line="360" w:lineRule="auto"/>
        <w:rPr>
          <w:color w:val="000000" w:themeColor="text1"/>
          <w:szCs w:val="24"/>
        </w:rPr>
      </w:pPr>
      <w:r w:rsidRPr="004A069C">
        <w:rPr>
          <w:szCs w:val="24"/>
        </w:rPr>
        <w:t xml:space="preserve">Lefebvre, J., &amp; Nguyen, T. H. (2016). Legal Insider Trading in Vietnam: Market </w:t>
      </w:r>
      <w:r w:rsidRPr="0082104E">
        <w:rPr>
          <w:color w:val="000000" w:themeColor="text1"/>
          <w:szCs w:val="24"/>
        </w:rPr>
        <w:t xml:space="preserve">Reactions to Pre-Trade Announcements. </w:t>
      </w:r>
      <w:r w:rsidRPr="0082104E">
        <w:rPr>
          <w:iCs/>
          <w:color w:val="000000" w:themeColor="text1"/>
          <w:szCs w:val="24"/>
        </w:rPr>
        <w:t>IÉSEG School of Management Research Paper</w:t>
      </w:r>
      <w:r w:rsidRPr="0082104E">
        <w:rPr>
          <w:color w:val="000000" w:themeColor="text1"/>
          <w:szCs w:val="24"/>
        </w:rPr>
        <w:t xml:space="preserve">. </w:t>
      </w:r>
    </w:p>
    <w:p w:rsidR="002E41CF" w:rsidRPr="0082104E" w:rsidRDefault="002E41CF" w:rsidP="00A43FBA">
      <w:pPr>
        <w:pStyle w:val="EndNoteBibliography"/>
        <w:numPr>
          <w:ilvl w:val="0"/>
          <w:numId w:val="12"/>
        </w:numPr>
        <w:spacing w:line="360" w:lineRule="auto"/>
        <w:rPr>
          <w:color w:val="000000" w:themeColor="text1"/>
          <w:szCs w:val="24"/>
        </w:rPr>
      </w:pPr>
      <w:r w:rsidRPr="0082104E">
        <w:rPr>
          <w:color w:val="000000" w:themeColor="text1"/>
          <w:szCs w:val="24"/>
        </w:rPr>
        <w:t xml:space="preserve">Marin, J. M., &amp; Olivier, J. P. (2008). The dog that did not bark: Insider trading and crashes. </w:t>
      </w:r>
      <w:r w:rsidRPr="0082104E">
        <w:rPr>
          <w:iCs/>
          <w:color w:val="000000" w:themeColor="text1"/>
          <w:szCs w:val="24"/>
        </w:rPr>
        <w:t>The Journal of Finance, 63</w:t>
      </w:r>
      <w:r w:rsidRPr="0082104E">
        <w:rPr>
          <w:color w:val="000000" w:themeColor="text1"/>
          <w:szCs w:val="24"/>
        </w:rPr>
        <w:t xml:space="preserve">(5), 2429-2476. </w:t>
      </w:r>
    </w:p>
    <w:p w:rsidR="002E41CF" w:rsidRPr="004A069C" w:rsidRDefault="002E41CF" w:rsidP="00A43FBA">
      <w:pPr>
        <w:pStyle w:val="EndNoteBibliography"/>
        <w:numPr>
          <w:ilvl w:val="0"/>
          <w:numId w:val="12"/>
        </w:numPr>
        <w:spacing w:line="360" w:lineRule="auto"/>
        <w:rPr>
          <w:szCs w:val="24"/>
        </w:rPr>
      </w:pPr>
      <w:r w:rsidRPr="004A069C">
        <w:rPr>
          <w:szCs w:val="24"/>
        </w:rPr>
        <w:t xml:space="preserve">Mazurkiewicz, K., &amp; Wronska-Bukalska, E. (2015). </w:t>
      </w:r>
      <w:r w:rsidRPr="004A069C">
        <w:rPr>
          <w:iCs/>
          <w:szCs w:val="24"/>
        </w:rPr>
        <w:t>Trading Stock on Inside Information.</w:t>
      </w:r>
      <w:r w:rsidRPr="004A069C">
        <w:rPr>
          <w:szCs w:val="24"/>
        </w:rPr>
        <w:t xml:space="preserve"> Paper presented at the Managing Intellectual Capital and Innovation for Sustainable and Inclusive Society: Managing Intellectual Capital and Innovation; Proceedings of the MakeLearn and TIIM Joint International Conference 2015. </w:t>
      </w:r>
    </w:p>
    <w:p w:rsidR="00FA437A" w:rsidRPr="004A069C" w:rsidRDefault="002E41CF" w:rsidP="00A43FBA">
      <w:pPr>
        <w:pStyle w:val="EndNoteBibliography"/>
        <w:numPr>
          <w:ilvl w:val="0"/>
          <w:numId w:val="12"/>
        </w:numPr>
        <w:spacing w:line="360" w:lineRule="auto"/>
        <w:rPr>
          <w:szCs w:val="24"/>
        </w:rPr>
      </w:pPr>
      <w:r w:rsidRPr="004A069C">
        <w:rPr>
          <w:szCs w:val="24"/>
        </w:rPr>
        <w:t xml:space="preserve">Pope, P. F., Morris, R. C., &amp; Peel, D. A. (1990). Insider Trading: Some Evidence On Market Efficiency And Directors'share Dealings In Great Britain. </w:t>
      </w:r>
      <w:r w:rsidRPr="004A069C">
        <w:rPr>
          <w:iCs/>
          <w:szCs w:val="24"/>
        </w:rPr>
        <w:t>Journal of Business Finance Accounting, 17</w:t>
      </w:r>
      <w:r w:rsidR="00FA437A" w:rsidRPr="004A069C">
        <w:rPr>
          <w:szCs w:val="24"/>
        </w:rPr>
        <w:t xml:space="preserve">(3), 359-380. </w:t>
      </w:r>
    </w:p>
    <w:p w:rsidR="002E41CF" w:rsidRPr="004A069C" w:rsidRDefault="002E41CF" w:rsidP="00A43FBA">
      <w:pPr>
        <w:pStyle w:val="EndNoteBibliography"/>
        <w:numPr>
          <w:ilvl w:val="0"/>
          <w:numId w:val="12"/>
        </w:numPr>
        <w:spacing w:line="360" w:lineRule="auto"/>
        <w:rPr>
          <w:szCs w:val="24"/>
        </w:rPr>
      </w:pPr>
      <w:r w:rsidRPr="004A069C">
        <w:rPr>
          <w:szCs w:val="24"/>
        </w:rPr>
        <w:t xml:space="preserve">Pratt, S. P., &amp; DeVere, C. W. (1970). </w:t>
      </w:r>
      <w:r w:rsidRPr="004A069C">
        <w:rPr>
          <w:iCs/>
          <w:szCs w:val="24"/>
        </w:rPr>
        <w:t>Relationship between insider trading and rates of return for NYSE common stocks, 1960-1966</w:t>
      </w:r>
      <w:r w:rsidRPr="004A069C">
        <w:rPr>
          <w:szCs w:val="24"/>
        </w:rPr>
        <w:t xml:space="preserve">: Praeger Publishers. New York. </w:t>
      </w:r>
    </w:p>
    <w:p w:rsidR="002E41CF" w:rsidRPr="004A069C" w:rsidRDefault="002E41CF" w:rsidP="00A43FBA">
      <w:pPr>
        <w:pStyle w:val="EndNoteBibliography"/>
        <w:numPr>
          <w:ilvl w:val="0"/>
          <w:numId w:val="12"/>
        </w:numPr>
        <w:spacing w:line="360" w:lineRule="auto"/>
        <w:rPr>
          <w:szCs w:val="24"/>
        </w:rPr>
      </w:pPr>
      <w:r w:rsidRPr="004A069C">
        <w:rPr>
          <w:szCs w:val="24"/>
        </w:rPr>
        <w:t>Seyhun, H. (1986). Nejat, 1998, Investment intelligence from insider trading. In: MIT Press, Cambridge, MA.</w:t>
      </w:r>
    </w:p>
    <w:p w:rsidR="005344FF" w:rsidRPr="004A069C" w:rsidRDefault="002E41CF" w:rsidP="00E92203">
      <w:pPr>
        <w:spacing w:line="360" w:lineRule="auto"/>
        <w:rPr>
          <w:rFonts w:cs="Times New Roman"/>
          <w:szCs w:val="24"/>
        </w:rPr>
      </w:pPr>
      <w:r w:rsidRPr="004A069C">
        <w:rPr>
          <w:rFonts w:cs="Times New Roman"/>
          <w:szCs w:val="24"/>
        </w:rPr>
        <w:br w:type="page"/>
      </w:r>
    </w:p>
    <w:p w:rsidR="0074313B" w:rsidRPr="004A069C" w:rsidRDefault="00D63C84" w:rsidP="00D63C84">
      <w:pPr>
        <w:pStyle w:val="1"/>
        <w:rPr>
          <w:rStyle w:val="ac"/>
          <w:b/>
          <w:bCs w:val="0"/>
          <w:sz w:val="24"/>
          <w:szCs w:val="24"/>
        </w:rPr>
      </w:pPr>
      <w:bookmarkStart w:id="11" w:name="_Toc27625324"/>
      <w:r w:rsidRPr="004A069C">
        <w:rPr>
          <w:rStyle w:val="ac"/>
          <w:b/>
          <w:bCs w:val="0"/>
          <w:sz w:val="24"/>
          <w:szCs w:val="24"/>
        </w:rPr>
        <w:t xml:space="preserve">Table </w:t>
      </w:r>
      <w:r w:rsidRPr="004A069C">
        <w:rPr>
          <w:rStyle w:val="ac"/>
          <w:b/>
          <w:bCs w:val="0"/>
          <w:sz w:val="24"/>
          <w:szCs w:val="24"/>
        </w:rPr>
        <w:fldChar w:fldCharType="begin"/>
      </w:r>
      <w:r w:rsidRPr="004A069C">
        <w:rPr>
          <w:rStyle w:val="ac"/>
          <w:b/>
          <w:bCs w:val="0"/>
          <w:sz w:val="24"/>
          <w:szCs w:val="24"/>
        </w:rPr>
        <w:instrText xml:space="preserve"> SEQ Table \* ARABIC </w:instrText>
      </w:r>
      <w:r w:rsidRPr="004A069C">
        <w:rPr>
          <w:rStyle w:val="ac"/>
          <w:b/>
          <w:bCs w:val="0"/>
          <w:sz w:val="24"/>
          <w:szCs w:val="24"/>
        </w:rPr>
        <w:fldChar w:fldCharType="separate"/>
      </w:r>
      <w:r w:rsidRPr="004A069C">
        <w:rPr>
          <w:rStyle w:val="ac"/>
          <w:b/>
          <w:bCs w:val="0"/>
          <w:noProof/>
          <w:sz w:val="24"/>
          <w:szCs w:val="24"/>
        </w:rPr>
        <w:t>1</w:t>
      </w:r>
      <w:r w:rsidRPr="004A069C">
        <w:rPr>
          <w:rStyle w:val="ac"/>
          <w:b/>
          <w:bCs w:val="0"/>
          <w:sz w:val="24"/>
          <w:szCs w:val="24"/>
        </w:rPr>
        <w:fldChar w:fldCharType="end"/>
      </w:r>
      <w:r w:rsidRPr="004A069C">
        <w:rPr>
          <w:rStyle w:val="ac"/>
          <w:b/>
          <w:bCs w:val="0"/>
          <w:sz w:val="24"/>
          <w:szCs w:val="24"/>
        </w:rPr>
        <w:t xml:space="preserve">: </w:t>
      </w:r>
      <w:r w:rsidR="0074313B" w:rsidRPr="004A069C">
        <w:rPr>
          <w:rStyle w:val="ac"/>
          <w:b/>
          <w:bCs w:val="0"/>
          <w:sz w:val="24"/>
          <w:szCs w:val="24"/>
        </w:rPr>
        <w:t>Summary Statistic</w:t>
      </w:r>
      <w:bookmarkEnd w:id="11"/>
    </w:p>
    <w:p w:rsidR="002D475A" w:rsidRPr="004A069C" w:rsidRDefault="002D475A" w:rsidP="002D475A">
      <w:pPr>
        <w:rPr>
          <w:szCs w:val="24"/>
        </w:rPr>
      </w:pPr>
    </w:p>
    <w:p w:rsidR="002D475A" w:rsidRPr="004A069C" w:rsidRDefault="002D475A" w:rsidP="002D475A">
      <w:pPr>
        <w:spacing w:line="360" w:lineRule="auto"/>
        <w:ind w:right="240" w:firstLine="720"/>
        <w:jc w:val="both"/>
        <w:rPr>
          <w:rFonts w:cs="Times New Roman"/>
          <w:szCs w:val="24"/>
        </w:rPr>
      </w:pPr>
      <w:r w:rsidRPr="004A069C">
        <w:rPr>
          <w:rFonts w:cs="Times New Roman"/>
          <w:szCs w:val="24"/>
        </w:rPr>
        <w:t xml:space="preserve">This </w:t>
      </w:r>
      <w:r w:rsidR="00385740" w:rsidRPr="004A069C">
        <w:rPr>
          <w:rFonts w:cs="Times New Roman"/>
          <w:szCs w:val="24"/>
        </w:rPr>
        <w:t>t</w:t>
      </w:r>
      <w:r w:rsidRPr="004A069C">
        <w:rPr>
          <w:rFonts w:cs="Times New Roman"/>
          <w:szCs w:val="24"/>
        </w:rPr>
        <w:t>able report</w:t>
      </w:r>
      <w:r w:rsidR="00385740" w:rsidRPr="004A069C">
        <w:rPr>
          <w:rFonts w:cs="Times New Roman"/>
          <w:szCs w:val="24"/>
        </w:rPr>
        <w:t>s</w:t>
      </w:r>
      <w:r w:rsidRPr="004A069C">
        <w:rPr>
          <w:rFonts w:cs="Times New Roman"/>
          <w:szCs w:val="24"/>
        </w:rPr>
        <w:t xml:space="preserve"> the summary statistic of the main variable</w:t>
      </w:r>
      <w:r w:rsidR="00385740" w:rsidRPr="004A069C">
        <w:rPr>
          <w:rFonts w:cs="Times New Roman"/>
          <w:szCs w:val="24"/>
        </w:rPr>
        <w:t>s</w:t>
      </w:r>
      <w:r w:rsidRPr="004A069C">
        <w:rPr>
          <w:rFonts w:cs="Times New Roman"/>
          <w:szCs w:val="24"/>
        </w:rPr>
        <w:t xml:space="preserve"> which includ</w:t>
      </w:r>
      <w:r w:rsidR="00385740" w:rsidRPr="004A069C">
        <w:rPr>
          <w:rFonts w:cs="Times New Roman"/>
          <w:szCs w:val="24"/>
        </w:rPr>
        <w:t>e</w:t>
      </w:r>
      <w:r w:rsidRPr="004A069C">
        <w:rPr>
          <w:rFonts w:cs="Times New Roman"/>
          <w:szCs w:val="24"/>
        </w:rPr>
        <w:t xml:space="preserve"> the pooled mean, median, maximum value, minimum value, standard deviation, skewness, and sum. The sample period is from January 2010 to December 2018. The </w:t>
      </w:r>
      <w:r w:rsidR="003C35C4" w:rsidRPr="004A069C">
        <w:rPr>
          <w:rFonts w:cs="Times New Roman"/>
          <w:szCs w:val="24"/>
        </w:rPr>
        <w:t>definit</w:t>
      </w:r>
      <w:r w:rsidRPr="004A069C">
        <w:rPr>
          <w:rFonts w:cs="Times New Roman"/>
          <w:szCs w:val="24"/>
        </w:rPr>
        <w:t>ion of e</w:t>
      </w:r>
      <w:r w:rsidR="00763296" w:rsidRPr="004A069C">
        <w:rPr>
          <w:rFonts w:cs="Times New Roman"/>
          <w:szCs w:val="24"/>
        </w:rPr>
        <w:t>very</w:t>
      </w:r>
      <w:r w:rsidRPr="004A069C">
        <w:rPr>
          <w:rFonts w:cs="Times New Roman"/>
          <w:szCs w:val="24"/>
        </w:rPr>
        <w:t xml:space="preserve"> </w:t>
      </w:r>
      <w:r w:rsidR="00A13A05" w:rsidRPr="004A069C">
        <w:rPr>
          <w:rFonts w:cs="Times New Roman"/>
          <w:szCs w:val="24"/>
        </w:rPr>
        <w:t xml:space="preserve">variable </w:t>
      </w:r>
      <w:r w:rsidR="00763296" w:rsidRPr="004A069C">
        <w:rPr>
          <w:rFonts w:cs="Times New Roman"/>
          <w:szCs w:val="24"/>
        </w:rPr>
        <w:t>is</w:t>
      </w:r>
      <w:r w:rsidR="003C35C4" w:rsidRPr="004A069C">
        <w:rPr>
          <w:rFonts w:cs="Times New Roman"/>
          <w:szCs w:val="24"/>
        </w:rPr>
        <w:t xml:space="preserve"> presente</w:t>
      </w:r>
      <w:r w:rsidR="00A13A05" w:rsidRPr="004A069C">
        <w:rPr>
          <w:rFonts w:cs="Times New Roman"/>
          <w:szCs w:val="24"/>
        </w:rPr>
        <w:t>d in Appendix.</w:t>
      </w:r>
    </w:p>
    <w:p w:rsidR="00A13A05" w:rsidRPr="004A069C" w:rsidRDefault="00A13A05" w:rsidP="002D475A">
      <w:pPr>
        <w:spacing w:line="360" w:lineRule="auto"/>
        <w:ind w:right="240" w:firstLine="720"/>
        <w:jc w:val="both"/>
        <w:rPr>
          <w:rFonts w:cs="Times New Roman"/>
          <w:szCs w:val="24"/>
        </w:rPr>
      </w:pPr>
    </w:p>
    <w:p w:rsidR="00A13A05" w:rsidRPr="004A069C" w:rsidRDefault="00A13A05" w:rsidP="002D475A">
      <w:pPr>
        <w:spacing w:line="360" w:lineRule="auto"/>
        <w:ind w:right="240" w:firstLine="720"/>
        <w:jc w:val="both"/>
        <w:rPr>
          <w:rFonts w:cs="Times New Roman"/>
          <w:szCs w:val="24"/>
        </w:rPr>
      </w:pPr>
    </w:p>
    <w:tbl>
      <w:tblPr>
        <w:tblStyle w:val="a8"/>
        <w:tblpPr w:leftFromText="180" w:rightFromText="180" w:vertAnchor="page" w:horzAnchor="margin" w:tblpXSpec="center" w:tblpY="4231"/>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876"/>
        <w:gridCol w:w="950"/>
        <w:gridCol w:w="1216"/>
        <w:gridCol w:w="1177"/>
        <w:gridCol w:w="1247"/>
        <w:gridCol w:w="1163"/>
        <w:gridCol w:w="1356"/>
        <w:gridCol w:w="696"/>
      </w:tblGrid>
      <w:tr w:rsidR="002D475A" w:rsidRPr="004A069C" w:rsidTr="00A13A05">
        <w:trPr>
          <w:trHeight w:val="315"/>
        </w:trPr>
        <w:tc>
          <w:tcPr>
            <w:tcW w:w="1192" w:type="dxa"/>
            <w:tcBorders>
              <w:top w:val="single" w:sz="4" w:space="0" w:color="auto"/>
              <w:bottom w:val="single" w:sz="4" w:space="0" w:color="auto"/>
            </w:tcBorders>
            <w:noWrap/>
            <w:hideMark/>
          </w:tcPr>
          <w:p w:rsidR="002D475A" w:rsidRPr="004A069C" w:rsidRDefault="002D475A" w:rsidP="00A13A05">
            <w:pPr>
              <w:spacing w:line="360" w:lineRule="auto"/>
              <w:rPr>
                <w:rFonts w:eastAsia="Times New Roman" w:cs="Times New Roman"/>
                <w:szCs w:val="24"/>
              </w:rPr>
            </w:pPr>
          </w:p>
        </w:tc>
        <w:tc>
          <w:tcPr>
            <w:tcW w:w="876"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Mean</w:t>
            </w:r>
          </w:p>
        </w:tc>
        <w:tc>
          <w:tcPr>
            <w:tcW w:w="950"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Median</w:t>
            </w:r>
          </w:p>
        </w:tc>
        <w:tc>
          <w:tcPr>
            <w:tcW w:w="1216"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Maximum</w:t>
            </w:r>
          </w:p>
        </w:tc>
        <w:tc>
          <w:tcPr>
            <w:tcW w:w="1177"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Minimum</w:t>
            </w:r>
          </w:p>
        </w:tc>
        <w:tc>
          <w:tcPr>
            <w:tcW w:w="1247"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Std. Dev.</w:t>
            </w:r>
          </w:p>
        </w:tc>
        <w:tc>
          <w:tcPr>
            <w:tcW w:w="1163"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Skewness</w:t>
            </w:r>
          </w:p>
        </w:tc>
        <w:tc>
          <w:tcPr>
            <w:tcW w:w="1356"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Sum</w:t>
            </w:r>
          </w:p>
        </w:tc>
        <w:tc>
          <w:tcPr>
            <w:tcW w:w="696" w:type="dxa"/>
            <w:tcBorders>
              <w:top w:val="single" w:sz="4" w:space="0" w:color="auto"/>
              <w:bottom w:val="single" w:sz="4" w:space="0" w:color="auto"/>
            </w:tcBorders>
            <w:noWrap/>
            <w:hideMark/>
          </w:tcPr>
          <w:p w:rsidR="002D475A" w:rsidRPr="004A069C" w:rsidRDefault="002D475A" w:rsidP="00A13A05">
            <w:pPr>
              <w:spacing w:line="360" w:lineRule="auto"/>
              <w:jc w:val="center"/>
              <w:rPr>
                <w:rFonts w:eastAsia="Times New Roman" w:cs="Times New Roman"/>
                <w:szCs w:val="24"/>
              </w:rPr>
            </w:pPr>
            <w:r w:rsidRPr="004A069C">
              <w:rPr>
                <w:rFonts w:eastAsia="Times New Roman" w:cs="Times New Roman"/>
                <w:szCs w:val="24"/>
              </w:rPr>
              <w:t>N</w:t>
            </w:r>
          </w:p>
        </w:tc>
      </w:tr>
      <w:tr w:rsidR="002D475A" w:rsidRPr="004A069C" w:rsidTr="00A13A05">
        <w:trPr>
          <w:trHeight w:val="315"/>
        </w:trPr>
        <w:tc>
          <w:tcPr>
            <w:tcW w:w="1192" w:type="dxa"/>
            <w:tcBorders>
              <w:top w:val="single" w:sz="4" w:space="0" w:color="auto"/>
            </w:tcBorders>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r(t+1)</w:t>
            </w:r>
          </w:p>
        </w:tc>
        <w:tc>
          <w:tcPr>
            <w:tcW w:w="876"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0.028</w:t>
            </w:r>
          </w:p>
        </w:tc>
        <w:tc>
          <w:tcPr>
            <w:tcW w:w="950"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0.011</w:t>
            </w:r>
          </w:p>
        </w:tc>
        <w:tc>
          <w:tcPr>
            <w:tcW w:w="1216"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1.464</w:t>
            </w:r>
          </w:p>
        </w:tc>
        <w:tc>
          <w:tcPr>
            <w:tcW w:w="1177"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-1.069</w:t>
            </w:r>
          </w:p>
        </w:tc>
        <w:tc>
          <w:tcPr>
            <w:tcW w:w="1247"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0.256</w:t>
            </w:r>
          </w:p>
        </w:tc>
        <w:tc>
          <w:tcPr>
            <w:tcW w:w="1163"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0.408</w:t>
            </w:r>
          </w:p>
        </w:tc>
        <w:tc>
          <w:tcPr>
            <w:tcW w:w="1356"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202.815</w:t>
            </w:r>
          </w:p>
        </w:tc>
        <w:tc>
          <w:tcPr>
            <w:tcW w:w="696" w:type="dxa"/>
            <w:tcBorders>
              <w:top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Silence</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0.114</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1</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0.318</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2.423</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831</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Buy</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0.454</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1</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0.498</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0.184</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3300</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LNBM</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-0.260</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-0.232</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1.865</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-6.213</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0.716</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-0.474</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-1888.253</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LNMC</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4.597</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4.468</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9.600</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0.286</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1.683</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0.247</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33395.510</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NI</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0.622</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0.000</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21.724</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-21.599</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11.150</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-0.064</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4518.099</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PR</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0.159</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0.079</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3.724</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-0.835</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0.437</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1.359</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1153.570</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Market Sigma</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47.503</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35.430</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151.908</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17.154</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31.902</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1.936</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345110.100</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Sigma</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2.845</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1.701</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47.790</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0.101</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3.863</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4.680</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20628.940</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7250</w:t>
            </w:r>
          </w:p>
        </w:tc>
      </w:tr>
      <w:tr w:rsidR="002D475A" w:rsidRPr="004A069C" w:rsidTr="00A13A05">
        <w:trPr>
          <w:trHeight w:val="315"/>
        </w:trPr>
        <w:tc>
          <w:tcPr>
            <w:tcW w:w="1192" w:type="dxa"/>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PPN</w:t>
            </w:r>
          </w:p>
        </w:tc>
        <w:tc>
          <w:tcPr>
            <w:tcW w:w="876" w:type="dxa"/>
            <w:noWrap/>
            <w:vAlign w:val="bottom"/>
            <w:hideMark/>
          </w:tcPr>
          <w:p w:rsidR="002D475A" w:rsidRPr="004A069C" w:rsidRDefault="002D475A" w:rsidP="00A13A05">
            <w:pPr>
              <w:spacing w:line="360" w:lineRule="auto"/>
              <w:jc w:val="right"/>
              <w:rPr>
                <w:szCs w:val="24"/>
              </w:rPr>
            </w:pPr>
            <w:r w:rsidRPr="004A069C">
              <w:rPr>
                <w:szCs w:val="24"/>
              </w:rPr>
              <w:t>0.004</w:t>
            </w:r>
          </w:p>
        </w:tc>
        <w:tc>
          <w:tcPr>
            <w:tcW w:w="950"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16" w:type="dxa"/>
            <w:noWrap/>
            <w:vAlign w:val="bottom"/>
            <w:hideMark/>
          </w:tcPr>
          <w:p w:rsidR="002D475A" w:rsidRPr="004A069C" w:rsidRDefault="002D475A" w:rsidP="00A13A05">
            <w:pPr>
              <w:spacing w:line="360" w:lineRule="auto"/>
              <w:jc w:val="right"/>
              <w:rPr>
                <w:szCs w:val="24"/>
              </w:rPr>
            </w:pPr>
            <w:r w:rsidRPr="004A069C">
              <w:rPr>
                <w:szCs w:val="24"/>
              </w:rPr>
              <w:t>1</w:t>
            </w:r>
          </w:p>
        </w:tc>
        <w:tc>
          <w:tcPr>
            <w:tcW w:w="1177" w:type="dxa"/>
            <w:noWrap/>
            <w:vAlign w:val="bottom"/>
            <w:hideMark/>
          </w:tcPr>
          <w:p w:rsidR="002D475A" w:rsidRPr="004A069C" w:rsidRDefault="002D475A" w:rsidP="00A13A05">
            <w:pPr>
              <w:spacing w:line="360" w:lineRule="auto"/>
              <w:jc w:val="right"/>
              <w:rPr>
                <w:szCs w:val="24"/>
              </w:rPr>
            </w:pPr>
            <w:r w:rsidRPr="004A069C">
              <w:rPr>
                <w:szCs w:val="24"/>
              </w:rPr>
              <w:t>0</w:t>
            </w:r>
          </w:p>
        </w:tc>
        <w:tc>
          <w:tcPr>
            <w:tcW w:w="1247" w:type="dxa"/>
            <w:noWrap/>
            <w:vAlign w:val="bottom"/>
            <w:hideMark/>
          </w:tcPr>
          <w:p w:rsidR="002D475A" w:rsidRPr="004A069C" w:rsidRDefault="002D475A" w:rsidP="00A13A05">
            <w:pPr>
              <w:spacing w:line="360" w:lineRule="auto"/>
              <w:jc w:val="right"/>
              <w:rPr>
                <w:szCs w:val="24"/>
              </w:rPr>
            </w:pPr>
            <w:r w:rsidRPr="004A069C">
              <w:rPr>
                <w:szCs w:val="24"/>
              </w:rPr>
              <w:t>0.066</w:t>
            </w:r>
          </w:p>
        </w:tc>
        <w:tc>
          <w:tcPr>
            <w:tcW w:w="1163" w:type="dxa"/>
            <w:noWrap/>
            <w:vAlign w:val="bottom"/>
            <w:hideMark/>
          </w:tcPr>
          <w:p w:rsidR="002D475A" w:rsidRPr="004A069C" w:rsidRDefault="002D475A" w:rsidP="00A13A05">
            <w:pPr>
              <w:spacing w:line="360" w:lineRule="auto"/>
              <w:jc w:val="right"/>
              <w:rPr>
                <w:szCs w:val="24"/>
              </w:rPr>
            </w:pPr>
            <w:r w:rsidRPr="004A069C">
              <w:rPr>
                <w:szCs w:val="24"/>
              </w:rPr>
              <w:t>14.968</w:t>
            </w:r>
          </w:p>
        </w:tc>
        <w:tc>
          <w:tcPr>
            <w:tcW w:w="1356" w:type="dxa"/>
            <w:noWrap/>
            <w:vAlign w:val="bottom"/>
            <w:hideMark/>
          </w:tcPr>
          <w:p w:rsidR="002D475A" w:rsidRPr="004A069C" w:rsidRDefault="002D475A" w:rsidP="00A13A05">
            <w:pPr>
              <w:spacing w:line="360" w:lineRule="auto"/>
              <w:jc w:val="right"/>
              <w:rPr>
                <w:szCs w:val="24"/>
              </w:rPr>
            </w:pPr>
            <w:r w:rsidRPr="004A069C">
              <w:rPr>
                <w:szCs w:val="24"/>
              </w:rPr>
              <w:t>32</w:t>
            </w:r>
          </w:p>
        </w:tc>
        <w:tc>
          <w:tcPr>
            <w:tcW w:w="696" w:type="dxa"/>
            <w:noWrap/>
            <w:vAlign w:val="bottom"/>
            <w:hideMark/>
          </w:tcPr>
          <w:p w:rsidR="002D475A" w:rsidRPr="004A069C" w:rsidRDefault="002D475A" w:rsidP="00A13A05">
            <w:pPr>
              <w:spacing w:line="360" w:lineRule="auto"/>
              <w:jc w:val="right"/>
              <w:rPr>
                <w:szCs w:val="24"/>
              </w:rPr>
            </w:pPr>
            <w:r w:rsidRPr="004A069C">
              <w:rPr>
                <w:szCs w:val="24"/>
              </w:rPr>
              <w:t>7265</w:t>
            </w:r>
          </w:p>
        </w:tc>
      </w:tr>
      <w:tr w:rsidR="002D475A" w:rsidRPr="004A069C" w:rsidTr="00A13A05">
        <w:trPr>
          <w:trHeight w:val="315"/>
        </w:trPr>
        <w:tc>
          <w:tcPr>
            <w:tcW w:w="1192" w:type="dxa"/>
            <w:tcBorders>
              <w:bottom w:val="single" w:sz="4" w:space="0" w:color="auto"/>
            </w:tcBorders>
            <w:noWrap/>
            <w:hideMark/>
          </w:tcPr>
          <w:p w:rsidR="002D475A" w:rsidRPr="004A069C" w:rsidRDefault="002D475A" w:rsidP="00A13A05">
            <w:pPr>
              <w:spacing w:line="360" w:lineRule="auto"/>
              <w:rPr>
                <w:rFonts w:eastAsia="Times New Roman" w:cs="Times New Roman"/>
                <w:szCs w:val="24"/>
              </w:rPr>
            </w:pPr>
            <w:r w:rsidRPr="004A069C">
              <w:rPr>
                <w:rFonts w:eastAsia="Times New Roman" w:cs="Times New Roman"/>
                <w:szCs w:val="24"/>
              </w:rPr>
              <w:t>SSN</w:t>
            </w:r>
          </w:p>
        </w:tc>
        <w:tc>
          <w:tcPr>
            <w:tcW w:w="876"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0.016</w:t>
            </w:r>
          </w:p>
        </w:tc>
        <w:tc>
          <w:tcPr>
            <w:tcW w:w="950"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w:t>
            </w:r>
          </w:p>
        </w:tc>
        <w:tc>
          <w:tcPr>
            <w:tcW w:w="1216"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1</w:t>
            </w:r>
          </w:p>
        </w:tc>
        <w:tc>
          <w:tcPr>
            <w:tcW w:w="1177"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w:t>
            </w:r>
          </w:p>
        </w:tc>
        <w:tc>
          <w:tcPr>
            <w:tcW w:w="1247"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0.125</w:t>
            </w:r>
          </w:p>
        </w:tc>
        <w:tc>
          <w:tcPr>
            <w:tcW w:w="1163"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7.758</w:t>
            </w:r>
          </w:p>
        </w:tc>
        <w:tc>
          <w:tcPr>
            <w:tcW w:w="1356"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115</w:t>
            </w:r>
          </w:p>
        </w:tc>
        <w:tc>
          <w:tcPr>
            <w:tcW w:w="696" w:type="dxa"/>
            <w:tcBorders>
              <w:bottom w:val="single" w:sz="4" w:space="0" w:color="auto"/>
            </w:tcBorders>
            <w:noWrap/>
            <w:vAlign w:val="bottom"/>
            <w:hideMark/>
          </w:tcPr>
          <w:p w:rsidR="002D475A" w:rsidRPr="004A069C" w:rsidRDefault="002D475A" w:rsidP="00A13A05">
            <w:pPr>
              <w:spacing w:line="360" w:lineRule="auto"/>
              <w:jc w:val="right"/>
              <w:rPr>
                <w:szCs w:val="24"/>
              </w:rPr>
            </w:pPr>
            <w:r w:rsidRPr="004A069C">
              <w:rPr>
                <w:szCs w:val="24"/>
              </w:rPr>
              <w:t>7265</w:t>
            </w:r>
          </w:p>
        </w:tc>
      </w:tr>
    </w:tbl>
    <w:p w:rsidR="0074313B" w:rsidRPr="004A069C" w:rsidRDefault="0074313B" w:rsidP="0063585D">
      <w:pPr>
        <w:spacing w:line="360" w:lineRule="auto"/>
        <w:ind w:right="240"/>
        <w:rPr>
          <w:rFonts w:cs="Times New Roman"/>
          <w:szCs w:val="24"/>
        </w:rPr>
      </w:pPr>
    </w:p>
    <w:p w:rsidR="0063585D" w:rsidRPr="004A069C" w:rsidRDefault="005344FF" w:rsidP="0063585D">
      <w:pPr>
        <w:spacing w:line="360" w:lineRule="auto"/>
        <w:ind w:right="240"/>
        <w:rPr>
          <w:rFonts w:cs="Times New Roman"/>
          <w:szCs w:val="24"/>
        </w:rPr>
      </w:pPr>
      <w:r w:rsidRPr="004A069C">
        <w:rPr>
          <w:rFonts w:cs="Times New Roman"/>
          <w:szCs w:val="24"/>
        </w:rPr>
        <w:br/>
      </w:r>
    </w:p>
    <w:p w:rsidR="0063585D" w:rsidRPr="004A069C" w:rsidRDefault="0063585D" w:rsidP="00E92203">
      <w:pPr>
        <w:spacing w:line="360" w:lineRule="auto"/>
        <w:rPr>
          <w:rFonts w:cs="Times New Roman"/>
          <w:szCs w:val="24"/>
        </w:rPr>
      </w:pPr>
    </w:p>
    <w:p w:rsidR="0063585D" w:rsidRPr="004A069C" w:rsidRDefault="0063585D" w:rsidP="0063585D">
      <w:pPr>
        <w:rPr>
          <w:rFonts w:cs="Times New Roman"/>
          <w:szCs w:val="24"/>
        </w:rPr>
      </w:pPr>
    </w:p>
    <w:p w:rsidR="0063585D" w:rsidRPr="004A069C" w:rsidRDefault="0063585D" w:rsidP="0063585D">
      <w:pPr>
        <w:rPr>
          <w:rFonts w:cs="Times New Roman"/>
          <w:szCs w:val="24"/>
        </w:rPr>
      </w:pPr>
    </w:p>
    <w:p w:rsidR="00877469" w:rsidRPr="004A069C" w:rsidRDefault="00877469" w:rsidP="0063585D">
      <w:pPr>
        <w:rPr>
          <w:rFonts w:cs="Times New Roman"/>
          <w:szCs w:val="24"/>
        </w:rPr>
        <w:sectPr w:rsidR="00877469" w:rsidRPr="004A069C" w:rsidSect="00863AFB">
          <w:footerReference w:type="default" r:id="rId9"/>
          <w:pgSz w:w="11909" w:h="16834" w:code="9"/>
          <w:pgMar w:top="1440" w:right="1440" w:bottom="1440" w:left="1440" w:header="720" w:footer="720" w:gutter="0"/>
          <w:pgNumType w:start="1"/>
          <w:cols w:space="720"/>
          <w:docGrid w:linePitch="360"/>
        </w:sectPr>
      </w:pPr>
    </w:p>
    <w:p w:rsidR="00877469" w:rsidRPr="004A069C" w:rsidRDefault="00D63C84" w:rsidP="00D63C84">
      <w:pPr>
        <w:pStyle w:val="1"/>
        <w:rPr>
          <w:sz w:val="24"/>
          <w:szCs w:val="24"/>
        </w:rPr>
      </w:pPr>
      <w:bookmarkStart w:id="12" w:name="_Toc27625325"/>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2</w:t>
      </w:r>
      <w:r w:rsidR="00EB5E89" w:rsidRPr="004A069C">
        <w:rPr>
          <w:noProof/>
          <w:sz w:val="24"/>
          <w:szCs w:val="24"/>
        </w:rPr>
        <w:fldChar w:fldCharType="end"/>
      </w:r>
      <w:r w:rsidRPr="004A069C">
        <w:rPr>
          <w:sz w:val="24"/>
          <w:szCs w:val="24"/>
        </w:rPr>
        <w:t xml:space="preserve">: </w:t>
      </w:r>
      <w:r w:rsidR="00877469" w:rsidRPr="004A069C">
        <w:rPr>
          <w:sz w:val="24"/>
          <w:szCs w:val="24"/>
        </w:rPr>
        <w:t>Correlation Matrix</w:t>
      </w:r>
      <w:bookmarkEnd w:id="12"/>
    </w:p>
    <w:p w:rsidR="005F17A5" w:rsidRPr="004A069C" w:rsidRDefault="005F17A5" w:rsidP="005F17A5">
      <w:pPr>
        <w:rPr>
          <w:szCs w:val="24"/>
        </w:rPr>
      </w:pPr>
    </w:p>
    <w:p w:rsidR="00877469" w:rsidRPr="004A069C" w:rsidRDefault="005F17A5" w:rsidP="005F17A5">
      <w:pPr>
        <w:ind w:firstLine="720"/>
        <w:rPr>
          <w:szCs w:val="24"/>
        </w:rPr>
      </w:pPr>
      <w:r w:rsidRPr="004A069C">
        <w:rPr>
          <w:szCs w:val="24"/>
        </w:rPr>
        <w:t>This table shows the correlation matrix of all variables including dependent and in dependent variables</w:t>
      </w:r>
      <w:r w:rsidR="00763296" w:rsidRPr="004A069C">
        <w:rPr>
          <w:szCs w:val="24"/>
        </w:rPr>
        <w:t>.</w:t>
      </w:r>
      <w:r w:rsidR="00385740" w:rsidRPr="004A069C">
        <w:rPr>
          <w:szCs w:val="24"/>
        </w:rPr>
        <w:t xml:space="preserve"> </w:t>
      </w:r>
      <w:r w:rsidR="00385740" w:rsidRPr="004A069C">
        <w:rPr>
          <w:rFonts w:cs="Times New Roman"/>
          <w:szCs w:val="24"/>
        </w:rPr>
        <w:t>The definition of every variable is presented in Appendix.</w:t>
      </w:r>
    </w:p>
    <w:tbl>
      <w:tblPr>
        <w:tblW w:w="13954" w:type="dxa"/>
        <w:tblLook w:val="04A0" w:firstRow="1" w:lastRow="0" w:firstColumn="1" w:lastColumn="0" w:noHBand="0" w:noVBand="1"/>
      </w:tblPr>
      <w:tblGrid>
        <w:gridCol w:w="2037"/>
        <w:gridCol w:w="915"/>
        <w:gridCol w:w="922"/>
        <w:gridCol w:w="925"/>
        <w:gridCol w:w="976"/>
        <w:gridCol w:w="909"/>
        <w:gridCol w:w="896"/>
        <w:gridCol w:w="860"/>
        <w:gridCol w:w="981"/>
        <w:gridCol w:w="979"/>
        <w:gridCol w:w="897"/>
        <w:gridCol w:w="1055"/>
        <w:gridCol w:w="945"/>
        <w:gridCol w:w="657"/>
      </w:tblGrid>
      <w:tr w:rsidR="005F17A5" w:rsidRPr="004A069C" w:rsidTr="00F04EA3">
        <w:trPr>
          <w:trHeight w:val="435"/>
        </w:trPr>
        <w:tc>
          <w:tcPr>
            <w:tcW w:w="2037" w:type="dxa"/>
            <w:tcBorders>
              <w:top w:val="single" w:sz="8" w:space="0" w:color="auto"/>
              <w:left w:val="nil"/>
              <w:bottom w:val="single" w:sz="8" w:space="0" w:color="auto"/>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 </w:t>
            </w:r>
          </w:p>
        </w:tc>
        <w:tc>
          <w:tcPr>
            <w:tcW w:w="915"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r(t+6)</w:t>
            </w:r>
          </w:p>
        </w:tc>
        <w:tc>
          <w:tcPr>
            <w:tcW w:w="920"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w:t>
            </w:r>
          </w:p>
        </w:tc>
        <w:tc>
          <w:tcPr>
            <w:tcW w:w="926"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Buy</w:t>
            </w:r>
          </w:p>
        </w:tc>
        <w:tc>
          <w:tcPr>
            <w:tcW w:w="977"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LNBM</w:t>
            </w:r>
          </w:p>
        </w:tc>
        <w:tc>
          <w:tcPr>
            <w:tcW w:w="907"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LNMC</w:t>
            </w:r>
          </w:p>
        </w:tc>
        <w:tc>
          <w:tcPr>
            <w:tcW w:w="896"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NI</w:t>
            </w:r>
          </w:p>
        </w:tc>
        <w:tc>
          <w:tcPr>
            <w:tcW w:w="860"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PR</w:t>
            </w:r>
          </w:p>
        </w:tc>
        <w:tc>
          <w:tcPr>
            <w:tcW w:w="982"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Market Sigma</w:t>
            </w:r>
          </w:p>
        </w:tc>
        <w:tc>
          <w:tcPr>
            <w:tcW w:w="980"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 * Market Sigma</w:t>
            </w:r>
          </w:p>
        </w:tc>
        <w:tc>
          <w:tcPr>
            <w:tcW w:w="897"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Sigma</w:t>
            </w:r>
          </w:p>
        </w:tc>
        <w:tc>
          <w:tcPr>
            <w:tcW w:w="1056"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 * Sigma</w:t>
            </w:r>
          </w:p>
        </w:tc>
        <w:tc>
          <w:tcPr>
            <w:tcW w:w="946"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F04EA3">
            <w:pPr>
              <w:spacing w:after="0" w:line="240" w:lineRule="auto"/>
              <w:ind w:right="-165"/>
              <w:rPr>
                <w:rFonts w:eastAsia="Times New Roman" w:cs="Times New Roman"/>
                <w:szCs w:val="24"/>
              </w:rPr>
            </w:pPr>
            <w:r w:rsidRPr="004A069C">
              <w:rPr>
                <w:rFonts w:eastAsia="Times New Roman" w:cs="Times New Roman"/>
                <w:szCs w:val="24"/>
              </w:rPr>
              <w:t>PPN</w:t>
            </w:r>
          </w:p>
        </w:tc>
        <w:tc>
          <w:tcPr>
            <w:tcW w:w="655" w:type="dxa"/>
            <w:tcBorders>
              <w:top w:val="single" w:sz="8" w:space="0" w:color="auto"/>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SSN</w:t>
            </w: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r(t+6)</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2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2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7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0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-0.042</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2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7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0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Buy</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0.021</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-0.328</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7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0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LnBM</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0.095</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0.122</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-0.020</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0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89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LnMC</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-0.161</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-0.028</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-0.053</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-0.288</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89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NI</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-0.041</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-0.045</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0.044</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-0.092</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-0.036</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86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PR</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0.032</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-0.087</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0.015</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-0.013</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0.086</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-0.021</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82"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Market Sigma</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-0.009</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-0.006</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0.011</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-0.135</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0.247</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-0.024</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0.009</w:t>
            </w:r>
          </w:p>
        </w:tc>
        <w:tc>
          <w:tcPr>
            <w:tcW w:w="982"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80"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 * Market Sigma</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-0.046</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0.824</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-0.270</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0.023</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0.018</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-0.013</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-0.067</w:t>
            </w:r>
          </w:p>
        </w:tc>
        <w:tc>
          <w:tcPr>
            <w:tcW w:w="982"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0.178</w:t>
            </w:r>
          </w:p>
        </w:tc>
        <w:tc>
          <w:tcPr>
            <w:tcW w:w="98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897"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Sigma</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-0.140</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0.048</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-0.053</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-0.493</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0.370</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0.011</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0.161</w:t>
            </w:r>
          </w:p>
        </w:tc>
        <w:tc>
          <w:tcPr>
            <w:tcW w:w="982"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0.308</w:t>
            </w:r>
          </w:p>
        </w:tc>
        <w:tc>
          <w:tcPr>
            <w:tcW w:w="98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0.128</w:t>
            </w:r>
          </w:p>
        </w:tc>
        <w:tc>
          <w:tcPr>
            <w:tcW w:w="89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105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Silence * Sigma</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-0.086</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0.502</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-0.164</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-0.121</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0.056</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0.041</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-0.057</w:t>
            </w:r>
          </w:p>
        </w:tc>
        <w:tc>
          <w:tcPr>
            <w:tcW w:w="982"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0.089</w:t>
            </w:r>
          </w:p>
        </w:tc>
        <w:tc>
          <w:tcPr>
            <w:tcW w:w="98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0.574</w:t>
            </w:r>
          </w:p>
        </w:tc>
        <w:tc>
          <w:tcPr>
            <w:tcW w:w="89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0.437</w:t>
            </w:r>
          </w:p>
        </w:tc>
        <w:tc>
          <w:tcPr>
            <w:tcW w:w="105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946"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rPr>
                <w:rFonts w:eastAsia="Times New Roman" w:cs="Times New Roman"/>
                <w:szCs w:val="24"/>
              </w:rPr>
            </w:pPr>
          </w:p>
        </w:tc>
      </w:tr>
      <w:tr w:rsidR="005F17A5" w:rsidRPr="004A069C" w:rsidTr="00F04EA3">
        <w:trPr>
          <w:trHeight w:val="315"/>
        </w:trPr>
        <w:tc>
          <w:tcPr>
            <w:tcW w:w="203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PPN</w:t>
            </w:r>
          </w:p>
        </w:tc>
        <w:tc>
          <w:tcPr>
            <w:tcW w:w="915"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-0.010</w:t>
            </w:r>
          </w:p>
        </w:tc>
        <w:tc>
          <w:tcPr>
            <w:tcW w:w="92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0.185</w:t>
            </w:r>
          </w:p>
        </w:tc>
        <w:tc>
          <w:tcPr>
            <w:tcW w:w="92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-0.061</w:t>
            </w:r>
          </w:p>
        </w:tc>
        <w:tc>
          <w:tcPr>
            <w:tcW w:w="97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0.054</w:t>
            </w:r>
          </w:p>
        </w:tc>
        <w:tc>
          <w:tcPr>
            <w:tcW w:w="90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0.003</w:t>
            </w:r>
          </w:p>
        </w:tc>
        <w:tc>
          <w:tcPr>
            <w:tcW w:w="89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-0.009</w:t>
            </w:r>
          </w:p>
        </w:tc>
        <w:tc>
          <w:tcPr>
            <w:tcW w:w="86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-0.023</w:t>
            </w:r>
          </w:p>
        </w:tc>
        <w:tc>
          <w:tcPr>
            <w:tcW w:w="982"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-0.019</w:t>
            </w:r>
          </w:p>
        </w:tc>
        <w:tc>
          <w:tcPr>
            <w:tcW w:w="980"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0.121</w:t>
            </w:r>
          </w:p>
        </w:tc>
        <w:tc>
          <w:tcPr>
            <w:tcW w:w="897"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-0.026</w:t>
            </w:r>
          </w:p>
        </w:tc>
        <w:tc>
          <w:tcPr>
            <w:tcW w:w="105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0.030</w:t>
            </w:r>
          </w:p>
        </w:tc>
        <w:tc>
          <w:tcPr>
            <w:tcW w:w="946" w:type="dxa"/>
            <w:tcBorders>
              <w:top w:val="nil"/>
              <w:left w:val="nil"/>
              <w:bottom w:val="nil"/>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c>
          <w:tcPr>
            <w:tcW w:w="655" w:type="dxa"/>
            <w:tcBorders>
              <w:top w:val="nil"/>
              <w:left w:val="nil"/>
              <w:bottom w:val="nil"/>
              <w:right w:val="nil"/>
            </w:tcBorders>
            <w:shd w:val="clear" w:color="auto" w:fill="auto"/>
            <w:noWrap/>
            <w:vAlign w:val="bottom"/>
            <w:hideMark/>
          </w:tcPr>
          <w:p w:rsidR="005F17A5" w:rsidRPr="004A069C" w:rsidRDefault="005F17A5" w:rsidP="005F17A5">
            <w:pPr>
              <w:spacing w:after="0" w:line="240" w:lineRule="auto"/>
              <w:jc w:val="center"/>
              <w:rPr>
                <w:rFonts w:eastAsia="Times New Roman" w:cs="Times New Roman"/>
                <w:szCs w:val="24"/>
              </w:rPr>
            </w:pPr>
          </w:p>
        </w:tc>
      </w:tr>
      <w:tr w:rsidR="005F17A5" w:rsidRPr="004A069C" w:rsidTr="00F04EA3">
        <w:trPr>
          <w:trHeight w:val="330"/>
        </w:trPr>
        <w:tc>
          <w:tcPr>
            <w:tcW w:w="2037"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rPr>
                <w:rFonts w:eastAsia="Times New Roman" w:cs="Times New Roman"/>
                <w:szCs w:val="24"/>
              </w:rPr>
            </w:pPr>
            <w:r w:rsidRPr="004A069C">
              <w:rPr>
                <w:rFonts w:eastAsia="Times New Roman" w:cs="Times New Roman"/>
                <w:szCs w:val="24"/>
              </w:rPr>
              <w:t>SSN</w:t>
            </w:r>
          </w:p>
        </w:tc>
        <w:tc>
          <w:tcPr>
            <w:tcW w:w="915"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-0.021</w:t>
            </w:r>
          </w:p>
        </w:tc>
        <w:tc>
          <w:tcPr>
            <w:tcW w:w="920"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0.353</w:t>
            </w:r>
          </w:p>
        </w:tc>
        <w:tc>
          <w:tcPr>
            <w:tcW w:w="926"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-0.116</w:t>
            </w:r>
          </w:p>
        </w:tc>
        <w:tc>
          <w:tcPr>
            <w:tcW w:w="977"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0.011</w:t>
            </w:r>
          </w:p>
        </w:tc>
        <w:tc>
          <w:tcPr>
            <w:tcW w:w="907"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0.020</w:t>
            </w:r>
          </w:p>
        </w:tc>
        <w:tc>
          <w:tcPr>
            <w:tcW w:w="896"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-0.021</w:t>
            </w:r>
          </w:p>
        </w:tc>
        <w:tc>
          <w:tcPr>
            <w:tcW w:w="860"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-0.003</w:t>
            </w:r>
          </w:p>
        </w:tc>
        <w:tc>
          <w:tcPr>
            <w:tcW w:w="982"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0.007</w:t>
            </w:r>
          </w:p>
        </w:tc>
        <w:tc>
          <w:tcPr>
            <w:tcW w:w="980"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0.306</w:t>
            </w:r>
          </w:p>
        </w:tc>
        <w:tc>
          <w:tcPr>
            <w:tcW w:w="897"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0.062</w:t>
            </w:r>
          </w:p>
        </w:tc>
        <w:tc>
          <w:tcPr>
            <w:tcW w:w="1056"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0.260</w:t>
            </w:r>
          </w:p>
        </w:tc>
        <w:tc>
          <w:tcPr>
            <w:tcW w:w="946"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0.008</w:t>
            </w:r>
          </w:p>
        </w:tc>
        <w:tc>
          <w:tcPr>
            <w:tcW w:w="655" w:type="dxa"/>
            <w:tcBorders>
              <w:top w:val="nil"/>
              <w:left w:val="nil"/>
              <w:bottom w:val="single" w:sz="8" w:space="0" w:color="auto"/>
              <w:right w:val="nil"/>
            </w:tcBorders>
            <w:shd w:val="clear" w:color="auto" w:fill="auto"/>
            <w:noWrap/>
            <w:vAlign w:val="center"/>
            <w:hideMark/>
          </w:tcPr>
          <w:p w:rsidR="005F17A5" w:rsidRPr="004A069C" w:rsidRDefault="005F17A5" w:rsidP="005F17A5">
            <w:pPr>
              <w:spacing w:after="0" w:line="240" w:lineRule="auto"/>
              <w:jc w:val="center"/>
              <w:rPr>
                <w:rFonts w:eastAsia="Times New Roman" w:cs="Times New Roman"/>
                <w:szCs w:val="24"/>
              </w:rPr>
            </w:pPr>
            <w:r w:rsidRPr="004A069C">
              <w:rPr>
                <w:rFonts w:eastAsia="Times New Roman" w:cs="Times New Roman"/>
                <w:szCs w:val="24"/>
              </w:rPr>
              <w:t>1</w:t>
            </w:r>
          </w:p>
        </w:tc>
      </w:tr>
    </w:tbl>
    <w:p w:rsidR="005F5046" w:rsidRPr="004A069C" w:rsidRDefault="005F5046" w:rsidP="00E92203">
      <w:pPr>
        <w:spacing w:line="360" w:lineRule="auto"/>
        <w:rPr>
          <w:rFonts w:cs="Times New Roman"/>
          <w:szCs w:val="24"/>
        </w:rPr>
        <w:sectPr w:rsidR="005F5046" w:rsidRPr="004A069C" w:rsidSect="00877469">
          <w:pgSz w:w="16834" w:h="11909" w:orient="landscape" w:code="9"/>
          <w:pgMar w:top="1440" w:right="1440" w:bottom="1440" w:left="1440" w:header="720" w:footer="720" w:gutter="0"/>
          <w:cols w:space="720"/>
          <w:docGrid w:linePitch="360"/>
        </w:sectPr>
      </w:pPr>
    </w:p>
    <w:p w:rsidR="009A3E74" w:rsidRPr="004A069C" w:rsidRDefault="00D63C84" w:rsidP="005A7690">
      <w:pPr>
        <w:pStyle w:val="1"/>
        <w:rPr>
          <w:rFonts w:cs="Times New Roman"/>
          <w:sz w:val="24"/>
          <w:szCs w:val="24"/>
        </w:rPr>
      </w:pPr>
      <w:bookmarkStart w:id="13" w:name="_Toc27625326"/>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3</w:t>
      </w:r>
      <w:r w:rsidR="00EB5E89" w:rsidRPr="004A069C">
        <w:rPr>
          <w:noProof/>
          <w:sz w:val="24"/>
          <w:szCs w:val="24"/>
        </w:rPr>
        <w:fldChar w:fldCharType="end"/>
      </w:r>
      <w:r w:rsidR="009A3E74" w:rsidRPr="004A069C">
        <w:rPr>
          <w:rFonts w:cs="Times New Roman"/>
          <w:sz w:val="24"/>
          <w:szCs w:val="24"/>
        </w:rPr>
        <w:t>: Insider Silence Frequency</w:t>
      </w:r>
      <w:bookmarkEnd w:id="13"/>
    </w:p>
    <w:p w:rsidR="002D475A" w:rsidRPr="004A069C" w:rsidRDefault="002D475A" w:rsidP="002D475A">
      <w:pPr>
        <w:rPr>
          <w:szCs w:val="24"/>
        </w:rPr>
      </w:pPr>
    </w:p>
    <w:p w:rsidR="00D63C84" w:rsidRPr="004A069C" w:rsidRDefault="002D475A" w:rsidP="002D475A">
      <w:pPr>
        <w:spacing w:line="360" w:lineRule="auto"/>
        <w:ind w:firstLine="720"/>
        <w:jc w:val="both"/>
        <w:rPr>
          <w:rFonts w:cs="Times New Roman"/>
          <w:szCs w:val="24"/>
        </w:rPr>
      </w:pPr>
      <w:r w:rsidRPr="004A069C">
        <w:rPr>
          <w:rFonts w:cs="Times New Roman"/>
          <w:szCs w:val="24"/>
        </w:rPr>
        <w:t>This table show</w:t>
      </w:r>
      <w:r w:rsidR="00FE17C1" w:rsidRPr="004A069C">
        <w:rPr>
          <w:rFonts w:cs="Times New Roman"/>
          <w:szCs w:val="24"/>
        </w:rPr>
        <w:t>s</w:t>
      </w:r>
      <w:r w:rsidRPr="004A069C">
        <w:rPr>
          <w:rFonts w:cs="Times New Roman"/>
          <w:szCs w:val="24"/>
        </w:rPr>
        <w:t xml:space="preserve"> the proportion of firms which </w:t>
      </w:r>
      <w:r w:rsidR="00FE17C1" w:rsidRPr="004A069C">
        <w:rPr>
          <w:rFonts w:cs="Times New Roman"/>
          <w:szCs w:val="24"/>
        </w:rPr>
        <w:t>belong to</w:t>
      </w:r>
      <w:r w:rsidRPr="004A069C">
        <w:rPr>
          <w:rFonts w:cs="Times New Roman"/>
          <w:szCs w:val="24"/>
        </w:rPr>
        <w:t xml:space="preserve"> “silence”, “buy” and “sell”</w:t>
      </w:r>
      <w:r w:rsidR="00FE17C1" w:rsidRPr="004A069C">
        <w:rPr>
          <w:rFonts w:ascii="新細明體" w:eastAsia="新細明體" w:hAnsi="新細明體" w:cs="Times New Roman" w:hint="eastAsia"/>
          <w:szCs w:val="24"/>
          <w:lang w:eastAsia="zh-TW"/>
        </w:rPr>
        <w:t xml:space="preserve"> </w:t>
      </w:r>
      <w:r w:rsidR="00FE17C1" w:rsidRPr="004A069C">
        <w:rPr>
          <w:rFonts w:cs="Times New Roman"/>
          <w:szCs w:val="24"/>
        </w:rPr>
        <w:t>group from January 2010 to December 2018</w:t>
      </w:r>
      <w:r w:rsidRPr="004A069C">
        <w:rPr>
          <w:rFonts w:cs="Times New Roman"/>
          <w:szCs w:val="24"/>
        </w:rPr>
        <w:t>. The groups have been divided by calculating the net insider demand from the past m month (m = 6, 12, 24). If firms have no insider trading in the past m month, these firm</w:t>
      </w:r>
      <w:r w:rsidR="0063151B" w:rsidRPr="004A069C">
        <w:rPr>
          <w:rFonts w:cs="Times New Roman"/>
          <w:szCs w:val="24"/>
        </w:rPr>
        <w:t>s</w:t>
      </w:r>
      <w:r w:rsidRPr="004A069C">
        <w:rPr>
          <w:rFonts w:cs="Times New Roman"/>
          <w:szCs w:val="24"/>
        </w:rPr>
        <w:t xml:space="preserve"> belong to “silence” group. If NID is positive, firms </w:t>
      </w:r>
      <w:r w:rsidR="0063151B" w:rsidRPr="004A069C">
        <w:rPr>
          <w:rFonts w:cs="Times New Roman"/>
          <w:szCs w:val="24"/>
        </w:rPr>
        <w:t>are</w:t>
      </w:r>
      <w:r w:rsidRPr="004A069C">
        <w:rPr>
          <w:rFonts w:cs="Times New Roman"/>
          <w:szCs w:val="24"/>
        </w:rPr>
        <w:t xml:space="preserve"> classified </w:t>
      </w:r>
      <w:r w:rsidR="0063151B" w:rsidRPr="004A069C">
        <w:rPr>
          <w:rFonts w:cs="Times New Roman"/>
          <w:szCs w:val="24"/>
        </w:rPr>
        <w:t>as</w:t>
      </w:r>
      <w:r w:rsidRPr="004A069C">
        <w:rPr>
          <w:rFonts w:cs="Times New Roman"/>
          <w:szCs w:val="24"/>
        </w:rPr>
        <w:t xml:space="preserve">   “buy” group. “</w:t>
      </w:r>
      <w:r w:rsidR="0063151B" w:rsidRPr="004A069C">
        <w:rPr>
          <w:rFonts w:cs="Times New Roman"/>
          <w:szCs w:val="24"/>
        </w:rPr>
        <w:t>S</w:t>
      </w:r>
      <w:r w:rsidRPr="004A069C">
        <w:rPr>
          <w:rFonts w:cs="Times New Roman"/>
          <w:szCs w:val="24"/>
        </w:rPr>
        <w:t xml:space="preserve">ell” group is </w:t>
      </w:r>
      <w:r w:rsidR="0063151B" w:rsidRPr="004A069C">
        <w:rPr>
          <w:rFonts w:cs="Times New Roman"/>
          <w:szCs w:val="24"/>
        </w:rPr>
        <w:t xml:space="preserve">the </w:t>
      </w:r>
      <w:r w:rsidRPr="004A069C">
        <w:rPr>
          <w:rFonts w:cs="Times New Roman"/>
          <w:szCs w:val="24"/>
        </w:rPr>
        <w:t>firms with negative NID</w:t>
      </w:r>
      <w:r w:rsidR="00763296" w:rsidRPr="004A069C">
        <w:rPr>
          <w:rFonts w:cs="Times New Roman"/>
          <w:szCs w:val="24"/>
        </w:rPr>
        <w:t>.</w:t>
      </w:r>
    </w:p>
    <w:tbl>
      <w:tblPr>
        <w:tblW w:w="7694" w:type="dxa"/>
        <w:jc w:val="center"/>
        <w:tblLook w:val="04A0" w:firstRow="1" w:lastRow="0" w:firstColumn="1" w:lastColumn="0" w:noHBand="0" w:noVBand="1"/>
      </w:tblPr>
      <w:tblGrid>
        <w:gridCol w:w="3848"/>
        <w:gridCol w:w="1282"/>
        <w:gridCol w:w="1282"/>
        <w:gridCol w:w="1282"/>
      </w:tblGrid>
      <w:tr w:rsidR="009A3E74" w:rsidRPr="004A069C" w:rsidTr="000E7D9F">
        <w:trPr>
          <w:trHeight w:val="343"/>
          <w:jc w:val="center"/>
        </w:trPr>
        <w:tc>
          <w:tcPr>
            <w:tcW w:w="3848" w:type="dxa"/>
            <w:tcBorders>
              <w:top w:val="single" w:sz="4" w:space="0" w:color="auto"/>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Month to measure insider trading</w:t>
            </w:r>
          </w:p>
        </w:tc>
        <w:tc>
          <w:tcPr>
            <w:tcW w:w="1282" w:type="dxa"/>
            <w:tcBorders>
              <w:top w:val="single" w:sz="4" w:space="0" w:color="auto"/>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Silence</w:t>
            </w:r>
          </w:p>
        </w:tc>
        <w:tc>
          <w:tcPr>
            <w:tcW w:w="1282" w:type="dxa"/>
            <w:tcBorders>
              <w:top w:val="single" w:sz="4" w:space="0" w:color="auto"/>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Buy</w:t>
            </w:r>
          </w:p>
        </w:tc>
        <w:tc>
          <w:tcPr>
            <w:tcW w:w="1282" w:type="dxa"/>
            <w:tcBorders>
              <w:top w:val="single" w:sz="4" w:space="0" w:color="auto"/>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Sell</w:t>
            </w:r>
          </w:p>
        </w:tc>
      </w:tr>
      <w:tr w:rsidR="009A3E74" w:rsidRPr="004A069C" w:rsidTr="000E7D9F">
        <w:trPr>
          <w:trHeight w:val="343"/>
          <w:jc w:val="center"/>
        </w:trPr>
        <w:tc>
          <w:tcPr>
            <w:tcW w:w="3848" w:type="dxa"/>
            <w:tcBorders>
              <w:top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w:t>
            </w:r>
          </w:p>
        </w:tc>
        <w:tc>
          <w:tcPr>
            <w:tcW w:w="1282" w:type="dxa"/>
            <w:tcBorders>
              <w:top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89%</w:t>
            </w:r>
          </w:p>
        </w:tc>
        <w:tc>
          <w:tcPr>
            <w:tcW w:w="1282" w:type="dxa"/>
            <w:tcBorders>
              <w:top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w:t>
            </w:r>
          </w:p>
        </w:tc>
        <w:tc>
          <w:tcPr>
            <w:tcW w:w="1282" w:type="dxa"/>
            <w:tcBorders>
              <w:top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5%</w:t>
            </w:r>
          </w:p>
        </w:tc>
      </w:tr>
      <w:tr w:rsidR="009A3E74" w:rsidRPr="004A069C" w:rsidTr="000E7D9F">
        <w:trPr>
          <w:trHeight w:val="343"/>
          <w:jc w:val="center"/>
        </w:trPr>
        <w:tc>
          <w:tcPr>
            <w:tcW w:w="3848" w:type="dxa"/>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12</w:t>
            </w:r>
          </w:p>
        </w:tc>
        <w:tc>
          <w:tcPr>
            <w:tcW w:w="1282" w:type="dxa"/>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54%</w:t>
            </w:r>
          </w:p>
        </w:tc>
        <w:tc>
          <w:tcPr>
            <w:tcW w:w="1282" w:type="dxa"/>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26%</w:t>
            </w:r>
          </w:p>
        </w:tc>
        <w:tc>
          <w:tcPr>
            <w:tcW w:w="1282" w:type="dxa"/>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20%</w:t>
            </w:r>
          </w:p>
        </w:tc>
      </w:tr>
      <w:tr w:rsidR="009A3E74" w:rsidRPr="004A069C" w:rsidTr="000E7D9F">
        <w:trPr>
          <w:trHeight w:val="343"/>
          <w:jc w:val="center"/>
        </w:trPr>
        <w:tc>
          <w:tcPr>
            <w:tcW w:w="3848" w:type="dxa"/>
            <w:tcBorders>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24</w:t>
            </w:r>
          </w:p>
        </w:tc>
        <w:tc>
          <w:tcPr>
            <w:tcW w:w="1282" w:type="dxa"/>
            <w:tcBorders>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26%</w:t>
            </w:r>
          </w:p>
        </w:tc>
        <w:tc>
          <w:tcPr>
            <w:tcW w:w="1282" w:type="dxa"/>
            <w:tcBorders>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40%</w:t>
            </w:r>
          </w:p>
        </w:tc>
        <w:tc>
          <w:tcPr>
            <w:tcW w:w="1282" w:type="dxa"/>
            <w:tcBorders>
              <w:bottom w:val="single" w:sz="4" w:space="0" w:color="auto"/>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34%</w:t>
            </w:r>
          </w:p>
        </w:tc>
      </w:tr>
    </w:tbl>
    <w:p w:rsidR="009A3E74" w:rsidRPr="004A069C" w:rsidRDefault="009A3E74" w:rsidP="009A3E74">
      <w:pPr>
        <w:spacing w:line="360" w:lineRule="auto"/>
        <w:jc w:val="both"/>
        <w:rPr>
          <w:rFonts w:cs="Times New Roman"/>
          <w:szCs w:val="24"/>
        </w:rPr>
      </w:pPr>
    </w:p>
    <w:p w:rsidR="009A3E74" w:rsidRPr="004A069C" w:rsidRDefault="009A3E74" w:rsidP="009A3E74">
      <w:pPr>
        <w:spacing w:line="360" w:lineRule="auto"/>
        <w:rPr>
          <w:rFonts w:cs="Times New Roman"/>
          <w:szCs w:val="24"/>
        </w:rPr>
      </w:pPr>
      <w:r w:rsidRPr="004A069C">
        <w:rPr>
          <w:rFonts w:cs="Times New Roman"/>
          <w:szCs w:val="24"/>
        </w:rPr>
        <w:br w:type="page"/>
      </w:r>
    </w:p>
    <w:p w:rsidR="009A3E74" w:rsidRPr="004A069C" w:rsidRDefault="00D63C84" w:rsidP="00D63C84">
      <w:pPr>
        <w:pStyle w:val="1"/>
        <w:rPr>
          <w:sz w:val="24"/>
          <w:szCs w:val="24"/>
        </w:rPr>
      </w:pPr>
      <w:bookmarkStart w:id="14" w:name="_Toc27625327"/>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4</w:t>
      </w:r>
      <w:r w:rsidR="00EB5E89" w:rsidRPr="004A069C">
        <w:rPr>
          <w:noProof/>
          <w:sz w:val="24"/>
          <w:szCs w:val="24"/>
        </w:rPr>
        <w:fldChar w:fldCharType="end"/>
      </w:r>
      <w:r w:rsidR="009A3E74" w:rsidRPr="004A069C">
        <w:rPr>
          <w:sz w:val="24"/>
          <w:szCs w:val="24"/>
        </w:rPr>
        <w:t>: Insider silence and future return</w:t>
      </w:r>
      <w:bookmarkEnd w:id="14"/>
    </w:p>
    <w:p w:rsidR="002D475A" w:rsidRPr="004A069C" w:rsidRDefault="002D475A" w:rsidP="002D475A">
      <w:pPr>
        <w:rPr>
          <w:szCs w:val="24"/>
        </w:rPr>
      </w:pPr>
    </w:p>
    <w:p w:rsidR="002D475A" w:rsidRPr="004A069C" w:rsidRDefault="002D475A" w:rsidP="002D475A">
      <w:pPr>
        <w:spacing w:line="360" w:lineRule="auto"/>
        <w:ind w:firstLine="720"/>
        <w:jc w:val="both"/>
        <w:rPr>
          <w:rFonts w:cs="Times New Roman"/>
          <w:szCs w:val="24"/>
        </w:rPr>
      </w:pPr>
      <w:r w:rsidRPr="004A069C">
        <w:rPr>
          <w:rFonts w:cs="Times New Roman"/>
          <w:szCs w:val="24"/>
        </w:rPr>
        <w:t xml:space="preserve">The sample includes 7265 observations of 100 stocks from January 2010 to December 2018. The dependent variable is the future </w:t>
      </w:r>
      <w:r w:rsidR="009579C6" w:rsidRPr="004A069C">
        <w:rPr>
          <w:rFonts w:cs="Times New Roman"/>
          <w:szCs w:val="24"/>
        </w:rPr>
        <w:t>6-</w:t>
      </w:r>
      <w:r w:rsidRPr="004A069C">
        <w:rPr>
          <w:rFonts w:cs="Times New Roman"/>
          <w:szCs w:val="24"/>
        </w:rPr>
        <w:t>month cumulative abnormal return. The independent variable</w:t>
      </w:r>
      <w:r w:rsidR="00763296" w:rsidRPr="004A069C">
        <w:rPr>
          <w:rFonts w:cs="Times New Roman"/>
          <w:szCs w:val="24"/>
        </w:rPr>
        <w:t>s</w:t>
      </w:r>
      <w:r w:rsidRPr="004A069C">
        <w:rPr>
          <w:rFonts w:cs="Times New Roman"/>
          <w:szCs w:val="24"/>
        </w:rPr>
        <w:t xml:space="preserve"> are defined in Appendix. The value in parentheses are the p-value. The</w:t>
      </w:r>
      <w:r w:rsidR="009579C6" w:rsidRPr="004A069C">
        <w:rPr>
          <w:rFonts w:cs="Times New Roman"/>
          <w:szCs w:val="24"/>
        </w:rPr>
        <w:t>re are four</w:t>
      </w:r>
      <w:r w:rsidRPr="004A069C">
        <w:rPr>
          <w:rFonts w:cs="Times New Roman"/>
          <w:szCs w:val="24"/>
        </w:rPr>
        <w:t xml:space="preserve"> 4 model</w:t>
      </w:r>
      <w:r w:rsidR="00D51890" w:rsidRPr="004A069C">
        <w:rPr>
          <w:rFonts w:cs="Times New Roman"/>
          <w:szCs w:val="24"/>
        </w:rPr>
        <w:t>s</w:t>
      </w:r>
      <w:r w:rsidR="009579C6" w:rsidRPr="004A069C">
        <w:rPr>
          <w:rFonts w:cs="Times New Roman"/>
          <w:szCs w:val="24"/>
        </w:rPr>
        <w:t xml:space="preserve"> in this table</w:t>
      </w:r>
      <w:r w:rsidRPr="004A069C">
        <w:rPr>
          <w:rFonts w:cs="Times New Roman"/>
          <w:szCs w:val="24"/>
        </w:rPr>
        <w:t xml:space="preserve">: model 1 </w:t>
      </w:r>
      <w:r w:rsidR="009579C6" w:rsidRPr="004A069C">
        <w:rPr>
          <w:rFonts w:cs="Times New Roman"/>
          <w:szCs w:val="24"/>
        </w:rPr>
        <w:t>with</w:t>
      </w:r>
      <w:r w:rsidRPr="004A069C">
        <w:rPr>
          <w:rFonts w:cs="Times New Roman"/>
          <w:szCs w:val="24"/>
        </w:rPr>
        <w:t xml:space="preserve"> no fixed effects (FE), model 2 </w:t>
      </w:r>
      <w:r w:rsidR="009579C6" w:rsidRPr="004A069C">
        <w:rPr>
          <w:rFonts w:cs="Times New Roman"/>
          <w:szCs w:val="24"/>
        </w:rPr>
        <w:t>with</w:t>
      </w:r>
      <w:r w:rsidRPr="004A069C">
        <w:rPr>
          <w:rFonts w:cs="Times New Roman"/>
          <w:szCs w:val="24"/>
        </w:rPr>
        <w:t xml:space="preserve"> year fixed effects, model </w:t>
      </w:r>
      <w:r w:rsidR="009579C6" w:rsidRPr="004A069C">
        <w:rPr>
          <w:rFonts w:cs="Times New Roman"/>
          <w:szCs w:val="24"/>
        </w:rPr>
        <w:t>3</w:t>
      </w:r>
      <w:r w:rsidRPr="004A069C">
        <w:rPr>
          <w:rFonts w:cs="Times New Roman"/>
          <w:szCs w:val="24"/>
        </w:rPr>
        <w:t xml:space="preserve"> </w:t>
      </w:r>
      <w:r w:rsidR="009579C6" w:rsidRPr="004A069C">
        <w:rPr>
          <w:rFonts w:cs="Times New Roman"/>
          <w:szCs w:val="24"/>
        </w:rPr>
        <w:t>with</w:t>
      </w:r>
      <w:r w:rsidRPr="004A069C">
        <w:rPr>
          <w:rFonts w:cs="Times New Roman"/>
          <w:szCs w:val="24"/>
        </w:rPr>
        <w:t xml:space="preserve"> firm fixed effects, </w:t>
      </w:r>
      <w:r w:rsidR="009579C6" w:rsidRPr="004A069C">
        <w:rPr>
          <w:rFonts w:cs="Times New Roman"/>
          <w:szCs w:val="24"/>
        </w:rPr>
        <w:t xml:space="preserve">and </w:t>
      </w:r>
      <w:r w:rsidRPr="004A069C">
        <w:rPr>
          <w:rFonts w:cs="Times New Roman"/>
          <w:szCs w:val="24"/>
        </w:rPr>
        <w:t xml:space="preserve">model 4 </w:t>
      </w:r>
      <w:r w:rsidR="009579C6" w:rsidRPr="004A069C">
        <w:rPr>
          <w:rFonts w:cs="Times New Roman"/>
          <w:szCs w:val="24"/>
        </w:rPr>
        <w:t>with</w:t>
      </w:r>
      <w:r w:rsidRPr="004A069C">
        <w:rPr>
          <w:rFonts w:cs="Times New Roman"/>
          <w:szCs w:val="24"/>
        </w:rPr>
        <w:t xml:space="preserve"> both firm and year fixed effects.</w:t>
      </w:r>
    </w:p>
    <w:tbl>
      <w:tblPr>
        <w:tblW w:w="7677" w:type="dxa"/>
        <w:jc w:val="center"/>
        <w:tblLook w:val="04A0" w:firstRow="1" w:lastRow="0" w:firstColumn="1" w:lastColumn="0" w:noHBand="0" w:noVBand="1"/>
      </w:tblPr>
      <w:tblGrid>
        <w:gridCol w:w="1677"/>
        <w:gridCol w:w="1506"/>
        <w:gridCol w:w="1498"/>
        <w:gridCol w:w="1498"/>
        <w:gridCol w:w="1498"/>
      </w:tblGrid>
      <w:tr w:rsidR="009A3E74" w:rsidRPr="004A069C" w:rsidTr="000E7D9F">
        <w:trPr>
          <w:trHeight w:val="292"/>
          <w:jc w:val="center"/>
        </w:trPr>
        <w:tc>
          <w:tcPr>
            <w:tcW w:w="1677" w:type="dxa"/>
            <w:tcBorders>
              <w:top w:val="single" w:sz="4" w:space="0" w:color="auto"/>
              <w:left w:val="nil"/>
              <w:bottom w:val="single" w:sz="4" w:space="0" w:color="auto"/>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Variables </w:t>
            </w:r>
          </w:p>
        </w:tc>
        <w:tc>
          <w:tcPr>
            <w:tcW w:w="1506" w:type="dxa"/>
            <w:tcBorders>
              <w:top w:val="single" w:sz="4" w:space="0" w:color="auto"/>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1</w:t>
            </w:r>
          </w:p>
        </w:tc>
        <w:tc>
          <w:tcPr>
            <w:tcW w:w="1498" w:type="dxa"/>
            <w:tcBorders>
              <w:top w:val="single" w:sz="4" w:space="0" w:color="auto"/>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2</w:t>
            </w:r>
          </w:p>
        </w:tc>
        <w:tc>
          <w:tcPr>
            <w:tcW w:w="1498" w:type="dxa"/>
            <w:tcBorders>
              <w:top w:val="single" w:sz="4" w:space="0" w:color="auto"/>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3</w:t>
            </w:r>
          </w:p>
        </w:tc>
        <w:tc>
          <w:tcPr>
            <w:tcW w:w="1498" w:type="dxa"/>
            <w:tcBorders>
              <w:top w:val="single" w:sz="4" w:space="0" w:color="auto"/>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4</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Constant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14.17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13.22</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34.84</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62.41</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-4.22</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-3.94</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-4.28</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-4.53</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(0.0001)</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Buy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-0.36</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1.38</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1.69</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(0.8770)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(0.5527)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(0.0339)</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(0.0061)</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Ln(MC)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-2.31</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-2.11</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-6.57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-12.72</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Ln(B/M)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1.95</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1.87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7.7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6.43</w:t>
            </w:r>
          </w:p>
        </w:tc>
      </w:tr>
      <w:tr w:rsidR="009A3E74" w:rsidRPr="004A069C" w:rsidTr="000E7D9F">
        <w:trPr>
          <w:trHeight w:val="94"/>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335"/>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Past Return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2.31</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2.94</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0.54</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2.25</w:t>
            </w:r>
          </w:p>
        </w:tc>
      </w:tr>
      <w:tr w:rsidR="009A3E74" w:rsidRPr="004A069C" w:rsidTr="000E7D9F">
        <w:trPr>
          <w:trHeight w:val="74"/>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(0.0007)</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(0.4490)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(0.0023)</w:t>
            </w:r>
          </w:p>
        </w:tc>
      </w:tr>
      <w:tr w:rsidR="009A3E74" w:rsidRPr="004A069C" w:rsidTr="000E7D9F">
        <w:trPr>
          <w:trHeight w:val="361"/>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Net Issues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r>
      <w:tr w:rsidR="009A3E74" w:rsidRPr="004A069C" w:rsidTr="000E7D9F">
        <w:trPr>
          <w:trHeight w:val="74"/>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right"/>
              <w:rPr>
                <w:rFonts w:eastAsia="Times New Roman" w:cs="Times New Roman"/>
                <w:szCs w:val="24"/>
              </w:rPr>
            </w:pP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(0.0002)</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(0.0004)</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92"/>
          <w:jc w:val="center"/>
        </w:trPr>
        <w:tc>
          <w:tcPr>
            <w:tcW w:w="1677" w:type="dxa"/>
            <w:tcBorders>
              <w:top w:val="single" w:sz="4" w:space="0" w:color="auto"/>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Firm FE </w:t>
            </w:r>
          </w:p>
        </w:tc>
        <w:tc>
          <w:tcPr>
            <w:tcW w:w="1506" w:type="dxa"/>
            <w:tcBorders>
              <w:top w:val="single" w:sz="4" w:space="0" w:color="auto"/>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98" w:type="dxa"/>
            <w:tcBorders>
              <w:top w:val="single" w:sz="4" w:space="0" w:color="auto"/>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98" w:type="dxa"/>
            <w:tcBorders>
              <w:top w:val="single" w:sz="4" w:space="0" w:color="auto"/>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98" w:type="dxa"/>
            <w:tcBorders>
              <w:top w:val="single" w:sz="4" w:space="0" w:color="auto"/>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92"/>
          <w:jc w:val="center"/>
        </w:trPr>
        <w:tc>
          <w:tcPr>
            <w:tcW w:w="1677" w:type="dxa"/>
            <w:tcBorders>
              <w:top w:val="nil"/>
              <w:left w:val="nil"/>
              <w:bottom w:val="nil"/>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Year FE </w:t>
            </w:r>
          </w:p>
        </w:tc>
        <w:tc>
          <w:tcPr>
            <w:tcW w:w="1506"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98"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88"/>
          <w:jc w:val="center"/>
        </w:trPr>
        <w:tc>
          <w:tcPr>
            <w:tcW w:w="1677"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Adj. R-squared </w:t>
            </w:r>
          </w:p>
        </w:tc>
        <w:tc>
          <w:tcPr>
            <w:tcW w:w="1506"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98"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0.11</w:t>
            </w:r>
          </w:p>
        </w:tc>
        <w:tc>
          <w:tcPr>
            <w:tcW w:w="1498"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c>
          <w:tcPr>
            <w:tcW w:w="1498"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0.22</w:t>
            </w:r>
          </w:p>
        </w:tc>
      </w:tr>
    </w:tbl>
    <w:p w:rsidR="009A3E74" w:rsidRPr="004A069C" w:rsidRDefault="009A3E74" w:rsidP="009A3E74">
      <w:pPr>
        <w:spacing w:line="360" w:lineRule="auto"/>
        <w:rPr>
          <w:rFonts w:cs="Times New Roman"/>
          <w:szCs w:val="24"/>
        </w:rPr>
      </w:pPr>
      <w:r w:rsidRPr="004A069C">
        <w:rPr>
          <w:rFonts w:cs="Times New Roman"/>
          <w:szCs w:val="24"/>
        </w:rPr>
        <w:br w:type="page"/>
      </w:r>
    </w:p>
    <w:p w:rsidR="009A3E74" w:rsidRPr="004A069C" w:rsidRDefault="00D63C84" w:rsidP="007475F0">
      <w:pPr>
        <w:pStyle w:val="1"/>
        <w:spacing w:line="360" w:lineRule="auto"/>
        <w:rPr>
          <w:sz w:val="24"/>
          <w:szCs w:val="24"/>
        </w:rPr>
      </w:pPr>
      <w:bookmarkStart w:id="15" w:name="_Toc27625328"/>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5</w:t>
      </w:r>
      <w:r w:rsidR="00EB5E89" w:rsidRPr="004A069C">
        <w:rPr>
          <w:noProof/>
          <w:sz w:val="24"/>
          <w:szCs w:val="24"/>
        </w:rPr>
        <w:fldChar w:fldCharType="end"/>
      </w:r>
      <w:r w:rsidR="009A3E74" w:rsidRPr="004A069C">
        <w:rPr>
          <w:sz w:val="24"/>
          <w:szCs w:val="24"/>
        </w:rPr>
        <w:t>: Analysis of litigation risk hypothesis – Using firm-level volatility</w:t>
      </w:r>
      <w:r w:rsidR="007475F0" w:rsidRPr="004A069C">
        <w:rPr>
          <w:sz w:val="24"/>
          <w:szCs w:val="24"/>
        </w:rPr>
        <w:br/>
      </w:r>
      <w:r w:rsidR="009A3E74" w:rsidRPr="004A069C">
        <w:rPr>
          <w:sz w:val="24"/>
          <w:szCs w:val="24"/>
        </w:rPr>
        <w:t xml:space="preserve"> (Sigma) as a proxy</w:t>
      </w:r>
      <w:bookmarkEnd w:id="15"/>
    </w:p>
    <w:p w:rsidR="007475F0" w:rsidRPr="004A069C" w:rsidRDefault="007475F0" w:rsidP="007475F0"/>
    <w:p w:rsidR="00F733CE" w:rsidRPr="004A069C" w:rsidRDefault="00F733CE" w:rsidP="002D475A">
      <w:pPr>
        <w:spacing w:line="360" w:lineRule="auto"/>
        <w:ind w:firstLine="720"/>
        <w:jc w:val="both"/>
        <w:rPr>
          <w:rFonts w:cs="Times New Roman"/>
          <w:szCs w:val="24"/>
        </w:rPr>
      </w:pPr>
      <w:r w:rsidRPr="004A069C">
        <w:rPr>
          <w:rFonts w:cs="Times New Roman"/>
          <w:szCs w:val="24"/>
        </w:rPr>
        <w:t xml:space="preserve">The sample includes 7265 observations of 100 stocks from January 2010 to December 2018. The dependent variable is the future 6-month cumulative abnormal return. The independent variables are defined in Appendix. </w:t>
      </w:r>
      <w:r w:rsidR="007475F0" w:rsidRPr="004A069C">
        <w:rPr>
          <w:rFonts w:cs="Times New Roman"/>
          <w:szCs w:val="24"/>
        </w:rPr>
        <w:t xml:space="preserve">This regression includes the volatility of firm stock price (Sigma) and the interaction term of Sigma and Silence variables. </w:t>
      </w:r>
      <w:r w:rsidRPr="004A069C">
        <w:rPr>
          <w:rFonts w:cs="Times New Roman"/>
          <w:szCs w:val="24"/>
        </w:rPr>
        <w:t>The value in parentheses are the p-value. There are four 4 model</w:t>
      </w:r>
      <w:r w:rsidR="00D51890" w:rsidRPr="004A069C">
        <w:rPr>
          <w:rFonts w:cs="Times New Roman"/>
          <w:szCs w:val="24"/>
        </w:rPr>
        <w:t>s</w:t>
      </w:r>
      <w:r w:rsidRPr="004A069C">
        <w:rPr>
          <w:rFonts w:cs="Times New Roman"/>
          <w:szCs w:val="24"/>
        </w:rPr>
        <w:t xml:space="preserve"> in this table: model 1 with no fixed effects (FE), model 2 with year fixed effects, model 3 with firm fixed effects, and model 4 with both firm and year fixed effects.</w:t>
      </w:r>
    </w:p>
    <w:tbl>
      <w:tblPr>
        <w:tblW w:w="7759" w:type="dxa"/>
        <w:jc w:val="center"/>
        <w:tblLook w:val="04A0" w:firstRow="1" w:lastRow="0" w:firstColumn="1" w:lastColumn="0" w:noHBand="0" w:noVBand="1"/>
      </w:tblPr>
      <w:tblGrid>
        <w:gridCol w:w="2151"/>
        <w:gridCol w:w="1402"/>
        <w:gridCol w:w="1402"/>
        <w:gridCol w:w="1402"/>
        <w:gridCol w:w="1402"/>
      </w:tblGrid>
      <w:tr w:rsidR="009A3E74" w:rsidRPr="004A069C" w:rsidTr="000E7D9F">
        <w:trPr>
          <w:trHeight w:val="276"/>
          <w:jc w:val="center"/>
        </w:trPr>
        <w:tc>
          <w:tcPr>
            <w:tcW w:w="2151"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Variables </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1</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2</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3</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4</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Constant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13.78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13.18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32.7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59.12</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-2.53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2.78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3.37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-3.91</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(0.0282)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(0.0122)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(0.0077)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(0.001)</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Silence*Sigma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-0.25</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(0.1620)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(0.6844)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(0.4813)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(0.8936)</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Sigma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-0.67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-0.76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-0.84</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Buy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-0.14</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1.44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1.69</w:t>
            </w:r>
          </w:p>
        </w:tc>
      </w:tr>
      <w:tr w:rsidR="009A3E74" w:rsidRPr="004A069C" w:rsidTr="000E7D9F">
        <w:trPr>
          <w:trHeight w:val="23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(0.8202)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(0.4391)</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(0.0268)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(0.0062)</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Ln(MC)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-2.02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-1.82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-5.74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-11.59</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62"/>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Ln(B/M)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0.5400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6.45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5.19</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(0.2635)</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(0.5960)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Past Return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3.03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4.03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1.12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3.15</w:t>
            </w:r>
          </w:p>
        </w:tc>
      </w:tr>
      <w:tr w:rsidR="009A3E74" w:rsidRPr="004A069C" w:rsidTr="000E7D9F">
        <w:trPr>
          <w:trHeight w:val="249"/>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(0.1219)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Net Issues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Firm FE </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Year FE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151"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Adj. R-squared </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02"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0.23</w:t>
            </w:r>
          </w:p>
        </w:tc>
      </w:tr>
    </w:tbl>
    <w:p w:rsidR="009A3E74" w:rsidRPr="004A069C" w:rsidRDefault="009A3E74" w:rsidP="00D63C84">
      <w:pPr>
        <w:pStyle w:val="1"/>
        <w:rPr>
          <w:sz w:val="24"/>
          <w:szCs w:val="24"/>
        </w:rPr>
      </w:pPr>
      <w:r w:rsidRPr="004A069C">
        <w:rPr>
          <w:sz w:val="24"/>
          <w:szCs w:val="24"/>
        </w:rPr>
        <w:br w:type="page"/>
      </w:r>
    </w:p>
    <w:p w:rsidR="002D475A" w:rsidRPr="004A069C" w:rsidRDefault="00D63C84" w:rsidP="00396D84">
      <w:pPr>
        <w:pStyle w:val="1"/>
        <w:spacing w:line="360" w:lineRule="auto"/>
        <w:rPr>
          <w:sz w:val="24"/>
          <w:szCs w:val="24"/>
        </w:rPr>
      </w:pPr>
      <w:bookmarkStart w:id="16" w:name="_Toc27625329"/>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6</w:t>
      </w:r>
      <w:r w:rsidR="00EB5E89" w:rsidRPr="004A069C">
        <w:rPr>
          <w:noProof/>
          <w:sz w:val="24"/>
          <w:szCs w:val="24"/>
        </w:rPr>
        <w:fldChar w:fldCharType="end"/>
      </w:r>
      <w:r w:rsidR="009A3E74" w:rsidRPr="004A069C">
        <w:rPr>
          <w:sz w:val="24"/>
          <w:szCs w:val="24"/>
        </w:rPr>
        <w:t xml:space="preserve">: Analysis of litigation risk hypothesis – Using market-level volatility </w:t>
      </w:r>
      <w:r w:rsidR="007475F0" w:rsidRPr="004A069C">
        <w:rPr>
          <w:sz w:val="24"/>
          <w:szCs w:val="24"/>
        </w:rPr>
        <w:br/>
      </w:r>
      <w:r w:rsidR="009A3E74" w:rsidRPr="004A069C">
        <w:rPr>
          <w:sz w:val="24"/>
          <w:szCs w:val="24"/>
        </w:rPr>
        <w:t>(Market</w:t>
      </w:r>
      <w:r w:rsidR="007475F0" w:rsidRPr="004A069C">
        <w:rPr>
          <w:rFonts w:ascii="新細明體" w:eastAsia="新細明體" w:hAnsi="新細明體" w:hint="eastAsia"/>
          <w:sz w:val="24"/>
          <w:szCs w:val="24"/>
          <w:lang w:eastAsia="zh-TW"/>
        </w:rPr>
        <w:t xml:space="preserve"> </w:t>
      </w:r>
      <w:r w:rsidR="009A3E74" w:rsidRPr="004A069C">
        <w:rPr>
          <w:sz w:val="24"/>
          <w:szCs w:val="24"/>
        </w:rPr>
        <w:t>Sigma) as a proxy</w:t>
      </w:r>
      <w:bookmarkEnd w:id="16"/>
    </w:p>
    <w:p w:rsidR="00396D84" w:rsidRPr="004A069C" w:rsidRDefault="00396D84" w:rsidP="00396D84"/>
    <w:p w:rsidR="007475F0" w:rsidRPr="004A069C" w:rsidRDefault="007475F0" w:rsidP="002D475A">
      <w:pPr>
        <w:spacing w:line="360" w:lineRule="auto"/>
        <w:ind w:firstLine="720"/>
        <w:jc w:val="both"/>
        <w:rPr>
          <w:rFonts w:cs="Times New Roman"/>
          <w:szCs w:val="24"/>
        </w:rPr>
      </w:pPr>
      <w:r w:rsidRPr="004A069C">
        <w:rPr>
          <w:rFonts w:cs="Times New Roman"/>
          <w:szCs w:val="24"/>
        </w:rPr>
        <w:t>The sample includes 7265 observations of 100 stocks from January 2010 to December 2018. The dependent variable is the future 6-month cumulative abnormal return. The independent variables are defined in Appendix. This regression includes the volatility of firm stock price (Market</w:t>
      </w:r>
      <w:r w:rsidRPr="004A069C">
        <w:rPr>
          <w:rFonts w:ascii="新細明體" w:eastAsia="新細明體" w:hAnsi="新細明體" w:cs="Times New Roman" w:hint="eastAsia"/>
          <w:szCs w:val="24"/>
          <w:lang w:eastAsia="zh-TW"/>
        </w:rPr>
        <w:t xml:space="preserve"> </w:t>
      </w:r>
      <w:r w:rsidRPr="004A069C">
        <w:rPr>
          <w:rFonts w:cs="Times New Roman"/>
          <w:szCs w:val="24"/>
        </w:rPr>
        <w:t>Sigma) and the interaction term of Sigma and Silence variables. The value in parentheses are the p-value. There are four 4 model</w:t>
      </w:r>
      <w:r w:rsidR="00D51890" w:rsidRPr="004A069C">
        <w:rPr>
          <w:rFonts w:cs="Times New Roman"/>
          <w:szCs w:val="24"/>
        </w:rPr>
        <w:t>s</w:t>
      </w:r>
      <w:r w:rsidRPr="004A069C">
        <w:rPr>
          <w:rFonts w:cs="Times New Roman"/>
          <w:szCs w:val="24"/>
        </w:rPr>
        <w:t xml:space="preserve"> in this table: model 1 with no fixed effects (FE), model 2 with year fixed effects, model 3 with firm fixed effects, and model 4 with both firm and year fixed effects.</w:t>
      </w:r>
    </w:p>
    <w:tbl>
      <w:tblPr>
        <w:tblW w:w="8326" w:type="dxa"/>
        <w:jc w:val="center"/>
        <w:tblLook w:val="04A0" w:firstRow="1" w:lastRow="0" w:firstColumn="1" w:lastColumn="0" w:noHBand="0" w:noVBand="1"/>
      </w:tblPr>
      <w:tblGrid>
        <w:gridCol w:w="2718"/>
        <w:gridCol w:w="1402"/>
        <w:gridCol w:w="1402"/>
        <w:gridCol w:w="1402"/>
        <w:gridCol w:w="1402"/>
      </w:tblGrid>
      <w:tr w:rsidR="009A3E74" w:rsidRPr="004A069C" w:rsidTr="000E7D9F">
        <w:trPr>
          <w:trHeight w:val="276"/>
          <w:jc w:val="center"/>
        </w:trPr>
        <w:tc>
          <w:tcPr>
            <w:tcW w:w="2718"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Variables </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1</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2</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3</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4</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Constant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13.28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-10.02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37.96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112.5</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(0.4108)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(0.2804)</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-2.89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-2.48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-1.58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-1.46</w:t>
            </w:r>
          </w:p>
        </w:tc>
      </w:tr>
      <w:tr w:rsidR="009A3E74" w:rsidRPr="004A069C" w:rsidTr="000E7D9F">
        <w:trPr>
          <w:trHeight w:val="80"/>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(0.0997)</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(0.1423)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(0.0077)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(0.4046)</w:t>
            </w:r>
          </w:p>
        </w:tc>
      </w:tr>
      <w:tr w:rsidR="009A3E74" w:rsidRPr="004A069C" w:rsidTr="000E7D9F">
        <w:trPr>
          <w:trHeight w:val="393"/>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Silence*MarketSigma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-0.06</w:t>
            </w:r>
          </w:p>
        </w:tc>
      </w:tr>
      <w:tr w:rsidR="009A3E74" w:rsidRPr="004A069C" w:rsidTr="000E7D9F">
        <w:trPr>
          <w:trHeight w:val="80"/>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(0.3432)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(0.2788)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(0.0713)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(0.0294)</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MarketSigma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-1.05</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(0.0013)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(0.0555)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(0.6321)</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Buy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-0.15</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1.71</w:t>
            </w:r>
          </w:p>
        </w:tc>
      </w:tr>
      <w:tr w:rsidR="009A3E74" w:rsidRPr="004A069C" w:rsidTr="000E7D9F">
        <w:trPr>
          <w:trHeight w:val="23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(0.8069)</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(0.5595)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(0.0377)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(0.0055)</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Ln(MC)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-2.44</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-8.53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-12.7</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62"/>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Ln(B/M)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1.83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7.67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6.29</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Past Return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2.33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2.96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1.59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2.28</w:t>
            </w:r>
          </w:p>
        </w:tc>
      </w:tr>
      <w:tr w:rsidR="009A3E74" w:rsidRPr="004A069C" w:rsidTr="000E7D9F">
        <w:trPr>
          <w:trHeight w:val="249"/>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(0.0006)</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(0.0260)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(0.0020)</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Net Issues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(0.0003)</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(0.0026)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718"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Firm FE </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718"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Year FE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718"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Adj. R-squared </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02"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0.11</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0.14</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0.23</w:t>
            </w:r>
          </w:p>
        </w:tc>
      </w:tr>
    </w:tbl>
    <w:p w:rsidR="009A3E74" w:rsidRPr="004A069C" w:rsidRDefault="009A3E74" w:rsidP="009A3E74">
      <w:pPr>
        <w:spacing w:line="360" w:lineRule="auto"/>
        <w:rPr>
          <w:rFonts w:cs="Times New Roman"/>
          <w:szCs w:val="24"/>
        </w:rPr>
      </w:pPr>
      <w:r w:rsidRPr="004A069C">
        <w:rPr>
          <w:rFonts w:cs="Times New Roman"/>
          <w:szCs w:val="24"/>
        </w:rPr>
        <w:br w:type="page"/>
      </w:r>
    </w:p>
    <w:p w:rsidR="009A3E74" w:rsidRPr="004A069C" w:rsidRDefault="00D63C84" w:rsidP="00D63C84">
      <w:pPr>
        <w:pStyle w:val="1"/>
        <w:rPr>
          <w:sz w:val="24"/>
          <w:szCs w:val="24"/>
        </w:rPr>
      </w:pPr>
      <w:bookmarkStart w:id="17" w:name="_Toc27625330"/>
      <w:r w:rsidRPr="004A069C">
        <w:rPr>
          <w:sz w:val="24"/>
          <w:szCs w:val="24"/>
        </w:rPr>
        <w:t xml:space="preserve">Table </w:t>
      </w:r>
      <w:r w:rsidR="00EB5E89" w:rsidRPr="004A069C">
        <w:rPr>
          <w:noProof/>
          <w:sz w:val="24"/>
          <w:szCs w:val="24"/>
        </w:rPr>
        <w:fldChar w:fldCharType="begin"/>
      </w:r>
      <w:r w:rsidR="00EB5E89" w:rsidRPr="004A069C">
        <w:rPr>
          <w:noProof/>
          <w:sz w:val="24"/>
          <w:szCs w:val="24"/>
        </w:rPr>
        <w:instrText xml:space="preserve"> SEQ Table \* ARABIC </w:instrText>
      </w:r>
      <w:r w:rsidR="00EB5E89" w:rsidRPr="004A069C">
        <w:rPr>
          <w:noProof/>
          <w:sz w:val="24"/>
          <w:szCs w:val="24"/>
        </w:rPr>
        <w:fldChar w:fldCharType="separate"/>
      </w:r>
      <w:r w:rsidRPr="004A069C">
        <w:rPr>
          <w:noProof/>
          <w:sz w:val="24"/>
          <w:szCs w:val="24"/>
        </w:rPr>
        <w:t>7</w:t>
      </w:r>
      <w:r w:rsidR="00EB5E89" w:rsidRPr="004A069C">
        <w:rPr>
          <w:noProof/>
          <w:sz w:val="24"/>
          <w:szCs w:val="24"/>
        </w:rPr>
        <w:fldChar w:fldCharType="end"/>
      </w:r>
      <w:r w:rsidR="009A3E74" w:rsidRPr="004A069C">
        <w:rPr>
          <w:sz w:val="24"/>
          <w:szCs w:val="24"/>
        </w:rPr>
        <w:t>: Unconditional insider silence and sudden insider silence</w:t>
      </w:r>
      <w:bookmarkEnd w:id="17"/>
    </w:p>
    <w:p w:rsidR="002D475A" w:rsidRPr="004A069C" w:rsidRDefault="002D475A" w:rsidP="002D475A">
      <w:pPr>
        <w:rPr>
          <w:szCs w:val="24"/>
        </w:rPr>
      </w:pPr>
    </w:p>
    <w:p w:rsidR="00396D84" w:rsidRPr="004A069C" w:rsidRDefault="002D475A" w:rsidP="002D475A">
      <w:pPr>
        <w:spacing w:line="360" w:lineRule="auto"/>
        <w:ind w:firstLine="720"/>
        <w:jc w:val="both"/>
        <w:rPr>
          <w:rFonts w:cs="Times New Roman"/>
          <w:szCs w:val="24"/>
        </w:rPr>
      </w:pPr>
      <w:r w:rsidRPr="004A069C">
        <w:rPr>
          <w:rFonts w:cs="Times New Roman"/>
          <w:szCs w:val="24"/>
        </w:rPr>
        <w:t xml:space="preserve">  </w:t>
      </w:r>
      <w:r w:rsidR="00396D84" w:rsidRPr="004A069C">
        <w:rPr>
          <w:rFonts w:cs="Times New Roman"/>
          <w:szCs w:val="24"/>
        </w:rPr>
        <w:t>The sample includes 7265 observations of 100 stocks from January 2010 to December 2018. The dependent variable is the future 6-month cumulative abnormal return. The independent variables are defined in Appendix. This regression includes the dummies variable which indicates for routine purchase insider sudden silence firm (PPN) and routine sell insider sudden silence firm (SSN). The value in parentheses are the p-value. There are four 4 models in this table: model 1 with no fixed effects (FE), model 2 with year fixed effects, model 3 with firm fixed effects, and model 4 with both firm and year fixed effects.</w:t>
      </w:r>
    </w:p>
    <w:tbl>
      <w:tblPr>
        <w:tblW w:w="7759" w:type="dxa"/>
        <w:jc w:val="center"/>
        <w:tblLook w:val="04A0" w:firstRow="1" w:lastRow="0" w:firstColumn="1" w:lastColumn="0" w:noHBand="0" w:noVBand="1"/>
      </w:tblPr>
      <w:tblGrid>
        <w:gridCol w:w="2151"/>
        <w:gridCol w:w="1402"/>
        <w:gridCol w:w="1402"/>
        <w:gridCol w:w="1402"/>
        <w:gridCol w:w="1402"/>
      </w:tblGrid>
      <w:tr w:rsidR="009A3E74" w:rsidRPr="004A069C" w:rsidTr="000E7D9F">
        <w:trPr>
          <w:trHeight w:val="276"/>
          <w:jc w:val="center"/>
        </w:trPr>
        <w:tc>
          <w:tcPr>
            <w:tcW w:w="2151"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Variables </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1</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2</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3</w:t>
            </w:r>
          </w:p>
        </w:tc>
        <w:tc>
          <w:tcPr>
            <w:tcW w:w="1402" w:type="dxa"/>
            <w:tcBorders>
              <w:top w:val="single" w:sz="4" w:space="0" w:color="auto"/>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Model 4</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Constant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14.16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13.21</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34.82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62.47</w:t>
            </w:r>
          </w:p>
        </w:tc>
      </w:tr>
      <w:tr w:rsidR="009A3E74" w:rsidRPr="004A069C" w:rsidTr="000E7D9F">
        <w:trPr>
          <w:trHeight w:val="80"/>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Silence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-3.68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-4.12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-3.84</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(0.0001)</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(0.0006)</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(0.0007)</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PPN</w:t>
            </w:r>
          </w:p>
        </w:tc>
        <w:tc>
          <w:tcPr>
            <w:tcW w:w="1402" w:type="dxa"/>
            <w:tcBorders>
              <w:top w:val="nil"/>
              <w:left w:val="nil"/>
              <w:bottom w:val="nil"/>
              <w:right w:val="nil"/>
            </w:tcBorders>
            <w:shd w:val="clear" w:color="auto" w:fill="auto"/>
            <w:vAlign w:val="center"/>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-0.94</w:t>
            </w:r>
          </w:p>
        </w:tc>
        <w:tc>
          <w:tcPr>
            <w:tcW w:w="1402" w:type="dxa"/>
            <w:tcBorders>
              <w:top w:val="nil"/>
              <w:left w:val="nil"/>
              <w:bottom w:val="nil"/>
              <w:right w:val="nil"/>
            </w:tcBorders>
            <w:shd w:val="clear" w:color="auto" w:fill="auto"/>
            <w:vAlign w:val="center"/>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-3.30</w:t>
            </w:r>
          </w:p>
        </w:tc>
        <w:tc>
          <w:tcPr>
            <w:tcW w:w="1402" w:type="dxa"/>
            <w:tcBorders>
              <w:top w:val="nil"/>
              <w:left w:val="nil"/>
              <w:bottom w:val="nil"/>
              <w:right w:val="nil"/>
            </w:tcBorders>
            <w:shd w:val="clear" w:color="auto" w:fill="auto"/>
            <w:noWrap/>
            <w:vAlign w:val="bottom"/>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0.79</w:t>
            </w:r>
          </w:p>
        </w:tc>
        <w:tc>
          <w:tcPr>
            <w:tcW w:w="1402" w:type="dxa"/>
            <w:tcBorders>
              <w:top w:val="nil"/>
              <w:left w:val="nil"/>
              <w:bottom w:val="nil"/>
              <w:right w:val="nil"/>
            </w:tcBorders>
            <w:shd w:val="clear" w:color="auto" w:fill="auto"/>
            <w:noWrap/>
            <w:vAlign w:val="bottom"/>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-3.06</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(0.8358)</w:t>
            </w:r>
          </w:p>
        </w:tc>
        <w:tc>
          <w:tcPr>
            <w:tcW w:w="1402" w:type="dxa"/>
            <w:tcBorders>
              <w:top w:val="nil"/>
              <w:left w:val="nil"/>
              <w:bottom w:val="nil"/>
              <w:right w:val="nil"/>
            </w:tcBorders>
            <w:shd w:val="clear" w:color="auto" w:fill="auto"/>
            <w:vAlign w:val="center"/>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(0.4516)</w:t>
            </w:r>
          </w:p>
        </w:tc>
        <w:tc>
          <w:tcPr>
            <w:tcW w:w="1402" w:type="dxa"/>
            <w:tcBorders>
              <w:top w:val="nil"/>
              <w:left w:val="nil"/>
              <w:bottom w:val="nil"/>
              <w:right w:val="nil"/>
            </w:tcBorders>
            <w:shd w:val="clear" w:color="auto" w:fill="auto"/>
            <w:noWrap/>
            <w:vAlign w:val="bottom"/>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(0.8594)</w:t>
            </w:r>
          </w:p>
        </w:tc>
        <w:tc>
          <w:tcPr>
            <w:tcW w:w="1402" w:type="dxa"/>
            <w:tcBorders>
              <w:top w:val="nil"/>
              <w:left w:val="nil"/>
              <w:bottom w:val="nil"/>
              <w:right w:val="nil"/>
            </w:tcBorders>
            <w:shd w:val="clear" w:color="auto" w:fill="auto"/>
            <w:noWrap/>
            <w:vAlign w:val="bottom"/>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(0.4699)</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SSN</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-0.38</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-0.93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-3.25</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(0.8807)</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(0.2788)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(0.6532)</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(0.1749)</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Buy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-0.35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1.39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1.71</w:t>
            </w:r>
          </w:p>
        </w:tc>
      </w:tr>
      <w:tr w:rsidR="009A3E74" w:rsidRPr="004A069C" w:rsidTr="000E7D9F">
        <w:trPr>
          <w:trHeight w:val="23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(0.8774)</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(0.5551)</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(0.0325)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(0.0056)</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Ln(MC)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-2.31</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-2.11</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-6.57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-12.7</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62"/>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Ln(B/M) </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1.96</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1.87</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7.69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6.43</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Past Return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2.31</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2.94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0.55</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2.26</w:t>
            </w:r>
          </w:p>
        </w:tc>
      </w:tr>
      <w:tr w:rsidR="009A3E74" w:rsidRPr="004A069C" w:rsidTr="000E7D9F">
        <w:trPr>
          <w:trHeight w:val="249"/>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(0.0007)</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(0.4428)</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(0.0022)</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Net Issues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-0.13</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-0.09</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right"/>
              <w:rPr>
                <w:rFonts w:eastAsia="Times New Roman" w:cs="Times New Roman"/>
                <w:szCs w:val="24"/>
              </w:rPr>
            </w:pP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(0.0002)</w:t>
            </w:r>
          </w:p>
        </w:tc>
        <w:tc>
          <w:tcPr>
            <w:tcW w:w="1402" w:type="dxa"/>
            <w:tcBorders>
              <w:top w:val="nil"/>
              <w:left w:val="nil"/>
              <w:bottom w:val="nil"/>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(0.0004)</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(0.0000)</w:t>
            </w:r>
          </w:p>
        </w:tc>
      </w:tr>
      <w:tr w:rsidR="009A3E74" w:rsidRPr="004A069C" w:rsidTr="000E7D9F">
        <w:trPr>
          <w:trHeight w:val="276"/>
          <w:jc w:val="center"/>
        </w:trPr>
        <w:tc>
          <w:tcPr>
            <w:tcW w:w="2151"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Firm FE </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single" w:sz="4" w:space="0" w:color="auto"/>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151"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Year FE </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No</w:t>
            </w:r>
          </w:p>
        </w:tc>
        <w:tc>
          <w:tcPr>
            <w:tcW w:w="1402" w:type="dxa"/>
            <w:tcBorders>
              <w:top w:val="nil"/>
              <w:left w:val="nil"/>
              <w:bottom w:val="nil"/>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Yes</w:t>
            </w:r>
          </w:p>
        </w:tc>
      </w:tr>
      <w:tr w:rsidR="009A3E74" w:rsidRPr="004A069C" w:rsidTr="000E7D9F">
        <w:trPr>
          <w:trHeight w:val="276"/>
          <w:jc w:val="center"/>
        </w:trPr>
        <w:tc>
          <w:tcPr>
            <w:tcW w:w="2151"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rPr>
                <w:rFonts w:eastAsia="Times New Roman" w:cs="Times New Roman"/>
                <w:szCs w:val="24"/>
              </w:rPr>
            </w:pPr>
            <w:r w:rsidRPr="004A069C">
              <w:rPr>
                <w:rFonts w:eastAsia="Times New Roman" w:cs="Times New Roman"/>
                <w:szCs w:val="24"/>
              </w:rPr>
              <w:t xml:space="preserve">Adj. R-squared </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0.03</w:t>
            </w:r>
          </w:p>
        </w:tc>
        <w:tc>
          <w:tcPr>
            <w:tcW w:w="1402" w:type="dxa"/>
            <w:tcBorders>
              <w:top w:val="nil"/>
              <w:left w:val="nil"/>
              <w:bottom w:val="single" w:sz="4" w:space="0" w:color="auto"/>
              <w:right w:val="nil"/>
            </w:tcBorders>
            <w:shd w:val="clear" w:color="auto" w:fill="auto"/>
            <w:vAlign w:val="center"/>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0.11</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0.12</w:t>
            </w:r>
          </w:p>
        </w:tc>
        <w:tc>
          <w:tcPr>
            <w:tcW w:w="1402" w:type="dxa"/>
            <w:tcBorders>
              <w:top w:val="nil"/>
              <w:left w:val="nil"/>
              <w:bottom w:val="single" w:sz="4" w:space="0" w:color="auto"/>
              <w:right w:val="nil"/>
            </w:tcBorders>
            <w:shd w:val="clear" w:color="auto" w:fill="auto"/>
            <w:noWrap/>
            <w:vAlign w:val="bottom"/>
            <w:hideMark/>
          </w:tcPr>
          <w:p w:rsidR="009A3E74" w:rsidRPr="004A069C" w:rsidRDefault="009A3E74" w:rsidP="000E7D9F">
            <w:pPr>
              <w:spacing w:after="0" w:line="360" w:lineRule="auto"/>
              <w:jc w:val="center"/>
              <w:rPr>
                <w:rFonts w:eastAsia="Times New Roman" w:cs="Times New Roman"/>
                <w:szCs w:val="24"/>
              </w:rPr>
            </w:pPr>
            <w:r w:rsidRPr="004A069C">
              <w:rPr>
                <w:rFonts w:eastAsia="Times New Roman" w:cs="Times New Roman"/>
                <w:szCs w:val="24"/>
              </w:rPr>
              <w:t>0.23</w:t>
            </w:r>
          </w:p>
        </w:tc>
      </w:tr>
    </w:tbl>
    <w:p w:rsidR="00CE0FB8" w:rsidRPr="004A069C" w:rsidRDefault="00CE0FB8" w:rsidP="002D475A">
      <w:pPr>
        <w:spacing w:line="360" w:lineRule="auto"/>
        <w:ind w:firstLine="720"/>
        <w:jc w:val="both"/>
        <w:rPr>
          <w:rFonts w:cs="Times New Roman"/>
          <w:szCs w:val="24"/>
        </w:rPr>
      </w:pPr>
      <w:r w:rsidRPr="004A069C">
        <w:rPr>
          <w:rFonts w:cs="Times New Roman"/>
          <w:szCs w:val="24"/>
        </w:rPr>
        <w:br w:type="page"/>
      </w:r>
    </w:p>
    <w:p w:rsidR="00CE0FB8" w:rsidRPr="004A069C" w:rsidRDefault="00CE0FB8" w:rsidP="00CE0FB8">
      <w:pPr>
        <w:pStyle w:val="1"/>
        <w:rPr>
          <w:rFonts w:cs="Times New Roman"/>
          <w:sz w:val="24"/>
          <w:szCs w:val="24"/>
        </w:rPr>
      </w:pPr>
      <w:bookmarkStart w:id="18" w:name="_Toc27623024"/>
      <w:r w:rsidRPr="004A069C">
        <w:rPr>
          <w:rFonts w:cs="Times New Roman"/>
          <w:sz w:val="24"/>
          <w:szCs w:val="24"/>
        </w:rPr>
        <w:t>Appendix: Variable Definition</w:t>
      </w:r>
      <w:bookmarkEnd w:id="18"/>
    </w:p>
    <w:p w:rsidR="00CE0FB8" w:rsidRPr="004A069C" w:rsidRDefault="00CE0FB8" w:rsidP="00CE0FB8"/>
    <w:tbl>
      <w:tblPr>
        <w:tblW w:w="9721" w:type="dxa"/>
        <w:tblLook w:val="04A0" w:firstRow="1" w:lastRow="0" w:firstColumn="1" w:lastColumn="0" w:noHBand="0" w:noVBand="1"/>
      </w:tblPr>
      <w:tblGrid>
        <w:gridCol w:w="1701"/>
        <w:gridCol w:w="8020"/>
      </w:tblGrid>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 xml:space="preserve">r(t+6) </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Calculating monthly abnormal return of each stock by taking the net value of monthly return and monthly market return of VNI index. Then calculating the cumulative abnormal return over month t+1 to t+6.</w:t>
            </w:r>
          </w:p>
        </w:tc>
      </w:tr>
      <w:tr w:rsidR="00CE0FB8" w:rsidRPr="004A069C" w:rsidTr="00B374DB">
        <w:trPr>
          <w:trHeight w:val="315"/>
        </w:trPr>
        <w:tc>
          <w:tcPr>
            <w:tcW w:w="1701" w:type="dxa"/>
            <w:tcBorders>
              <w:top w:val="nil"/>
              <w:left w:val="nil"/>
              <w:bottom w:val="nil"/>
              <w:right w:val="nil"/>
            </w:tcBorders>
            <w:shd w:val="clear" w:color="auto" w:fill="auto"/>
            <w:noWrap/>
            <w:vAlign w:val="center"/>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NID</w:t>
            </w:r>
          </w:p>
        </w:tc>
        <w:tc>
          <w:tcPr>
            <w:tcW w:w="8020" w:type="dxa"/>
            <w:tcBorders>
              <w:top w:val="nil"/>
              <w:left w:val="nil"/>
              <w:bottom w:val="nil"/>
              <w:right w:val="nil"/>
            </w:tcBorders>
            <w:shd w:val="clear" w:color="auto" w:fill="auto"/>
            <w:noWrap/>
            <w:vAlign w:val="bottom"/>
          </w:tcPr>
          <w:p w:rsidR="00CE0FB8" w:rsidRPr="004A069C" w:rsidRDefault="00CE0FB8" w:rsidP="00B374DB">
            <w:pPr>
              <w:spacing w:line="360" w:lineRule="auto"/>
              <w:rPr>
                <w:rStyle w:val="fontstyle01"/>
                <w:rFonts w:ascii="Times New Roman" w:hAnsi="Times New Roman" w:cs="Times New Roman"/>
                <w:color w:val="auto"/>
              </w:rPr>
            </w:pPr>
            <w:r w:rsidRPr="004A069C">
              <w:rPr>
                <w:rStyle w:val="fontstyle01"/>
                <w:rFonts w:ascii="Times New Roman" w:hAnsi="Times New Roman" w:cs="Times New Roman"/>
                <w:color w:val="auto"/>
              </w:rPr>
              <w:t>Net insider demand, is the total number of shares in the past m months bought by insider minus the number of shares sold by insider, divided by the total number of shares trading by insider at month j–1.</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Silence</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If there is no trading from insider during month t-12 to t, silence dummy will equal 1, and otherwise equal to 0.</w:t>
            </w:r>
          </w:p>
        </w:tc>
      </w:tr>
      <w:tr w:rsidR="00CE0FB8" w:rsidRPr="004A069C" w:rsidTr="00B374DB">
        <w:trPr>
          <w:trHeight w:val="315"/>
        </w:trPr>
        <w:tc>
          <w:tcPr>
            <w:tcW w:w="1701" w:type="dxa"/>
            <w:tcBorders>
              <w:top w:val="nil"/>
              <w:left w:val="nil"/>
              <w:bottom w:val="nil"/>
              <w:right w:val="nil"/>
            </w:tcBorders>
            <w:shd w:val="clear" w:color="auto" w:fill="auto"/>
            <w:noWrap/>
            <w:vAlign w:val="center"/>
          </w:tcPr>
          <w:p w:rsidR="00CE0FB8" w:rsidRPr="004A069C" w:rsidRDefault="00CE0FB8" w:rsidP="00B374DB">
            <w:pPr>
              <w:spacing w:after="0" w:line="360" w:lineRule="auto"/>
              <w:rPr>
                <w:rFonts w:eastAsia="Times New Roman" w:cs="Times New Roman"/>
                <w:szCs w:val="24"/>
              </w:rPr>
            </w:pPr>
          </w:p>
        </w:tc>
        <w:tc>
          <w:tcPr>
            <w:tcW w:w="8020" w:type="dxa"/>
            <w:tcBorders>
              <w:top w:val="nil"/>
              <w:left w:val="nil"/>
              <w:bottom w:val="nil"/>
              <w:right w:val="nil"/>
            </w:tcBorders>
            <w:shd w:val="clear" w:color="auto" w:fill="auto"/>
            <w:noWrap/>
            <w:vAlign w:val="bottom"/>
          </w:tcPr>
          <w:p w:rsidR="00CE0FB8" w:rsidRPr="004A069C" w:rsidRDefault="00CE0FB8" w:rsidP="00B374DB">
            <w:pPr>
              <w:spacing w:after="0" w:line="360" w:lineRule="auto"/>
              <w:rPr>
                <w:rFonts w:eastAsia="Times New Roman" w:cs="Times New Roman"/>
                <w:szCs w:val="24"/>
              </w:rPr>
            </w:pPr>
          </w:p>
        </w:tc>
      </w:tr>
      <w:tr w:rsidR="00CE0FB8" w:rsidRPr="004A069C" w:rsidTr="00B374DB">
        <w:trPr>
          <w:trHeight w:val="80"/>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Buy</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Equal to 1 if NID is positive or equal to 0.</w:t>
            </w:r>
          </w:p>
        </w:tc>
      </w:tr>
      <w:tr w:rsidR="00CE0FB8" w:rsidRPr="004A069C" w:rsidTr="00B374DB">
        <w:trPr>
          <w:trHeight w:val="702"/>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jc w:val="both"/>
              <w:rPr>
                <w:rFonts w:eastAsia="Times New Roman" w:cs="Times New Roman"/>
                <w:szCs w:val="24"/>
              </w:rPr>
            </w:pPr>
            <w:r w:rsidRPr="004A069C">
              <w:rPr>
                <w:rFonts w:eastAsia="Times New Roman" w:cs="Times New Roman"/>
                <w:szCs w:val="24"/>
              </w:rPr>
              <w:t>LNBM</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Book to market ratio, the natural log of the ratio of the book value of equity to</w:t>
            </w:r>
            <w:r w:rsidRPr="004A069C">
              <w:rPr>
                <w:rFonts w:cs="Times New Roman"/>
                <w:szCs w:val="24"/>
              </w:rPr>
              <w:br/>
            </w:r>
            <w:r w:rsidRPr="004A069C">
              <w:rPr>
                <w:rStyle w:val="fontstyle01"/>
                <w:rFonts w:ascii="Times New Roman" w:hAnsi="Times New Roman" w:cs="Times New Roman"/>
                <w:color w:val="auto"/>
              </w:rPr>
              <w:t>the market value of equity. Market value M is price times share outstanding at the</w:t>
            </w:r>
            <w:r w:rsidRPr="004A069C">
              <w:rPr>
                <w:rFonts w:cs="Times New Roman"/>
                <w:szCs w:val="24"/>
              </w:rPr>
              <w:t xml:space="preserve"> </w:t>
            </w:r>
            <w:r w:rsidRPr="004A069C">
              <w:rPr>
                <w:rStyle w:val="fontstyle01"/>
                <w:rFonts w:ascii="Times New Roman" w:hAnsi="Times New Roman" w:cs="Times New Roman"/>
                <w:color w:val="auto"/>
              </w:rPr>
              <w:t>end of December of t-1.</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LNMC</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Market capitalization, the natural log of price times number of shares outstanding at the end of each month</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NI</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Net stock issues, the natural log of the split-adjusted shares outstanding at the</w:t>
            </w:r>
            <w:r w:rsidRPr="004A069C">
              <w:rPr>
                <w:rFonts w:cs="Times New Roman"/>
                <w:szCs w:val="24"/>
              </w:rPr>
              <w:br/>
            </w:r>
            <w:r w:rsidRPr="004A069C">
              <w:rPr>
                <w:rStyle w:val="fontstyle01"/>
                <w:rFonts w:ascii="Times New Roman" w:hAnsi="Times New Roman" w:cs="Times New Roman"/>
                <w:color w:val="auto"/>
              </w:rPr>
              <w:t>fiscal year end in t-1 minus the natural log of the split-adjusted shares</w:t>
            </w:r>
            <w:r w:rsidRPr="004A069C">
              <w:rPr>
                <w:rFonts w:cs="Times New Roman"/>
                <w:szCs w:val="24"/>
              </w:rPr>
              <w:br/>
            </w:r>
            <w:r w:rsidRPr="004A069C">
              <w:rPr>
                <w:rStyle w:val="fontstyle01"/>
                <w:rFonts w:ascii="Times New Roman" w:hAnsi="Times New Roman" w:cs="Times New Roman"/>
                <w:color w:val="auto"/>
              </w:rPr>
              <w:t xml:space="preserve">outstanding at the fiscal year end in t-2. </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PR</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ind w:left="175" w:hanging="175"/>
              <w:rPr>
                <w:rFonts w:eastAsia="Times New Roman" w:cs="Times New Roman"/>
                <w:szCs w:val="24"/>
              </w:rPr>
            </w:pPr>
            <w:r w:rsidRPr="004A069C">
              <w:rPr>
                <w:rStyle w:val="fontstyle01"/>
                <w:rFonts w:ascii="Times New Roman" w:hAnsi="Times New Roman" w:cs="Times New Roman"/>
                <w:color w:val="auto"/>
              </w:rPr>
              <w:t>The return of stock from</w:t>
            </w:r>
            <w:r w:rsidRPr="004A069C">
              <w:rPr>
                <w:rFonts w:cs="Times New Roman"/>
                <w:szCs w:val="24"/>
              </w:rPr>
              <w:t xml:space="preserve"> month t-11 to month t+1.</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Sigma</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Monthly return standard deviation of each stock over the past 12 months.</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Market Sigma</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line="360" w:lineRule="auto"/>
              <w:rPr>
                <w:rFonts w:cs="Times New Roman"/>
                <w:szCs w:val="24"/>
              </w:rPr>
            </w:pPr>
            <w:r w:rsidRPr="004A069C">
              <w:rPr>
                <w:rStyle w:val="fontstyle01"/>
                <w:rFonts w:ascii="Times New Roman" w:hAnsi="Times New Roman" w:cs="Times New Roman"/>
                <w:color w:val="auto"/>
              </w:rPr>
              <w:t>Monthly return standard deviation of market over the past 12 months.</w:t>
            </w:r>
          </w:p>
        </w:tc>
      </w:tr>
      <w:tr w:rsidR="00CE0FB8" w:rsidRPr="004A069C" w:rsidTr="00B374DB">
        <w:trPr>
          <w:trHeight w:val="315"/>
        </w:trPr>
        <w:tc>
          <w:tcPr>
            <w:tcW w:w="1701" w:type="dxa"/>
            <w:tcBorders>
              <w:top w:val="nil"/>
              <w:left w:val="nil"/>
              <w:bottom w:val="nil"/>
              <w:right w:val="nil"/>
            </w:tcBorders>
            <w:shd w:val="clear" w:color="auto" w:fill="auto"/>
            <w:noWrap/>
            <w:vAlign w:val="center"/>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PPN</w:t>
            </w:r>
          </w:p>
        </w:tc>
        <w:tc>
          <w:tcPr>
            <w:tcW w:w="8020" w:type="dxa"/>
            <w:tcBorders>
              <w:top w:val="nil"/>
              <w:left w:val="nil"/>
              <w:bottom w:val="nil"/>
              <w:right w:val="nil"/>
            </w:tcBorders>
            <w:shd w:val="clear" w:color="auto" w:fill="auto"/>
            <w:noWrap/>
            <w:vAlign w:val="bottom"/>
            <w:hideMark/>
          </w:tcPr>
          <w:p w:rsidR="00CE0FB8" w:rsidRPr="004A069C" w:rsidRDefault="00CE0FB8" w:rsidP="00B374DB">
            <w:pPr>
              <w:spacing w:after="0" w:line="360" w:lineRule="auto"/>
              <w:rPr>
                <w:rFonts w:eastAsia="Times New Roman" w:cs="Times New Roman"/>
                <w:szCs w:val="24"/>
              </w:rPr>
            </w:pPr>
            <w:r w:rsidRPr="004A069C">
              <w:rPr>
                <w:rFonts w:cs="Times New Roman"/>
                <w:szCs w:val="24"/>
              </w:rPr>
              <w:t>If firms have insider purchase at the same month in the continuous past two years and insider silence in the third year, PPN will equal to 1. Otherwise, it will equal to 0.</w:t>
            </w:r>
          </w:p>
        </w:tc>
      </w:tr>
      <w:tr w:rsidR="00CE0FB8" w:rsidRPr="005F17A5" w:rsidTr="00B374DB">
        <w:trPr>
          <w:trHeight w:val="315"/>
        </w:trPr>
        <w:tc>
          <w:tcPr>
            <w:tcW w:w="1701" w:type="dxa"/>
            <w:tcBorders>
              <w:top w:val="nil"/>
              <w:left w:val="nil"/>
              <w:bottom w:val="nil"/>
              <w:right w:val="nil"/>
            </w:tcBorders>
            <w:shd w:val="clear" w:color="auto" w:fill="auto"/>
            <w:noWrap/>
            <w:vAlign w:val="bottom"/>
            <w:hideMark/>
          </w:tcPr>
          <w:p w:rsidR="00CE0FB8" w:rsidRPr="004A069C" w:rsidRDefault="00CE0FB8" w:rsidP="00B374DB">
            <w:pPr>
              <w:spacing w:after="0" w:line="360" w:lineRule="auto"/>
              <w:rPr>
                <w:rFonts w:eastAsia="Times New Roman" w:cs="Times New Roman"/>
                <w:szCs w:val="24"/>
              </w:rPr>
            </w:pPr>
            <w:r w:rsidRPr="004A069C">
              <w:rPr>
                <w:rFonts w:eastAsia="Times New Roman" w:cs="Times New Roman"/>
                <w:szCs w:val="24"/>
              </w:rPr>
              <w:t>SSN</w:t>
            </w:r>
          </w:p>
        </w:tc>
        <w:tc>
          <w:tcPr>
            <w:tcW w:w="8020" w:type="dxa"/>
            <w:tcBorders>
              <w:top w:val="nil"/>
              <w:left w:val="nil"/>
              <w:bottom w:val="nil"/>
              <w:right w:val="nil"/>
            </w:tcBorders>
            <w:shd w:val="clear" w:color="auto" w:fill="auto"/>
            <w:noWrap/>
            <w:vAlign w:val="bottom"/>
            <w:hideMark/>
          </w:tcPr>
          <w:p w:rsidR="00CE0FB8" w:rsidRPr="005F17A5" w:rsidRDefault="00CE0FB8" w:rsidP="00B374DB">
            <w:pPr>
              <w:spacing w:after="0" w:line="360" w:lineRule="auto"/>
              <w:rPr>
                <w:rFonts w:eastAsia="Times New Roman" w:cs="Times New Roman"/>
                <w:szCs w:val="24"/>
              </w:rPr>
            </w:pPr>
            <w:r w:rsidRPr="004A069C">
              <w:rPr>
                <w:rFonts w:cs="Times New Roman"/>
                <w:szCs w:val="24"/>
              </w:rPr>
              <w:t>If firms have insider sell at the same month in the continuous past two years and insider silence in the third year, PPN will equal to 1. Otherwise, it will equal to 0.</w:t>
            </w:r>
          </w:p>
        </w:tc>
      </w:tr>
    </w:tbl>
    <w:p w:rsidR="00281CC2" w:rsidRPr="00E92203" w:rsidRDefault="00281CC2" w:rsidP="00CE0FB8">
      <w:pPr>
        <w:spacing w:line="360" w:lineRule="auto"/>
        <w:rPr>
          <w:rFonts w:cs="Times New Roman"/>
          <w:szCs w:val="24"/>
        </w:rPr>
      </w:pPr>
    </w:p>
    <w:sectPr w:rsidR="00281CC2" w:rsidRPr="00E92203" w:rsidSect="005F504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9B" w:rsidRDefault="003F7F9B" w:rsidP="00841FE8">
      <w:pPr>
        <w:spacing w:after="0" w:line="240" w:lineRule="auto"/>
      </w:pPr>
      <w:r>
        <w:separator/>
      </w:r>
    </w:p>
  </w:endnote>
  <w:endnote w:type="continuationSeparator" w:id="0">
    <w:p w:rsidR="003F7F9B" w:rsidRDefault="003F7F9B" w:rsidP="0084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中楷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4C" w:rsidRDefault="001D0F4C">
    <w:pPr>
      <w:pStyle w:val="a6"/>
      <w:jc w:val="center"/>
    </w:pPr>
  </w:p>
  <w:p w:rsidR="001D0F4C" w:rsidRDefault="003F7F9B">
    <w:pPr>
      <w:pStyle w:val="a6"/>
      <w:jc w:val="center"/>
    </w:pPr>
    <w:sdt>
      <w:sdtPr>
        <w:id w:val="1600993750"/>
        <w:docPartObj>
          <w:docPartGallery w:val="Page Numbers (Bottom of Page)"/>
          <w:docPartUnique/>
        </w:docPartObj>
      </w:sdtPr>
      <w:sdtEndPr>
        <w:rPr>
          <w:noProof/>
        </w:rPr>
      </w:sdtEndPr>
      <w:sdtContent>
        <w:r w:rsidR="001D0F4C">
          <w:fldChar w:fldCharType="begin"/>
        </w:r>
        <w:r w:rsidR="001D0F4C">
          <w:instrText xml:space="preserve"> PAGE   \* MERGEFORMAT </w:instrText>
        </w:r>
        <w:r w:rsidR="001D0F4C">
          <w:fldChar w:fldCharType="separate"/>
        </w:r>
        <w:r>
          <w:rPr>
            <w:noProof/>
          </w:rPr>
          <w:t>1</w:t>
        </w:r>
        <w:r w:rsidR="001D0F4C">
          <w:rPr>
            <w:noProof/>
          </w:rPr>
          <w:fldChar w:fldCharType="end"/>
        </w:r>
      </w:sdtContent>
    </w:sdt>
  </w:p>
  <w:p w:rsidR="001D0F4C" w:rsidRDefault="001D0F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9B" w:rsidRDefault="003F7F9B" w:rsidP="00841FE8">
      <w:pPr>
        <w:spacing w:after="0" w:line="240" w:lineRule="auto"/>
      </w:pPr>
      <w:r>
        <w:separator/>
      </w:r>
    </w:p>
  </w:footnote>
  <w:footnote w:type="continuationSeparator" w:id="0">
    <w:p w:rsidR="003F7F9B" w:rsidRDefault="003F7F9B" w:rsidP="00841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DF1"/>
    <w:multiLevelType w:val="multilevel"/>
    <w:tmpl w:val="B5C258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D95C35"/>
    <w:multiLevelType w:val="hybridMultilevel"/>
    <w:tmpl w:val="2F3EC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47EF7"/>
    <w:multiLevelType w:val="multilevel"/>
    <w:tmpl w:val="7C88F9F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86030BA"/>
    <w:multiLevelType w:val="multilevel"/>
    <w:tmpl w:val="1016A34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5BA4E97"/>
    <w:multiLevelType w:val="multilevel"/>
    <w:tmpl w:val="91B2E0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621ED"/>
    <w:multiLevelType w:val="hybridMultilevel"/>
    <w:tmpl w:val="F0D6D1EC"/>
    <w:lvl w:ilvl="0" w:tplc="37F88BA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5685D82"/>
    <w:multiLevelType w:val="hybridMultilevel"/>
    <w:tmpl w:val="38A6C9A6"/>
    <w:lvl w:ilvl="0" w:tplc="636210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AC1D66"/>
    <w:multiLevelType w:val="hybridMultilevel"/>
    <w:tmpl w:val="71C86A7A"/>
    <w:lvl w:ilvl="0" w:tplc="E3A2845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D738D"/>
    <w:multiLevelType w:val="hybridMultilevel"/>
    <w:tmpl w:val="2C3A0A02"/>
    <w:lvl w:ilvl="0" w:tplc="652E11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6201F"/>
    <w:multiLevelType w:val="multilevel"/>
    <w:tmpl w:val="E470487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DD67F19"/>
    <w:multiLevelType w:val="multilevel"/>
    <w:tmpl w:val="7CD0C0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814639"/>
    <w:multiLevelType w:val="multilevel"/>
    <w:tmpl w:val="7C88F9F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3"/>
  </w:num>
  <w:num w:numId="3">
    <w:abstractNumId w:val="7"/>
  </w:num>
  <w:num w:numId="4">
    <w:abstractNumId w:val="8"/>
  </w:num>
  <w:num w:numId="5">
    <w:abstractNumId w:val="9"/>
  </w:num>
  <w:num w:numId="6">
    <w:abstractNumId w:val="11"/>
  </w:num>
  <w:num w:numId="7">
    <w:abstractNumId w:val="2"/>
  </w:num>
  <w:num w:numId="8">
    <w:abstractNumId w:val="0"/>
  </w:num>
  <w:num w:numId="9">
    <w:abstractNumId w:val="4"/>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ED"/>
    <w:rsid w:val="00001C16"/>
    <w:rsid w:val="0000433B"/>
    <w:rsid w:val="00004580"/>
    <w:rsid w:val="00031613"/>
    <w:rsid w:val="00037AA5"/>
    <w:rsid w:val="000434B1"/>
    <w:rsid w:val="00057A34"/>
    <w:rsid w:val="000630C3"/>
    <w:rsid w:val="00077143"/>
    <w:rsid w:val="000A6B26"/>
    <w:rsid w:val="000A6BB2"/>
    <w:rsid w:val="000C6B2B"/>
    <w:rsid w:val="000D2192"/>
    <w:rsid w:val="000D404C"/>
    <w:rsid w:val="000D5F7C"/>
    <w:rsid w:val="000E7D9F"/>
    <w:rsid w:val="000F2E0C"/>
    <w:rsid w:val="001229B8"/>
    <w:rsid w:val="00123DE5"/>
    <w:rsid w:val="00124C74"/>
    <w:rsid w:val="00157A4D"/>
    <w:rsid w:val="001646CE"/>
    <w:rsid w:val="00181B67"/>
    <w:rsid w:val="0019485F"/>
    <w:rsid w:val="00195F59"/>
    <w:rsid w:val="001A5DAE"/>
    <w:rsid w:val="001B2A8A"/>
    <w:rsid w:val="001C62C1"/>
    <w:rsid w:val="001C750B"/>
    <w:rsid w:val="001D0F4C"/>
    <w:rsid w:val="001D3890"/>
    <w:rsid w:val="001E0FCB"/>
    <w:rsid w:val="001E18DE"/>
    <w:rsid w:val="002015FD"/>
    <w:rsid w:val="00213CB4"/>
    <w:rsid w:val="002163C6"/>
    <w:rsid w:val="00216C51"/>
    <w:rsid w:val="002177DA"/>
    <w:rsid w:val="002255E9"/>
    <w:rsid w:val="00240A7F"/>
    <w:rsid w:val="002422BF"/>
    <w:rsid w:val="0025430A"/>
    <w:rsid w:val="002611A5"/>
    <w:rsid w:val="002702C0"/>
    <w:rsid w:val="00272323"/>
    <w:rsid w:val="00281088"/>
    <w:rsid w:val="0028111A"/>
    <w:rsid w:val="00281CC2"/>
    <w:rsid w:val="00285476"/>
    <w:rsid w:val="00292B32"/>
    <w:rsid w:val="00295707"/>
    <w:rsid w:val="002A064A"/>
    <w:rsid w:val="002A5ED3"/>
    <w:rsid w:val="002B1775"/>
    <w:rsid w:val="002B214E"/>
    <w:rsid w:val="002B3A18"/>
    <w:rsid w:val="002B59D4"/>
    <w:rsid w:val="002B77DA"/>
    <w:rsid w:val="002D475A"/>
    <w:rsid w:val="002D73E5"/>
    <w:rsid w:val="002E087F"/>
    <w:rsid w:val="002E0EEC"/>
    <w:rsid w:val="002E40FD"/>
    <w:rsid w:val="002E41CF"/>
    <w:rsid w:val="002E77A4"/>
    <w:rsid w:val="00313BEF"/>
    <w:rsid w:val="0032373A"/>
    <w:rsid w:val="00333491"/>
    <w:rsid w:val="00356A35"/>
    <w:rsid w:val="00367254"/>
    <w:rsid w:val="0038056E"/>
    <w:rsid w:val="00385740"/>
    <w:rsid w:val="00396D84"/>
    <w:rsid w:val="003B0D68"/>
    <w:rsid w:val="003B3010"/>
    <w:rsid w:val="003C0A32"/>
    <w:rsid w:val="003C1CE9"/>
    <w:rsid w:val="003C35C4"/>
    <w:rsid w:val="003C7A55"/>
    <w:rsid w:val="003D2DE0"/>
    <w:rsid w:val="003D4722"/>
    <w:rsid w:val="003D7038"/>
    <w:rsid w:val="003E0D0A"/>
    <w:rsid w:val="003F140F"/>
    <w:rsid w:val="003F7F9B"/>
    <w:rsid w:val="00402C17"/>
    <w:rsid w:val="004227FA"/>
    <w:rsid w:val="0042306F"/>
    <w:rsid w:val="00426329"/>
    <w:rsid w:val="0044120B"/>
    <w:rsid w:val="00455124"/>
    <w:rsid w:val="0046319A"/>
    <w:rsid w:val="00465309"/>
    <w:rsid w:val="00465515"/>
    <w:rsid w:val="0048062D"/>
    <w:rsid w:val="0048389C"/>
    <w:rsid w:val="004A069C"/>
    <w:rsid w:val="004B2167"/>
    <w:rsid w:val="004C4543"/>
    <w:rsid w:val="004D0EE3"/>
    <w:rsid w:val="004E174C"/>
    <w:rsid w:val="004E18AF"/>
    <w:rsid w:val="004E1D4D"/>
    <w:rsid w:val="004E55B2"/>
    <w:rsid w:val="004E6CB6"/>
    <w:rsid w:val="00503841"/>
    <w:rsid w:val="0050528C"/>
    <w:rsid w:val="0050756D"/>
    <w:rsid w:val="005077C9"/>
    <w:rsid w:val="005344FF"/>
    <w:rsid w:val="00534A75"/>
    <w:rsid w:val="00543367"/>
    <w:rsid w:val="0055013D"/>
    <w:rsid w:val="005510CD"/>
    <w:rsid w:val="00556299"/>
    <w:rsid w:val="00557AC1"/>
    <w:rsid w:val="00561BEC"/>
    <w:rsid w:val="005726D1"/>
    <w:rsid w:val="00573814"/>
    <w:rsid w:val="00577B3B"/>
    <w:rsid w:val="00583B3B"/>
    <w:rsid w:val="005955DB"/>
    <w:rsid w:val="005A190F"/>
    <w:rsid w:val="005A7690"/>
    <w:rsid w:val="005C45EC"/>
    <w:rsid w:val="005F17A5"/>
    <w:rsid w:val="005F5046"/>
    <w:rsid w:val="00605B4C"/>
    <w:rsid w:val="0062138E"/>
    <w:rsid w:val="00626814"/>
    <w:rsid w:val="0063151B"/>
    <w:rsid w:val="00632FD8"/>
    <w:rsid w:val="00634A2E"/>
    <w:rsid w:val="0063585D"/>
    <w:rsid w:val="0063694A"/>
    <w:rsid w:val="0066324E"/>
    <w:rsid w:val="00663444"/>
    <w:rsid w:val="006648EA"/>
    <w:rsid w:val="00673F53"/>
    <w:rsid w:val="00680618"/>
    <w:rsid w:val="00685359"/>
    <w:rsid w:val="0069021F"/>
    <w:rsid w:val="00692CFD"/>
    <w:rsid w:val="00696440"/>
    <w:rsid w:val="006A173D"/>
    <w:rsid w:val="006A793A"/>
    <w:rsid w:val="006B1E71"/>
    <w:rsid w:val="006B7336"/>
    <w:rsid w:val="006C6602"/>
    <w:rsid w:val="006D0E3C"/>
    <w:rsid w:val="006F2EEB"/>
    <w:rsid w:val="00701441"/>
    <w:rsid w:val="00702808"/>
    <w:rsid w:val="00720DE7"/>
    <w:rsid w:val="00720E09"/>
    <w:rsid w:val="00721463"/>
    <w:rsid w:val="007310FA"/>
    <w:rsid w:val="00733972"/>
    <w:rsid w:val="0073624F"/>
    <w:rsid w:val="00742160"/>
    <w:rsid w:val="0074313B"/>
    <w:rsid w:val="007433E7"/>
    <w:rsid w:val="007475F0"/>
    <w:rsid w:val="00750827"/>
    <w:rsid w:val="00754408"/>
    <w:rsid w:val="00755671"/>
    <w:rsid w:val="00760186"/>
    <w:rsid w:val="00763296"/>
    <w:rsid w:val="00780CD7"/>
    <w:rsid w:val="007823EB"/>
    <w:rsid w:val="00782863"/>
    <w:rsid w:val="00786CF6"/>
    <w:rsid w:val="00791A87"/>
    <w:rsid w:val="007942AE"/>
    <w:rsid w:val="00796165"/>
    <w:rsid w:val="007A0AC6"/>
    <w:rsid w:val="007A22F5"/>
    <w:rsid w:val="007A2C4B"/>
    <w:rsid w:val="007A37B7"/>
    <w:rsid w:val="007A60DA"/>
    <w:rsid w:val="007A6C80"/>
    <w:rsid w:val="007B0B42"/>
    <w:rsid w:val="007B6551"/>
    <w:rsid w:val="007C5226"/>
    <w:rsid w:val="007D03F7"/>
    <w:rsid w:val="007E2354"/>
    <w:rsid w:val="007F5799"/>
    <w:rsid w:val="007F5AC7"/>
    <w:rsid w:val="00800106"/>
    <w:rsid w:val="008008DB"/>
    <w:rsid w:val="00806342"/>
    <w:rsid w:val="00806DFA"/>
    <w:rsid w:val="00810012"/>
    <w:rsid w:val="00812DFF"/>
    <w:rsid w:val="00815A09"/>
    <w:rsid w:val="00816F7A"/>
    <w:rsid w:val="0082104E"/>
    <w:rsid w:val="00827F11"/>
    <w:rsid w:val="00841AB7"/>
    <w:rsid w:val="00841FE8"/>
    <w:rsid w:val="00847C3E"/>
    <w:rsid w:val="00851895"/>
    <w:rsid w:val="00853D75"/>
    <w:rsid w:val="00853FD5"/>
    <w:rsid w:val="00854E68"/>
    <w:rsid w:val="008556D5"/>
    <w:rsid w:val="0086076D"/>
    <w:rsid w:val="00862FB8"/>
    <w:rsid w:val="00863AFB"/>
    <w:rsid w:val="00863C1B"/>
    <w:rsid w:val="00870776"/>
    <w:rsid w:val="00875CDE"/>
    <w:rsid w:val="00877469"/>
    <w:rsid w:val="008828F9"/>
    <w:rsid w:val="00891762"/>
    <w:rsid w:val="008936D5"/>
    <w:rsid w:val="008A2D7E"/>
    <w:rsid w:val="008B13D8"/>
    <w:rsid w:val="008D19C6"/>
    <w:rsid w:val="008E5CBB"/>
    <w:rsid w:val="008E5DBC"/>
    <w:rsid w:val="008F2360"/>
    <w:rsid w:val="009070D2"/>
    <w:rsid w:val="00914F7F"/>
    <w:rsid w:val="00924258"/>
    <w:rsid w:val="00932831"/>
    <w:rsid w:val="009405D4"/>
    <w:rsid w:val="0094769F"/>
    <w:rsid w:val="009579C6"/>
    <w:rsid w:val="009635DF"/>
    <w:rsid w:val="00965F9C"/>
    <w:rsid w:val="00983FEA"/>
    <w:rsid w:val="00985762"/>
    <w:rsid w:val="009A3CC0"/>
    <w:rsid w:val="009A3E74"/>
    <w:rsid w:val="009A587F"/>
    <w:rsid w:val="009C03B5"/>
    <w:rsid w:val="009C0CBD"/>
    <w:rsid w:val="009C3802"/>
    <w:rsid w:val="009C3CB1"/>
    <w:rsid w:val="009D0578"/>
    <w:rsid w:val="009D3893"/>
    <w:rsid w:val="009D53F5"/>
    <w:rsid w:val="009E0095"/>
    <w:rsid w:val="009E4FD3"/>
    <w:rsid w:val="009F39E0"/>
    <w:rsid w:val="00A13A05"/>
    <w:rsid w:val="00A159BD"/>
    <w:rsid w:val="00A173C8"/>
    <w:rsid w:val="00A32612"/>
    <w:rsid w:val="00A34EC7"/>
    <w:rsid w:val="00A404E3"/>
    <w:rsid w:val="00A43FBA"/>
    <w:rsid w:val="00A44AFF"/>
    <w:rsid w:val="00A75304"/>
    <w:rsid w:val="00A829F0"/>
    <w:rsid w:val="00A8607A"/>
    <w:rsid w:val="00A967E6"/>
    <w:rsid w:val="00AA16A7"/>
    <w:rsid w:val="00AA3CD3"/>
    <w:rsid w:val="00AB7533"/>
    <w:rsid w:val="00AD082B"/>
    <w:rsid w:val="00AD42D2"/>
    <w:rsid w:val="00AD75F4"/>
    <w:rsid w:val="00AE1BCE"/>
    <w:rsid w:val="00B03A64"/>
    <w:rsid w:val="00B34DEF"/>
    <w:rsid w:val="00B374DB"/>
    <w:rsid w:val="00B4549C"/>
    <w:rsid w:val="00B57A8A"/>
    <w:rsid w:val="00B65BA0"/>
    <w:rsid w:val="00B7118C"/>
    <w:rsid w:val="00B7313E"/>
    <w:rsid w:val="00B764D6"/>
    <w:rsid w:val="00B91403"/>
    <w:rsid w:val="00B917FF"/>
    <w:rsid w:val="00B93C69"/>
    <w:rsid w:val="00B9409A"/>
    <w:rsid w:val="00B97844"/>
    <w:rsid w:val="00BD5B5B"/>
    <w:rsid w:val="00BE5BB5"/>
    <w:rsid w:val="00C01F76"/>
    <w:rsid w:val="00C225CD"/>
    <w:rsid w:val="00C24828"/>
    <w:rsid w:val="00C26CB9"/>
    <w:rsid w:val="00C27F85"/>
    <w:rsid w:val="00C60E9F"/>
    <w:rsid w:val="00C62C4D"/>
    <w:rsid w:val="00C64AB8"/>
    <w:rsid w:val="00C66711"/>
    <w:rsid w:val="00C67431"/>
    <w:rsid w:val="00C705BC"/>
    <w:rsid w:val="00CA20C4"/>
    <w:rsid w:val="00CA7522"/>
    <w:rsid w:val="00CB0BBE"/>
    <w:rsid w:val="00CB4DA7"/>
    <w:rsid w:val="00CB698A"/>
    <w:rsid w:val="00CB737F"/>
    <w:rsid w:val="00CB7699"/>
    <w:rsid w:val="00CC2F42"/>
    <w:rsid w:val="00CC4396"/>
    <w:rsid w:val="00CD1F0C"/>
    <w:rsid w:val="00CE0FB8"/>
    <w:rsid w:val="00CE7050"/>
    <w:rsid w:val="00D02000"/>
    <w:rsid w:val="00D028ED"/>
    <w:rsid w:val="00D03B10"/>
    <w:rsid w:val="00D1178C"/>
    <w:rsid w:val="00D148DC"/>
    <w:rsid w:val="00D25C8A"/>
    <w:rsid w:val="00D33EDE"/>
    <w:rsid w:val="00D43C2F"/>
    <w:rsid w:val="00D4614C"/>
    <w:rsid w:val="00D47465"/>
    <w:rsid w:val="00D51890"/>
    <w:rsid w:val="00D633C9"/>
    <w:rsid w:val="00D63C84"/>
    <w:rsid w:val="00D64A85"/>
    <w:rsid w:val="00D7013D"/>
    <w:rsid w:val="00D74E3A"/>
    <w:rsid w:val="00D81991"/>
    <w:rsid w:val="00D9044D"/>
    <w:rsid w:val="00DA0547"/>
    <w:rsid w:val="00DA2ABD"/>
    <w:rsid w:val="00DB1532"/>
    <w:rsid w:val="00DC3DAC"/>
    <w:rsid w:val="00DC440F"/>
    <w:rsid w:val="00DD2B30"/>
    <w:rsid w:val="00DE04EF"/>
    <w:rsid w:val="00DE60E2"/>
    <w:rsid w:val="00DF6FC5"/>
    <w:rsid w:val="00E12C6B"/>
    <w:rsid w:val="00E14939"/>
    <w:rsid w:val="00E15D89"/>
    <w:rsid w:val="00E168FA"/>
    <w:rsid w:val="00E36661"/>
    <w:rsid w:val="00E43835"/>
    <w:rsid w:val="00E44584"/>
    <w:rsid w:val="00E56809"/>
    <w:rsid w:val="00E56FF8"/>
    <w:rsid w:val="00E57D55"/>
    <w:rsid w:val="00E6384D"/>
    <w:rsid w:val="00E662DB"/>
    <w:rsid w:val="00E737A5"/>
    <w:rsid w:val="00E752B4"/>
    <w:rsid w:val="00E8037D"/>
    <w:rsid w:val="00E87E98"/>
    <w:rsid w:val="00E92203"/>
    <w:rsid w:val="00E95C25"/>
    <w:rsid w:val="00EA086D"/>
    <w:rsid w:val="00EB5C0C"/>
    <w:rsid w:val="00EB5E89"/>
    <w:rsid w:val="00EC2976"/>
    <w:rsid w:val="00EE5693"/>
    <w:rsid w:val="00EE5C45"/>
    <w:rsid w:val="00EF1F15"/>
    <w:rsid w:val="00EF537B"/>
    <w:rsid w:val="00EF5A88"/>
    <w:rsid w:val="00F01330"/>
    <w:rsid w:val="00F02ECF"/>
    <w:rsid w:val="00F04EA3"/>
    <w:rsid w:val="00F44A5A"/>
    <w:rsid w:val="00F4737F"/>
    <w:rsid w:val="00F56AF1"/>
    <w:rsid w:val="00F733CE"/>
    <w:rsid w:val="00F81C33"/>
    <w:rsid w:val="00FA437A"/>
    <w:rsid w:val="00FB0BBC"/>
    <w:rsid w:val="00FC0BCC"/>
    <w:rsid w:val="00FD49F4"/>
    <w:rsid w:val="00FD5930"/>
    <w:rsid w:val="00FD759E"/>
    <w:rsid w:val="00FE17C1"/>
    <w:rsid w:val="00FE5289"/>
    <w:rsid w:val="00FE5769"/>
    <w:rsid w:val="00FF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6A302-EA39-41C2-8CA5-213758C9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8ED"/>
  </w:style>
  <w:style w:type="paragraph" w:styleId="1">
    <w:name w:val="heading 1"/>
    <w:basedOn w:val="a"/>
    <w:next w:val="a"/>
    <w:link w:val="10"/>
    <w:uiPriority w:val="9"/>
    <w:qFormat/>
    <w:rsid w:val="003B0D68"/>
    <w:pPr>
      <w:keepNext/>
      <w:keepLines/>
      <w:spacing w:before="240" w:after="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4E5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8ED"/>
    <w:pPr>
      <w:ind w:left="720"/>
      <w:contextualSpacing/>
    </w:pPr>
  </w:style>
  <w:style w:type="character" w:customStyle="1" w:styleId="fontstyle01">
    <w:name w:val="fontstyle01"/>
    <w:basedOn w:val="a0"/>
    <w:rsid w:val="00D028ED"/>
    <w:rPr>
      <w:rFonts w:ascii="TimesNewRomanPSMT" w:hAnsi="TimesNewRomanPSMT" w:hint="default"/>
      <w:b w:val="0"/>
      <w:bCs w:val="0"/>
      <w:i w:val="0"/>
      <w:iCs w:val="0"/>
      <w:color w:val="000000"/>
      <w:sz w:val="24"/>
      <w:szCs w:val="24"/>
    </w:rPr>
  </w:style>
  <w:style w:type="paragraph" w:styleId="a4">
    <w:name w:val="header"/>
    <w:basedOn w:val="a"/>
    <w:link w:val="a5"/>
    <w:uiPriority w:val="99"/>
    <w:unhideWhenUsed/>
    <w:rsid w:val="00841FE8"/>
    <w:pPr>
      <w:tabs>
        <w:tab w:val="center" w:pos="4680"/>
        <w:tab w:val="right" w:pos="9360"/>
      </w:tabs>
      <w:spacing w:after="0" w:line="240" w:lineRule="auto"/>
    </w:pPr>
  </w:style>
  <w:style w:type="character" w:customStyle="1" w:styleId="a5">
    <w:name w:val="頁首 字元"/>
    <w:basedOn w:val="a0"/>
    <w:link w:val="a4"/>
    <w:uiPriority w:val="99"/>
    <w:rsid w:val="00841FE8"/>
  </w:style>
  <w:style w:type="paragraph" w:styleId="a6">
    <w:name w:val="footer"/>
    <w:basedOn w:val="a"/>
    <w:link w:val="a7"/>
    <w:uiPriority w:val="99"/>
    <w:unhideWhenUsed/>
    <w:rsid w:val="00841FE8"/>
    <w:pPr>
      <w:tabs>
        <w:tab w:val="center" w:pos="4680"/>
        <w:tab w:val="right" w:pos="9360"/>
      </w:tabs>
      <w:spacing w:after="0" w:line="240" w:lineRule="auto"/>
    </w:pPr>
  </w:style>
  <w:style w:type="character" w:customStyle="1" w:styleId="a7">
    <w:name w:val="頁尾 字元"/>
    <w:basedOn w:val="a0"/>
    <w:link w:val="a6"/>
    <w:uiPriority w:val="99"/>
    <w:rsid w:val="00841FE8"/>
  </w:style>
  <w:style w:type="character" w:customStyle="1" w:styleId="fontstyle21">
    <w:name w:val="fontstyle21"/>
    <w:basedOn w:val="a0"/>
    <w:rsid w:val="00AD42D2"/>
    <w:rPr>
      <w:rFonts w:ascii="TimesNewRomanPS-ItalicMT" w:hAnsi="TimesNewRomanPS-ItalicMT" w:hint="default"/>
      <w:b w:val="0"/>
      <w:bCs w:val="0"/>
      <w:i/>
      <w:iCs/>
      <w:color w:val="000000"/>
      <w:sz w:val="24"/>
      <w:szCs w:val="24"/>
    </w:rPr>
  </w:style>
  <w:style w:type="paragraph" w:customStyle="1" w:styleId="EndNoteBibliography">
    <w:name w:val="EndNote Bibliography"/>
    <w:basedOn w:val="a"/>
    <w:link w:val="EndNoteBibliographyChar"/>
    <w:rsid w:val="002E41CF"/>
    <w:pPr>
      <w:spacing w:line="240" w:lineRule="auto"/>
      <w:jc w:val="both"/>
    </w:pPr>
    <w:rPr>
      <w:rFonts w:cs="Times New Roman"/>
      <w:noProof/>
    </w:rPr>
  </w:style>
  <w:style w:type="character" w:customStyle="1" w:styleId="EndNoteBibliographyChar">
    <w:name w:val="EndNote Bibliography Char"/>
    <w:basedOn w:val="a0"/>
    <w:link w:val="EndNoteBibliography"/>
    <w:rsid w:val="002E41CF"/>
    <w:rPr>
      <w:rFonts w:cs="Times New Roman"/>
      <w:noProof/>
    </w:rPr>
  </w:style>
  <w:style w:type="table" w:styleId="a8">
    <w:name w:val="Table Grid"/>
    <w:basedOn w:val="a1"/>
    <w:uiPriority w:val="39"/>
    <w:rsid w:val="009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3B0D68"/>
    <w:rPr>
      <w:rFonts w:eastAsiaTheme="majorEastAsia" w:cstheme="majorBidi"/>
      <w:b/>
      <w:sz w:val="28"/>
      <w:szCs w:val="32"/>
    </w:rPr>
  </w:style>
  <w:style w:type="paragraph" w:styleId="a9">
    <w:name w:val="TOC Heading"/>
    <w:basedOn w:val="1"/>
    <w:next w:val="a"/>
    <w:uiPriority w:val="39"/>
    <w:unhideWhenUsed/>
    <w:qFormat/>
    <w:rsid w:val="004E55B2"/>
    <w:pPr>
      <w:outlineLvl w:val="9"/>
    </w:pPr>
    <w:rPr>
      <w:lang w:eastAsia="en-US"/>
    </w:rPr>
  </w:style>
  <w:style w:type="paragraph" w:styleId="21">
    <w:name w:val="toc 2"/>
    <w:basedOn w:val="a"/>
    <w:next w:val="a"/>
    <w:autoRedefine/>
    <w:uiPriority w:val="39"/>
    <w:unhideWhenUsed/>
    <w:rsid w:val="004E55B2"/>
    <w:pPr>
      <w:spacing w:after="100"/>
      <w:ind w:left="220"/>
    </w:pPr>
    <w:rPr>
      <w:rFonts w:asciiTheme="minorHAnsi" w:hAnsiTheme="minorHAnsi" w:cs="Times New Roman"/>
      <w:sz w:val="22"/>
      <w:lang w:eastAsia="en-US"/>
    </w:rPr>
  </w:style>
  <w:style w:type="paragraph" w:styleId="11">
    <w:name w:val="toc 1"/>
    <w:basedOn w:val="a"/>
    <w:next w:val="a"/>
    <w:autoRedefine/>
    <w:uiPriority w:val="39"/>
    <w:unhideWhenUsed/>
    <w:rsid w:val="004E55B2"/>
    <w:pPr>
      <w:spacing w:after="100"/>
    </w:pPr>
    <w:rPr>
      <w:rFonts w:asciiTheme="minorHAnsi" w:hAnsiTheme="minorHAnsi" w:cs="Times New Roman"/>
      <w:sz w:val="22"/>
      <w:lang w:eastAsia="en-US"/>
    </w:rPr>
  </w:style>
  <w:style w:type="paragraph" w:styleId="3">
    <w:name w:val="toc 3"/>
    <w:basedOn w:val="a"/>
    <w:next w:val="a"/>
    <w:autoRedefine/>
    <w:uiPriority w:val="39"/>
    <w:unhideWhenUsed/>
    <w:rsid w:val="004E55B2"/>
    <w:pPr>
      <w:spacing w:after="100"/>
      <w:ind w:left="440"/>
    </w:pPr>
    <w:rPr>
      <w:rFonts w:asciiTheme="minorHAnsi" w:hAnsiTheme="minorHAnsi" w:cs="Times New Roman"/>
      <w:sz w:val="22"/>
      <w:lang w:eastAsia="en-US"/>
    </w:rPr>
  </w:style>
  <w:style w:type="character" w:customStyle="1" w:styleId="20">
    <w:name w:val="標題 2 字元"/>
    <w:basedOn w:val="a0"/>
    <w:link w:val="2"/>
    <w:uiPriority w:val="9"/>
    <w:rsid w:val="004E55B2"/>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0E7D9F"/>
    <w:rPr>
      <w:color w:val="0563C1" w:themeColor="hyperlink"/>
      <w:u w:val="single"/>
    </w:rPr>
  </w:style>
  <w:style w:type="paragraph" w:styleId="ab">
    <w:name w:val="caption"/>
    <w:basedOn w:val="a"/>
    <w:next w:val="a"/>
    <w:uiPriority w:val="35"/>
    <w:unhideWhenUsed/>
    <w:qFormat/>
    <w:rsid w:val="00863AFB"/>
    <w:pPr>
      <w:spacing w:after="200" w:line="240" w:lineRule="auto"/>
    </w:pPr>
    <w:rPr>
      <w:i/>
      <w:iCs/>
      <w:color w:val="44546A" w:themeColor="text2"/>
      <w:sz w:val="18"/>
      <w:szCs w:val="18"/>
    </w:rPr>
  </w:style>
  <w:style w:type="character" w:styleId="ac">
    <w:name w:val="Strong"/>
    <w:uiPriority w:val="22"/>
    <w:qFormat/>
    <w:rsid w:val="00D63C84"/>
    <w:rPr>
      <w:rFonts w:ascii="Times New Roman" w:hAnsi="Times New Roman"/>
      <w:b/>
      <w:bCs/>
      <w:sz w:val="28"/>
    </w:rPr>
  </w:style>
  <w:style w:type="paragraph" w:styleId="ad">
    <w:name w:val="No Spacing"/>
    <w:uiPriority w:val="1"/>
    <w:qFormat/>
    <w:rsid w:val="00D63C84"/>
    <w:pPr>
      <w:spacing w:after="0" w:line="240" w:lineRule="auto"/>
    </w:pPr>
  </w:style>
  <w:style w:type="paragraph" w:styleId="ae">
    <w:name w:val="table of figures"/>
    <w:basedOn w:val="a"/>
    <w:next w:val="a"/>
    <w:uiPriority w:val="99"/>
    <w:unhideWhenUsed/>
    <w:rsid w:val="00D63C84"/>
    <w:pPr>
      <w:spacing w:after="0"/>
    </w:pPr>
  </w:style>
  <w:style w:type="paragraph" w:styleId="22">
    <w:name w:val="Body Text 2"/>
    <w:basedOn w:val="a"/>
    <w:link w:val="23"/>
    <w:rsid w:val="00F56AF1"/>
    <w:pPr>
      <w:widowControl w:val="0"/>
      <w:adjustRightInd w:val="0"/>
      <w:spacing w:after="120" w:line="480" w:lineRule="auto"/>
      <w:textAlignment w:val="baseline"/>
    </w:pPr>
    <w:rPr>
      <w:rFonts w:eastAsia="華康中楷體" w:cs="Times New Roman"/>
      <w:sz w:val="28"/>
      <w:szCs w:val="20"/>
      <w:lang w:eastAsia="zh-TW"/>
    </w:rPr>
  </w:style>
  <w:style w:type="character" w:customStyle="1" w:styleId="23">
    <w:name w:val="本文 2 字元"/>
    <w:basedOn w:val="a0"/>
    <w:link w:val="22"/>
    <w:rsid w:val="00F56AF1"/>
    <w:rPr>
      <w:rFonts w:eastAsia="華康中楷體" w:cs="Times New Roman"/>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337">
      <w:bodyDiv w:val="1"/>
      <w:marLeft w:val="0"/>
      <w:marRight w:val="0"/>
      <w:marTop w:val="0"/>
      <w:marBottom w:val="0"/>
      <w:divBdr>
        <w:top w:val="none" w:sz="0" w:space="0" w:color="auto"/>
        <w:left w:val="none" w:sz="0" w:space="0" w:color="auto"/>
        <w:bottom w:val="none" w:sz="0" w:space="0" w:color="auto"/>
        <w:right w:val="none" w:sz="0" w:space="0" w:color="auto"/>
      </w:divBdr>
    </w:div>
    <w:div w:id="258220442">
      <w:bodyDiv w:val="1"/>
      <w:marLeft w:val="0"/>
      <w:marRight w:val="0"/>
      <w:marTop w:val="0"/>
      <w:marBottom w:val="0"/>
      <w:divBdr>
        <w:top w:val="none" w:sz="0" w:space="0" w:color="auto"/>
        <w:left w:val="none" w:sz="0" w:space="0" w:color="auto"/>
        <w:bottom w:val="none" w:sz="0" w:space="0" w:color="auto"/>
        <w:right w:val="none" w:sz="0" w:space="0" w:color="auto"/>
      </w:divBdr>
    </w:div>
    <w:div w:id="413746668">
      <w:bodyDiv w:val="1"/>
      <w:marLeft w:val="0"/>
      <w:marRight w:val="0"/>
      <w:marTop w:val="0"/>
      <w:marBottom w:val="0"/>
      <w:divBdr>
        <w:top w:val="none" w:sz="0" w:space="0" w:color="auto"/>
        <w:left w:val="none" w:sz="0" w:space="0" w:color="auto"/>
        <w:bottom w:val="none" w:sz="0" w:space="0" w:color="auto"/>
        <w:right w:val="none" w:sz="0" w:space="0" w:color="auto"/>
      </w:divBdr>
    </w:div>
    <w:div w:id="416441540">
      <w:bodyDiv w:val="1"/>
      <w:marLeft w:val="0"/>
      <w:marRight w:val="0"/>
      <w:marTop w:val="0"/>
      <w:marBottom w:val="0"/>
      <w:divBdr>
        <w:top w:val="none" w:sz="0" w:space="0" w:color="auto"/>
        <w:left w:val="none" w:sz="0" w:space="0" w:color="auto"/>
        <w:bottom w:val="none" w:sz="0" w:space="0" w:color="auto"/>
        <w:right w:val="none" w:sz="0" w:space="0" w:color="auto"/>
      </w:divBdr>
    </w:div>
    <w:div w:id="567805759">
      <w:bodyDiv w:val="1"/>
      <w:marLeft w:val="0"/>
      <w:marRight w:val="0"/>
      <w:marTop w:val="0"/>
      <w:marBottom w:val="0"/>
      <w:divBdr>
        <w:top w:val="none" w:sz="0" w:space="0" w:color="auto"/>
        <w:left w:val="none" w:sz="0" w:space="0" w:color="auto"/>
        <w:bottom w:val="none" w:sz="0" w:space="0" w:color="auto"/>
        <w:right w:val="none" w:sz="0" w:space="0" w:color="auto"/>
      </w:divBdr>
    </w:div>
    <w:div w:id="585967697">
      <w:bodyDiv w:val="1"/>
      <w:marLeft w:val="0"/>
      <w:marRight w:val="0"/>
      <w:marTop w:val="0"/>
      <w:marBottom w:val="0"/>
      <w:divBdr>
        <w:top w:val="none" w:sz="0" w:space="0" w:color="auto"/>
        <w:left w:val="none" w:sz="0" w:space="0" w:color="auto"/>
        <w:bottom w:val="none" w:sz="0" w:space="0" w:color="auto"/>
        <w:right w:val="none" w:sz="0" w:space="0" w:color="auto"/>
      </w:divBdr>
    </w:div>
    <w:div w:id="617447001">
      <w:bodyDiv w:val="1"/>
      <w:marLeft w:val="0"/>
      <w:marRight w:val="0"/>
      <w:marTop w:val="0"/>
      <w:marBottom w:val="0"/>
      <w:divBdr>
        <w:top w:val="none" w:sz="0" w:space="0" w:color="auto"/>
        <w:left w:val="none" w:sz="0" w:space="0" w:color="auto"/>
        <w:bottom w:val="none" w:sz="0" w:space="0" w:color="auto"/>
        <w:right w:val="none" w:sz="0" w:space="0" w:color="auto"/>
      </w:divBdr>
    </w:div>
    <w:div w:id="810636799">
      <w:bodyDiv w:val="1"/>
      <w:marLeft w:val="0"/>
      <w:marRight w:val="0"/>
      <w:marTop w:val="0"/>
      <w:marBottom w:val="0"/>
      <w:divBdr>
        <w:top w:val="none" w:sz="0" w:space="0" w:color="auto"/>
        <w:left w:val="none" w:sz="0" w:space="0" w:color="auto"/>
        <w:bottom w:val="none" w:sz="0" w:space="0" w:color="auto"/>
        <w:right w:val="none" w:sz="0" w:space="0" w:color="auto"/>
      </w:divBdr>
    </w:div>
    <w:div w:id="823812265">
      <w:bodyDiv w:val="1"/>
      <w:marLeft w:val="0"/>
      <w:marRight w:val="0"/>
      <w:marTop w:val="0"/>
      <w:marBottom w:val="0"/>
      <w:divBdr>
        <w:top w:val="none" w:sz="0" w:space="0" w:color="auto"/>
        <w:left w:val="none" w:sz="0" w:space="0" w:color="auto"/>
        <w:bottom w:val="none" w:sz="0" w:space="0" w:color="auto"/>
        <w:right w:val="none" w:sz="0" w:space="0" w:color="auto"/>
      </w:divBdr>
    </w:div>
    <w:div w:id="890190511">
      <w:bodyDiv w:val="1"/>
      <w:marLeft w:val="0"/>
      <w:marRight w:val="0"/>
      <w:marTop w:val="0"/>
      <w:marBottom w:val="0"/>
      <w:divBdr>
        <w:top w:val="none" w:sz="0" w:space="0" w:color="auto"/>
        <w:left w:val="none" w:sz="0" w:space="0" w:color="auto"/>
        <w:bottom w:val="none" w:sz="0" w:space="0" w:color="auto"/>
        <w:right w:val="none" w:sz="0" w:space="0" w:color="auto"/>
      </w:divBdr>
    </w:div>
    <w:div w:id="922950283">
      <w:bodyDiv w:val="1"/>
      <w:marLeft w:val="0"/>
      <w:marRight w:val="0"/>
      <w:marTop w:val="0"/>
      <w:marBottom w:val="0"/>
      <w:divBdr>
        <w:top w:val="none" w:sz="0" w:space="0" w:color="auto"/>
        <w:left w:val="none" w:sz="0" w:space="0" w:color="auto"/>
        <w:bottom w:val="none" w:sz="0" w:space="0" w:color="auto"/>
        <w:right w:val="none" w:sz="0" w:space="0" w:color="auto"/>
      </w:divBdr>
    </w:div>
    <w:div w:id="970289934">
      <w:bodyDiv w:val="1"/>
      <w:marLeft w:val="0"/>
      <w:marRight w:val="0"/>
      <w:marTop w:val="0"/>
      <w:marBottom w:val="0"/>
      <w:divBdr>
        <w:top w:val="none" w:sz="0" w:space="0" w:color="auto"/>
        <w:left w:val="none" w:sz="0" w:space="0" w:color="auto"/>
        <w:bottom w:val="none" w:sz="0" w:space="0" w:color="auto"/>
        <w:right w:val="none" w:sz="0" w:space="0" w:color="auto"/>
      </w:divBdr>
    </w:div>
    <w:div w:id="975724678">
      <w:bodyDiv w:val="1"/>
      <w:marLeft w:val="0"/>
      <w:marRight w:val="0"/>
      <w:marTop w:val="0"/>
      <w:marBottom w:val="0"/>
      <w:divBdr>
        <w:top w:val="none" w:sz="0" w:space="0" w:color="auto"/>
        <w:left w:val="none" w:sz="0" w:space="0" w:color="auto"/>
        <w:bottom w:val="none" w:sz="0" w:space="0" w:color="auto"/>
        <w:right w:val="none" w:sz="0" w:space="0" w:color="auto"/>
      </w:divBdr>
    </w:div>
    <w:div w:id="1151947807">
      <w:bodyDiv w:val="1"/>
      <w:marLeft w:val="0"/>
      <w:marRight w:val="0"/>
      <w:marTop w:val="0"/>
      <w:marBottom w:val="0"/>
      <w:divBdr>
        <w:top w:val="none" w:sz="0" w:space="0" w:color="auto"/>
        <w:left w:val="none" w:sz="0" w:space="0" w:color="auto"/>
        <w:bottom w:val="none" w:sz="0" w:space="0" w:color="auto"/>
        <w:right w:val="none" w:sz="0" w:space="0" w:color="auto"/>
      </w:divBdr>
    </w:div>
    <w:div w:id="1332177978">
      <w:bodyDiv w:val="1"/>
      <w:marLeft w:val="0"/>
      <w:marRight w:val="0"/>
      <w:marTop w:val="0"/>
      <w:marBottom w:val="0"/>
      <w:divBdr>
        <w:top w:val="none" w:sz="0" w:space="0" w:color="auto"/>
        <w:left w:val="none" w:sz="0" w:space="0" w:color="auto"/>
        <w:bottom w:val="none" w:sz="0" w:space="0" w:color="auto"/>
        <w:right w:val="none" w:sz="0" w:space="0" w:color="auto"/>
      </w:divBdr>
    </w:div>
    <w:div w:id="1350064927">
      <w:bodyDiv w:val="1"/>
      <w:marLeft w:val="0"/>
      <w:marRight w:val="0"/>
      <w:marTop w:val="0"/>
      <w:marBottom w:val="0"/>
      <w:divBdr>
        <w:top w:val="none" w:sz="0" w:space="0" w:color="auto"/>
        <w:left w:val="none" w:sz="0" w:space="0" w:color="auto"/>
        <w:bottom w:val="none" w:sz="0" w:space="0" w:color="auto"/>
        <w:right w:val="none" w:sz="0" w:space="0" w:color="auto"/>
      </w:divBdr>
    </w:div>
    <w:div w:id="1360010186">
      <w:bodyDiv w:val="1"/>
      <w:marLeft w:val="0"/>
      <w:marRight w:val="0"/>
      <w:marTop w:val="0"/>
      <w:marBottom w:val="0"/>
      <w:divBdr>
        <w:top w:val="none" w:sz="0" w:space="0" w:color="auto"/>
        <w:left w:val="none" w:sz="0" w:space="0" w:color="auto"/>
        <w:bottom w:val="none" w:sz="0" w:space="0" w:color="auto"/>
        <w:right w:val="none" w:sz="0" w:space="0" w:color="auto"/>
      </w:divBdr>
    </w:div>
    <w:div w:id="1431119353">
      <w:bodyDiv w:val="1"/>
      <w:marLeft w:val="0"/>
      <w:marRight w:val="0"/>
      <w:marTop w:val="0"/>
      <w:marBottom w:val="0"/>
      <w:divBdr>
        <w:top w:val="none" w:sz="0" w:space="0" w:color="auto"/>
        <w:left w:val="none" w:sz="0" w:space="0" w:color="auto"/>
        <w:bottom w:val="none" w:sz="0" w:space="0" w:color="auto"/>
        <w:right w:val="none" w:sz="0" w:space="0" w:color="auto"/>
      </w:divBdr>
    </w:div>
    <w:div w:id="1435903261">
      <w:bodyDiv w:val="1"/>
      <w:marLeft w:val="0"/>
      <w:marRight w:val="0"/>
      <w:marTop w:val="0"/>
      <w:marBottom w:val="0"/>
      <w:divBdr>
        <w:top w:val="none" w:sz="0" w:space="0" w:color="auto"/>
        <w:left w:val="none" w:sz="0" w:space="0" w:color="auto"/>
        <w:bottom w:val="none" w:sz="0" w:space="0" w:color="auto"/>
        <w:right w:val="none" w:sz="0" w:space="0" w:color="auto"/>
      </w:divBdr>
    </w:div>
    <w:div w:id="1607035615">
      <w:bodyDiv w:val="1"/>
      <w:marLeft w:val="0"/>
      <w:marRight w:val="0"/>
      <w:marTop w:val="0"/>
      <w:marBottom w:val="0"/>
      <w:divBdr>
        <w:top w:val="none" w:sz="0" w:space="0" w:color="auto"/>
        <w:left w:val="none" w:sz="0" w:space="0" w:color="auto"/>
        <w:bottom w:val="none" w:sz="0" w:space="0" w:color="auto"/>
        <w:right w:val="none" w:sz="0" w:space="0" w:color="auto"/>
      </w:divBdr>
    </w:div>
    <w:div w:id="1631012891">
      <w:bodyDiv w:val="1"/>
      <w:marLeft w:val="0"/>
      <w:marRight w:val="0"/>
      <w:marTop w:val="0"/>
      <w:marBottom w:val="0"/>
      <w:divBdr>
        <w:top w:val="none" w:sz="0" w:space="0" w:color="auto"/>
        <w:left w:val="none" w:sz="0" w:space="0" w:color="auto"/>
        <w:bottom w:val="none" w:sz="0" w:space="0" w:color="auto"/>
        <w:right w:val="none" w:sz="0" w:space="0" w:color="auto"/>
      </w:divBdr>
    </w:div>
    <w:div w:id="1873416585">
      <w:bodyDiv w:val="1"/>
      <w:marLeft w:val="0"/>
      <w:marRight w:val="0"/>
      <w:marTop w:val="0"/>
      <w:marBottom w:val="0"/>
      <w:divBdr>
        <w:top w:val="none" w:sz="0" w:space="0" w:color="auto"/>
        <w:left w:val="none" w:sz="0" w:space="0" w:color="auto"/>
        <w:bottom w:val="none" w:sz="0" w:space="0" w:color="auto"/>
        <w:right w:val="none" w:sz="0" w:space="0" w:color="auto"/>
      </w:divBdr>
    </w:div>
    <w:div w:id="1882130457">
      <w:bodyDiv w:val="1"/>
      <w:marLeft w:val="0"/>
      <w:marRight w:val="0"/>
      <w:marTop w:val="0"/>
      <w:marBottom w:val="0"/>
      <w:divBdr>
        <w:top w:val="none" w:sz="0" w:space="0" w:color="auto"/>
        <w:left w:val="none" w:sz="0" w:space="0" w:color="auto"/>
        <w:bottom w:val="none" w:sz="0" w:space="0" w:color="auto"/>
        <w:right w:val="none" w:sz="0" w:space="0" w:color="auto"/>
      </w:divBdr>
    </w:div>
    <w:div w:id="2002466138">
      <w:bodyDiv w:val="1"/>
      <w:marLeft w:val="0"/>
      <w:marRight w:val="0"/>
      <w:marTop w:val="0"/>
      <w:marBottom w:val="0"/>
      <w:divBdr>
        <w:top w:val="none" w:sz="0" w:space="0" w:color="auto"/>
        <w:left w:val="none" w:sz="0" w:space="0" w:color="auto"/>
        <w:bottom w:val="none" w:sz="0" w:space="0" w:color="auto"/>
        <w:right w:val="none" w:sz="0" w:space="0" w:color="auto"/>
      </w:divBdr>
    </w:div>
    <w:div w:id="20077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rass@cy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9543-0366-4033-A3A9-372E35B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 hu</cp:lastModifiedBy>
  <cp:revision>6</cp:revision>
  <dcterms:created xsi:type="dcterms:W3CDTF">2020-03-04T08:45:00Z</dcterms:created>
  <dcterms:modified xsi:type="dcterms:W3CDTF">2020-03-04T09:12:00Z</dcterms:modified>
</cp:coreProperties>
</file>