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A9" w:rsidRDefault="007E56E3" w:rsidP="008303C8">
      <w:pPr>
        <w:spacing w:after="0" w:line="240" w:lineRule="auto"/>
        <w:jc w:val="center"/>
        <w:rPr>
          <w:rFonts w:asciiTheme="majorBidi" w:hAnsiTheme="majorBidi" w:cstheme="majorBidi"/>
          <w:b/>
          <w:bCs/>
          <w:sz w:val="24"/>
          <w:szCs w:val="24"/>
          <w:lang w:val="en-US"/>
        </w:rPr>
      </w:pPr>
      <w:bookmarkStart w:id="0" w:name="_GoBack"/>
      <w:bookmarkEnd w:id="0"/>
      <w:r>
        <w:rPr>
          <w:rFonts w:asciiTheme="majorBidi" w:hAnsiTheme="majorBidi" w:cstheme="majorBidi"/>
          <w:b/>
          <w:bCs/>
          <w:sz w:val="24"/>
          <w:szCs w:val="24"/>
          <w:lang w:val="en-US"/>
        </w:rPr>
        <w:t xml:space="preserve">A </w:t>
      </w:r>
      <w:r w:rsidRPr="00DC311D">
        <w:rPr>
          <w:rFonts w:asciiTheme="majorBidi" w:hAnsiTheme="majorBidi" w:cstheme="majorBidi"/>
          <w:b/>
          <w:bCs/>
          <w:sz w:val="24"/>
          <w:szCs w:val="24"/>
          <w:lang w:val="en-US"/>
        </w:rPr>
        <w:t xml:space="preserve">Homoscedastic </w:t>
      </w:r>
      <w:r>
        <w:rPr>
          <w:rFonts w:asciiTheme="majorBidi" w:hAnsiTheme="majorBidi" w:cstheme="majorBidi"/>
          <w:b/>
          <w:bCs/>
          <w:sz w:val="24"/>
          <w:szCs w:val="24"/>
          <w:lang w:val="en-US"/>
        </w:rPr>
        <w:t>C</w:t>
      </w:r>
      <w:r w:rsidRPr="00DC311D">
        <w:rPr>
          <w:rFonts w:asciiTheme="majorBidi" w:hAnsiTheme="majorBidi" w:cstheme="majorBidi"/>
          <w:b/>
          <w:bCs/>
          <w:sz w:val="24"/>
          <w:szCs w:val="24"/>
          <w:lang w:val="en-US"/>
        </w:rPr>
        <w:t xml:space="preserve">o-integration </w:t>
      </w:r>
      <w:r>
        <w:rPr>
          <w:rFonts w:asciiTheme="majorBidi" w:hAnsiTheme="majorBidi" w:cstheme="majorBidi"/>
          <w:b/>
          <w:bCs/>
          <w:sz w:val="24"/>
          <w:szCs w:val="24"/>
          <w:lang w:val="en-US"/>
        </w:rPr>
        <w:t>A</w:t>
      </w:r>
      <w:r w:rsidRPr="00DC311D">
        <w:rPr>
          <w:rFonts w:asciiTheme="majorBidi" w:hAnsiTheme="majorBidi" w:cstheme="majorBidi"/>
          <w:b/>
          <w:bCs/>
          <w:sz w:val="24"/>
          <w:szCs w:val="24"/>
          <w:lang w:val="en-US"/>
        </w:rPr>
        <w:t>nalysis</w:t>
      </w:r>
      <w:r>
        <w:rPr>
          <w:rFonts w:asciiTheme="majorBidi" w:hAnsiTheme="majorBidi" w:cstheme="majorBidi"/>
          <w:b/>
          <w:bCs/>
          <w:sz w:val="24"/>
          <w:szCs w:val="24"/>
          <w:lang w:val="en-US"/>
        </w:rPr>
        <w:t xml:space="preserve"> of the Malaysian Equity Market</w:t>
      </w:r>
    </w:p>
    <w:p w:rsidR="008303C8" w:rsidRPr="008303C8" w:rsidRDefault="008303C8" w:rsidP="008303C8">
      <w:pPr>
        <w:spacing w:after="0" w:line="240" w:lineRule="auto"/>
        <w:jc w:val="center"/>
        <w:rPr>
          <w:rStyle w:val="Hyperlink"/>
          <w:rFonts w:asciiTheme="majorBidi" w:hAnsiTheme="majorBidi" w:cstheme="majorBidi"/>
          <w:b/>
          <w:bCs/>
          <w:color w:val="auto"/>
          <w:sz w:val="24"/>
          <w:szCs w:val="24"/>
          <w:u w:val="none"/>
          <w:lang w:val="en-US"/>
        </w:rPr>
      </w:pPr>
    </w:p>
    <w:p w:rsidR="008303C8" w:rsidRPr="00DE3515" w:rsidRDefault="008303C8" w:rsidP="008303C8">
      <w:pPr>
        <w:spacing w:after="0" w:line="240" w:lineRule="auto"/>
        <w:jc w:val="center"/>
        <w:rPr>
          <w:rFonts w:ascii="Times New Roman" w:hAnsi="Times New Roman" w:cs="Times New Roman"/>
          <w:b/>
          <w:bCs/>
          <w:sz w:val="24"/>
          <w:szCs w:val="24"/>
        </w:rPr>
      </w:pPr>
      <w:proofErr w:type="spellStart"/>
      <w:r w:rsidRPr="00DE3515">
        <w:rPr>
          <w:rFonts w:ascii="Times New Roman" w:hAnsi="Times New Roman" w:cs="Times New Roman"/>
          <w:b/>
          <w:bCs/>
          <w:sz w:val="24"/>
          <w:szCs w:val="24"/>
        </w:rPr>
        <w:t>Dr.</w:t>
      </w:r>
      <w:proofErr w:type="spellEnd"/>
      <w:r w:rsidRPr="00DE3515">
        <w:rPr>
          <w:rFonts w:ascii="Times New Roman" w:hAnsi="Times New Roman" w:cs="Times New Roman"/>
          <w:b/>
          <w:bCs/>
          <w:sz w:val="24"/>
          <w:szCs w:val="24"/>
        </w:rPr>
        <w:t xml:space="preserve"> Mohamed Ibrahim </w:t>
      </w:r>
      <w:proofErr w:type="spellStart"/>
      <w:r w:rsidRPr="00DE3515">
        <w:rPr>
          <w:rFonts w:ascii="Times New Roman" w:hAnsi="Times New Roman" w:cs="Times New Roman"/>
          <w:b/>
          <w:bCs/>
          <w:sz w:val="24"/>
          <w:szCs w:val="24"/>
        </w:rPr>
        <w:t>Mugableh</w:t>
      </w:r>
      <w:proofErr w:type="spellEnd"/>
      <w:r w:rsidRPr="00DE3515">
        <w:rPr>
          <w:rFonts w:ascii="Times New Roman" w:hAnsi="Times New Roman" w:cs="Times New Roman"/>
          <w:b/>
          <w:bCs/>
          <w:sz w:val="24"/>
          <w:szCs w:val="24"/>
          <w:vertAlign w:val="superscript"/>
        </w:rPr>
        <w:t>*</w:t>
      </w:r>
    </w:p>
    <w:p w:rsidR="008303C8" w:rsidRPr="00DE3515" w:rsidRDefault="008303C8" w:rsidP="0026013D">
      <w:pPr>
        <w:spacing w:after="0" w:line="240" w:lineRule="auto"/>
        <w:jc w:val="both"/>
        <w:rPr>
          <w:rFonts w:ascii="Times New Roman" w:hAnsi="Times New Roman" w:cs="Times New Roman"/>
          <w:sz w:val="24"/>
          <w:szCs w:val="24"/>
          <w:lang w:val="en-GB"/>
        </w:rPr>
      </w:pPr>
      <w:r w:rsidRPr="00DE3515">
        <w:rPr>
          <w:rFonts w:ascii="Times New Roman" w:hAnsi="Times New Roman" w:cs="Times New Roman"/>
          <w:sz w:val="24"/>
          <w:szCs w:val="24"/>
          <w:vertAlign w:val="superscript"/>
        </w:rPr>
        <w:t>*</w:t>
      </w:r>
      <w:r>
        <w:rPr>
          <w:rFonts w:ascii="Times New Roman" w:hAnsi="Times New Roman" w:cs="Times New Roman"/>
          <w:sz w:val="24"/>
          <w:szCs w:val="24"/>
        </w:rPr>
        <w:t xml:space="preserve">Department of Financial and </w:t>
      </w:r>
      <w:r w:rsidRPr="00DE3515">
        <w:rPr>
          <w:rFonts w:ascii="Times New Roman" w:hAnsi="Times New Roman" w:cs="Times New Roman"/>
          <w:sz w:val="24"/>
          <w:szCs w:val="24"/>
        </w:rPr>
        <w:t>Banking Sciences,</w:t>
      </w:r>
      <w:r w:rsidRPr="00DE3515">
        <w:rPr>
          <w:rFonts w:ascii="Times New Roman" w:hAnsi="Times New Roman" w:cs="Times New Roman"/>
          <w:sz w:val="24"/>
          <w:szCs w:val="24"/>
          <w:vertAlign w:val="superscript"/>
        </w:rPr>
        <w:t xml:space="preserve"> </w:t>
      </w:r>
      <w:r w:rsidRPr="00DE3515">
        <w:rPr>
          <w:rFonts w:ascii="Times New Roman" w:hAnsi="Times New Roman" w:cs="Times New Roman"/>
          <w:sz w:val="24"/>
          <w:szCs w:val="24"/>
        </w:rPr>
        <w:t xml:space="preserve">College of Administrative and Financial Sciences, Irbid National University, </w:t>
      </w:r>
      <w:proofErr w:type="gramStart"/>
      <w:r w:rsidRPr="00DE3515">
        <w:rPr>
          <w:rFonts w:ascii="Times New Roman" w:hAnsi="Times New Roman" w:cs="Times New Roman"/>
          <w:sz w:val="24"/>
          <w:szCs w:val="24"/>
          <w:lang w:val="en-GB"/>
        </w:rPr>
        <w:t>P.O</w:t>
      </w:r>
      <w:proofErr w:type="gramEnd"/>
      <w:r w:rsidRPr="00DE3515">
        <w:rPr>
          <w:rFonts w:ascii="Times New Roman" w:hAnsi="Times New Roman" w:cs="Times New Roman"/>
          <w:sz w:val="24"/>
          <w:szCs w:val="24"/>
          <w:lang w:val="en-GB"/>
        </w:rPr>
        <w:t xml:space="preserve"> Box: 2600−Zip Code: 21110, Jordan. Tel: +962790956497, email addresses: </w:t>
      </w:r>
      <w:hyperlink r:id="rId8" w:history="1">
        <w:r w:rsidRPr="00DE3515">
          <w:rPr>
            <w:rStyle w:val="Hyperlink"/>
            <w:rFonts w:ascii="Times New Roman" w:hAnsi="Times New Roman" w:cs="Times New Roman"/>
            <w:sz w:val="24"/>
            <w:szCs w:val="24"/>
            <w:u w:val="none"/>
            <w:lang w:val="en-GB"/>
          </w:rPr>
          <w:t>mugableh83@yahoo.com</w:t>
        </w:r>
      </w:hyperlink>
      <w:r w:rsidRPr="00DE3515">
        <w:rPr>
          <w:rFonts w:ascii="Times New Roman" w:hAnsi="Times New Roman" w:cs="Times New Roman"/>
          <w:sz w:val="24"/>
          <w:szCs w:val="24"/>
          <w:lang w:val="en-GB"/>
        </w:rPr>
        <w:t xml:space="preserve">, </w:t>
      </w:r>
      <w:hyperlink r:id="rId9" w:history="1">
        <w:r w:rsidRPr="00DE3515">
          <w:rPr>
            <w:rStyle w:val="Hyperlink"/>
            <w:rFonts w:ascii="Times New Roman" w:hAnsi="Times New Roman" w:cs="Times New Roman"/>
            <w:sz w:val="24"/>
            <w:szCs w:val="24"/>
            <w:u w:val="none"/>
            <w:lang w:val="en-GB"/>
          </w:rPr>
          <w:t>mugableh83@gmail.com</w:t>
        </w:r>
      </w:hyperlink>
    </w:p>
    <w:p w:rsidR="000235E3" w:rsidRDefault="000235E3" w:rsidP="008303C8">
      <w:pPr>
        <w:spacing w:after="0" w:line="240" w:lineRule="auto"/>
        <w:rPr>
          <w:rStyle w:val="Hyperlink"/>
          <w:rFonts w:asciiTheme="majorBidi" w:hAnsiTheme="majorBidi" w:cstheme="majorBidi"/>
          <w:b/>
          <w:bCs/>
          <w:sz w:val="24"/>
          <w:szCs w:val="24"/>
          <w:lang w:val="en-US"/>
        </w:rPr>
      </w:pPr>
    </w:p>
    <w:p w:rsidR="003E4422" w:rsidRDefault="003E4422" w:rsidP="003D29DA">
      <w:pPr>
        <w:spacing w:after="0" w:line="240" w:lineRule="auto"/>
        <w:rPr>
          <w:rStyle w:val="Hyperlink"/>
          <w:rFonts w:asciiTheme="majorBidi" w:hAnsiTheme="majorBidi" w:cstheme="majorBidi"/>
          <w:b/>
          <w:bCs/>
          <w:color w:val="auto"/>
          <w:sz w:val="24"/>
          <w:szCs w:val="24"/>
          <w:u w:val="none"/>
          <w:lang w:val="en-US"/>
        </w:rPr>
      </w:pPr>
      <w:r w:rsidRPr="003E4422">
        <w:rPr>
          <w:rStyle w:val="Hyperlink"/>
          <w:rFonts w:asciiTheme="majorBidi" w:hAnsiTheme="majorBidi" w:cstheme="majorBidi"/>
          <w:b/>
          <w:bCs/>
          <w:color w:val="auto"/>
          <w:sz w:val="24"/>
          <w:szCs w:val="24"/>
          <w:u w:val="none"/>
          <w:lang w:val="en-US"/>
        </w:rPr>
        <w:t>Abstract</w:t>
      </w:r>
    </w:p>
    <w:p w:rsidR="00C52D6F" w:rsidRPr="00B319DF" w:rsidRDefault="00A0028D" w:rsidP="008D73AB">
      <w:pPr>
        <w:spacing w:after="0" w:line="240" w:lineRule="auto"/>
        <w:jc w:val="both"/>
        <w:rPr>
          <w:rFonts w:asciiTheme="majorBidi" w:hAnsiTheme="majorBidi" w:cstheme="majorBidi"/>
          <w:sz w:val="24"/>
          <w:szCs w:val="24"/>
          <w:lang w:val="en-US"/>
        </w:rPr>
      </w:pPr>
      <w:r w:rsidRPr="00B319DF">
        <w:rPr>
          <w:rStyle w:val="Hyperlink"/>
          <w:rFonts w:asciiTheme="majorBidi" w:hAnsiTheme="majorBidi" w:cstheme="majorBidi"/>
          <w:color w:val="auto"/>
          <w:sz w:val="24"/>
          <w:szCs w:val="24"/>
          <w:u w:val="none"/>
          <w:lang w:val="en-US"/>
        </w:rPr>
        <w:t xml:space="preserve">This article </w:t>
      </w:r>
      <w:r w:rsidR="008D73AB" w:rsidRPr="00B319DF">
        <w:rPr>
          <w:rStyle w:val="Hyperlink"/>
          <w:rFonts w:asciiTheme="majorBidi" w:hAnsiTheme="majorBidi" w:cstheme="majorBidi"/>
          <w:color w:val="auto"/>
          <w:sz w:val="24"/>
          <w:szCs w:val="24"/>
          <w:u w:val="none"/>
          <w:lang w:val="en-US"/>
        </w:rPr>
        <w:t xml:space="preserve">examined </w:t>
      </w:r>
      <w:r w:rsidR="001B3D90" w:rsidRPr="00B319DF">
        <w:rPr>
          <w:rStyle w:val="Hyperlink"/>
          <w:rFonts w:asciiTheme="majorBidi" w:hAnsiTheme="majorBidi" w:cstheme="majorBidi"/>
          <w:color w:val="auto"/>
          <w:sz w:val="24"/>
          <w:szCs w:val="24"/>
          <w:u w:val="none"/>
          <w:lang w:val="en-US"/>
        </w:rPr>
        <w:t>long-term</w:t>
      </w:r>
      <w:r w:rsidR="003E4422" w:rsidRPr="00B319DF">
        <w:rPr>
          <w:rStyle w:val="Hyperlink"/>
          <w:rFonts w:asciiTheme="majorBidi" w:hAnsiTheme="majorBidi" w:cstheme="majorBidi"/>
          <w:color w:val="auto"/>
          <w:sz w:val="24"/>
          <w:szCs w:val="24"/>
          <w:u w:val="none"/>
          <w:lang w:val="en-US"/>
        </w:rPr>
        <w:t xml:space="preserve"> relationships </w:t>
      </w:r>
      <w:r w:rsidR="008D73AB" w:rsidRPr="00B319DF">
        <w:rPr>
          <w:rStyle w:val="Hyperlink"/>
          <w:rFonts w:asciiTheme="majorBidi" w:hAnsiTheme="majorBidi" w:cstheme="majorBidi"/>
          <w:color w:val="auto"/>
          <w:sz w:val="24"/>
          <w:szCs w:val="24"/>
          <w:u w:val="none"/>
          <w:lang w:val="en-US"/>
        </w:rPr>
        <w:t xml:space="preserve">and </w:t>
      </w:r>
      <w:r w:rsidR="00CE7982" w:rsidRPr="00B319DF">
        <w:rPr>
          <w:rStyle w:val="Hyperlink"/>
          <w:rFonts w:asciiTheme="majorBidi" w:hAnsiTheme="majorBidi" w:cstheme="majorBidi"/>
          <w:color w:val="auto"/>
          <w:sz w:val="24"/>
          <w:szCs w:val="24"/>
          <w:u w:val="none"/>
          <w:lang w:val="en-US"/>
        </w:rPr>
        <w:t xml:space="preserve">dynamic </w:t>
      </w:r>
      <w:r w:rsidR="00BB23B3" w:rsidRPr="00B319DF">
        <w:rPr>
          <w:rStyle w:val="Hyperlink"/>
          <w:rFonts w:asciiTheme="majorBidi" w:hAnsiTheme="majorBidi" w:cstheme="majorBidi"/>
          <w:color w:val="auto"/>
          <w:sz w:val="24"/>
          <w:szCs w:val="24"/>
          <w:u w:val="none"/>
          <w:lang w:val="en-US"/>
        </w:rPr>
        <w:t>links</w:t>
      </w:r>
      <w:r w:rsidR="00CE7982" w:rsidRPr="00B319DF">
        <w:rPr>
          <w:rStyle w:val="Hyperlink"/>
          <w:rFonts w:asciiTheme="majorBidi" w:hAnsiTheme="majorBidi" w:cstheme="majorBidi"/>
          <w:color w:val="auto"/>
          <w:sz w:val="24"/>
          <w:szCs w:val="24"/>
          <w:u w:val="none"/>
          <w:lang w:val="en-US"/>
        </w:rPr>
        <w:t xml:space="preserve"> </w:t>
      </w:r>
      <w:r w:rsidR="003E4422" w:rsidRPr="00B319DF">
        <w:rPr>
          <w:rStyle w:val="Hyperlink"/>
          <w:rFonts w:asciiTheme="majorBidi" w:hAnsiTheme="majorBidi" w:cstheme="majorBidi"/>
          <w:color w:val="auto"/>
          <w:sz w:val="24"/>
          <w:szCs w:val="24"/>
          <w:u w:val="none"/>
          <w:lang w:val="en-US"/>
        </w:rPr>
        <w:t xml:space="preserve">between </w:t>
      </w:r>
      <w:r w:rsidR="00CE7982" w:rsidRPr="00B319DF">
        <w:rPr>
          <w:rStyle w:val="Hyperlink"/>
          <w:rFonts w:asciiTheme="majorBidi" w:hAnsiTheme="majorBidi" w:cstheme="majorBidi"/>
          <w:color w:val="auto"/>
          <w:sz w:val="24"/>
          <w:szCs w:val="24"/>
          <w:u w:val="none"/>
          <w:lang w:val="en-US"/>
        </w:rPr>
        <w:t xml:space="preserve">Malaysian </w:t>
      </w:r>
      <w:r w:rsidR="008D73AB" w:rsidRPr="00B319DF">
        <w:rPr>
          <w:rStyle w:val="Hyperlink"/>
          <w:rFonts w:asciiTheme="majorBidi" w:hAnsiTheme="majorBidi" w:cstheme="majorBidi"/>
          <w:color w:val="auto"/>
          <w:sz w:val="24"/>
          <w:szCs w:val="24"/>
          <w:u w:val="none"/>
          <w:lang w:val="en-US"/>
        </w:rPr>
        <w:t xml:space="preserve">equity </w:t>
      </w:r>
      <w:r w:rsidR="003E4422" w:rsidRPr="00B319DF">
        <w:rPr>
          <w:rStyle w:val="Hyperlink"/>
          <w:rFonts w:asciiTheme="majorBidi" w:hAnsiTheme="majorBidi" w:cstheme="majorBidi"/>
          <w:color w:val="auto"/>
          <w:sz w:val="24"/>
          <w:szCs w:val="24"/>
          <w:u w:val="none"/>
          <w:lang w:val="en-US"/>
        </w:rPr>
        <w:t xml:space="preserve">market </w:t>
      </w:r>
      <w:r w:rsidR="00CE7982" w:rsidRPr="00B319DF">
        <w:rPr>
          <w:rStyle w:val="Hyperlink"/>
          <w:rFonts w:asciiTheme="majorBidi" w:hAnsiTheme="majorBidi" w:cstheme="majorBidi"/>
          <w:color w:val="auto"/>
          <w:sz w:val="24"/>
          <w:szCs w:val="24"/>
          <w:u w:val="none"/>
          <w:lang w:val="en-US"/>
        </w:rPr>
        <w:t xml:space="preserve">and </w:t>
      </w:r>
      <w:r w:rsidR="003E4422" w:rsidRPr="00B319DF">
        <w:rPr>
          <w:rStyle w:val="Hyperlink"/>
          <w:rFonts w:asciiTheme="majorBidi" w:hAnsiTheme="majorBidi" w:cstheme="majorBidi"/>
          <w:color w:val="auto"/>
          <w:sz w:val="24"/>
          <w:szCs w:val="24"/>
          <w:u w:val="none"/>
          <w:lang w:val="en-US"/>
        </w:rPr>
        <w:t>macroeconomic</w:t>
      </w:r>
      <w:r w:rsidR="008D73AB" w:rsidRPr="00B319DF">
        <w:rPr>
          <w:rStyle w:val="Hyperlink"/>
          <w:rFonts w:asciiTheme="majorBidi" w:hAnsiTheme="majorBidi" w:cstheme="majorBidi"/>
          <w:color w:val="auto"/>
          <w:sz w:val="24"/>
          <w:szCs w:val="24"/>
          <w:u w:val="none"/>
          <w:lang w:val="en-US"/>
        </w:rPr>
        <w:t xml:space="preserve"> forces</w:t>
      </w:r>
      <w:r w:rsidR="001B3D90" w:rsidRPr="00B319DF">
        <w:rPr>
          <w:rStyle w:val="Hyperlink"/>
          <w:rFonts w:asciiTheme="majorBidi" w:hAnsiTheme="majorBidi" w:cstheme="majorBidi"/>
          <w:color w:val="auto"/>
          <w:sz w:val="24"/>
          <w:szCs w:val="24"/>
          <w:u w:val="none"/>
          <w:lang w:val="en-US"/>
        </w:rPr>
        <w:t>,</w:t>
      </w:r>
      <w:r w:rsidR="00C47B27" w:rsidRPr="00B319DF">
        <w:rPr>
          <w:rStyle w:val="Hyperlink"/>
          <w:rFonts w:asciiTheme="majorBidi" w:hAnsiTheme="majorBidi" w:cstheme="majorBidi"/>
          <w:color w:val="auto"/>
          <w:sz w:val="24"/>
          <w:szCs w:val="24"/>
          <w:u w:val="none"/>
          <w:lang w:val="en-US"/>
        </w:rPr>
        <w:t xml:space="preserve"> including </w:t>
      </w:r>
      <w:r w:rsidR="003E4422" w:rsidRPr="00B319DF">
        <w:rPr>
          <w:rStyle w:val="Hyperlink"/>
          <w:rFonts w:asciiTheme="majorBidi" w:hAnsiTheme="majorBidi" w:cstheme="majorBidi"/>
          <w:color w:val="auto"/>
          <w:sz w:val="24"/>
          <w:szCs w:val="24"/>
          <w:u w:val="none"/>
          <w:lang w:val="en-US"/>
        </w:rPr>
        <w:t xml:space="preserve">inflation rates, interest rates, money supply, and real economic activity. </w:t>
      </w:r>
      <w:r w:rsidR="00BE191D" w:rsidRPr="00B319DF">
        <w:rPr>
          <w:rStyle w:val="Hyperlink"/>
          <w:rFonts w:asciiTheme="majorBidi" w:hAnsiTheme="majorBidi" w:cstheme="majorBidi"/>
          <w:color w:val="auto"/>
          <w:sz w:val="24"/>
          <w:szCs w:val="24"/>
          <w:u w:val="none"/>
          <w:lang w:val="en-US"/>
        </w:rPr>
        <w:t>It</w:t>
      </w:r>
      <w:r w:rsidR="001B3D90" w:rsidRPr="00B319DF">
        <w:rPr>
          <w:rStyle w:val="Hyperlink"/>
          <w:rFonts w:asciiTheme="majorBidi" w:hAnsiTheme="majorBidi" w:cstheme="majorBidi"/>
          <w:color w:val="auto"/>
          <w:sz w:val="24"/>
          <w:szCs w:val="24"/>
          <w:u w:val="none"/>
          <w:lang w:val="en-US"/>
        </w:rPr>
        <w:t xml:space="preserve"> employed</w:t>
      </w:r>
      <w:r w:rsidRPr="00B319DF">
        <w:rPr>
          <w:rStyle w:val="Hyperlink"/>
          <w:rFonts w:asciiTheme="majorBidi" w:hAnsiTheme="majorBidi" w:cstheme="majorBidi"/>
          <w:color w:val="auto"/>
          <w:sz w:val="24"/>
          <w:szCs w:val="24"/>
          <w:u w:val="none"/>
          <w:lang w:val="en-US"/>
        </w:rPr>
        <w:t xml:space="preserve"> </w:t>
      </w:r>
      <w:r w:rsidR="001B3D90" w:rsidRPr="00B319DF">
        <w:rPr>
          <w:rStyle w:val="Hyperlink"/>
          <w:rFonts w:asciiTheme="majorBidi" w:hAnsiTheme="majorBidi" w:cstheme="majorBidi"/>
          <w:color w:val="auto"/>
          <w:sz w:val="24"/>
          <w:szCs w:val="24"/>
          <w:u w:val="none"/>
          <w:lang w:val="en-US"/>
        </w:rPr>
        <w:t xml:space="preserve">the </w:t>
      </w:r>
      <w:r w:rsidRPr="00B319DF">
        <w:rPr>
          <w:rStyle w:val="Hyperlink"/>
          <w:rFonts w:asciiTheme="majorBidi" w:hAnsiTheme="majorBidi" w:cstheme="majorBidi"/>
          <w:color w:val="auto"/>
          <w:sz w:val="24"/>
          <w:szCs w:val="24"/>
          <w:u w:val="none"/>
          <w:lang w:val="en-US"/>
        </w:rPr>
        <w:t>vector error correction model and annual</w:t>
      </w:r>
      <w:r w:rsidR="001B3D90" w:rsidRPr="00B319DF">
        <w:rPr>
          <w:rStyle w:val="Hyperlink"/>
          <w:rFonts w:asciiTheme="majorBidi" w:hAnsiTheme="majorBidi" w:cstheme="majorBidi"/>
          <w:color w:val="auto"/>
          <w:sz w:val="24"/>
          <w:szCs w:val="24"/>
          <w:u w:val="none"/>
          <w:lang w:val="en-US"/>
        </w:rPr>
        <w:t xml:space="preserve"> time series for the </w:t>
      </w:r>
      <w:r w:rsidR="00C47B27" w:rsidRPr="00B319DF">
        <w:rPr>
          <w:rStyle w:val="Hyperlink"/>
          <w:rFonts w:asciiTheme="majorBidi" w:hAnsiTheme="majorBidi" w:cstheme="majorBidi"/>
          <w:color w:val="auto"/>
          <w:sz w:val="24"/>
          <w:szCs w:val="24"/>
          <w:u w:val="none"/>
          <w:lang w:val="en-US"/>
        </w:rPr>
        <w:t>1977</w:t>
      </w:r>
      <w:r w:rsidR="004C4370" w:rsidRPr="00B319DF">
        <w:rPr>
          <w:rStyle w:val="Hyperlink"/>
          <w:rFonts w:asciiTheme="majorBidi" w:hAnsiTheme="majorBidi" w:cstheme="majorBidi"/>
          <w:color w:val="auto"/>
          <w:sz w:val="24"/>
          <w:szCs w:val="24"/>
          <w:u w:val="none"/>
          <w:lang w:val="en-US"/>
        </w:rPr>
        <w:t>−</w:t>
      </w:r>
      <w:r w:rsidR="00C47B27" w:rsidRPr="00B319DF">
        <w:rPr>
          <w:rStyle w:val="Hyperlink"/>
          <w:rFonts w:asciiTheme="majorBidi" w:hAnsiTheme="majorBidi" w:cstheme="majorBidi"/>
          <w:color w:val="auto"/>
          <w:sz w:val="24"/>
          <w:szCs w:val="24"/>
          <w:u w:val="none"/>
          <w:lang w:val="en-US"/>
        </w:rPr>
        <w:t>201</w:t>
      </w:r>
      <w:r w:rsidR="008D73AB" w:rsidRPr="00B319DF">
        <w:rPr>
          <w:rStyle w:val="Hyperlink"/>
          <w:rFonts w:asciiTheme="majorBidi" w:hAnsiTheme="majorBidi" w:cstheme="majorBidi"/>
          <w:color w:val="auto"/>
          <w:sz w:val="24"/>
          <w:szCs w:val="24"/>
          <w:u w:val="none"/>
          <w:lang w:val="en-US"/>
        </w:rPr>
        <w:t>5</w:t>
      </w:r>
      <w:r w:rsidR="001B3D90" w:rsidRPr="00B319DF">
        <w:rPr>
          <w:rStyle w:val="Hyperlink"/>
          <w:rFonts w:asciiTheme="majorBidi" w:hAnsiTheme="majorBidi" w:cstheme="majorBidi"/>
          <w:color w:val="auto"/>
          <w:sz w:val="24"/>
          <w:szCs w:val="24"/>
          <w:u w:val="none"/>
          <w:lang w:val="en-US"/>
        </w:rPr>
        <w:t xml:space="preserve"> period</w:t>
      </w:r>
      <w:r w:rsidR="00C47B27" w:rsidRPr="00B319DF">
        <w:rPr>
          <w:rStyle w:val="Hyperlink"/>
          <w:rFonts w:asciiTheme="majorBidi" w:hAnsiTheme="majorBidi" w:cstheme="majorBidi"/>
          <w:color w:val="auto"/>
          <w:sz w:val="24"/>
          <w:szCs w:val="24"/>
          <w:u w:val="none"/>
          <w:lang w:val="en-US"/>
        </w:rPr>
        <w:t>. The empirical results show the existence of six co-integrating vectors</w:t>
      </w:r>
      <w:r w:rsidR="00BE191D" w:rsidRPr="00B319DF">
        <w:rPr>
          <w:rStyle w:val="Hyperlink"/>
          <w:rFonts w:asciiTheme="majorBidi" w:hAnsiTheme="majorBidi" w:cstheme="majorBidi"/>
          <w:color w:val="auto"/>
          <w:sz w:val="24"/>
          <w:szCs w:val="24"/>
          <w:u w:val="none"/>
          <w:lang w:val="en-US"/>
        </w:rPr>
        <w:t>,</w:t>
      </w:r>
      <w:r w:rsidR="00C47B27" w:rsidRPr="00B319DF">
        <w:rPr>
          <w:rStyle w:val="Hyperlink"/>
          <w:rFonts w:asciiTheme="majorBidi" w:hAnsiTheme="majorBidi" w:cstheme="majorBidi"/>
          <w:color w:val="auto"/>
          <w:sz w:val="24"/>
          <w:szCs w:val="24"/>
          <w:u w:val="none"/>
          <w:lang w:val="en-US"/>
        </w:rPr>
        <w:t xml:space="preserve"> </w:t>
      </w:r>
      <w:r w:rsidR="001B3D90" w:rsidRPr="00B319DF">
        <w:rPr>
          <w:rStyle w:val="Hyperlink"/>
          <w:rFonts w:asciiTheme="majorBidi" w:hAnsiTheme="majorBidi" w:cstheme="majorBidi"/>
          <w:color w:val="auto"/>
          <w:sz w:val="24"/>
          <w:szCs w:val="24"/>
          <w:u w:val="none"/>
          <w:lang w:val="en-US"/>
        </w:rPr>
        <w:t xml:space="preserve">implying a long-term </w:t>
      </w:r>
      <w:r w:rsidR="00BE191D" w:rsidRPr="00B319DF">
        <w:rPr>
          <w:rStyle w:val="Hyperlink"/>
          <w:rFonts w:asciiTheme="majorBidi" w:hAnsiTheme="majorBidi" w:cstheme="majorBidi"/>
          <w:color w:val="auto"/>
          <w:sz w:val="24"/>
          <w:szCs w:val="24"/>
          <w:u w:val="none"/>
          <w:lang w:val="en-US"/>
        </w:rPr>
        <w:t xml:space="preserve">relationship </w:t>
      </w:r>
      <w:r w:rsidR="00C47B27" w:rsidRPr="00B319DF">
        <w:rPr>
          <w:rStyle w:val="Hyperlink"/>
          <w:rFonts w:asciiTheme="majorBidi" w:hAnsiTheme="majorBidi" w:cstheme="majorBidi"/>
          <w:color w:val="auto"/>
          <w:sz w:val="24"/>
          <w:szCs w:val="24"/>
          <w:u w:val="none"/>
          <w:lang w:val="en-US"/>
        </w:rPr>
        <w:t xml:space="preserve">between </w:t>
      </w:r>
      <w:r w:rsidR="00BA0615" w:rsidRPr="00B319DF">
        <w:rPr>
          <w:rStyle w:val="Hyperlink"/>
          <w:rFonts w:asciiTheme="majorBidi" w:hAnsiTheme="majorBidi" w:cstheme="majorBidi"/>
          <w:color w:val="auto"/>
          <w:sz w:val="24"/>
          <w:szCs w:val="24"/>
          <w:u w:val="none"/>
          <w:lang w:val="en-US"/>
        </w:rPr>
        <w:t>the selected variables</w:t>
      </w:r>
      <w:r w:rsidR="00C47B27" w:rsidRPr="00B319DF">
        <w:rPr>
          <w:rStyle w:val="Hyperlink"/>
          <w:rFonts w:asciiTheme="majorBidi" w:hAnsiTheme="majorBidi" w:cstheme="majorBidi"/>
          <w:color w:val="auto"/>
          <w:sz w:val="24"/>
          <w:szCs w:val="24"/>
          <w:u w:val="none"/>
          <w:lang w:val="en-US"/>
        </w:rPr>
        <w:t>. In addition, inflati</w:t>
      </w:r>
      <w:r w:rsidR="001B3D90" w:rsidRPr="00B319DF">
        <w:rPr>
          <w:rStyle w:val="Hyperlink"/>
          <w:rFonts w:asciiTheme="majorBidi" w:hAnsiTheme="majorBidi" w:cstheme="majorBidi"/>
          <w:color w:val="auto"/>
          <w:sz w:val="24"/>
          <w:szCs w:val="24"/>
          <w:u w:val="none"/>
          <w:lang w:val="en-US"/>
        </w:rPr>
        <w:t xml:space="preserve">on rates and interest rates were shown to be </w:t>
      </w:r>
      <w:r w:rsidR="00DE3515" w:rsidRPr="00B319DF">
        <w:rPr>
          <w:rStyle w:val="Hyperlink"/>
          <w:rFonts w:asciiTheme="majorBidi" w:hAnsiTheme="majorBidi" w:cstheme="majorBidi"/>
          <w:color w:val="auto"/>
          <w:sz w:val="24"/>
          <w:szCs w:val="24"/>
          <w:u w:val="none"/>
          <w:lang w:val="en-US"/>
        </w:rPr>
        <w:t xml:space="preserve">negatively associated with </w:t>
      </w:r>
      <w:r w:rsidR="00C47B27" w:rsidRPr="00B319DF">
        <w:rPr>
          <w:rStyle w:val="Hyperlink"/>
          <w:rFonts w:asciiTheme="majorBidi" w:hAnsiTheme="majorBidi" w:cstheme="majorBidi"/>
          <w:color w:val="auto"/>
          <w:sz w:val="24"/>
          <w:szCs w:val="24"/>
          <w:u w:val="none"/>
          <w:lang w:val="en-US"/>
        </w:rPr>
        <w:t>Malaysian capital market. Money supply and real economic ac</w:t>
      </w:r>
      <w:r w:rsidR="001B3D90" w:rsidRPr="00B319DF">
        <w:rPr>
          <w:rStyle w:val="Hyperlink"/>
          <w:rFonts w:asciiTheme="majorBidi" w:hAnsiTheme="majorBidi" w:cstheme="majorBidi"/>
          <w:color w:val="auto"/>
          <w:sz w:val="24"/>
          <w:szCs w:val="24"/>
          <w:u w:val="none"/>
          <w:lang w:val="en-US"/>
        </w:rPr>
        <w:t xml:space="preserve">tivity were found to be </w:t>
      </w:r>
      <w:r w:rsidR="00BE191D" w:rsidRPr="00B319DF">
        <w:rPr>
          <w:rStyle w:val="Hyperlink"/>
          <w:rFonts w:asciiTheme="majorBidi" w:hAnsiTheme="majorBidi" w:cstheme="majorBidi"/>
          <w:color w:val="auto"/>
          <w:sz w:val="24"/>
          <w:szCs w:val="24"/>
          <w:u w:val="none"/>
          <w:lang w:val="en-US"/>
        </w:rPr>
        <w:t xml:space="preserve">positively related to </w:t>
      </w:r>
      <w:r w:rsidR="00C47B27" w:rsidRPr="00B319DF">
        <w:rPr>
          <w:rStyle w:val="Hyperlink"/>
          <w:rFonts w:asciiTheme="majorBidi" w:hAnsiTheme="majorBidi" w:cstheme="majorBidi"/>
          <w:color w:val="auto"/>
          <w:sz w:val="24"/>
          <w:szCs w:val="24"/>
          <w:u w:val="none"/>
          <w:lang w:val="en-US"/>
        </w:rPr>
        <w:t xml:space="preserve">Malaysian capital market. </w:t>
      </w:r>
      <w:r w:rsidR="00BE191D" w:rsidRPr="00B319DF">
        <w:rPr>
          <w:rStyle w:val="Hyperlink"/>
          <w:rFonts w:asciiTheme="majorBidi" w:hAnsiTheme="majorBidi" w:cstheme="majorBidi"/>
          <w:color w:val="auto"/>
          <w:sz w:val="24"/>
          <w:szCs w:val="24"/>
          <w:u w:val="none"/>
          <w:lang w:val="en-US"/>
        </w:rPr>
        <w:t xml:space="preserve">However, </w:t>
      </w:r>
      <w:r w:rsidR="00C13C3A" w:rsidRPr="00B319DF">
        <w:rPr>
          <w:rFonts w:asciiTheme="majorBidi" w:hAnsiTheme="majorBidi" w:cstheme="majorBidi"/>
          <w:sz w:val="24"/>
          <w:szCs w:val="24"/>
          <w:lang w:val="en-US"/>
        </w:rPr>
        <w:t xml:space="preserve">the sample </w:t>
      </w:r>
      <w:r w:rsidR="002354EB" w:rsidRPr="00B319DF">
        <w:rPr>
          <w:rFonts w:asciiTheme="majorBidi" w:hAnsiTheme="majorBidi" w:cstheme="majorBidi"/>
          <w:sz w:val="24"/>
          <w:szCs w:val="24"/>
          <w:lang w:val="en-US"/>
        </w:rPr>
        <w:t xml:space="preserve">resulted in </w:t>
      </w:r>
      <w:r w:rsidR="00C13C3A" w:rsidRPr="00B319DF">
        <w:rPr>
          <w:rFonts w:asciiTheme="majorBidi" w:hAnsiTheme="majorBidi" w:cstheme="majorBidi"/>
          <w:sz w:val="24"/>
          <w:szCs w:val="24"/>
          <w:lang w:val="en-US"/>
        </w:rPr>
        <w:t xml:space="preserve">several observations during the </w:t>
      </w:r>
      <w:r w:rsidR="003E4813" w:rsidRPr="00B319DF">
        <w:rPr>
          <w:rFonts w:asciiTheme="majorBidi" w:hAnsiTheme="majorBidi" w:cstheme="majorBidi"/>
          <w:sz w:val="24"/>
          <w:szCs w:val="24"/>
          <w:lang w:val="en-US"/>
        </w:rPr>
        <w:t xml:space="preserve">economic and financial </w:t>
      </w:r>
      <w:r w:rsidR="00C13C3A" w:rsidRPr="00B319DF">
        <w:rPr>
          <w:rFonts w:asciiTheme="majorBidi" w:hAnsiTheme="majorBidi" w:cstheme="majorBidi"/>
          <w:sz w:val="24"/>
          <w:szCs w:val="24"/>
          <w:lang w:val="en-US"/>
        </w:rPr>
        <w:t xml:space="preserve">crises </w:t>
      </w:r>
      <w:r w:rsidR="003E4813" w:rsidRPr="00B319DF">
        <w:rPr>
          <w:rFonts w:asciiTheme="majorBidi" w:hAnsiTheme="majorBidi" w:cstheme="majorBidi"/>
          <w:sz w:val="24"/>
          <w:szCs w:val="24"/>
          <w:lang w:val="en-US"/>
        </w:rPr>
        <w:t xml:space="preserve">periods which </w:t>
      </w:r>
      <w:r w:rsidR="0078351F" w:rsidRPr="00B319DF">
        <w:rPr>
          <w:rFonts w:asciiTheme="majorBidi" w:hAnsiTheme="majorBidi" w:cstheme="majorBidi"/>
          <w:sz w:val="24"/>
          <w:szCs w:val="24"/>
          <w:lang w:val="en-US"/>
        </w:rPr>
        <w:t xml:space="preserve">influence the findings </w:t>
      </w:r>
      <w:r w:rsidR="00C13C3A" w:rsidRPr="00B319DF">
        <w:rPr>
          <w:rFonts w:asciiTheme="majorBidi" w:hAnsiTheme="majorBidi" w:cstheme="majorBidi"/>
          <w:sz w:val="24"/>
          <w:szCs w:val="24"/>
          <w:lang w:val="en-US"/>
        </w:rPr>
        <w:t>obtained from the regression.</w:t>
      </w:r>
    </w:p>
    <w:p w:rsidR="00271C13" w:rsidRDefault="00271C13" w:rsidP="005C60C5">
      <w:pPr>
        <w:spacing w:after="0" w:line="240" w:lineRule="auto"/>
        <w:jc w:val="both"/>
        <w:rPr>
          <w:rFonts w:asciiTheme="majorBidi" w:hAnsiTheme="majorBidi" w:cstheme="majorBidi"/>
          <w:sz w:val="24"/>
          <w:szCs w:val="24"/>
          <w:lang w:val="en-US"/>
        </w:rPr>
      </w:pPr>
    </w:p>
    <w:p w:rsidR="008F22E7" w:rsidRDefault="00271C13" w:rsidP="003D29DA">
      <w:pPr>
        <w:spacing w:after="0" w:line="240" w:lineRule="auto"/>
        <w:jc w:val="both"/>
        <w:rPr>
          <w:rFonts w:asciiTheme="majorBidi" w:hAnsiTheme="majorBidi" w:cstheme="majorBidi"/>
          <w:sz w:val="24"/>
          <w:szCs w:val="24"/>
          <w:lang w:val="en-US"/>
        </w:rPr>
      </w:pPr>
      <w:r w:rsidRPr="00271C13">
        <w:rPr>
          <w:rFonts w:asciiTheme="majorBidi" w:hAnsiTheme="majorBidi" w:cstheme="majorBidi"/>
          <w:b/>
          <w:bCs/>
          <w:sz w:val="24"/>
          <w:szCs w:val="24"/>
          <w:lang w:val="en-US"/>
        </w:rPr>
        <w:t>Keywords</w:t>
      </w:r>
    </w:p>
    <w:p w:rsidR="00932621" w:rsidRDefault="00253F15" w:rsidP="003D29DA">
      <w:pPr>
        <w:spacing w:after="0" w:line="24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Equity </w:t>
      </w:r>
      <w:r w:rsidR="005903A6">
        <w:rPr>
          <w:rFonts w:asciiTheme="majorBidi" w:hAnsiTheme="majorBidi" w:cstheme="majorBidi"/>
          <w:sz w:val="24"/>
          <w:szCs w:val="24"/>
          <w:lang w:val="en-US"/>
        </w:rPr>
        <w:t xml:space="preserve">market; </w:t>
      </w:r>
      <w:r w:rsidR="00271C13">
        <w:rPr>
          <w:rFonts w:asciiTheme="majorBidi" w:hAnsiTheme="majorBidi" w:cstheme="majorBidi"/>
          <w:sz w:val="24"/>
          <w:szCs w:val="24"/>
          <w:lang w:val="en-US"/>
        </w:rPr>
        <w:t>M</w:t>
      </w:r>
      <w:r w:rsidR="005903A6">
        <w:rPr>
          <w:rFonts w:asciiTheme="majorBidi" w:hAnsiTheme="majorBidi" w:cstheme="majorBidi"/>
          <w:sz w:val="24"/>
          <w:szCs w:val="24"/>
          <w:lang w:val="en-US"/>
        </w:rPr>
        <w:t xml:space="preserve">acroeconomics; </w:t>
      </w:r>
      <w:r w:rsidR="00433681">
        <w:rPr>
          <w:rFonts w:asciiTheme="majorBidi" w:hAnsiTheme="majorBidi" w:cstheme="majorBidi"/>
          <w:sz w:val="24"/>
          <w:szCs w:val="24"/>
          <w:lang w:val="en-US"/>
        </w:rPr>
        <w:t xml:space="preserve">Malaysia; Market </w:t>
      </w:r>
      <w:r w:rsidR="006C42B5">
        <w:rPr>
          <w:rFonts w:asciiTheme="majorBidi" w:hAnsiTheme="majorBidi" w:cstheme="majorBidi"/>
          <w:sz w:val="24"/>
          <w:szCs w:val="24"/>
          <w:lang w:val="en-US"/>
        </w:rPr>
        <w:t>E</w:t>
      </w:r>
      <w:r w:rsidR="00433681">
        <w:rPr>
          <w:rFonts w:asciiTheme="majorBidi" w:hAnsiTheme="majorBidi" w:cstheme="majorBidi"/>
          <w:sz w:val="24"/>
          <w:szCs w:val="24"/>
          <w:lang w:val="en-US"/>
        </w:rPr>
        <w:t>fficiency</w:t>
      </w:r>
      <w:r w:rsidR="007832F7">
        <w:rPr>
          <w:rFonts w:asciiTheme="majorBidi" w:hAnsiTheme="majorBidi" w:cstheme="majorBidi"/>
          <w:sz w:val="24"/>
          <w:szCs w:val="24"/>
          <w:lang w:val="en-US"/>
        </w:rPr>
        <w:t>.</w:t>
      </w:r>
      <w:proofErr w:type="gramEnd"/>
    </w:p>
    <w:p w:rsidR="00CB5DA9" w:rsidRDefault="00CB5DA9" w:rsidP="003D29DA">
      <w:pPr>
        <w:spacing w:after="0" w:line="240" w:lineRule="auto"/>
        <w:jc w:val="both"/>
        <w:rPr>
          <w:rFonts w:asciiTheme="majorBidi" w:hAnsiTheme="majorBidi" w:cstheme="majorBidi"/>
          <w:sz w:val="24"/>
          <w:szCs w:val="24"/>
          <w:lang w:val="en-US"/>
        </w:rPr>
      </w:pPr>
    </w:p>
    <w:p w:rsidR="001A3D39" w:rsidRPr="008F22E7" w:rsidRDefault="008F22E7" w:rsidP="003D29DA">
      <w:pPr>
        <w:spacing w:after="0" w:line="240" w:lineRule="auto"/>
        <w:jc w:val="both"/>
        <w:rPr>
          <w:rFonts w:asciiTheme="majorBidi" w:hAnsiTheme="majorBidi" w:cstheme="majorBidi"/>
          <w:b/>
          <w:bCs/>
          <w:sz w:val="24"/>
          <w:szCs w:val="24"/>
          <w:lang w:val="en-US"/>
        </w:rPr>
      </w:pPr>
      <w:r w:rsidRPr="008F22E7">
        <w:rPr>
          <w:rFonts w:asciiTheme="majorBidi" w:hAnsiTheme="majorBidi" w:cstheme="majorBidi"/>
          <w:b/>
          <w:bCs/>
          <w:sz w:val="24"/>
          <w:szCs w:val="24"/>
          <w:lang w:val="en-US"/>
        </w:rPr>
        <w:t>JEL classification</w:t>
      </w:r>
      <w:r w:rsidR="00C13C3A" w:rsidRPr="008F22E7">
        <w:rPr>
          <w:rFonts w:asciiTheme="majorBidi" w:hAnsiTheme="majorBidi" w:cstheme="majorBidi"/>
          <w:b/>
          <w:bCs/>
          <w:sz w:val="24"/>
          <w:szCs w:val="24"/>
          <w:lang w:val="en-US"/>
        </w:rPr>
        <w:t xml:space="preserve">     </w:t>
      </w:r>
    </w:p>
    <w:p w:rsidR="00554987" w:rsidRDefault="00E82692" w:rsidP="008303C8">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C32; E44; </w:t>
      </w:r>
      <w:r w:rsidR="008A1DF6">
        <w:rPr>
          <w:rFonts w:asciiTheme="majorBidi" w:hAnsiTheme="majorBidi" w:cstheme="majorBidi"/>
          <w:sz w:val="24"/>
          <w:szCs w:val="24"/>
          <w:lang w:val="en-US"/>
        </w:rPr>
        <w:t>GI4</w:t>
      </w:r>
      <w:r w:rsidR="005903A6">
        <w:rPr>
          <w:rFonts w:asciiTheme="majorBidi" w:hAnsiTheme="majorBidi" w:cstheme="majorBidi"/>
          <w:sz w:val="24"/>
          <w:szCs w:val="24"/>
          <w:lang w:val="en-US"/>
        </w:rPr>
        <w:t xml:space="preserve">; N95 </w:t>
      </w:r>
    </w:p>
    <w:p w:rsidR="008303C8" w:rsidRPr="008303C8" w:rsidRDefault="008303C8" w:rsidP="008303C8">
      <w:pPr>
        <w:spacing w:after="0" w:line="240" w:lineRule="auto"/>
        <w:jc w:val="both"/>
        <w:rPr>
          <w:rFonts w:asciiTheme="majorBidi" w:hAnsiTheme="majorBidi" w:cstheme="majorBidi"/>
          <w:sz w:val="24"/>
          <w:szCs w:val="24"/>
          <w:lang w:val="en-US"/>
        </w:rPr>
      </w:pPr>
    </w:p>
    <w:p w:rsidR="005E5F36" w:rsidRDefault="00F161F2" w:rsidP="003D29DA">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1. Introduction</w:t>
      </w:r>
    </w:p>
    <w:p w:rsidR="00B06B70" w:rsidRPr="0030389F" w:rsidRDefault="003E7DF4" w:rsidP="00BB417E">
      <w:pPr>
        <w:tabs>
          <w:tab w:val="left" w:pos="90"/>
          <w:tab w:val="left" w:pos="9360"/>
        </w:tabs>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 xml:space="preserve">During </w:t>
      </w:r>
      <w:r w:rsidR="00303594" w:rsidRPr="00B622D2">
        <w:rPr>
          <w:rFonts w:asciiTheme="majorBidi" w:hAnsiTheme="majorBidi" w:cstheme="majorBidi"/>
          <w:sz w:val="24"/>
          <w:szCs w:val="24"/>
          <w:lang w:val="en-US"/>
        </w:rPr>
        <w:t xml:space="preserve">the past decades, </w:t>
      </w:r>
      <w:r w:rsidR="00B622D2" w:rsidRPr="00B622D2">
        <w:rPr>
          <w:rFonts w:asciiTheme="majorBidi" w:hAnsiTheme="majorBidi" w:cstheme="majorBidi"/>
          <w:sz w:val="24"/>
          <w:szCs w:val="24"/>
          <w:lang w:val="en-US"/>
        </w:rPr>
        <w:t>several</w:t>
      </w:r>
      <w:r w:rsidR="00303594" w:rsidRPr="00B622D2">
        <w:rPr>
          <w:rFonts w:asciiTheme="majorBidi" w:hAnsiTheme="majorBidi" w:cstheme="majorBidi"/>
          <w:sz w:val="24"/>
          <w:szCs w:val="24"/>
          <w:lang w:val="en-US"/>
        </w:rPr>
        <w:t xml:space="preserve"> studies have examined the relationships between macroeconomic variables </w:t>
      </w:r>
      <w:r w:rsidR="00704E92" w:rsidRPr="00B622D2">
        <w:rPr>
          <w:rFonts w:asciiTheme="majorBidi" w:hAnsiTheme="majorBidi" w:cstheme="majorBidi"/>
          <w:sz w:val="24"/>
          <w:szCs w:val="24"/>
          <w:lang w:val="en-US"/>
        </w:rPr>
        <w:t xml:space="preserve">and stock prices. </w:t>
      </w:r>
      <w:r w:rsidR="0030389F">
        <w:rPr>
          <w:rFonts w:asciiTheme="majorBidi" w:hAnsiTheme="majorBidi" w:cstheme="majorBidi"/>
          <w:sz w:val="24"/>
          <w:szCs w:val="24"/>
          <w:lang w:val="en-US"/>
        </w:rPr>
        <w:t>For example, s</w:t>
      </w:r>
      <w:r w:rsidR="00704E92" w:rsidRPr="00B622D2">
        <w:rPr>
          <w:rFonts w:asciiTheme="majorBidi" w:hAnsiTheme="majorBidi" w:cstheme="majorBidi"/>
          <w:sz w:val="24"/>
          <w:szCs w:val="24"/>
          <w:lang w:val="en-US"/>
        </w:rPr>
        <w:t>ome studies</w:t>
      </w:r>
      <w:r w:rsidR="0030389F">
        <w:rPr>
          <w:rFonts w:asciiTheme="majorBidi" w:hAnsiTheme="majorBidi" w:cstheme="majorBidi"/>
          <w:sz w:val="24"/>
          <w:szCs w:val="24"/>
          <w:lang w:val="en-US"/>
        </w:rPr>
        <w:t xml:space="preserve"> </w:t>
      </w:r>
      <w:r w:rsidR="00704E92" w:rsidRPr="00B622D2">
        <w:rPr>
          <w:rFonts w:asciiTheme="majorBidi" w:hAnsiTheme="majorBidi" w:cstheme="majorBidi"/>
          <w:sz w:val="24"/>
          <w:szCs w:val="24"/>
          <w:lang w:val="en-US"/>
        </w:rPr>
        <w:t xml:space="preserve">examined the influences of individual factors such as inflation rate, </w:t>
      </w:r>
      <w:r w:rsidR="00B622D2" w:rsidRPr="00B622D2">
        <w:rPr>
          <w:rFonts w:asciiTheme="majorBidi" w:hAnsiTheme="majorBidi" w:cstheme="majorBidi"/>
          <w:sz w:val="24"/>
          <w:szCs w:val="24"/>
          <w:lang w:val="en-US"/>
        </w:rPr>
        <w:t xml:space="preserve">interest rate, money supply, and </w:t>
      </w:r>
      <w:r w:rsidR="00704E92" w:rsidRPr="00B622D2">
        <w:rPr>
          <w:rFonts w:asciiTheme="majorBidi" w:hAnsiTheme="majorBidi" w:cstheme="majorBidi"/>
          <w:sz w:val="24"/>
          <w:szCs w:val="24"/>
          <w:lang w:val="en-US"/>
        </w:rPr>
        <w:t>real economic activity</w:t>
      </w:r>
      <w:r w:rsidR="00AE08CB">
        <w:rPr>
          <w:rFonts w:asciiTheme="majorBidi" w:hAnsiTheme="majorBidi" w:cstheme="majorBidi"/>
          <w:sz w:val="24"/>
          <w:szCs w:val="24"/>
          <w:lang w:val="en-US"/>
        </w:rPr>
        <w:t xml:space="preserve"> </w:t>
      </w:r>
      <w:r w:rsidR="00AE08CB" w:rsidRPr="00B622D2">
        <w:rPr>
          <w:rFonts w:asciiTheme="majorBidi" w:hAnsiTheme="majorBidi" w:cstheme="majorBidi"/>
          <w:sz w:val="24"/>
          <w:szCs w:val="24"/>
          <w:lang w:val="en-US"/>
        </w:rPr>
        <w:t>(</w:t>
      </w:r>
      <w:r w:rsidR="007832F7">
        <w:rPr>
          <w:rFonts w:ascii="Times New Roman" w:hAnsi="Times New Roman" w:cs="Times New Roman"/>
          <w:sz w:val="24"/>
          <w:szCs w:val="24"/>
        </w:rPr>
        <w:t>S</w:t>
      </w:r>
      <w:r w:rsidR="00AE08CB" w:rsidRPr="00B622D2">
        <w:rPr>
          <w:rFonts w:ascii="Times New Roman" w:hAnsi="Times New Roman" w:cs="Times New Roman"/>
          <w:sz w:val="24"/>
          <w:szCs w:val="24"/>
        </w:rPr>
        <w:t xml:space="preserve">ee, </w:t>
      </w:r>
      <w:r w:rsidR="00AE08CB" w:rsidRPr="00DA7F42">
        <w:rPr>
          <w:rFonts w:ascii="Times New Roman" w:hAnsi="Times New Roman" w:cs="Times New Roman"/>
          <w:i/>
          <w:iCs/>
          <w:sz w:val="24"/>
          <w:szCs w:val="24"/>
        </w:rPr>
        <w:t>inter alia</w:t>
      </w:r>
      <w:r w:rsidR="00AE08CB" w:rsidRPr="00B622D2">
        <w:rPr>
          <w:rFonts w:ascii="Times New Roman" w:hAnsi="Times New Roman" w:cs="Times New Roman"/>
          <w:sz w:val="24"/>
          <w:szCs w:val="24"/>
        </w:rPr>
        <w:t>,</w:t>
      </w:r>
      <w:r w:rsidR="00AE08CB">
        <w:rPr>
          <w:rFonts w:ascii="Times New Roman" w:hAnsi="Times New Roman" w:cs="Times New Roman"/>
          <w:sz w:val="24"/>
          <w:szCs w:val="24"/>
        </w:rPr>
        <w:t xml:space="preserve"> </w:t>
      </w:r>
      <w:proofErr w:type="spellStart"/>
      <w:r w:rsidR="0030389F">
        <w:rPr>
          <w:rFonts w:asciiTheme="majorBidi" w:hAnsiTheme="majorBidi" w:cstheme="majorBidi"/>
          <w:sz w:val="24"/>
          <w:szCs w:val="24"/>
        </w:rPr>
        <w:t>Fama</w:t>
      </w:r>
      <w:proofErr w:type="spellEnd"/>
      <w:r w:rsidR="0030389F">
        <w:rPr>
          <w:rFonts w:asciiTheme="majorBidi" w:hAnsiTheme="majorBidi" w:cstheme="majorBidi"/>
          <w:sz w:val="24"/>
          <w:szCs w:val="24"/>
        </w:rPr>
        <w:t xml:space="preserve">, </w:t>
      </w:r>
      <w:r w:rsidR="0030389F" w:rsidRPr="00E05192">
        <w:rPr>
          <w:rFonts w:asciiTheme="majorBidi" w:hAnsiTheme="majorBidi" w:cstheme="majorBidi"/>
          <w:sz w:val="24"/>
          <w:szCs w:val="24"/>
        </w:rPr>
        <w:t>1981</w:t>
      </w:r>
      <w:r w:rsidR="0030389F">
        <w:rPr>
          <w:rFonts w:asciiTheme="majorBidi" w:hAnsiTheme="majorBidi" w:cstheme="majorBidi"/>
          <w:sz w:val="24"/>
          <w:szCs w:val="24"/>
        </w:rPr>
        <w:t xml:space="preserve">; </w:t>
      </w:r>
      <w:proofErr w:type="spellStart"/>
      <w:r w:rsidR="00F06252">
        <w:rPr>
          <w:rFonts w:asciiTheme="majorBidi" w:hAnsiTheme="majorBidi" w:cstheme="majorBidi"/>
          <w:sz w:val="24"/>
          <w:szCs w:val="24"/>
        </w:rPr>
        <w:t>Fama</w:t>
      </w:r>
      <w:proofErr w:type="spellEnd"/>
      <w:r w:rsidR="00F06252">
        <w:rPr>
          <w:rFonts w:asciiTheme="majorBidi" w:hAnsiTheme="majorBidi" w:cstheme="majorBidi"/>
          <w:sz w:val="24"/>
          <w:szCs w:val="24"/>
        </w:rPr>
        <w:t xml:space="preserve"> and </w:t>
      </w:r>
      <w:r w:rsidR="00AE08CB">
        <w:rPr>
          <w:rFonts w:asciiTheme="majorBidi" w:hAnsiTheme="majorBidi" w:cstheme="majorBidi"/>
          <w:sz w:val="24"/>
          <w:szCs w:val="24"/>
        </w:rPr>
        <w:t xml:space="preserve">Gibbons, </w:t>
      </w:r>
      <w:r w:rsidR="00AE08CB" w:rsidRPr="00E05192">
        <w:rPr>
          <w:rFonts w:asciiTheme="majorBidi" w:hAnsiTheme="majorBidi" w:cstheme="majorBidi"/>
          <w:sz w:val="24"/>
          <w:szCs w:val="24"/>
        </w:rPr>
        <w:t>1982</w:t>
      </w:r>
      <w:r w:rsidR="00AE08CB">
        <w:rPr>
          <w:rFonts w:asciiTheme="majorBidi" w:hAnsiTheme="majorBidi" w:cstheme="majorBidi"/>
          <w:sz w:val="24"/>
          <w:szCs w:val="24"/>
        </w:rPr>
        <w:t xml:space="preserve">; </w:t>
      </w:r>
      <w:proofErr w:type="spellStart"/>
      <w:r w:rsidR="00AE08CB" w:rsidRPr="00E05192">
        <w:rPr>
          <w:rFonts w:asciiTheme="majorBidi" w:hAnsiTheme="majorBidi" w:cstheme="majorBidi"/>
          <w:sz w:val="24"/>
          <w:szCs w:val="24"/>
        </w:rPr>
        <w:t>Fama</w:t>
      </w:r>
      <w:proofErr w:type="spellEnd"/>
      <w:r w:rsidR="00F06252">
        <w:rPr>
          <w:rFonts w:asciiTheme="majorBidi" w:hAnsiTheme="majorBidi" w:cstheme="majorBidi"/>
          <w:sz w:val="24"/>
          <w:szCs w:val="24"/>
        </w:rPr>
        <w:t xml:space="preserve"> and </w:t>
      </w:r>
      <w:proofErr w:type="spellStart"/>
      <w:r w:rsidR="00AE08CB">
        <w:rPr>
          <w:rFonts w:asciiTheme="majorBidi" w:hAnsiTheme="majorBidi" w:cstheme="majorBidi"/>
          <w:sz w:val="24"/>
          <w:szCs w:val="24"/>
        </w:rPr>
        <w:t>Schwert</w:t>
      </w:r>
      <w:proofErr w:type="spellEnd"/>
      <w:r w:rsidR="00AE08CB">
        <w:rPr>
          <w:rFonts w:asciiTheme="majorBidi" w:hAnsiTheme="majorBidi" w:cstheme="majorBidi"/>
          <w:sz w:val="24"/>
          <w:szCs w:val="24"/>
        </w:rPr>
        <w:t xml:space="preserve">, </w:t>
      </w:r>
      <w:r w:rsidR="00AE08CB" w:rsidRPr="00E05192">
        <w:rPr>
          <w:rFonts w:asciiTheme="majorBidi" w:hAnsiTheme="majorBidi" w:cstheme="majorBidi"/>
          <w:sz w:val="24"/>
          <w:szCs w:val="24"/>
        </w:rPr>
        <w:t>1977</w:t>
      </w:r>
      <w:r w:rsidR="0030389F">
        <w:rPr>
          <w:rFonts w:asciiTheme="majorBidi" w:hAnsiTheme="majorBidi" w:cstheme="majorBidi"/>
          <w:sz w:val="24"/>
          <w:szCs w:val="24"/>
        </w:rPr>
        <w:t xml:space="preserve">; </w:t>
      </w:r>
      <w:r w:rsidR="00F06252">
        <w:rPr>
          <w:rFonts w:asciiTheme="majorBidi" w:hAnsiTheme="majorBidi" w:cstheme="majorBidi"/>
          <w:sz w:val="24"/>
          <w:szCs w:val="24"/>
        </w:rPr>
        <w:t xml:space="preserve">Freidman and </w:t>
      </w:r>
      <w:proofErr w:type="spellStart"/>
      <w:r w:rsidR="00AE08CB">
        <w:rPr>
          <w:rFonts w:asciiTheme="majorBidi" w:hAnsiTheme="majorBidi" w:cstheme="majorBidi"/>
          <w:sz w:val="24"/>
          <w:szCs w:val="24"/>
        </w:rPr>
        <w:t>Schwart</w:t>
      </w:r>
      <w:proofErr w:type="spellEnd"/>
      <w:r w:rsidR="00AE08CB">
        <w:rPr>
          <w:rFonts w:asciiTheme="majorBidi" w:hAnsiTheme="majorBidi" w:cstheme="majorBidi"/>
          <w:sz w:val="24"/>
          <w:szCs w:val="24"/>
        </w:rPr>
        <w:t xml:space="preserve">, </w:t>
      </w:r>
      <w:r w:rsidR="00B754A1">
        <w:rPr>
          <w:rFonts w:asciiTheme="majorBidi" w:hAnsiTheme="majorBidi" w:cstheme="majorBidi"/>
          <w:sz w:val="24"/>
          <w:szCs w:val="24"/>
        </w:rPr>
        <w:t>1975</w:t>
      </w:r>
      <w:r w:rsidR="00AE08CB">
        <w:rPr>
          <w:rFonts w:asciiTheme="majorBidi" w:hAnsiTheme="majorBidi" w:cstheme="majorBidi"/>
          <w:sz w:val="24"/>
          <w:szCs w:val="24"/>
        </w:rPr>
        <w:t xml:space="preserve">; </w:t>
      </w:r>
      <w:proofErr w:type="spellStart"/>
      <w:r w:rsidR="00F06252">
        <w:rPr>
          <w:rFonts w:asciiTheme="majorBidi" w:hAnsiTheme="majorBidi" w:cstheme="majorBidi"/>
          <w:sz w:val="24"/>
          <w:szCs w:val="24"/>
        </w:rPr>
        <w:t>Geske</w:t>
      </w:r>
      <w:proofErr w:type="spellEnd"/>
      <w:r w:rsidR="00F06252">
        <w:rPr>
          <w:rFonts w:asciiTheme="majorBidi" w:hAnsiTheme="majorBidi" w:cstheme="majorBidi"/>
          <w:sz w:val="24"/>
          <w:szCs w:val="24"/>
        </w:rPr>
        <w:t xml:space="preserve"> and </w:t>
      </w:r>
      <w:r w:rsidR="00AE08CB">
        <w:rPr>
          <w:rFonts w:asciiTheme="majorBidi" w:hAnsiTheme="majorBidi" w:cstheme="majorBidi"/>
          <w:sz w:val="24"/>
          <w:szCs w:val="24"/>
        </w:rPr>
        <w:t xml:space="preserve">Roll, </w:t>
      </w:r>
      <w:r w:rsidR="00AE08CB" w:rsidRPr="00E05192">
        <w:rPr>
          <w:rFonts w:asciiTheme="majorBidi" w:hAnsiTheme="majorBidi" w:cstheme="majorBidi"/>
          <w:sz w:val="24"/>
          <w:szCs w:val="24"/>
        </w:rPr>
        <w:t>1983</w:t>
      </w:r>
      <w:r w:rsidR="00AE08CB">
        <w:rPr>
          <w:rFonts w:asciiTheme="majorBidi" w:hAnsiTheme="majorBidi" w:cstheme="majorBidi"/>
          <w:sz w:val="24"/>
          <w:szCs w:val="24"/>
        </w:rPr>
        <w:t xml:space="preserve">; </w:t>
      </w:r>
      <w:proofErr w:type="spellStart"/>
      <w:r w:rsidR="00AE08CB">
        <w:rPr>
          <w:rFonts w:asciiTheme="majorBidi" w:hAnsiTheme="majorBidi" w:cstheme="majorBidi"/>
          <w:sz w:val="24"/>
          <w:szCs w:val="24"/>
        </w:rPr>
        <w:t>Mundell</w:t>
      </w:r>
      <w:proofErr w:type="spellEnd"/>
      <w:r w:rsidR="00AE08CB">
        <w:rPr>
          <w:rFonts w:asciiTheme="majorBidi" w:hAnsiTheme="majorBidi" w:cstheme="majorBidi"/>
          <w:sz w:val="24"/>
          <w:szCs w:val="24"/>
        </w:rPr>
        <w:t xml:space="preserve">, </w:t>
      </w:r>
      <w:r w:rsidR="00AE08CB" w:rsidRPr="00E05192">
        <w:rPr>
          <w:rFonts w:asciiTheme="majorBidi" w:hAnsiTheme="majorBidi" w:cstheme="majorBidi"/>
          <w:sz w:val="24"/>
          <w:szCs w:val="24"/>
        </w:rPr>
        <w:t>1963</w:t>
      </w:r>
      <w:r w:rsidR="00AE08CB">
        <w:rPr>
          <w:rFonts w:asciiTheme="majorBidi" w:hAnsiTheme="majorBidi" w:cstheme="majorBidi"/>
          <w:sz w:val="24"/>
          <w:szCs w:val="24"/>
        </w:rPr>
        <w:t xml:space="preserve">; Tobin, </w:t>
      </w:r>
      <w:r w:rsidR="00AE08CB" w:rsidRPr="00E05192">
        <w:rPr>
          <w:rFonts w:asciiTheme="majorBidi" w:hAnsiTheme="majorBidi" w:cstheme="majorBidi"/>
          <w:sz w:val="24"/>
          <w:szCs w:val="24"/>
        </w:rPr>
        <w:t>196</w:t>
      </w:r>
      <w:r w:rsidR="00AE08CB">
        <w:rPr>
          <w:rFonts w:asciiTheme="majorBidi" w:hAnsiTheme="majorBidi" w:cstheme="majorBidi"/>
          <w:sz w:val="24"/>
          <w:szCs w:val="24"/>
        </w:rPr>
        <w:t>9).</w:t>
      </w:r>
      <w:r w:rsidR="00AE08CB">
        <w:rPr>
          <w:rFonts w:ascii="Times New Roman" w:hAnsi="Times New Roman" w:cs="Times New Roman"/>
          <w:sz w:val="24"/>
          <w:szCs w:val="24"/>
        </w:rPr>
        <w:t xml:space="preserve"> </w:t>
      </w:r>
      <w:r w:rsidR="0030389F">
        <w:rPr>
          <w:rFonts w:asciiTheme="majorBidi" w:hAnsiTheme="majorBidi" w:cstheme="majorBidi"/>
          <w:sz w:val="24"/>
          <w:szCs w:val="24"/>
        </w:rPr>
        <w:t xml:space="preserve">Other </w:t>
      </w:r>
      <w:r w:rsidR="008C248B">
        <w:rPr>
          <w:rFonts w:asciiTheme="majorBidi" w:hAnsiTheme="majorBidi" w:cstheme="majorBidi"/>
          <w:sz w:val="24"/>
          <w:szCs w:val="24"/>
        </w:rPr>
        <w:t xml:space="preserve">studies have examined the relationship between stock prices and a wider variety of macroeconomic </w:t>
      </w:r>
      <w:r w:rsidR="008C248B" w:rsidRPr="00D078F7">
        <w:rPr>
          <w:rFonts w:asciiTheme="majorBidi" w:hAnsiTheme="majorBidi" w:cstheme="majorBidi"/>
          <w:sz w:val="24"/>
          <w:szCs w:val="24"/>
        </w:rPr>
        <w:t>variables (e.g.</w:t>
      </w:r>
      <w:r w:rsidR="00EC1B0A" w:rsidRPr="00D078F7">
        <w:rPr>
          <w:rFonts w:asciiTheme="majorBidi" w:hAnsiTheme="majorBidi" w:cstheme="majorBidi"/>
          <w:sz w:val="24"/>
          <w:szCs w:val="24"/>
        </w:rPr>
        <w:t xml:space="preserve">, </w:t>
      </w:r>
      <w:proofErr w:type="spellStart"/>
      <w:r w:rsidR="0026013D" w:rsidRPr="00D078F7">
        <w:rPr>
          <w:rFonts w:asciiTheme="majorBidi" w:hAnsiTheme="majorBidi" w:cstheme="majorBidi"/>
          <w:sz w:val="24"/>
          <w:szCs w:val="24"/>
        </w:rPr>
        <w:t>Bekhet</w:t>
      </w:r>
      <w:proofErr w:type="spellEnd"/>
      <w:r w:rsidR="0026013D" w:rsidRPr="00D078F7">
        <w:rPr>
          <w:rFonts w:asciiTheme="majorBidi" w:hAnsiTheme="majorBidi" w:cstheme="majorBidi"/>
          <w:sz w:val="24"/>
          <w:szCs w:val="24"/>
        </w:rPr>
        <w:t xml:space="preserve"> and </w:t>
      </w:r>
      <w:proofErr w:type="spellStart"/>
      <w:r w:rsidR="0026013D" w:rsidRPr="00D078F7">
        <w:rPr>
          <w:rFonts w:asciiTheme="majorBidi" w:hAnsiTheme="majorBidi" w:cstheme="majorBidi"/>
          <w:sz w:val="24"/>
          <w:szCs w:val="24"/>
        </w:rPr>
        <w:t>Mugableh</w:t>
      </w:r>
      <w:proofErr w:type="spellEnd"/>
      <w:r w:rsidR="0026013D" w:rsidRPr="00D078F7">
        <w:rPr>
          <w:rFonts w:asciiTheme="majorBidi" w:hAnsiTheme="majorBidi" w:cstheme="majorBidi"/>
          <w:sz w:val="24"/>
          <w:szCs w:val="24"/>
        </w:rPr>
        <w:t xml:space="preserve">, 2012; </w:t>
      </w:r>
      <w:proofErr w:type="spellStart"/>
      <w:r w:rsidR="00EC1B0A" w:rsidRPr="00D078F7">
        <w:rPr>
          <w:rFonts w:asciiTheme="majorBidi" w:hAnsiTheme="majorBidi" w:cstheme="majorBidi"/>
          <w:sz w:val="24"/>
          <w:szCs w:val="24"/>
        </w:rPr>
        <w:t>Bjo</w:t>
      </w:r>
      <w:r w:rsidR="00F06252" w:rsidRPr="00D078F7">
        <w:rPr>
          <w:rFonts w:asciiTheme="majorBidi" w:hAnsiTheme="majorBidi" w:cstheme="majorBidi"/>
          <w:sz w:val="24"/>
          <w:szCs w:val="24"/>
        </w:rPr>
        <w:t>rnald</w:t>
      </w:r>
      <w:proofErr w:type="spellEnd"/>
      <w:r w:rsidR="00F06252" w:rsidRPr="00D078F7">
        <w:rPr>
          <w:rFonts w:asciiTheme="majorBidi" w:hAnsiTheme="majorBidi" w:cstheme="majorBidi"/>
          <w:sz w:val="24"/>
          <w:szCs w:val="24"/>
        </w:rPr>
        <w:t xml:space="preserve"> </w:t>
      </w:r>
      <w:r w:rsidR="00F06252">
        <w:rPr>
          <w:rFonts w:asciiTheme="majorBidi" w:hAnsiTheme="majorBidi" w:cstheme="majorBidi"/>
          <w:sz w:val="24"/>
          <w:szCs w:val="24"/>
        </w:rPr>
        <w:t xml:space="preserve">and </w:t>
      </w:r>
      <w:proofErr w:type="spellStart"/>
      <w:r w:rsidR="00EC1B0A">
        <w:rPr>
          <w:rFonts w:asciiTheme="majorBidi" w:hAnsiTheme="majorBidi" w:cstheme="majorBidi"/>
          <w:sz w:val="24"/>
          <w:szCs w:val="24"/>
        </w:rPr>
        <w:t>Leitemo</w:t>
      </w:r>
      <w:proofErr w:type="spellEnd"/>
      <w:r w:rsidR="00EC1B0A">
        <w:rPr>
          <w:rFonts w:asciiTheme="majorBidi" w:hAnsiTheme="majorBidi" w:cstheme="majorBidi"/>
          <w:sz w:val="24"/>
          <w:szCs w:val="24"/>
        </w:rPr>
        <w:t xml:space="preserve">, </w:t>
      </w:r>
      <w:r w:rsidR="00EC1B0A" w:rsidRPr="00FD07B4">
        <w:rPr>
          <w:rFonts w:asciiTheme="majorBidi" w:hAnsiTheme="majorBidi" w:cstheme="majorBidi"/>
          <w:sz w:val="24"/>
          <w:szCs w:val="24"/>
        </w:rPr>
        <w:t>2009</w:t>
      </w:r>
      <w:r w:rsidR="00F06252">
        <w:rPr>
          <w:rFonts w:asciiTheme="majorBidi" w:hAnsiTheme="majorBidi" w:cstheme="majorBidi"/>
          <w:sz w:val="24"/>
          <w:szCs w:val="24"/>
        </w:rPr>
        <w:t xml:space="preserve">; </w:t>
      </w:r>
      <w:proofErr w:type="spellStart"/>
      <w:r w:rsidR="00F06252">
        <w:rPr>
          <w:rFonts w:asciiTheme="majorBidi" w:hAnsiTheme="majorBidi" w:cstheme="majorBidi"/>
          <w:sz w:val="24"/>
          <w:szCs w:val="24"/>
        </w:rPr>
        <w:t>Kizys</w:t>
      </w:r>
      <w:proofErr w:type="spellEnd"/>
      <w:r w:rsidR="00F06252">
        <w:rPr>
          <w:rFonts w:asciiTheme="majorBidi" w:hAnsiTheme="majorBidi" w:cstheme="majorBidi"/>
          <w:sz w:val="24"/>
          <w:szCs w:val="24"/>
        </w:rPr>
        <w:t xml:space="preserve"> and </w:t>
      </w:r>
      <w:proofErr w:type="spellStart"/>
      <w:r w:rsidR="00EC1B0A">
        <w:rPr>
          <w:rFonts w:asciiTheme="majorBidi" w:hAnsiTheme="majorBidi" w:cstheme="majorBidi"/>
          <w:sz w:val="24"/>
          <w:szCs w:val="24"/>
        </w:rPr>
        <w:t>Pierdzioch</w:t>
      </w:r>
      <w:proofErr w:type="spellEnd"/>
      <w:r w:rsidR="00EC1B0A">
        <w:rPr>
          <w:rFonts w:asciiTheme="majorBidi" w:hAnsiTheme="majorBidi" w:cstheme="majorBidi"/>
          <w:sz w:val="24"/>
          <w:szCs w:val="24"/>
        </w:rPr>
        <w:t xml:space="preserve">, 2009; </w:t>
      </w:r>
      <w:proofErr w:type="spellStart"/>
      <w:r w:rsidR="00EC1B0A">
        <w:rPr>
          <w:rFonts w:asciiTheme="majorBidi" w:hAnsiTheme="majorBidi" w:cstheme="majorBidi"/>
          <w:sz w:val="24"/>
          <w:szCs w:val="24"/>
        </w:rPr>
        <w:t>Laopodis</w:t>
      </w:r>
      <w:proofErr w:type="spellEnd"/>
      <w:r w:rsidR="00EC1B0A">
        <w:rPr>
          <w:rFonts w:asciiTheme="majorBidi" w:hAnsiTheme="majorBidi" w:cstheme="majorBidi"/>
          <w:sz w:val="24"/>
          <w:szCs w:val="24"/>
        </w:rPr>
        <w:t xml:space="preserve">, 2006; </w:t>
      </w:r>
      <w:proofErr w:type="spellStart"/>
      <w:r w:rsidR="00F06252">
        <w:rPr>
          <w:rFonts w:asciiTheme="majorBidi" w:hAnsiTheme="majorBidi" w:cstheme="majorBidi"/>
          <w:sz w:val="24"/>
          <w:szCs w:val="24"/>
        </w:rPr>
        <w:t>Nasseh</w:t>
      </w:r>
      <w:proofErr w:type="spellEnd"/>
      <w:r w:rsidR="00F06252">
        <w:rPr>
          <w:rFonts w:asciiTheme="majorBidi" w:hAnsiTheme="majorBidi" w:cstheme="majorBidi"/>
          <w:sz w:val="24"/>
          <w:szCs w:val="24"/>
        </w:rPr>
        <w:t xml:space="preserve"> and </w:t>
      </w:r>
      <w:r w:rsidR="003A533E">
        <w:rPr>
          <w:rFonts w:asciiTheme="majorBidi" w:hAnsiTheme="majorBidi" w:cstheme="majorBidi"/>
          <w:sz w:val="24"/>
          <w:szCs w:val="24"/>
        </w:rPr>
        <w:t xml:space="preserve">Strauss, 2000; </w:t>
      </w:r>
      <w:proofErr w:type="spellStart"/>
      <w:r w:rsidR="00F06252">
        <w:rPr>
          <w:rFonts w:asciiTheme="majorBidi" w:hAnsiTheme="majorBidi" w:cstheme="majorBidi"/>
          <w:sz w:val="24"/>
          <w:szCs w:val="24"/>
        </w:rPr>
        <w:t>Ratanapakorn</w:t>
      </w:r>
      <w:proofErr w:type="spellEnd"/>
      <w:r w:rsidR="00F06252">
        <w:rPr>
          <w:rFonts w:asciiTheme="majorBidi" w:hAnsiTheme="majorBidi" w:cstheme="majorBidi"/>
          <w:sz w:val="24"/>
          <w:szCs w:val="24"/>
        </w:rPr>
        <w:t xml:space="preserve"> and </w:t>
      </w:r>
      <w:r w:rsidR="00EC1B0A">
        <w:rPr>
          <w:rFonts w:asciiTheme="majorBidi" w:hAnsiTheme="majorBidi" w:cstheme="majorBidi"/>
          <w:sz w:val="24"/>
          <w:szCs w:val="24"/>
        </w:rPr>
        <w:t xml:space="preserve">Sharma, </w:t>
      </w:r>
      <w:r w:rsidR="00EC1B0A" w:rsidRPr="00160080">
        <w:rPr>
          <w:rFonts w:asciiTheme="majorBidi" w:hAnsiTheme="majorBidi" w:cstheme="majorBidi"/>
          <w:sz w:val="24"/>
          <w:szCs w:val="24"/>
        </w:rPr>
        <w:t>2007</w:t>
      </w:r>
      <w:r w:rsidR="00EC1B0A">
        <w:rPr>
          <w:rFonts w:asciiTheme="majorBidi" w:hAnsiTheme="majorBidi" w:cstheme="majorBidi"/>
          <w:sz w:val="24"/>
          <w:szCs w:val="24"/>
        </w:rPr>
        <w:t>).</w:t>
      </w:r>
      <w:r w:rsidR="0030389F">
        <w:rPr>
          <w:rFonts w:asciiTheme="majorBidi" w:hAnsiTheme="majorBidi" w:cstheme="majorBidi"/>
          <w:sz w:val="24"/>
          <w:szCs w:val="24"/>
        </w:rPr>
        <w:t xml:space="preserve"> Such studies focused on analysing </w:t>
      </w:r>
      <w:r w:rsidR="00AA5AD4">
        <w:rPr>
          <w:rFonts w:asciiTheme="majorBidi" w:hAnsiTheme="majorBidi" w:cstheme="majorBidi"/>
          <w:sz w:val="24"/>
          <w:szCs w:val="24"/>
        </w:rPr>
        <w:t>the relationships between macroeconomic varia</w:t>
      </w:r>
      <w:r w:rsidR="0030389F">
        <w:rPr>
          <w:rFonts w:asciiTheme="majorBidi" w:hAnsiTheme="majorBidi" w:cstheme="majorBidi"/>
          <w:sz w:val="24"/>
          <w:szCs w:val="24"/>
        </w:rPr>
        <w:t xml:space="preserve">bles and capital markets in </w:t>
      </w:r>
      <w:r w:rsidR="00AA5AD4">
        <w:rPr>
          <w:rFonts w:asciiTheme="majorBidi" w:hAnsiTheme="majorBidi" w:cstheme="majorBidi"/>
          <w:sz w:val="24"/>
          <w:szCs w:val="24"/>
        </w:rPr>
        <w:t xml:space="preserve">developed countries. </w:t>
      </w:r>
      <w:r w:rsidR="0030389F">
        <w:rPr>
          <w:rFonts w:asciiTheme="majorBidi" w:hAnsiTheme="majorBidi" w:cstheme="majorBidi"/>
          <w:sz w:val="24"/>
          <w:szCs w:val="24"/>
        </w:rPr>
        <w:t xml:space="preserve">However, less attention has been focused on examining these relationships in emerging countries. </w:t>
      </w:r>
      <w:r w:rsidR="00AA5AD4">
        <w:rPr>
          <w:rFonts w:asciiTheme="majorBidi" w:hAnsiTheme="majorBidi" w:cstheme="majorBidi"/>
          <w:sz w:val="24"/>
          <w:szCs w:val="24"/>
        </w:rPr>
        <w:t xml:space="preserve">The current paper analyses </w:t>
      </w:r>
      <w:r w:rsidR="00F315B4">
        <w:rPr>
          <w:rFonts w:asciiTheme="majorBidi" w:hAnsiTheme="majorBidi" w:cstheme="majorBidi"/>
          <w:sz w:val="24"/>
          <w:szCs w:val="24"/>
        </w:rPr>
        <w:t xml:space="preserve">the interactions </w:t>
      </w:r>
      <w:r w:rsidR="00AA5AD4">
        <w:rPr>
          <w:rFonts w:asciiTheme="majorBidi" w:hAnsiTheme="majorBidi" w:cstheme="majorBidi"/>
          <w:sz w:val="24"/>
          <w:szCs w:val="24"/>
        </w:rPr>
        <w:t>between macroeconomic variables and stock p</w:t>
      </w:r>
      <w:r w:rsidR="00F073D9">
        <w:rPr>
          <w:rFonts w:asciiTheme="majorBidi" w:hAnsiTheme="majorBidi" w:cstheme="majorBidi"/>
          <w:sz w:val="24"/>
          <w:szCs w:val="24"/>
        </w:rPr>
        <w:t xml:space="preserve">rices in </w:t>
      </w:r>
      <w:r w:rsidR="0030389F">
        <w:rPr>
          <w:rFonts w:asciiTheme="majorBidi" w:hAnsiTheme="majorBidi" w:cstheme="majorBidi"/>
          <w:sz w:val="24"/>
          <w:szCs w:val="24"/>
        </w:rPr>
        <w:t>Malaysia. B</w:t>
      </w:r>
      <w:r w:rsidR="005F21B3" w:rsidRPr="005F21B3">
        <w:rPr>
          <w:rFonts w:asciiTheme="majorBidi" w:hAnsiTheme="majorBidi" w:cstheme="majorBidi"/>
          <w:sz w:val="24"/>
          <w:szCs w:val="24"/>
        </w:rPr>
        <w:t>y</w:t>
      </w:r>
      <w:r w:rsidR="009E5902" w:rsidRPr="005F21B3">
        <w:rPr>
          <w:rFonts w:asciiTheme="majorBidi" w:hAnsiTheme="majorBidi" w:cstheme="majorBidi"/>
          <w:sz w:val="24"/>
          <w:szCs w:val="24"/>
        </w:rPr>
        <w:t xml:space="preserve"> employin</w:t>
      </w:r>
      <w:r w:rsidR="00F315B4">
        <w:rPr>
          <w:rFonts w:asciiTheme="majorBidi" w:hAnsiTheme="majorBidi" w:cstheme="majorBidi"/>
          <w:sz w:val="24"/>
          <w:szCs w:val="24"/>
        </w:rPr>
        <w:t xml:space="preserve">g </w:t>
      </w:r>
      <w:r w:rsidR="0030389F">
        <w:rPr>
          <w:rFonts w:asciiTheme="majorBidi" w:hAnsiTheme="majorBidi" w:cstheme="majorBidi"/>
          <w:sz w:val="24"/>
          <w:szCs w:val="24"/>
        </w:rPr>
        <w:t xml:space="preserve">the </w:t>
      </w:r>
      <w:r w:rsidR="00F315B4">
        <w:rPr>
          <w:rFonts w:asciiTheme="majorBidi" w:hAnsiTheme="majorBidi" w:cstheme="majorBidi"/>
          <w:sz w:val="24"/>
          <w:szCs w:val="24"/>
        </w:rPr>
        <w:t>vector error correction model</w:t>
      </w:r>
      <w:r w:rsidR="008775DE">
        <w:rPr>
          <w:rFonts w:asciiTheme="majorBidi" w:hAnsiTheme="majorBidi" w:cstheme="majorBidi"/>
          <w:sz w:val="24"/>
          <w:szCs w:val="24"/>
        </w:rPr>
        <w:t xml:space="preserve"> (VECM)</w:t>
      </w:r>
      <w:r w:rsidR="009E5902" w:rsidRPr="005F21B3">
        <w:rPr>
          <w:rFonts w:asciiTheme="majorBidi" w:hAnsiTheme="majorBidi" w:cstheme="majorBidi"/>
          <w:sz w:val="24"/>
          <w:szCs w:val="24"/>
        </w:rPr>
        <w:t xml:space="preserve">, </w:t>
      </w:r>
      <w:r w:rsidR="0026013D">
        <w:rPr>
          <w:rFonts w:asciiTheme="majorBidi" w:hAnsiTheme="majorBidi" w:cstheme="majorBidi"/>
          <w:sz w:val="24"/>
          <w:szCs w:val="24"/>
        </w:rPr>
        <w:t xml:space="preserve">this </w:t>
      </w:r>
      <w:r w:rsidR="00F073D9" w:rsidRPr="005F21B3">
        <w:rPr>
          <w:rFonts w:asciiTheme="majorBidi" w:hAnsiTheme="majorBidi" w:cstheme="majorBidi"/>
          <w:sz w:val="24"/>
          <w:szCs w:val="24"/>
        </w:rPr>
        <w:t xml:space="preserve">paper </w:t>
      </w:r>
      <w:r w:rsidR="00B06B70" w:rsidRPr="005F21B3">
        <w:rPr>
          <w:rFonts w:asciiTheme="majorBidi" w:hAnsiTheme="majorBidi" w:cstheme="majorBidi"/>
          <w:sz w:val="24"/>
          <w:szCs w:val="24"/>
        </w:rPr>
        <w:t>examines</w:t>
      </w:r>
      <w:r w:rsidR="00F073D9" w:rsidRPr="005F21B3">
        <w:rPr>
          <w:rFonts w:asciiTheme="majorBidi" w:hAnsiTheme="majorBidi" w:cstheme="majorBidi"/>
          <w:sz w:val="24"/>
          <w:szCs w:val="24"/>
        </w:rPr>
        <w:t xml:space="preserve"> the </w:t>
      </w:r>
      <w:r w:rsidR="0030389F">
        <w:rPr>
          <w:rFonts w:asciiTheme="majorBidi" w:hAnsiTheme="majorBidi" w:cstheme="majorBidi"/>
          <w:sz w:val="24"/>
          <w:szCs w:val="24"/>
        </w:rPr>
        <w:t xml:space="preserve">long-term </w:t>
      </w:r>
      <w:r w:rsidR="00F315B4">
        <w:rPr>
          <w:rFonts w:asciiTheme="majorBidi" w:hAnsiTheme="majorBidi" w:cstheme="majorBidi"/>
          <w:sz w:val="24"/>
          <w:szCs w:val="24"/>
        </w:rPr>
        <w:t xml:space="preserve">relationships </w:t>
      </w:r>
      <w:r w:rsidR="0030389F">
        <w:rPr>
          <w:rFonts w:asciiTheme="majorBidi" w:hAnsiTheme="majorBidi" w:cstheme="majorBidi"/>
          <w:sz w:val="24"/>
          <w:szCs w:val="24"/>
        </w:rPr>
        <w:t xml:space="preserve">and </w:t>
      </w:r>
      <w:r w:rsidR="00895AFA">
        <w:rPr>
          <w:rFonts w:asciiTheme="majorBidi" w:hAnsiTheme="majorBidi" w:cstheme="majorBidi"/>
          <w:sz w:val="24"/>
          <w:szCs w:val="24"/>
        </w:rPr>
        <w:t>dynamic li</w:t>
      </w:r>
      <w:r w:rsidR="00356BDA">
        <w:rPr>
          <w:rFonts w:asciiTheme="majorBidi" w:hAnsiTheme="majorBidi" w:cstheme="majorBidi"/>
          <w:sz w:val="24"/>
          <w:szCs w:val="24"/>
        </w:rPr>
        <w:t xml:space="preserve">nkages </w:t>
      </w:r>
      <w:r w:rsidR="00F073D9" w:rsidRPr="005F21B3">
        <w:rPr>
          <w:rFonts w:asciiTheme="majorBidi" w:hAnsiTheme="majorBidi" w:cstheme="majorBidi"/>
          <w:sz w:val="24"/>
          <w:szCs w:val="24"/>
        </w:rPr>
        <w:t xml:space="preserve">between </w:t>
      </w:r>
      <w:r w:rsidR="00F315B4">
        <w:rPr>
          <w:rFonts w:asciiTheme="majorBidi" w:hAnsiTheme="majorBidi" w:cstheme="majorBidi"/>
          <w:sz w:val="24"/>
          <w:szCs w:val="24"/>
        </w:rPr>
        <w:t xml:space="preserve">Malaysian capital market and </w:t>
      </w:r>
      <w:r w:rsidR="0030389F">
        <w:rPr>
          <w:rFonts w:asciiTheme="majorBidi" w:hAnsiTheme="majorBidi" w:cstheme="majorBidi"/>
          <w:sz w:val="24"/>
          <w:szCs w:val="24"/>
        </w:rPr>
        <w:t>macroeconomic variables</w:t>
      </w:r>
      <w:r w:rsidR="00980F67">
        <w:rPr>
          <w:rFonts w:asciiTheme="majorBidi" w:hAnsiTheme="majorBidi" w:cstheme="majorBidi"/>
          <w:sz w:val="24"/>
          <w:szCs w:val="24"/>
        </w:rPr>
        <w:t xml:space="preserve"> − </w:t>
      </w:r>
      <w:r w:rsidR="00951DFE">
        <w:rPr>
          <w:rFonts w:asciiTheme="majorBidi" w:hAnsiTheme="majorBidi" w:cstheme="majorBidi"/>
          <w:sz w:val="24"/>
          <w:szCs w:val="24"/>
        </w:rPr>
        <w:t>namely, inflation rate</w:t>
      </w:r>
      <w:r w:rsidR="00F315B4">
        <w:rPr>
          <w:rFonts w:asciiTheme="majorBidi" w:hAnsiTheme="majorBidi" w:cstheme="majorBidi"/>
          <w:sz w:val="24"/>
          <w:szCs w:val="24"/>
        </w:rPr>
        <w:t>s</w:t>
      </w:r>
      <w:r w:rsidR="00951DFE">
        <w:rPr>
          <w:rFonts w:asciiTheme="majorBidi" w:hAnsiTheme="majorBidi" w:cstheme="majorBidi"/>
          <w:sz w:val="24"/>
          <w:szCs w:val="24"/>
        </w:rPr>
        <w:t>, interest rate</w:t>
      </w:r>
      <w:r w:rsidR="00F315B4">
        <w:rPr>
          <w:rFonts w:asciiTheme="majorBidi" w:hAnsiTheme="majorBidi" w:cstheme="majorBidi"/>
          <w:sz w:val="24"/>
          <w:szCs w:val="24"/>
        </w:rPr>
        <w:t xml:space="preserve">s, money supply, and </w:t>
      </w:r>
      <w:r w:rsidR="00DF452E">
        <w:rPr>
          <w:rFonts w:asciiTheme="majorBidi" w:hAnsiTheme="majorBidi" w:cstheme="majorBidi"/>
          <w:sz w:val="24"/>
          <w:szCs w:val="24"/>
        </w:rPr>
        <w:t>real economic activity</w:t>
      </w:r>
      <w:r w:rsidR="009E5902" w:rsidRPr="005F21B3">
        <w:rPr>
          <w:rFonts w:asciiTheme="majorBidi" w:hAnsiTheme="majorBidi" w:cstheme="majorBidi"/>
          <w:sz w:val="24"/>
          <w:szCs w:val="24"/>
        </w:rPr>
        <w:t>.</w:t>
      </w:r>
    </w:p>
    <w:p w:rsidR="008248E5" w:rsidRDefault="008248E5" w:rsidP="003D29DA">
      <w:pPr>
        <w:spacing w:after="0" w:line="240" w:lineRule="auto"/>
        <w:jc w:val="both"/>
        <w:rPr>
          <w:rFonts w:asciiTheme="majorBidi" w:hAnsiTheme="majorBidi" w:cstheme="majorBidi"/>
          <w:sz w:val="24"/>
          <w:szCs w:val="24"/>
        </w:rPr>
      </w:pPr>
    </w:p>
    <w:p w:rsidR="00E43C8B" w:rsidRDefault="00367C99" w:rsidP="003025F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development of the stock market is a milestone in Malaysia’s economic reform </w:t>
      </w:r>
      <w:r w:rsidR="00EA1156">
        <w:rPr>
          <w:rFonts w:asciiTheme="majorBidi" w:hAnsiTheme="majorBidi" w:cstheme="majorBidi"/>
          <w:sz w:val="24"/>
          <w:szCs w:val="24"/>
        </w:rPr>
        <w:t>course</w:t>
      </w:r>
      <w:r>
        <w:rPr>
          <w:rFonts w:asciiTheme="majorBidi" w:hAnsiTheme="majorBidi" w:cstheme="majorBidi"/>
          <w:sz w:val="24"/>
          <w:szCs w:val="24"/>
        </w:rPr>
        <w:t xml:space="preserve">. In 1977, </w:t>
      </w:r>
      <w:r w:rsidR="00980F67">
        <w:rPr>
          <w:rFonts w:asciiTheme="majorBidi" w:hAnsiTheme="majorBidi" w:cstheme="majorBidi"/>
          <w:sz w:val="24"/>
          <w:szCs w:val="24"/>
        </w:rPr>
        <w:t xml:space="preserve">the </w:t>
      </w:r>
      <w:r w:rsidR="00D87F26">
        <w:rPr>
          <w:rFonts w:asciiTheme="majorBidi" w:hAnsiTheme="majorBidi" w:cstheme="majorBidi"/>
          <w:sz w:val="24"/>
          <w:szCs w:val="24"/>
        </w:rPr>
        <w:t xml:space="preserve">Kuala Lumpur Stock Exchange (KLSE) was formed and officially </w:t>
      </w:r>
      <w:r w:rsidR="00980F67">
        <w:rPr>
          <w:rFonts w:asciiTheme="majorBidi" w:hAnsiTheme="majorBidi" w:cstheme="majorBidi"/>
          <w:sz w:val="24"/>
          <w:szCs w:val="24"/>
        </w:rPr>
        <w:t xml:space="preserve">started </w:t>
      </w:r>
      <w:r w:rsidR="00D87F26">
        <w:rPr>
          <w:rFonts w:asciiTheme="majorBidi" w:hAnsiTheme="majorBidi" w:cstheme="majorBidi"/>
          <w:sz w:val="24"/>
          <w:szCs w:val="24"/>
        </w:rPr>
        <w:t>operation</w:t>
      </w:r>
      <w:r w:rsidR="00980F67">
        <w:rPr>
          <w:rFonts w:asciiTheme="majorBidi" w:hAnsiTheme="majorBidi" w:cstheme="majorBidi"/>
          <w:sz w:val="24"/>
          <w:szCs w:val="24"/>
        </w:rPr>
        <w:t>s</w:t>
      </w:r>
      <w:r w:rsidR="00D87F26">
        <w:rPr>
          <w:rFonts w:asciiTheme="majorBidi" w:hAnsiTheme="majorBidi" w:cstheme="majorBidi"/>
          <w:sz w:val="24"/>
          <w:szCs w:val="24"/>
        </w:rPr>
        <w:t>. The capital market in Malaysia has been growing rapidly ever since.</w:t>
      </w:r>
      <w:r w:rsidR="00CA04FA">
        <w:rPr>
          <w:rFonts w:asciiTheme="majorBidi" w:hAnsiTheme="majorBidi" w:cstheme="majorBidi"/>
          <w:sz w:val="24"/>
          <w:szCs w:val="24"/>
        </w:rPr>
        <w:t xml:space="preserve"> For example, </w:t>
      </w:r>
      <w:r w:rsidR="00933D4A">
        <w:rPr>
          <w:rFonts w:asciiTheme="majorBidi" w:hAnsiTheme="majorBidi" w:cstheme="majorBidi"/>
          <w:sz w:val="24"/>
          <w:szCs w:val="24"/>
        </w:rPr>
        <w:t>in 1981, the domestic market capitalizati</w:t>
      </w:r>
      <w:r w:rsidR="003A6977">
        <w:rPr>
          <w:rFonts w:asciiTheme="majorBidi" w:hAnsiTheme="majorBidi" w:cstheme="majorBidi"/>
          <w:sz w:val="24"/>
          <w:szCs w:val="24"/>
        </w:rPr>
        <w:t>on was MYR343 million for KLSE; in</w:t>
      </w:r>
      <w:r w:rsidR="00933D4A">
        <w:rPr>
          <w:rFonts w:asciiTheme="majorBidi" w:hAnsiTheme="majorBidi" w:cstheme="majorBidi"/>
          <w:sz w:val="24"/>
          <w:szCs w:val="24"/>
        </w:rPr>
        <w:t xml:space="preserve"> comparison, the domestic market capitalization for KLSE in 201</w:t>
      </w:r>
      <w:r w:rsidR="0026013D">
        <w:rPr>
          <w:rFonts w:asciiTheme="majorBidi" w:hAnsiTheme="majorBidi" w:cstheme="majorBidi"/>
          <w:sz w:val="24"/>
          <w:szCs w:val="24"/>
        </w:rPr>
        <w:t>5</w:t>
      </w:r>
      <w:r w:rsidR="00933D4A">
        <w:rPr>
          <w:rFonts w:asciiTheme="majorBidi" w:hAnsiTheme="majorBidi" w:cstheme="majorBidi"/>
          <w:sz w:val="24"/>
          <w:szCs w:val="24"/>
        </w:rPr>
        <w:t xml:space="preserve"> was MYR1</w:t>
      </w:r>
      <w:r w:rsidR="009E3A19">
        <w:rPr>
          <w:rFonts w:asciiTheme="majorBidi" w:hAnsiTheme="majorBidi" w:cstheme="majorBidi"/>
          <w:sz w:val="24"/>
          <w:szCs w:val="24"/>
        </w:rPr>
        <w:t>.</w:t>
      </w:r>
      <w:r w:rsidR="0026013D">
        <w:rPr>
          <w:rFonts w:asciiTheme="majorBidi" w:hAnsiTheme="majorBidi" w:cstheme="majorBidi"/>
          <w:sz w:val="24"/>
          <w:szCs w:val="24"/>
        </w:rPr>
        <w:t>9</w:t>
      </w:r>
      <w:r w:rsidR="009A535B">
        <w:rPr>
          <w:rFonts w:asciiTheme="majorBidi" w:hAnsiTheme="majorBidi" w:cstheme="majorBidi"/>
          <w:sz w:val="24"/>
          <w:szCs w:val="24"/>
        </w:rPr>
        <w:t>27</w:t>
      </w:r>
      <w:r w:rsidR="00933D4A">
        <w:rPr>
          <w:rFonts w:asciiTheme="majorBidi" w:hAnsiTheme="majorBidi" w:cstheme="majorBidi"/>
          <w:sz w:val="24"/>
          <w:szCs w:val="24"/>
        </w:rPr>
        <w:t xml:space="preserve"> billion</w:t>
      </w:r>
      <w:r w:rsidR="00A35391">
        <w:rPr>
          <w:rFonts w:asciiTheme="majorBidi" w:hAnsiTheme="majorBidi" w:cstheme="majorBidi"/>
          <w:sz w:val="24"/>
          <w:szCs w:val="24"/>
        </w:rPr>
        <w:t xml:space="preserve"> </w:t>
      </w:r>
      <w:r w:rsidR="009B4D0E">
        <w:rPr>
          <w:rFonts w:asciiTheme="majorBidi" w:hAnsiTheme="majorBidi" w:cstheme="majorBidi"/>
          <w:sz w:val="24"/>
          <w:szCs w:val="24"/>
        </w:rPr>
        <w:t>(World Federation of Exchange, 201</w:t>
      </w:r>
      <w:r w:rsidR="0026013D">
        <w:rPr>
          <w:rFonts w:asciiTheme="majorBidi" w:hAnsiTheme="majorBidi" w:cstheme="majorBidi"/>
          <w:sz w:val="24"/>
          <w:szCs w:val="24"/>
        </w:rPr>
        <w:t>5</w:t>
      </w:r>
      <w:r w:rsidR="009B4D0E">
        <w:rPr>
          <w:rFonts w:asciiTheme="majorBidi" w:hAnsiTheme="majorBidi" w:cstheme="majorBidi"/>
          <w:sz w:val="24"/>
          <w:szCs w:val="24"/>
        </w:rPr>
        <w:t>)</w:t>
      </w:r>
      <w:r w:rsidR="00980F67">
        <w:rPr>
          <w:rFonts w:asciiTheme="majorBidi" w:hAnsiTheme="majorBidi" w:cstheme="majorBidi"/>
          <w:sz w:val="24"/>
          <w:szCs w:val="24"/>
        </w:rPr>
        <w:t xml:space="preserve">, indicating an approximately four-fold </w:t>
      </w:r>
      <w:r w:rsidR="00933D4A">
        <w:rPr>
          <w:rFonts w:asciiTheme="majorBidi" w:hAnsiTheme="majorBidi" w:cstheme="majorBidi"/>
          <w:sz w:val="24"/>
          <w:szCs w:val="24"/>
        </w:rPr>
        <w:t xml:space="preserve">increase </w:t>
      </w:r>
      <w:r w:rsidR="00AF32CF">
        <w:rPr>
          <w:rFonts w:asciiTheme="majorBidi" w:hAnsiTheme="majorBidi" w:cstheme="majorBidi"/>
          <w:sz w:val="24"/>
          <w:szCs w:val="24"/>
        </w:rPr>
        <w:t>of domestic market capitalization in KLSE.</w:t>
      </w:r>
      <w:r w:rsidR="00EC7B06">
        <w:rPr>
          <w:rFonts w:asciiTheme="majorBidi" w:hAnsiTheme="majorBidi" w:cstheme="majorBidi"/>
          <w:sz w:val="24"/>
          <w:szCs w:val="24"/>
        </w:rPr>
        <w:t xml:space="preserve"> </w:t>
      </w:r>
      <w:r w:rsidR="00D37BE2">
        <w:rPr>
          <w:rFonts w:asciiTheme="majorBidi" w:hAnsiTheme="majorBidi" w:cstheme="majorBidi"/>
          <w:sz w:val="24"/>
          <w:szCs w:val="24"/>
        </w:rPr>
        <w:t xml:space="preserve">In addition, the total number of listed companies (i.e., </w:t>
      </w:r>
      <w:r w:rsidR="00D37BE2">
        <w:rPr>
          <w:rFonts w:asciiTheme="majorBidi" w:hAnsiTheme="majorBidi" w:cstheme="majorBidi"/>
          <w:sz w:val="24"/>
          <w:szCs w:val="24"/>
        </w:rPr>
        <w:lastRenderedPageBreak/>
        <w:t>domestic and foreign</w:t>
      </w:r>
      <w:r w:rsidR="003A6977">
        <w:rPr>
          <w:rFonts w:asciiTheme="majorBidi" w:hAnsiTheme="majorBidi" w:cstheme="majorBidi"/>
          <w:sz w:val="24"/>
          <w:szCs w:val="24"/>
        </w:rPr>
        <w:t xml:space="preserve"> companies) in 1981 was 253; </w:t>
      </w:r>
      <w:r w:rsidR="00D37BE2">
        <w:rPr>
          <w:rFonts w:asciiTheme="majorBidi" w:hAnsiTheme="majorBidi" w:cstheme="majorBidi"/>
          <w:sz w:val="24"/>
          <w:szCs w:val="24"/>
        </w:rPr>
        <w:t>this number increased dramatically to 9</w:t>
      </w:r>
      <w:r w:rsidR="003025FF">
        <w:rPr>
          <w:rFonts w:asciiTheme="majorBidi" w:hAnsiTheme="majorBidi" w:cstheme="majorBidi"/>
          <w:sz w:val="24"/>
          <w:szCs w:val="24"/>
        </w:rPr>
        <w:t>8</w:t>
      </w:r>
      <w:r w:rsidR="00D37BE2">
        <w:rPr>
          <w:rFonts w:asciiTheme="majorBidi" w:hAnsiTheme="majorBidi" w:cstheme="majorBidi"/>
          <w:sz w:val="24"/>
          <w:szCs w:val="24"/>
        </w:rPr>
        <w:t>0 in 201</w:t>
      </w:r>
      <w:r w:rsidR="003025FF">
        <w:rPr>
          <w:rFonts w:asciiTheme="majorBidi" w:hAnsiTheme="majorBidi" w:cstheme="majorBidi"/>
          <w:sz w:val="24"/>
          <w:szCs w:val="24"/>
        </w:rPr>
        <w:t>5</w:t>
      </w:r>
      <w:r w:rsidR="009B4D0E">
        <w:rPr>
          <w:rFonts w:asciiTheme="majorBidi" w:hAnsiTheme="majorBidi" w:cstheme="majorBidi"/>
          <w:sz w:val="24"/>
          <w:szCs w:val="24"/>
        </w:rPr>
        <w:t xml:space="preserve"> (World Federation of Exchange, 201</w:t>
      </w:r>
      <w:r w:rsidR="003025FF">
        <w:rPr>
          <w:rFonts w:asciiTheme="majorBidi" w:hAnsiTheme="majorBidi" w:cstheme="majorBidi"/>
          <w:sz w:val="24"/>
          <w:szCs w:val="24"/>
        </w:rPr>
        <w:t>5</w:t>
      </w:r>
      <w:r w:rsidR="009B4D0E">
        <w:rPr>
          <w:rFonts w:asciiTheme="majorBidi" w:hAnsiTheme="majorBidi" w:cstheme="majorBidi"/>
          <w:sz w:val="24"/>
          <w:szCs w:val="24"/>
        </w:rPr>
        <w:t>)</w:t>
      </w:r>
      <w:r w:rsidR="003A6977">
        <w:rPr>
          <w:rFonts w:asciiTheme="majorBidi" w:hAnsiTheme="majorBidi" w:cstheme="majorBidi"/>
          <w:sz w:val="24"/>
          <w:szCs w:val="24"/>
        </w:rPr>
        <w:t>, again showing a four-fold increase.</w:t>
      </w:r>
    </w:p>
    <w:p w:rsidR="000F23CD" w:rsidRDefault="000F23CD" w:rsidP="003D29D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3E6F49" w:rsidRDefault="00E43C8B" w:rsidP="0086776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 recent years, Malaysia has been </w:t>
      </w:r>
      <w:r w:rsidR="00D37BE2">
        <w:rPr>
          <w:rFonts w:asciiTheme="majorBidi" w:hAnsiTheme="majorBidi" w:cstheme="majorBidi"/>
          <w:sz w:val="24"/>
          <w:szCs w:val="24"/>
        </w:rPr>
        <w:t>attracting</w:t>
      </w:r>
      <w:r w:rsidR="000F23CD">
        <w:rPr>
          <w:rFonts w:asciiTheme="majorBidi" w:hAnsiTheme="majorBidi" w:cstheme="majorBidi"/>
          <w:sz w:val="24"/>
          <w:szCs w:val="24"/>
        </w:rPr>
        <w:t xml:space="preserve"> an increasing amount of international portfolio capit</w:t>
      </w:r>
      <w:r w:rsidR="0014647E">
        <w:rPr>
          <w:rFonts w:asciiTheme="majorBidi" w:hAnsiTheme="majorBidi" w:cstheme="majorBidi"/>
          <w:sz w:val="24"/>
          <w:szCs w:val="24"/>
        </w:rPr>
        <w:t xml:space="preserve">al and foreign direct investment. For instance, </w:t>
      </w:r>
      <w:r w:rsidR="009308C5">
        <w:rPr>
          <w:rFonts w:asciiTheme="majorBidi" w:hAnsiTheme="majorBidi" w:cstheme="majorBidi"/>
          <w:sz w:val="24"/>
          <w:szCs w:val="24"/>
        </w:rPr>
        <w:t>in 1977, foreign direct inv</w:t>
      </w:r>
      <w:r>
        <w:rPr>
          <w:rFonts w:asciiTheme="majorBidi" w:hAnsiTheme="majorBidi" w:cstheme="majorBidi"/>
          <w:sz w:val="24"/>
          <w:szCs w:val="24"/>
        </w:rPr>
        <w:t xml:space="preserve">estment flows into Malaysia totalled </w:t>
      </w:r>
      <w:r w:rsidR="009308C5">
        <w:rPr>
          <w:rFonts w:asciiTheme="majorBidi" w:hAnsiTheme="majorBidi" w:cstheme="majorBidi"/>
          <w:sz w:val="24"/>
          <w:szCs w:val="24"/>
        </w:rPr>
        <w:t>US$406</w:t>
      </w:r>
      <w:r w:rsidR="003E6F49">
        <w:rPr>
          <w:rFonts w:asciiTheme="majorBidi" w:hAnsiTheme="majorBidi" w:cstheme="majorBidi"/>
          <w:sz w:val="24"/>
          <w:szCs w:val="24"/>
        </w:rPr>
        <w:t xml:space="preserve"> million</w:t>
      </w:r>
      <w:r>
        <w:rPr>
          <w:rFonts w:asciiTheme="majorBidi" w:hAnsiTheme="majorBidi" w:cstheme="majorBidi"/>
          <w:sz w:val="24"/>
          <w:szCs w:val="24"/>
        </w:rPr>
        <w:t>; by 201</w:t>
      </w:r>
      <w:r w:rsidR="00D078F7">
        <w:rPr>
          <w:rFonts w:asciiTheme="majorBidi" w:hAnsiTheme="majorBidi" w:cstheme="majorBidi"/>
          <w:sz w:val="24"/>
          <w:szCs w:val="24"/>
        </w:rPr>
        <w:t>5</w:t>
      </w:r>
      <w:r>
        <w:rPr>
          <w:rFonts w:asciiTheme="majorBidi" w:hAnsiTheme="majorBidi" w:cstheme="majorBidi"/>
          <w:sz w:val="24"/>
          <w:szCs w:val="24"/>
        </w:rPr>
        <w:t xml:space="preserve"> they totalled US$4</w:t>
      </w:r>
      <w:r w:rsidR="00D078F7">
        <w:rPr>
          <w:rFonts w:asciiTheme="majorBidi" w:hAnsiTheme="majorBidi" w:cstheme="majorBidi"/>
          <w:sz w:val="24"/>
          <w:szCs w:val="24"/>
        </w:rPr>
        <w:t>10</w:t>
      </w:r>
      <w:r>
        <w:rPr>
          <w:rFonts w:asciiTheme="majorBidi" w:hAnsiTheme="majorBidi" w:cstheme="majorBidi"/>
          <w:sz w:val="24"/>
          <w:szCs w:val="24"/>
        </w:rPr>
        <w:t xml:space="preserve"> million </w:t>
      </w:r>
      <w:r w:rsidR="009B4D0E">
        <w:rPr>
          <w:rFonts w:asciiTheme="majorBidi" w:hAnsiTheme="majorBidi" w:cstheme="majorBidi"/>
          <w:sz w:val="24"/>
          <w:szCs w:val="24"/>
        </w:rPr>
        <w:t>(World Bank, 201</w:t>
      </w:r>
      <w:r w:rsidR="0086776D">
        <w:rPr>
          <w:rFonts w:asciiTheme="majorBidi" w:hAnsiTheme="majorBidi" w:cstheme="majorBidi"/>
          <w:sz w:val="24"/>
          <w:szCs w:val="24"/>
        </w:rPr>
        <w:t>5</w:t>
      </w:r>
      <w:r w:rsidR="009B4D0E">
        <w:rPr>
          <w:rFonts w:asciiTheme="majorBidi" w:hAnsiTheme="majorBidi" w:cstheme="majorBidi"/>
          <w:sz w:val="24"/>
          <w:szCs w:val="24"/>
        </w:rPr>
        <w:t>)</w:t>
      </w:r>
      <w:r>
        <w:rPr>
          <w:rFonts w:asciiTheme="majorBidi" w:hAnsiTheme="majorBidi" w:cstheme="majorBidi"/>
          <w:sz w:val="24"/>
          <w:szCs w:val="24"/>
        </w:rPr>
        <w:t xml:space="preserve">. </w:t>
      </w:r>
      <w:r w:rsidR="003E6F49">
        <w:rPr>
          <w:rFonts w:asciiTheme="majorBidi" w:hAnsiTheme="majorBidi" w:cstheme="majorBidi"/>
          <w:sz w:val="24"/>
          <w:szCs w:val="24"/>
        </w:rPr>
        <w:t>Nevertheless, not much is known about the behaviour of the Malaysian capital market.</w:t>
      </w:r>
    </w:p>
    <w:p w:rsidR="0084612D" w:rsidRDefault="0084612D" w:rsidP="003D29DA">
      <w:pPr>
        <w:spacing w:after="0" w:line="240" w:lineRule="auto"/>
        <w:jc w:val="both"/>
        <w:rPr>
          <w:rFonts w:asciiTheme="majorBidi" w:hAnsiTheme="majorBidi" w:cstheme="majorBidi"/>
          <w:sz w:val="24"/>
          <w:szCs w:val="24"/>
        </w:rPr>
      </w:pPr>
    </w:p>
    <w:p w:rsidR="00C52D6F" w:rsidRDefault="00E43C8B" w:rsidP="003D29D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Given the core </w:t>
      </w:r>
      <w:r w:rsidR="001B7BCE">
        <w:rPr>
          <w:rFonts w:asciiTheme="majorBidi" w:hAnsiTheme="majorBidi" w:cstheme="majorBidi"/>
          <w:sz w:val="24"/>
          <w:szCs w:val="24"/>
        </w:rPr>
        <w:t>differences</w:t>
      </w:r>
      <w:r w:rsidR="00316EC4">
        <w:rPr>
          <w:rFonts w:asciiTheme="majorBidi" w:hAnsiTheme="majorBidi" w:cstheme="majorBidi"/>
          <w:sz w:val="24"/>
          <w:szCs w:val="24"/>
        </w:rPr>
        <w:t xml:space="preserve"> and arguments</w:t>
      </w:r>
      <w:r w:rsidR="006F690F">
        <w:rPr>
          <w:rFonts w:asciiTheme="majorBidi" w:hAnsiTheme="majorBidi" w:cstheme="majorBidi"/>
          <w:sz w:val="24"/>
          <w:szCs w:val="24"/>
        </w:rPr>
        <w:t xml:space="preserve"> in Malaysia’s </w:t>
      </w:r>
      <w:r w:rsidR="00C802AF">
        <w:rPr>
          <w:rFonts w:asciiTheme="majorBidi" w:hAnsiTheme="majorBidi" w:cstheme="majorBidi"/>
          <w:sz w:val="24"/>
          <w:szCs w:val="24"/>
        </w:rPr>
        <w:t>stock market and economy</w:t>
      </w:r>
      <w:r w:rsidR="00316EC4">
        <w:rPr>
          <w:rFonts w:asciiTheme="majorBidi" w:hAnsiTheme="majorBidi" w:cstheme="majorBidi"/>
          <w:sz w:val="24"/>
          <w:szCs w:val="24"/>
        </w:rPr>
        <w:t xml:space="preserve">, it would be of interest to examine </w:t>
      </w:r>
      <w:r w:rsidR="001B7BCE">
        <w:rPr>
          <w:rFonts w:asciiTheme="majorBidi" w:hAnsiTheme="majorBidi" w:cstheme="majorBidi"/>
          <w:sz w:val="24"/>
          <w:szCs w:val="24"/>
        </w:rPr>
        <w:t>the relationships between macroeconomic va</w:t>
      </w:r>
      <w:r w:rsidR="00F315B4">
        <w:rPr>
          <w:rFonts w:asciiTheme="majorBidi" w:hAnsiTheme="majorBidi" w:cstheme="majorBidi"/>
          <w:sz w:val="24"/>
          <w:szCs w:val="24"/>
        </w:rPr>
        <w:t xml:space="preserve">riables and the Malaysian capital </w:t>
      </w:r>
      <w:r w:rsidR="001B7BCE">
        <w:rPr>
          <w:rFonts w:asciiTheme="majorBidi" w:hAnsiTheme="majorBidi" w:cstheme="majorBidi"/>
          <w:sz w:val="24"/>
          <w:szCs w:val="24"/>
        </w:rPr>
        <w:t xml:space="preserve">market. </w:t>
      </w:r>
      <w:r>
        <w:rPr>
          <w:rFonts w:asciiTheme="majorBidi" w:hAnsiTheme="majorBidi" w:cstheme="majorBidi"/>
          <w:sz w:val="24"/>
          <w:szCs w:val="24"/>
        </w:rPr>
        <w:t xml:space="preserve">Such a study could help </w:t>
      </w:r>
      <w:r w:rsidR="00316EC4">
        <w:rPr>
          <w:rFonts w:asciiTheme="majorBidi" w:hAnsiTheme="majorBidi" w:cstheme="majorBidi"/>
          <w:sz w:val="24"/>
          <w:szCs w:val="24"/>
        </w:rPr>
        <w:t xml:space="preserve">Malaysian policy makers, </w:t>
      </w:r>
      <w:r w:rsidR="006F690F">
        <w:rPr>
          <w:rFonts w:asciiTheme="majorBidi" w:hAnsiTheme="majorBidi" w:cstheme="majorBidi"/>
          <w:sz w:val="24"/>
          <w:szCs w:val="24"/>
        </w:rPr>
        <w:t xml:space="preserve">investors, and </w:t>
      </w:r>
      <w:r w:rsidR="00316EC4">
        <w:rPr>
          <w:rFonts w:asciiTheme="majorBidi" w:hAnsiTheme="majorBidi" w:cstheme="majorBidi"/>
          <w:sz w:val="24"/>
          <w:szCs w:val="24"/>
        </w:rPr>
        <w:t>academics</w:t>
      </w:r>
      <w:r w:rsidR="006F690F">
        <w:rPr>
          <w:rFonts w:asciiTheme="majorBidi" w:hAnsiTheme="majorBidi" w:cstheme="majorBidi"/>
          <w:sz w:val="24"/>
          <w:szCs w:val="24"/>
        </w:rPr>
        <w:t xml:space="preserve"> </w:t>
      </w:r>
      <w:r w:rsidR="00316EC4">
        <w:rPr>
          <w:rFonts w:asciiTheme="majorBidi" w:hAnsiTheme="majorBidi" w:cstheme="majorBidi"/>
          <w:sz w:val="24"/>
          <w:szCs w:val="24"/>
        </w:rPr>
        <w:t xml:space="preserve">to better understand the behaviour of investors in the Malaysian stock market </w:t>
      </w:r>
      <w:r>
        <w:rPr>
          <w:rFonts w:asciiTheme="majorBidi" w:hAnsiTheme="majorBidi" w:cstheme="majorBidi"/>
          <w:sz w:val="24"/>
          <w:szCs w:val="24"/>
        </w:rPr>
        <w:t xml:space="preserve">while shedding light on </w:t>
      </w:r>
      <w:r w:rsidR="00316EC4">
        <w:rPr>
          <w:rFonts w:asciiTheme="majorBidi" w:hAnsiTheme="majorBidi" w:cstheme="majorBidi"/>
          <w:sz w:val="24"/>
          <w:szCs w:val="24"/>
        </w:rPr>
        <w:t>market efficiency.</w:t>
      </w:r>
    </w:p>
    <w:p w:rsidR="008775DE" w:rsidRDefault="008775DE" w:rsidP="003D29DA">
      <w:pPr>
        <w:spacing w:after="0" w:line="240" w:lineRule="auto"/>
        <w:jc w:val="both"/>
        <w:rPr>
          <w:rFonts w:asciiTheme="majorBidi" w:hAnsiTheme="majorBidi" w:cstheme="majorBidi"/>
          <w:sz w:val="24"/>
          <w:szCs w:val="24"/>
        </w:rPr>
      </w:pPr>
    </w:p>
    <w:p w:rsidR="00C802AF" w:rsidRDefault="008775DE" w:rsidP="003D29DA">
      <w:pPr>
        <w:spacing w:after="0" w:line="240" w:lineRule="auto"/>
        <w:jc w:val="both"/>
        <w:rPr>
          <w:rStyle w:val="Hyperlink"/>
          <w:rFonts w:asciiTheme="majorBidi" w:hAnsiTheme="majorBidi" w:cstheme="majorBidi"/>
          <w:color w:val="auto"/>
          <w:sz w:val="24"/>
          <w:szCs w:val="24"/>
          <w:u w:val="none"/>
          <w:lang w:val="en-US"/>
        </w:rPr>
      </w:pPr>
      <w:r>
        <w:rPr>
          <w:rFonts w:asciiTheme="majorBidi" w:hAnsiTheme="majorBidi" w:cstheme="majorBidi"/>
          <w:sz w:val="24"/>
          <w:szCs w:val="24"/>
        </w:rPr>
        <w:t xml:space="preserve">Utilizing </w:t>
      </w:r>
      <w:r w:rsidR="00E43C8B">
        <w:rPr>
          <w:rFonts w:asciiTheme="majorBidi" w:hAnsiTheme="majorBidi" w:cstheme="majorBidi"/>
          <w:sz w:val="24"/>
          <w:szCs w:val="24"/>
        </w:rPr>
        <w:t xml:space="preserve">VECM, this paper found a long-term </w:t>
      </w:r>
      <w:r>
        <w:rPr>
          <w:rFonts w:asciiTheme="majorBidi" w:hAnsiTheme="majorBidi" w:cstheme="majorBidi"/>
          <w:sz w:val="24"/>
          <w:szCs w:val="24"/>
        </w:rPr>
        <w:t xml:space="preserve">relationship between the Malaysian capital market and selected macroeconomic variables </w:t>
      </w:r>
      <w:r w:rsidR="00B71877">
        <w:rPr>
          <w:rFonts w:asciiTheme="majorBidi" w:hAnsiTheme="majorBidi" w:cstheme="majorBidi"/>
          <w:sz w:val="24"/>
          <w:szCs w:val="24"/>
        </w:rPr>
        <w:t xml:space="preserve">− </w:t>
      </w:r>
      <w:r w:rsidR="006F690F">
        <w:rPr>
          <w:rFonts w:asciiTheme="majorBidi" w:hAnsiTheme="majorBidi" w:cstheme="majorBidi"/>
          <w:sz w:val="24"/>
          <w:szCs w:val="24"/>
        </w:rPr>
        <w:t>namely, inflation rates, interest rates, money supply, and real economic activity</w:t>
      </w:r>
      <w:r w:rsidR="006F690F" w:rsidRPr="005F21B3">
        <w:rPr>
          <w:rFonts w:asciiTheme="majorBidi" w:hAnsiTheme="majorBidi" w:cstheme="majorBidi"/>
          <w:sz w:val="24"/>
          <w:szCs w:val="24"/>
        </w:rPr>
        <w:t>.</w:t>
      </w:r>
      <w:r w:rsidR="006F690F">
        <w:rPr>
          <w:rFonts w:asciiTheme="majorBidi" w:hAnsiTheme="majorBidi" w:cstheme="majorBidi"/>
          <w:sz w:val="24"/>
          <w:szCs w:val="24"/>
        </w:rPr>
        <w:t xml:space="preserve"> </w:t>
      </w:r>
      <w:r w:rsidR="006F690F">
        <w:rPr>
          <w:rStyle w:val="Hyperlink"/>
          <w:rFonts w:asciiTheme="majorBidi" w:hAnsiTheme="majorBidi" w:cstheme="majorBidi"/>
          <w:color w:val="auto"/>
          <w:sz w:val="24"/>
          <w:szCs w:val="24"/>
          <w:u w:val="none"/>
          <w:lang w:val="en-US"/>
        </w:rPr>
        <w:t>In addition, i</w:t>
      </w:r>
      <w:r w:rsidR="00B71877">
        <w:rPr>
          <w:rStyle w:val="Hyperlink"/>
          <w:rFonts w:asciiTheme="majorBidi" w:hAnsiTheme="majorBidi" w:cstheme="majorBidi"/>
          <w:color w:val="auto"/>
          <w:sz w:val="24"/>
          <w:szCs w:val="24"/>
          <w:u w:val="none"/>
          <w:lang w:val="en-US"/>
        </w:rPr>
        <w:t xml:space="preserve">nflation and interest rates were found to be </w:t>
      </w:r>
      <w:r w:rsidR="006F690F">
        <w:rPr>
          <w:rStyle w:val="Hyperlink"/>
          <w:rFonts w:asciiTheme="majorBidi" w:hAnsiTheme="majorBidi" w:cstheme="majorBidi"/>
          <w:color w:val="auto"/>
          <w:sz w:val="24"/>
          <w:szCs w:val="24"/>
          <w:u w:val="none"/>
          <w:lang w:val="en-US"/>
        </w:rPr>
        <w:t>negatively associated with the Malaysian capital market while money supply and real economic activity are positively related to the Malaysian capital market. These results suggest that investors must hold for the long run in order to benefit from portfolio diversification in the Malaysian capital market.</w:t>
      </w:r>
    </w:p>
    <w:p w:rsidR="006C42B5" w:rsidRDefault="006C42B5" w:rsidP="003D29DA">
      <w:pPr>
        <w:spacing w:after="0" w:line="240" w:lineRule="auto"/>
        <w:jc w:val="both"/>
        <w:rPr>
          <w:rStyle w:val="Hyperlink"/>
          <w:rFonts w:asciiTheme="majorBidi" w:hAnsiTheme="majorBidi" w:cstheme="majorBidi"/>
          <w:color w:val="auto"/>
          <w:sz w:val="24"/>
          <w:szCs w:val="24"/>
          <w:u w:val="none"/>
          <w:lang w:val="en-US"/>
        </w:rPr>
      </w:pPr>
    </w:p>
    <w:p w:rsidR="00726369" w:rsidRDefault="00C802AF" w:rsidP="00955C70">
      <w:pPr>
        <w:spacing w:after="0" w:line="240" w:lineRule="auto"/>
        <w:jc w:val="both"/>
        <w:rPr>
          <w:rStyle w:val="Hyperlink"/>
          <w:rFonts w:asciiTheme="majorBidi" w:hAnsiTheme="majorBidi" w:cstheme="majorBidi"/>
          <w:color w:val="auto"/>
          <w:sz w:val="24"/>
          <w:szCs w:val="24"/>
          <w:u w:val="none"/>
          <w:lang w:val="en-US"/>
        </w:rPr>
      </w:pPr>
      <w:r>
        <w:rPr>
          <w:rStyle w:val="Hyperlink"/>
          <w:rFonts w:asciiTheme="majorBidi" w:hAnsiTheme="majorBidi" w:cstheme="majorBidi"/>
          <w:color w:val="auto"/>
          <w:sz w:val="24"/>
          <w:szCs w:val="24"/>
          <w:u w:val="none"/>
          <w:lang w:val="en-US"/>
        </w:rPr>
        <w:t xml:space="preserve">The rest of the paper is organized as follows. Section </w:t>
      </w:r>
      <w:r w:rsidR="006C42B5">
        <w:rPr>
          <w:rStyle w:val="Hyperlink"/>
          <w:rFonts w:asciiTheme="majorBidi" w:hAnsiTheme="majorBidi" w:cstheme="majorBidi"/>
          <w:color w:val="auto"/>
          <w:sz w:val="24"/>
          <w:szCs w:val="24"/>
          <w:u w:val="none"/>
          <w:lang w:val="en-US"/>
        </w:rPr>
        <w:t>(</w:t>
      </w:r>
      <w:r>
        <w:rPr>
          <w:rStyle w:val="Hyperlink"/>
          <w:rFonts w:asciiTheme="majorBidi" w:hAnsiTheme="majorBidi" w:cstheme="majorBidi"/>
          <w:color w:val="auto"/>
          <w:sz w:val="24"/>
          <w:szCs w:val="24"/>
          <w:u w:val="none"/>
          <w:lang w:val="en-US"/>
        </w:rPr>
        <w:t>2</w:t>
      </w:r>
      <w:r w:rsidR="006C42B5">
        <w:rPr>
          <w:rStyle w:val="Hyperlink"/>
          <w:rFonts w:asciiTheme="majorBidi" w:hAnsiTheme="majorBidi" w:cstheme="majorBidi"/>
          <w:color w:val="auto"/>
          <w:sz w:val="24"/>
          <w:szCs w:val="24"/>
          <w:u w:val="none"/>
          <w:lang w:val="en-US"/>
        </w:rPr>
        <w:t>)</w:t>
      </w:r>
      <w:r>
        <w:rPr>
          <w:rStyle w:val="Hyperlink"/>
          <w:rFonts w:asciiTheme="majorBidi" w:hAnsiTheme="majorBidi" w:cstheme="majorBidi"/>
          <w:color w:val="auto"/>
          <w:sz w:val="24"/>
          <w:szCs w:val="24"/>
          <w:u w:val="none"/>
          <w:lang w:val="en-US"/>
        </w:rPr>
        <w:t xml:space="preserve"> reviews the literature</w:t>
      </w:r>
      <w:r w:rsidR="00BE560E">
        <w:rPr>
          <w:rStyle w:val="Hyperlink"/>
          <w:rFonts w:asciiTheme="majorBidi" w:hAnsiTheme="majorBidi" w:cstheme="majorBidi"/>
          <w:color w:val="auto"/>
          <w:sz w:val="24"/>
          <w:szCs w:val="24"/>
          <w:u w:val="none"/>
          <w:lang w:val="en-US"/>
        </w:rPr>
        <w:t xml:space="preserve"> on the relationships between macroeconomic variables and stock prices</w:t>
      </w:r>
      <w:r>
        <w:rPr>
          <w:rStyle w:val="Hyperlink"/>
          <w:rFonts w:asciiTheme="majorBidi" w:hAnsiTheme="majorBidi" w:cstheme="majorBidi"/>
          <w:color w:val="auto"/>
          <w:sz w:val="24"/>
          <w:szCs w:val="24"/>
          <w:u w:val="none"/>
          <w:lang w:val="en-US"/>
        </w:rPr>
        <w:t xml:space="preserve">. Section </w:t>
      </w:r>
      <w:r w:rsidR="006C42B5">
        <w:rPr>
          <w:rStyle w:val="Hyperlink"/>
          <w:rFonts w:asciiTheme="majorBidi" w:hAnsiTheme="majorBidi" w:cstheme="majorBidi"/>
          <w:color w:val="auto"/>
          <w:sz w:val="24"/>
          <w:szCs w:val="24"/>
          <w:u w:val="none"/>
          <w:lang w:val="en-US"/>
        </w:rPr>
        <w:t>(</w:t>
      </w:r>
      <w:r>
        <w:rPr>
          <w:rStyle w:val="Hyperlink"/>
          <w:rFonts w:asciiTheme="majorBidi" w:hAnsiTheme="majorBidi" w:cstheme="majorBidi"/>
          <w:color w:val="auto"/>
          <w:sz w:val="24"/>
          <w:szCs w:val="24"/>
          <w:u w:val="none"/>
          <w:lang w:val="en-US"/>
        </w:rPr>
        <w:t>3</w:t>
      </w:r>
      <w:r w:rsidR="006C42B5">
        <w:rPr>
          <w:rStyle w:val="Hyperlink"/>
          <w:rFonts w:asciiTheme="majorBidi" w:hAnsiTheme="majorBidi" w:cstheme="majorBidi"/>
          <w:color w:val="auto"/>
          <w:sz w:val="24"/>
          <w:szCs w:val="24"/>
          <w:u w:val="none"/>
          <w:lang w:val="en-US"/>
        </w:rPr>
        <w:t>)</w:t>
      </w:r>
      <w:r>
        <w:rPr>
          <w:rStyle w:val="Hyperlink"/>
          <w:rFonts w:asciiTheme="majorBidi" w:hAnsiTheme="majorBidi" w:cstheme="majorBidi"/>
          <w:color w:val="auto"/>
          <w:sz w:val="24"/>
          <w:szCs w:val="24"/>
          <w:u w:val="none"/>
          <w:lang w:val="en-US"/>
        </w:rPr>
        <w:t xml:space="preserve"> </w:t>
      </w:r>
      <w:r w:rsidR="00BE560E">
        <w:rPr>
          <w:rStyle w:val="Hyperlink"/>
          <w:rFonts w:asciiTheme="majorBidi" w:hAnsiTheme="majorBidi" w:cstheme="majorBidi"/>
          <w:color w:val="auto"/>
          <w:sz w:val="24"/>
          <w:szCs w:val="24"/>
          <w:u w:val="none"/>
          <w:lang w:val="en-US"/>
        </w:rPr>
        <w:t xml:space="preserve">describes </w:t>
      </w:r>
      <w:r>
        <w:rPr>
          <w:rStyle w:val="Hyperlink"/>
          <w:rFonts w:asciiTheme="majorBidi" w:hAnsiTheme="majorBidi" w:cstheme="majorBidi"/>
          <w:color w:val="auto"/>
          <w:sz w:val="24"/>
          <w:szCs w:val="24"/>
          <w:u w:val="none"/>
          <w:lang w:val="en-US"/>
        </w:rPr>
        <w:t>the data and methodology</w:t>
      </w:r>
      <w:r w:rsidR="00BE560E">
        <w:rPr>
          <w:rStyle w:val="Hyperlink"/>
          <w:rFonts w:asciiTheme="majorBidi" w:hAnsiTheme="majorBidi" w:cstheme="majorBidi"/>
          <w:color w:val="auto"/>
          <w:sz w:val="24"/>
          <w:szCs w:val="24"/>
          <w:u w:val="none"/>
          <w:lang w:val="en-US"/>
        </w:rPr>
        <w:t xml:space="preserve"> used in the paper</w:t>
      </w:r>
      <w:r>
        <w:rPr>
          <w:rStyle w:val="Hyperlink"/>
          <w:rFonts w:asciiTheme="majorBidi" w:hAnsiTheme="majorBidi" w:cstheme="majorBidi"/>
          <w:color w:val="auto"/>
          <w:sz w:val="24"/>
          <w:szCs w:val="24"/>
          <w:u w:val="none"/>
          <w:lang w:val="en-US"/>
        </w:rPr>
        <w:t xml:space="preserve">. Section </w:t>
      </w:r>
      <w:r w:rsidR="006C42B5">
        <w:rPr>
          <w:rStyle w:val="Hyperlink"/>
          <w:rFonts w:asciiTheme="majorBidi" w:hAnsiTheme="majorBidi" w:cstheme="majorBidi"/>
          <w:color w:val="auto"/>
          <w:sz w:val="24"/>
          <w:szCs w:val="24"/>
          <w:u w:val="none"/>
          <w:lang w:val="en-US"/>
        </w:rPr>
        <w:t>(</w:t>
      </w:r>
      <w:r>
        <w:rPr>
          <w:rStyle w:val="Hyperlink"/>
          <w:rFonts w:asciiTheme="majorBidi" w:hAnsiTheme="majorBidi" w:cstheme="majorBidi"/>
          <w:color w:val="auto"/>
          <w:sz w:val="24"/>
          <w:szCs w:val="24"/>
          <w:u w:val="none"/>
          <w:lang w:val="en-US"/>
        </w:rPr>
        <w:t>4</w:t>
      </w:r>
      <w:r w:rsidR="006C42B5">
        <w:rPr>
          <w:rStyle w:val="Hyperlink"/>
          <w:rFonts w:asciiTheme="majorBidi" w:hAnsiTheme="majorBidi" w:cstheme="majorBidi"/>
          <w:color w:val="auto"/>
          <w:sz w:val="24"/>
          <w:szCs w:val="24"/>
          <w:u w:val="none"/>
          <w:lang w:val="en-US"/>
        </w:rPr>
        <w:t>)</w:t>
      </w:r>
      <w:r>
        <w:rPr>
          <w:rStyle w:val="Hyperlink"/>
          <w:rFonts w:asciiTheme="majorBidi" w:hAnsiTheme="majorBidi" w:cstheme="majorBidi"/>
          <w:color w:val="auto"/>
          <w:sz w:val="24"/>
          <w:szCs w:val="24"/>
          <w:u w:val="none"/>
          <w:lang w:val="en-US"/>
        </w:rPr>
        <w:t xml:space="preserve"> reports the results and discussions. </w:t>
      </w:r>
      <w:r w:rsidR="00BE560E">
        <w:rPr>
          <w:rStyle w:val="Hyperlink"/>
          <w:rFonts w:asciiTheme="majorBidi" w:hAnsiTheme="majorBidi" w:cstheme="majorBidi"/>
          <w:color w:val="auto"/>
          <w:sz w:val="24"/>
          <w:szCs w:val="24"/>
          <w:u w:val="none"/>
          <w:lang w:val="en-US"/>
        </w:rPr>
        <w:t>Finally,</w:t>
      </w:r>
      <w:r w:rsidR="00124464">
        <w:rPr>
          <w:rStyle w:val="Hyperlink"/>
          <w:rFonts w:asciiTheme="majorBidi" w:hAnsiTheme="majorBidi" w:cstheme="majorBidi"/>
          <w:color w:val="auto"/>
          <w:sz w:val="24"/>
          <w:szCs w:val="24"/>
          <w:u w:val="none"/>
          <w:lang w:val="en-US"/>
        </w:rPr>
        <w:t xml:space="preserve"> concludi</w:t>
      </w:r>
      <w:r w:rsidR="00383141">
        <w:rPr>
          <w:rStyle w:val="Hyperlink"/>
          <w:rFonts w:asciiTheme="majorBidi" w:hAnsiTheme="majorBidi" w:cstheme="majorBidi"/>
          <w:color w:val="auto"/>
          <w:sz w:val="24"/>
          <w:szCs w:val="24"/>
          <w:u w:val="none"/>
          <w:lang w:val="en-US"/>
        </w:rPr>
        <w:t xml:space="preserve">ng remarks and some discussion of the results are provided </w:t>
      </w:r>
      <w:r w:rsidR="00124464">
        <w:rPr>
          <w:rStyle w:val="Hyperlink"/>
          <w:rFonts w:asciiTheme="majorBidi" w:hAnsiTheme="majorBidi" w:cstheme="majorBidi"/>
          <w:color w:val="auto"/>
          <w:sz w:val="24"/>
          <w:szCs w:val="24"/>
          <w:u w:val="none"/>
          <w:lang w:val="en-US"/>
        </w:rPr>
        <w:t xml:space="preserve">in Section </w:t>
      </w:r>
      <w:r w:rsidR="006C42B5">
        <w:rPr>
          <w:rStyle w:val="Hyperlink"/>
          <w:rFonts w:asciiTheme="majorBidi" w:hAnsiTheme="majorBidi" w:cstheme="majorBidi"/>
          <w:color w:val="auto"/>
          <w:sz w:val="24"/>
          <w:szCs w:val="24"/>
          <w:u w:val="none"/>
          <w:lang w:val="en-US"/>
        </w:rPr>
        <w:t>(</w:t>
      </w:r>
      <w:r w:rsidR="00124464">
        <w:rPr>
          <w:rStyle w:val="Hyperlink"/>
          <w:rFonts w:asciiTheme="majorBidi" w:hAnsiTheme="majorBidi" w:cstheme="majorBidi"/>
          <w:color w:val="auto"/>
          <w:sz w:val="24"/>
          <w:szCs w:val="24"/>
          <w:u w:val="none"/>
          <w:lang w:val="en-US"/>
        </w:rPr>
        <w:t>5</w:t>
      </w:r>
      <w:r w:rsidR="006C42B5">
        <w:rPr>
          <w:rStyle w:val="Hyperlink"/>
          <w:rFonts w:asciiTheme="majorBidi" w:hAnsiTheme="majorBidi" w:cstheme="majorBidi"/>
          <w:color w:val="auto"/>
          <w:sz w:val="24"/>
          <w:szCs w:val="24"/>
          <w:u w:val="none"/>
          <w:lang w:val="en-US"/>
        </w:rPr>
        <w:t>)</w:t>
      </w:r>
      <w:r w:rsidR="00124464">
        <w:rPr>
          <w:rStyle w:val="Hyperlink"/>
          <w:rFonts w:asciiTheme="majorBidi" w:hAnsiTheme="majorBidi" w:cstheme="majorBidi"/>
          <w:color w:val="auto"/>
          <w:sz w:val="24"/>
          <w:szCs w:val="24"/>
          <w:u w:val="none"/>
          <w:lang w:val="en-US"/>
        </w:rPr>
        <w:t>.</w:t>
      </w:r>
    </w:p>
    <w:p w:rsidR="00955C70" w:rsidRPr="00955C70" w:rsidRDefault="00955C70" w:rsidP="00955C70">
      <w:pPr>
        <w:spacing w:after="0" w:line="240" w:lineRule="auto"/>
        <w:jc w:val="both"/>
        <w:rPr>
          <w:rFonts w:asciiTheme="majorBidi" w:hAnsiTheme="majorBidi" w:cstheme="majorBidi"/>
          <w:sz w:val="24"/>
          <w:szCs w:val="24"/>
          <w:lang w:val="en-US"/>
        </w:rPr>
      </w:pPr>
    </w:p>
    <w:p w:rsidR="00726369" w:rsidRDefault="003C07D0" w:rsidP="003D29DA">
      <w:pPr>
        <w:spacing w:after="0" w:line="240" w:lineRule="auto"/>
        <w:rPr>
          <w:rFonts w:asciiTheme="majorBidi" w:hAnsiTheme="majorBidi" w:cstheme="majorBidi"/>
          <w:sz w:val="24"/>
          <w:szCs w:val="24"/>
        </w:rPr>
      </w:pPr>
      <w:r>
        <w:rPr>
          <w:rFonts w:asciiTheme="majorBidi" w:hAnsiTheme="majorBidi" w:cstheme="majorBidi"/>
          <w:b/>
          <w:bCs/>
          <w:sz w:val="24"/>
          <w:szCs w:val="24"/>
        </w:rPr>
        <w:t>2. Review of L</w:t>
      </w:r>
      <w:r w:rsidR="00726369" w:rsidRPr="00726369">
        <w:rPr>
          <w:rFonts w:asciiTheme="majorBidi" w:hAnsiTheme="majorBidi" w:cstheme="majorBidi"/>
          <w:b/>
          <w:bCs/>
          <w:sz w:val="24"/>
          <w:szCs w:val="24"/>
        </w:rPr>
        <w:t>iterature</w:t>
      </w:r>
    </w:p>
    <w:p w:rsidR="00396322" w:rsidRDefault="000D7363" w:rsidP="003D29DA">
      <w:pPr>
        <w:spacing w:after="0" w:line="240" w:lineRule="auto"/>
        <w:jc w:val="both"/>
        <w:rPr>
          <w:rFonts w:asciiTheme="majorBidi" w:hAnsiTheme="majorBidi" w:cstheme="majorBidi"/>
          <w:sz w:val="24"/>
          <w:szCs w:val="24"/>
        </w:rPr>
      </w:pPr>
      <w:r w:rsidRPr="00E05192">
        <w:rPr>
          <w:rFonts w:asciiTheme="majorBidi" w:hAnsiTheme="majorBidi" w:cstheme="majorBidi"/>
          <w:sz w:val="24"/>
          <w:szCs w:val="24"/>
        </w:rPr>
        <w:t>The relationships between macroeconomic variables and stock prices are important to p</w:t>
      </w:r>
      <w:r>
        <w:rPr>
          <w:rFonts w:asciiTheme="majorBidi" w:hAnsiTheme="majorBidi" w:cstheme="majorBidi"/>
          <w:sz w:val="24"/>
          <w:szCs w:val="24"/>
        </w:rPr>
        <w:t>olicy makers and investors. The efficient market hypothesis theory</w:t>
      </w:r>
      <w:r w:rsidR="007B1896">
        <w:rPr>
          <w:rFonts w:asciiTheme="majorBidi" w:hAnsiTheme="majorBidi" w:cstheme="majorBidi"/>
          <w:sz w:val="24"/>
          <w:szCs w:val="24"/>
        </w:rPr>
        <w:t>,</w:t>
      </w:r>
      <w:r>
        <w:rPr>
          <w:rFonts w:asciiTheme="majorBidi" w:hAnsiTheme="majorBidi" w:cstheme="majorBidi"/>
          <w:sz w:val="24"/>
          <w:szCs w:val="24"/>
        </w:rPr>
        <w:t xml:space="preserve"> </w:t>
      </w:r>
      <w:r w:rsidR="00F37798">
        <w:rPr>
          <w:rFonts w:asciiTheme="majorBidi" w:hAnsiTheme="majorBidi" w:cstheme="majorBidi"/>
          <w:sz w:val="24"/>
          <w:szCs w:val="24"/>
        </w:rPr>
        <w:t xml:space="preserve">developed by </w:t>
      </w:r>
      <w:proofErr w:type="spellStart"/>
      <w:r w:rsidR="00F37798">
        <w:rPr>
          <w:rFonts w:asciiTheme="majorBidi" w:hAnsiTheme="majorBidi" w:cstheme="majorBidi"/>
          <w:sz w:val="24"/>
          <w:szCs w:val="24"/>
        </w:rPr>
        <w:t>Fama</w:t>
      </w:r>
      <w:proofErr w:type="spellEnd"/>
      <w:r w:rsidR="00F37798">
        <w:rPr>
          <w:rFonts w:asciiTheme="majorBidi" w:hAnsiTheme="majorBidi" w:cstheme="majorBidi"/>
          <w:sz w:val="24"/>
          <w:szCs w:val="24"/>
        </w:rPr>
        <w:t xml:space="preserve"> (1970) </w:t>
      </w:r>
      <w:r>
        <w:rPr>
          <w:rFonts w:asciiTheme="majorBidi" w:hAnsiTheme="majorBidi" w:cstheme="majorBidi"/>
          <w:sz w:val="24"/>
          <w:szCs w:val="24"/>
        </w:rPr>
        <w:t xml:space="preserve">suggested </w:t>
      </w:r>
      <w:r w:rsidRPr="00E05192">
        <w:rPr>
          <w:rFonts w:asciiTheme="majorBidi" w:hAnsiTheme="majorBidi" w:cstheme="majorBidi"/>
          <w:sz w:val="24"/>
          <w:szCs w:val="24"/>
        </w:rPr>
        <w:t>that current stock prices should reflect all publicly available information and the expectations abo</w:t>
      </w:r>
      <w:r w:rsidR="00F37798">
        <w:rPr>
          <w:rFonts w:asciiTheme="majorBidi" w:hAnsiTheme="majorBidi" w:cstheme="majorBidi"/>
          <w:sz w:val="24"/>
          <w:szCs w:val="24"/>
        </w:rPr>
        <w:t xml:space="preserve">ut future corporate performance. </w:t>
      </w:r>
      <w:r w:rsidR="007B1896">
        <w:rPr>
          <w:rFonts w:asciiTheme="majorBidi" w:hAnsiTheme="majorBidi" w:cstheme="majorBidi"/>
          <w:sz w:val="24"/>
          <w:szCs w:val="24"/>
        </w:rPr>
        <w:t>Corporations’ profits generally depend</w:t>
      </w:r>
      <w:r w:rsidRPr="00E05192">
        <w:rPr>
          <w:rFonts w:asciiTheme="majorBidi" w:hAnsiTheme="majorBidi" w:cstheme="majorBidi"/>
          <w:sz w:val="24"/>
          <w:szCs w:val="24"/>
        </w:rPr>
        <w:t xml:space="preserve"> on the level of economic activities. Real economic activities</w:t>
      </w:r>
      <w:r w:rsidR="007B1896">
        <w:rPr>
          <w:rFonts w:asciiTheme="majorBidi" w:hAnsiTheme="majorBidi" w:cstheme="majorBidi"/>
          <w:sz w:val="24"/>
          <w:szCs w:val="24"/>
        </w:rPr>
        <w:t>’</w:t>
      </w:r>
      <w:r w:rsidRPr="00E05192">
        <w:rPr>
          <w:rFonts w:asciiTheme="majorBidi" w:hAnsiTheme="majorBidi" w:cstheme="majorBidi"/>
          <w:sz w:val="24"/>
          <w:szCs w:val="24"/>
        </w:rPr>
        <w:t xml:space="preserve"> fundame</w:t>
      </w:r>
      <w:r w:rsidR="005A600D">
        <w:rPr>
          <w:rFonts w:asciiTheme="majorBidi" w:hAnsiTheme="majorBidi" w:cstheme="majorBidi"/>
          <w:sz w:val="24"/>
          <w:szCs w:val="24"/>
        </w:rPr>
        <w:t>ntals</w:t>
      </w:r>
      <w:r w:rsidR="007B1896" w:rsidRPr="007B1896">
        <w:rPr>
          <w:rFonts w:asciiTheme="majorBidi" w:hAnsiTheme="majorBidi" w:cstheme="majorBidi"/>
          <w:color w:val="000000" w:themeColor="text1"/>
          <w:sz w:val="24"/>
          <w:szCs w:val="24"/>
        </w:rPr>
        <w:t>,</w:t>
      </w:r>
      <w:r w:rsidR="005A600D" w:rsidRPr="007B1896">
        <w:rPr>
          <w:rFonts w:asciiTheme="majorBidi" w:hAnsiTheme="majorBidi" w:cstheme="majorBidi"/>
          <w:color w:val="000000" w:themeColor="text1"/>
          <w:sz w:val="24"/>
          <w:szCs w:val="24"/>
        </w:rPr>
        <w:t xml:space="preserve"> </w:t>
      </w:r>
      <w:r w:rsidR="007B1896" w:rsidRPr="007B1896">
        <w:rPr>
          <w:rFonts w:asciiTheme="majorBidi" w:hAnsiTheme="majorBidi" w:cstheme="majorBidi"/>
          <w:color w:val="000000" w:themeColor="text1"/>
          <w:sz w:val="24"/>
          <w:szCs w:val="24"/>
        </w:rPr>
        <w:t>(</w:t>
      </w:r>
      <w:r w:rsidR="004F5B05" w:rsidRPr="007B1896">
        <w:rPr>
          <w:rFonts w:asciiTheme="majorBidi" w:hAnsiTheme="majorBidi" w:cstheme="majorBidi"/>
          <w:color w:val="000000" w:themeColor="text1"/>
          <w:sz w:val="24"/>
          <w:szCs w:val="24"/>
        </w:rPr>
        <w:t xml:space="preserve">i.e., </w:t>
      </w:r>
      <w:r w:rsidR="00F37798" w:rsidRPr="007B1896">
        <w:rPr>
          <w:rFonts w:asciiTheme="majorBidi" w:hAnsiTheme="majorBidi" w:cstheme="majorBidi"/>
          <w:color w:val="000000" w:themeColor="text1"/>
          <w:sz w:val="24"/>
          <w:szCs w:val="24"/>
        </w:rPr>
        <w:t xml:space="preserve">gross domestic </w:t>
      </w:r>
      <w:r w:rsidR="00F37798">
        <w:rPr>
          <w:rFonts w:asciiTheme="majorBidi" w:hAnsiTheme="majorBidi" w:cstheme="majorBidi"/>
          <w:sz w:val="24"/>
          <w:szCs w:val="24"/>
        </w:rPr>
        <w:t>product</w:t>
      </w:r>
      <w:r w:rsidRPr="00E05192">
        <w:rPr>
          <w:rFonts w:asciiTheme="majorBidi" w:hAnsiTheme="majorBidi" w:cstheme="majorBidi"/>
          <w:sz w:val="24"/>
          <w:szCs w:val="24"/>
        </w:rPr>
        <w:t xml:space="preserve">, </w:t>
      </w:r>
      <w:r w:rsidR="00F37798">
        <w:rPr>
          <w:rFonts w:asciiTheme="majorBidi" w:hAnsiTheme="majorBidi" w:cstheme="majorBidi"/>
          <w:sz w:val="24"/>
          <w:szCs w:val="24"/>
        </w:rPr>
        <w:t>industrial production index</w:t>
      </w:r>
      <w:r w:rsidR="00426465">
        <w:rPr>
          <w:rFonts w:asciiTheme="majorBidi" w:hAnsiTheme="majorBidi" w:cstheme="majorBidi"/>
          <w:sz w:val="24"/>
          <w:szCs w:val="24"/>
        </w:rPr>
        <w:t>,</w:t>
      </w:r>
      <w:r w:rsidRPr="00E05192">
        <w:rPr>
          <w:rFonts w:asciiTheme="majorBidi" w:hAnsiTheme="majorBidi" w:cstheme="majorBidi"/>
          <w:sz w:val="24"/>
          <w:szCs w:val="24"/>
        </w:rPr>
        <w:t xml:space="preserve"> a</w:t>
      </w:r>
      <w:r>
        <w:rPr>
          <w:rFonts w:asciiTheme="majorBidi" w:hAnsiTheme="majorBidi" w:cstheme="majorBidi"/>
          <w:sz w:val="24"/>
          <w:szCs w:val="24"/>
        </w:rPr>
        <w:t>nd gross nation</w:t>
      </w:r>
      <w:r w:rsidR="00426465">
        <w:rPr>
          <w:rFonts w:asciiTheme="majorBidi" w:hAnsiTheme="majorBidi" w:cstheme="majorBidi"/>
          <w:sz w:val="24"/>
          <w:szCs w:val="24"/>
        </w:rPr>
        <w:t>al product</w:t>
      </w:r>
      <w:r w:rsidR="007B1896">
        <w:rPr>
          <w:rFonts w:asciiTheme="majorBidi" w:hAnsiTheme="majorBidi" w:cstheme="majorBidi"/>
          <w:sz w:val="24"/>
          <w:szCs w:val="24"/>
        </w:rPr>
        <w:t>)</w:t>
      </w:r>
      <w:r w:rsidR="004F5B05">
        <w:rPr>
          <w:rFonts w:asciiTheme="majorBidi" w:hAnsiTheme="majorBidi" w:cstheme="majorBidi"/>
          <w:sz w:val="24"/>
          <w:szCs w:val="24"/>
        </w:rPr>
        <w:t xml:space="preserve"> </w:t>
      </w:r>
      <w:r w:rsidR="0063609E">
        <w:rPr>
          <w:rFonts w:asciiTheme="majorBidi" w:hAnsiTheme="majorBidi" w:cstheme="majorBidi"/>
          <w:sz w:val="24"/>
          <w:szCs w:val="24"/>
        </w:rPr>
        <w:t xml:space="preserve">are </w:t>
      </w:r>
      <w:r w:rsidRPr="00E05192">
        <w:rPr>
          <w:rFonts w:asciiTheme="majorBidi" w:hAnsiTheme="majorBidi" w:cstheme="majorBidi"/>
          <w:sz w:val="24"/>
          <w:szCs w:val="24"/>
        </w:rPr>
        <w:t>the main components of macroeconomic variables</w:t>
      </w:r>
      <w:r w:rsidR="007B1896">
        <w:rPr>
          <w:rFonts w:asciiTheme="majorBidi" w:hAnsiTheme="majorBidi" w:cstheme="majorBidi"/>
          <w:sz w:val="24"/>
          <w:szCs w:val="24"/>
        </w:rPr>
        <w:t xml:space="preserve"> and, </w:t>
      </w:r>
      <w:r w:rsidR="0063609E">
        <w:rPr>
          <w:rFonts w:asciiTheme="majorBidi" w:hAnsiTheme="majorBidi" w:cstheme="majorBidi"/>
          <w:sz w:val="24"/>
          <w:szCs w:val="24"/>
        </w:rPr>
        <w:t>influence</w:t>
      </w:r>
      <w:r w:rsidR="004F5B05">
        <w:rPr>
          <w:rFonts w:asciiTheme="majorBidi" w:hAnsiTheme="majorBidi" w:cstheme="majorBidi"/>
          <w:sz w:val="24"/>
          <w:szCs w:val="24"/>
        </w:rPr>
        <w:t xml:space="preserve"> </w:t>
      </w:r>
      <w:r w:rsidRPr="00E05192">
        <w:rPr>
          <w:rFonts w:asciiTheme="majorBidi" w:hAnsiTheme="majorBidi" w:cstheme="majorBidi"/>
          <w:sz w:val="24"/>
          <w:szCs w:val="24"/>
        </w:rPr>
        <w:t xml:space="preserve">stock prices positively. </w:t>
      </w:r>
      <w:proofErr w:type="spellStart"/>
      <w:r w:rsidRPr="00E05192">
        <w:rPr>
          <w:rFonts w:asciiTheme="majorBidi" w:hAnsiTheme="majorBidi" w:cstheme="majorBidi"/>
          <w:sz w:val="24"/>
          <w:szCs w:val="24"/>
        </w:rPr>
        <w:t>Fama</w:t>
      </w:r>
      <w:proofErr w:type="spellEnd"/>
      <w:r w:rsidRPr="00E05192">
        <w:rPr>
          <w:rFonts w:asciiTheme="majorBidi" w:hAnsiTheme="majorBidi" w:cstheme="majorBidi"/>
          <w:sz w:val="24"/>
          <w:szCs w:val="24"/>
        </w:rPr>
        <w:t xml:space="preserve"> (1981) </w:t>
      </w:r>
      <w:r w:rsidR="007B1896">
        <w:rPr>
          <w:rFonts w:asciiTheme="majorBidi" w:hAnsiTheme="majorBidi" w:cstheme="majorBidi"/>
          <w:sz w:val="24"/>
          <w:szCs w:val="24"/>
        </w:rPr>
        <w:t xml:space="preserve">concluded </w:t>
      </w:r>
      <w:r w:rsidRPr="00E05192">
        <w:rPr>
          <w:rFonts w:asciiTheme="majorBidi" w:hAnsiTheme="majorBidi" w:cstheme="majorBidi"/>
          <w:sz w:val="24"/>
          <w:szCs w:val="24"/>
        </w:rPr>
        <w:t>that the changes in m</w:t>
      </w:r>
      <w:r w:rsidR="00426465">
        <w:rPr>
          <w:rFonts w:asciiTheme="majorBidi" w:hAnsiTheme="majorBidi" w:cstheme="majorBidi"/>
          <w:sz w:val="24"/>
          <w:szCs w:val="24"/>
        </w:rPr>
        <w:t xml:space="preserve">acroeconomic variables </w:t>
      </w:r>
      <w:r w:rsidR="007B1896">
        <w:rPr>
          <w:rFonts w:asciiTheme="majorBidi" w:hAnsiTheme="majorBidi" w:cstheme="majorBidi"/>
          <w:sz w:val="24"/>
          <w:szCs w:val="24"/>
        </w:rPr>
        <w:t xml:space="preserve">− </w:t>
      </w:r>
      <w:r w:rsidR="00426465">
        <w:rPr>
          <w:rFonts w:asciiTheme="majorBidi" w:hAnsiTheme="majorBidi" w:cstheme="majorBidi"/>
          <w:sz w:val="24"/>
          <w:szCs w:val="24"/>
        </w:rPr>
        <w:t>namely</w:t>
      </w:r>
      <w:r w:rsidR="0063609E">
        <w:rPr>
          <w:rFonts w:asciiTheme="majorBidi" w:hAnsiTheme="majorBidi" w:cstheme="majorBidi"/>
          <w:sz w:val="24"/>
          <w:szCs w:val="24"/>
        </w:rPr>
        <w:t xml:space="preserve">, interest </w:t>
      </w:r>
      <w:r w:rsidR="00426465">
        <w:rPr>
          <w:rFonts w:asciiTheme="majorBidi" w:hAnsiTheme="majorBidi" w:cstheme="majorBidi"/>
          <w:sz w:val="24"/>
          <w:szCs w:val="24"/>
        </w:rPr>
        <w:t xml:space="preserve">rates, </w:t>
      </w:r>
      <w:r w:rsidR="0063609E">
        <w:rPr>
          <w:rFonts w:asciiTheme="majorBidi" w:hAnsiTheme="majorBidi" w:cstheme="majorBidi"/>
          <w:sz w:val="24"/>
          <w:szCs w:val="24"/>
        </w:rPr>
        <w:t xml:space="preserve">inflation rates, money supply, and </w:t>
      </w:r>
      <w:r w:rsidR="00F37798">
        <w:rPr>
          <w:rFonts w:asciiTheme="majorBidi" w:hAnsiTheme="majorBidi" w:cstheme="majorBidi"/>
          <w:sz w:val="24"/>
          <w:szCs w:val="24"/>
        </w:rPr>
        <w:t xml:space="preserve">industrial production index </w:t>
      </w:r>
      <w:r w:rsidR="00C82C25">
        <w:rPr>
          <w:rFonts w:asciiTheme="majorBidi" w:hAnsiTheme="majorBidi" w:cstheme="majorBidi"/>
          <w:sz w:val="24"/>
          <w:szCs w:val="24"/>
        </w:rPr>
        <w:t xml:space="preserve">− </w:t>
      </w:r>
      <w:r w:rsidRPr="00E05192">
        <w:rPr>
          <w:rFonts w:asciiTheme="majorBidi" w:hAnsiTheme="majorBidi" w:cstheme="majorBidi"/>
          <w:sz w:val="24"/>
          <w:szCs w:val="24"/>
        </w:rPr>
        <w:t xml:space="preserve">are fully reflected in current stock </w:t>
      </w:r>
      <w:r w:rsidR="00DF452E">
        <w:rPr>
          <w:rFonts w:asciiTheme="majorBidi" w:hAnsiTheme="majorBidi" w:cstheme="majorBidi"/>
          <w:sz w:val="24"/>
          <w:szCs w:val="24"/>
        </w:rPr>
        <w:t>p</w:t>
      </w:r>
      <w:r w:rsidRPr="00E05192">
        <w:rPr>
          <w:rFonts w:asciiTheme="majorBidi" w:hAnsiTheme="majorBidi" w:cstheme="majorBidi"/>
          <w:sz w:val="24"/>
          <w:szCs w:val="24"/>
        </w:rPr>
        <w:t>rices.</w:t>
      </w:r>
      <w:r>
        <w:rPr>
          <w:rFonts w:asciiTheme="majorBidi" w:hAnsiTheme="majorBidi" w:cstheme="majorBidi"/>
          <w:sz w:val="24"/>
          <w:szCs w:val="24"/>
        </w:rPr>
        <w:t xml:space="preserve"> He only tackled th</w:t>
      </w:r>
      <w:r w:rsidR="00F37798">
        <w:rPr>
          <w:rFonts w:asciiTheme="majorBidi" w:hAnsiTheme="majorBidi" w:cstheme="majorBidi"/>
          <w:sz w:val="24"/>
          <w:szCs w:val="24"/>
        </w:rPr>
        <w:t xml:space="preserve">e goods market variables (industrial production index </w:t>
      </w:r>
      <w:r w:rsidR="00426465">
        <w:rPr>
          <w:rFonts w:asciiTheme="majorBidi" w:hAnsiTheme="majorBidi" w:cstheme="majorBidi"/>
          <w:sz w:val="24"/>
          <w:szCs w:val="24"/>
        </w:rPr>
        <w:t>and inflation rates</w:t>
      </w:r>
      <w:r>
        <w:rPr>
          <w:rFonts w:asciiTheme="majorBidi" w:hAnsiTheme="majorBidi" w:cstheme="majorBidi"/>
          <w:sz w:val="24"/>
          <w:szCs w:val="24"/>
        </w:rPr>
        <w:t>) and th</w:t>
      </w:r>
      <w:r w:rsidR="00426465">
        <w:rPr>
          <w:rFonts w:asciiTheme="majorBidi" w:hAnsiTheme="majorBidi" w:cstheme="majorBidi"/>
          <w:sz w:val="24"/>
          <w:szCs w:val="24"/>
        </w:rPr>
        <w:t>e money market variables (money supply and interest rates</w:t>
      </w:r>
      <w:r>
        <w:rPr>
          <w:rFonts w:asciiTheme="majorBidi" w:hAnsiTheme="majorBidi" w:cstheme="majorBidi"/>
          <w:sz w:val="24"/>
          <w:szCs w:val="24"/>
        </w:rPr>
        <w:t>)</w:t>
      </w:r>
      <w:r w:rsidR="00FD4F00">
        <w:rPr>
          <w:rFonts w:asciiTheme="majorBidi" w:hAnsiTheme="majorBidi" w:cstheme="majorBidi"/>
          <w:sz w:val="24"/>
          <w:szCs w:val="24"/>
        </w:rPr>
        <w:t>,</w:t>
      </w:r>
      <w:r>
        <w:rPr>
          <w:rFonts w:asciiTheme="majorBidi" w:hAnsiTheme="majorBidi" w:cstheme="majorBidi"/>
          <w:sz w:val="24"/>
          <w:szCs w:val="24"/>
        </w:rPr>
        <w:t xml:space="preserve"> which are the most important variables in macroeconomic aspects.</w:t>
      </w:r>
    </w:p>
    <w:p w:rsidR="00C52D6F" w:rsidRDefault="00C52D6F" w:rsidP="003D29DA">
      <w:pPr>
        <w:spacing w:after="0" w:line="240" w:lineRule="auto"/>
        <w:jc w:val="both"/>
        <w:rPr>
          <w:rFonts w:asciiTheme="majorBidi" w:hAnsiTheme="majorBidi" w:cstheme="majorBidi"/>
          <w:sz w:val="24"/>
          <w:szCs w:val="24"/>
        </w:rPr>
      </w:pPr>
    </w:p>
    <w:p w:rsidR="00C52D6F" w:rsidRDefault="00396322" w:rsidP="003D29DA">
      <w:pPr>
        <w:spacing w:after="0" w:line="240" w:lineRule="auto"/>
        <w:jc w:val="both"/>
        <w:rPr>
          <w:rFonts w:asciiTheme="majorBidi" w:hAnsiTheme="majorBidi" w:cstheme="majorBidi"/>
          <w:sz w:val="24"/>
          <w:szCs w:val="24"/>
        </w:rPr>
      </w:pPr>
      <w:proofErr w:type="spellStart"/>
      <w:r w:rsidRPr="003E4813">
        <w:rPr>
          <w:rFonts w:asciiTheme="majorBidi" w:hAnsiTheme="majorBidi" w:cstheme="majorBidi"/>
          <w:sz w:val="24"/>
          <w:szCs w:val="24"/>
        </w:rPr>
        <w:t>Fama</w:t>
      </w:r>
      <w:proofErr w:type="spellEnd"/>
      <w:r w:rsidRPr="003E4813">
        <w:rPr>
          <w:rFonts w:asciiTheme="majorBidi" w:hAnsiTheme="majorBidi" w:cstheme="majorBidi"/>
          <w:sz w:val="24"/>
          <w:szCs w:val="24"/>
        </w:rPr>
        <w:t xml:space="preserve"> (1981) hypothesized a negative relationship between s</w:t>
      </w:r>
      <w:r w:rsidR="006D7F23">
        <w:rPr>
          <w:rFonts w:asciiTheme="majorBidi" w:hAnsiTheme="majorBidi" w:cstheme="majorBidi"/>
          <w:sz w:val="24"/>
          <w:szCs w:val="24"/>
        </w:rPr>
        <w:t xml:space="preserve">tock prices and interest rates. </w:t>
      </w:r>
      <w:proofErr w:type="spellStart"/>
      <w:r w:rsidRPr="003E4813">
        <w:rPr>
          <w:rFonts w:asciiTheme="majorBidi" w:hAnsiTheme="majorBidi" w:cstheme="majorBidi"/>
          <w:sz w:val="24"/>
          <w:szCs w:val="24"/>
        </w:rPr>
        <w:t>Fama</w:t>
      </w:r>
      <w:proofErr w:type="spellEnd"/>
      <w:r w:rsidRPr="003E4813">
        <w:rPr>
          <w:rFonts w:asciiTheme="majorBidi" w:hAnsiTheme="majorBidi" w:cstheme="majorBidi"/>
          <w:sz w:val="24"/>
          <w:szCs w:val="24"/>
        </w:rPr>
        <w:t xml:space="preserve"> and </w:t>
      </w:r>
      <w:proofErr w:type="spellStart"/>
      <w:r w:rsidRPr="003E4813">
        <w:rPr>
          <w:rFonts w:asciiTheme="majorBidi" w:hAnsiTheme="majorBidi" w:cstheme="majorBidi"/>
          <w:sz w:val="24"/>
          <w:szCs w:val="24"/>
        </w:rPr>
        <w:t>Schwert</w:t>
      </w:r>
      <w:proofErr w:type="spellEnd"/>
      <w:r w:rsidRPr="003E4813">
        <w:rPr>
          <w:rFonts w:asciiTheme="majorBidi" w:hAnsiTheme="majorBidi" w:cstheme="majorBidi"/>
          <w:sz w:val="24"/>
          <w:szCs w:val="24"/>
        </w:rPr>
        <w:t xml:space="preserve"> (1977) found a negative relationship between inflation rates a</w:t>
      </w:r>
      <w:r w:rsidR="006D7F23">
        <w:rPr>
          <w:rFonts w:asciiTheme="majorBidi" w:hAnsiTheme="majorBidi" w:cstheme="majorBidi"/>
          <w:sz w:val="24"/>
          <w:szCs w:val="24"/>
        </w:rPr>
        <w:t xml:space="preserve">nd the U.S stock prices from 1953 to </w:t>
      </w:r>
      <w:r w:rsidRPr="003E4813">
        <w:rPr>
          <w:rFonts w:asciiTheme="majorBidi" w:hAnsiTheme="majorBidi" w:cstheme="majorBidi"/>
          <w:sz w:val="24"/>
          <w:szCs w:val="24"/>
        </w:rPr>
        <w:t>1971</w:t>
      </w:r>
      <w:r w:rsidR="00647381" w:rsidRPr="003E4813">
        <w:rPr>
          <w:rFonts w:asciiTheme="majorBidi" w:hAnsiTheme="majorBidi" w:cstheme="majorBidi"/>
          <w:sz w:val="24"/>
          <w:szCs w:val="24"/>
        </w:rPr>
        <w:t xml:space="preserve">. </w:t>
      </w:r>
      <w:proofErr w:type="spellStart"/>
      <w:r w:rsidRPr="003E4813">
        <w:rPr>
          <w:rFonts w:asciiTheme="majorBidi" w:hAnsiTheme="majorBidi" w:cstheme="majorBidi"/>
          <w:sz w:val="24"/>
          <w:szCs w:val="24"/>
        </w:rPr>
        <w:t>Fama</w:t>
      </w:r>
      <w:proofErr w:type="spellEnd"/>
      <w:r w:rsidRPr="003E4813">
        <w:rPr>
          <w:rFonts w:asciiTheme="majorBidi" w:hAnsiTheme="majorBidi" w:cstheme="majorBidi"/>
          <w:sz w:val="24"/>
          <w:szCs w:val="24"/>
        </w:rPr>
        <w:t xml:space="preserve"> and Gibbons (1982)</w:t>
      </w:r>
      <w:r w:rsidR="006D7F23">
        <w:rPr>
          <w:rFonts w:asciiTheme="majorBidi" w:hAnsiTheme="majorBidi" w:cstheme="majorBidi"/>
          <w:sz w:val="24"/>
          <w:szCs w:val="24"/>
        </w:rPr>
        <w:t xml:space="preserve"> and </w:t>
      </w:r>
      <w:proofErr w:type="spellStart"/>
      <w:r w:rsidR="006D7F23">
        <w:rPr>
          <w:rFonts w:asciiTheme="majorBidi" w:hAnsiTheme="majorBidi" w:cstheme="majorBidi"/>
          <w:sz w:val="24"/>
          <w:szCs w:val="24"/>
        </w:rPr>
        <w:t>Geske</w:t>
      </w:r>
      <w:proofErr w:type="spellEnd"/>
      <w:r w:rsidR="006D7F23">
        <w:rPr>
          <w:rFonts w:asciiTheme="majorBidi" w:hAnsiTheme="majorBidi" w:cstheme="majorBidi"/>
          <w:sz w:val="24"/>
          <w:szCs w:val="24"/>
        </w:rPr>
        <w:t xml:space="preserve"> and Roll (1983) </w:t>
      </w:r>
      <w:r w:rsidRPr="003E4813">
        <w:rPr>
          <w:rFonts w:asciiTheme="majorBidi" w:hAnsiTheme="majorBidi" w:cstheme="majorBidi"/>
          <w:sz w:val="24"/>
          <w:szCs w:val="24"/>
        </w:rPr>
        <w:t xml:space="preserve">confirmed </w:t>
      </w:r>
      <w:proofErr w:type="spellStart"/>
      <w:r w:rsidRPr="003E4813">
        <w:rPr>
          <w:rFonts w:asciiTheme="majorBidi" w:hAnsiTheme="majorBidi" w:cstheme="majorBidi"/>
          <w:sz w:val="24"/>
          <w:szCs w:val="24"/>
        </w:rPr>
        <w:t>Mundell</w:t>
      </w:r>
      <w:r w:rsidR="006D7F23">
        <w:rPr>
          <w:rFonts w:asciiTheme="majorBidi" w:hAnsiTheme="majorBidi" w:cstheme="majorBidi"/>
          <w:sz w:val="24"/>
          <w:szCs w:val="24"/>
        </w:rPr>
        <w:t>’s</w:t>
      </w:r>
      <w:proofErr w:type="spellEnd"/>
      <w:r w:rsidRPr="003E4813">
        <w:rPr>
          <w:rFonts w:asciiTheme="majorBidi" w:hAnsiTheme="majorBidi" w:cstheme="majorBidi"/>
          <w:sz w:val="24"/>
          <w:szCs w:val="24"/>
        </w:rPr>
        <w:t xml:space="preserve"> (1963) and Tobin</w:t>
      </w:r>
      <w:r w:rsidR="006D7F23">
        <w:rPr>
          <w:rFonts w:asciiTheme="majorBidi" w:hAnsiTheme="majorBidi" w:cstheme="majorBidi"/>
          <w:sz w:val="24"/>
          <w:szCs w:val="24"/>
        </w:rPr>
        <w:t>’s</w:t>
      </w:r>
      <w:r w:rsidRPr="003E4813">
        <w:rPr>
          <w:rFonts w:asciiTheme="majorBidi" w:hAnsiTheme="majorBidi" w:cstheme="majorBidi"/>
          <w:sz w:val="24"/>
          <w:szCs w:val="24"/>
        </w:rPr>
        <w:t xml:space="preserve"> (1969</w:t>
      </w:r>
      <w:r w:rsidR="00647381" w:rsidRPr="003E4813">
        <w:rPr>
          <w:rFonts w:asciiTheme="majorBidi" w:hAnsiTheme="majorBidi" w:cstheme="majorBidi"/>
          <w:sz w:val="24"/>
          <w:szCs w:val="24"/>
        </w:rPr>
        <w:t xml:space="preserve">) hypotheses that inflation rates </w:t>
      </w:r>
      <w:r w:rsidRPr="003E4813">
        <w:rPr>
          <w:rFonts w:asciiTheme="majorBidi" w:hAnsiTheme="majorBidi" w:cstheme="majorBidi"/>
          <w:sz w:val="24"/>
          <w:szCs w:val="24"/>
        </w:rPr>
        <w:t>are negatively related to stock prices.</w:t>
      </w:r>
      <w:r w:rsidR="0077643F" w:rsidRPr="003E4813">
        <w:rPr>
          <w:rFonts w:asciiTheme="majorBidi" w:hAnsiTheme="majorBidi" w:cstheme="majorBidi"/>
          <w:sz w:val="24"/>
          <w:szCs w:val="24"/>
        </w:rPr>
        <w:t xml:space="preserve"> </w:t>
      </w:r>
      <w:r w:rsidR="00647381" w:rsidRPr="003E4813">
        <w:rPr>
          <w:rFonts w:asciiTheme="majorBidi" w:hAnsiTheme="majorBidi" w:cstheme="majorBidi"/>
          <w:sz w:val="24"/>
          <w:szCs w:val="24"/>
        </w:rPr>
        <w:t xml:space="preserve">Freidman and </w:t>
      </w:r>
      <w:proofErr w:type="spellStart"/>
      <w:r w:rsidR="00647381" w:rsidRPr="003E4813">
        <w:rPr>
          <w:rFonts w:asciiTheme="majorBidi" w:hAnsiTheme="majorBidi" w:cstheme="majorBidi"/>
          <w:sz w:val="24"/>
          <w:szCs w:val="24"/>
        </w:rPr>
        <w:t>Schwart</w:t>
      </w:r>
      <w:proofErr w:type="spellEnd"/>
      <w:r w:rsidR="00647381" w:rsidRPr="003E4813">
        <w:rPr>
          <w:rFonts w:asciiTheme="majorBidi" w:hAnsiTheme="majorBidi" w:cstheme="majorBidi"/>
          <w:sz w:val="24"/>
          <w:szCs w:val="24"/>
        </w:rPr>
        <w:t xml:space="preserve"> (1963) argued that money supply </w:t>
      </w:r>
      <w:r w:rsidR="006D7F23">
        <w:rPr>
          <w:rFonts w:asciiTheme="majorBidi" w:hAnsiTheme="majorBidi" w:cstheme="majorBidi"/>
          <w:sz w:val="24"/>
          <w:szCs w:val="24"/>
        </w:rPr>
        <w:t>positively influences economic cycles</w:t>
      </w:r>
      <w:r w:rsidR="00647381" w:rsidRPr="003E4813">
        <w:rPr>
          <w:rFonts w:asciiTheme="majorBidi" w:hAnsiTheme="majorBidi" w:cstheme="majorBidi"/>
          <w:sz w:val="24"/>
          <w:szCs w:val="24"/>
        </w:rPr>
        <w:t xml:space="preserve">. The </w:t>
      </w:r>
      <w:r w:rsidR="006D7F23" w:rsidRPr="003E4813">
        <w:rPr>
          <w:rFonts w:asciiTheme="majorBidi" w:hAnsiTheme="majorBidi" w:cstheme="majorBidi"/>
          <w:sz w:val="24"/>
          <w:szCs w:val="24"/>
        </w:rPr>
        <w:t>expansion of money supply stimulates</w:t>
      </w:r>
      <w:r w:rsidR="00647381" w:rsidRPr="003E4813">
        <w:rPr>
          <w:rFonts w:asciiTheme="majorBidi" w:hAnsiTheme="majorBidi" w:cstheme="majorBidi"/>
          <w:sz w:val="24"/>
          <w:szCs w:val="24"/>
        </w:rPr>
        <w:t xml:space="preserve"> </w:t>
      </w:r>
      <w:r w:rsidR="00895AFA">
        <w:rPr>
          <w:rFonts w:asciiTheme="majorBidi" w:hAnsiTheme="majorBidi" w:cstheme="majorBidi"/>
          <w:sz w:val="24"/>
          <w:szCs w:val="24"/>
        </w:rPr>
        <w:t xml:space="preserve">the </w:t>
      </w:r>
      <w:r w:rsidR="00647381" w:rsidRPr="003E4813">
        <w:rPr>
          <w:rFonts w:asciiTheme="majorBidi" w:hAnsiTheme="majorBidi" w:cstheme="majorBidi"/>
          <w:sz w:val="24"/>
          <w:szCs w:val="24"/>
        </w:rPr>
        <w:t xml:space="preserve">economy and increases the cash flow in public hands, </w:t>
      </w:r>
      <w:r w:rsidR="006D7F23">
        <w:rPr>
          <w:rFonts w:asciiTheme="majorBidi" w:hAnsiTheme="majorBidi" w:cstheme="majorBidi"/>
          <w:sz w:val="24"/>
          <w:szCs w:val="24"/>
        </w:rPr>
        <w:t xml:space="preserve">thereby increasing the demand of </w:t>
      </w:r>
      <w:r w:rsidR="00647381" w:rsidRPr="003E4813">
        <w:rPr>
          <w:rFonts w:asciiTheme="majorBidi" w:hAnsiTheme="majorBidi" w:cstheme="majorBidi"/>
          <w:sz w:val="24"/>
          <w:szCs w:val="24"/>
        </w:rPr>
        <w:t>stocks and their</w:t>
      </w:r>
      <w:r w:rsidR="009A7130">
        <w:rPr>
          <w:rFonts w:asciiTheme="majorBidi" w:hAnsiTheme="majorBidi" w:cstheme="majorBidi"/>
          <w:sz w:val="24"/>
          <w:szCs w:val="24"/>
        </w:rPr>
        <w:t xml:space="preserve"> prices in </w:t>
      </w:r>
      <w:r w:rsidR="006D7F23">
        <w:rPr>
          <w:rFonts w:asciiTheme="majorBidi" w:hAnsiTheme="majorBidi" w:cstheme="majorBidi"/>
          <w:sz w:val="24"/>
          <w:szCs w:val="24"/>
        </w:rPr>
        <w:t xml:space="preserve">the </w:t>
      </w:r>
      <w:r w:rsidR="009A7130">
        <w:rPr>
          <w:rFonts w:asciiTheme="majorBidi" w:hAnsiTheme="majorBidi" w:cstheme="majorBidi"/>
          <w:sz w:val="24"/>
          <w:szCs w:val="24"/>
        </w:rPr>
        <w:t xml:space="preserve">market (Wong et al. </w:t>
      </w:r>
      <w:r w:rsidR="00647381" w:rsidRPr="003E4813">
        <w:rPr>
          <w:rFonts w:asciiTheme="majorBidi" w:hAnsiTheme="majorBidi" w:cstheme="majorBidi"/>
          <w:sz w:val="24"/>
          <w:szCs w:val="24"/>
        </w:rPr>
        <w:t>2006</w:t>
      </w:r>
      <w:r w:rsidR="009A7130">
        <w:rPr>
          <w:rFonts w:asciiTheme="majorBidi" w:hAnsiTheme="majorBidi" w:cstheme="majorBidi"/>
          <w:sz w:val="24"/>
          <w:szCs w:val="24"/>
        </w:rPr>
        <w:t>, p. 32</w:t>
      </w:r>
      <w:r w:rsidR="006D7F23">
        <w:rPr>
          <w:rFonts w:asciiTheme="majorBidi" w:hAnsiTheme="majorBidi" w:cstheme="majorBidi"/>
          <w:sz w:val="24"/>
          <w:szCs w:val="24"/>
        </w:rPr>
        <w:t xml:space="preserve">). In contrast </w:t>
      </w:r>
      <w:r w:rsidR="00B754A1" w:rsidRPr="003E4813">
        <w:rPr>
          <w:rFonts w:asciiTheme="majorBidi" w:hAnsiTheme="majorBidi" w:cstheme="majorBidi"/>
          <w:sz w:val="24"/>
          <w:szCs w:val="24"/>
        </w:rPr>
        <w:t xml:space="preserve">to Freidman and </w:t>
      </w:r>
      <w:proofErr w:type="spellStart"/>
      <w:r w:rsidR="00B754A1" w:rsidRPr="003E4813">
        <w:rPr>
          <w:rFonts w:asciiTheme="majorBidi" w:hAnsiTheme="majorBidi" w:cstheme="majorBidi"/>
          <w:sz w:val="24"/>
          <w:szCs w:val="24"/>
        </w:rPr>
        <w:t>Schwart</w:t>
      </w:r>
      <w:r w:rsidR="006D7F23">
        <w:rPr>
          <w:rFonts w:asciiTheme="majorBidi" w:hAnsiTheme="majorBidi" w:cstheme="majorBidi"/>
          <w:sz w:val="24"/>
          <w:szCs w:val="24"/>
        </w:rPr>
        <w:t>’s</w:t>
      </w:r>
      <w:proofErr w:type="spellEnd"/>
      <w:r w:rsidR="00B754A1" w:rsidRPr="003E4813">
        <w:rPr>
          <w:rFonts w:asciiTheme="majorBidi" w:hAnsiTheme="majorBidi" w:cstheme="majorBidi"/>
          <w:sz w:val="24"/>
          <w:szCs w:val="24"/>
        </w:rPr>
        <w:t xml:space="preserve"> (1975</w:t>
      </w:r>
      <w:r w:rsidR="00647381" w:rsidRPr="003E4813">
        <w:rPr>
          <w:rFonts w:asciiTheme="majorBidi" w:hAnsiTheme="majorBidi" w:cstheme="majorBidi"/>
          <w:sz w:val="24"/>
          <w:szCs w:val="24"/>
        </w:rPr>
        <w:t xml:space="preserve">) study, </w:t>
      </w:r>
      <w:proofErr w:type="spellStart"/>
      <w:r w:rsidR="00647381" w:rsidRPr="003E4813">
        <w:rPr>
          <w:rFonts w:asciiTheme="majorBidi" w:hAnsiTheme="majorBidi" w:cstheme="majorBidi"/>
          <w:sz w:val="24"/>
          <w:szCs w:val="24"/>
        </w:rPr>
        <w:t>Fama</w:t>
      </w:r>
      <w:proofErr w:type="spellEnd"/>
      <w:r w:rsidR="00647381" w:rsidRPr="003E4813">
        <w:rPr>
          <w:rFonts w:asciiTheme="majorBidi" w:hAnsiTheme="majorBidi" w:cstheme="majorBidi"/>
          <w:sz w:val="24"/>
          <w:szCs w:val="24"/>
        </w:rPr>
        <w:t xml:space="preserve"> (1981) hypothesized a negative relationship between money supply and stock </w:t>
      </w:r>
      <w:r w:rsidR="00647381" w:rsidRPr="003E4813">
        <w:rPr>
          <w:rFonts w:asciiTheme="majorBidi" w:hAnsiTheme="majorBidi" w:cstheme="majorBidi"/>
          <w:sz w:val="24"/>
          <w:szCs w:val="24"/>
        </w:rPr>
        <w:lastRenderedPageBreak/>
        <w:t>prices. An incre</w:t>
      </w:r>
      <w:r w:rsidR="00895AFA">
        <w:rPr>
          <w:rFonts w:asciiTheme="majorBidi" w:hAnsiTheme="majorBidi" w:cstheme="majorBidi"/>
          <w:sz w:val="24"/>
          <w:szCs w:val="24"/>
        </w:rPr>
        <w:t xml:space="preserve">ase in money supply leads to </w:t>
      </w:r>
      <w:r w:rsidR="00647381" w:rsidRPr="003E4813">
        <w:rPr>
          <w:rFonts w:asciiTheme="majorBidi" w:hAnsiTheme="majorBidi" w:cstheme="majorBidi"/>
          <w:sz w:val="24"/>
          <w:szCs w:val="24"/>
        </w:rPr>
        <w:t xml:space="preserve">increase interest </w:t>
      </w:r>
      <w:r w:rsidR="00895AFA" w:rsidRPr="003E4813">
        <w:rPr>
          <w:rFonts w:asciiTheme="majorBidi" w:hAnsiTheme="majorBidi" w:cstheme="majorBidi"/>
          <w:sz w:val="24"/>
          <w:szCs w:val="24"/>
        </w:rPr>
        <w:t>rates which in turn decrease</w:t>
      </w:r>
      <w:r w:rsidR="00647381" w:rsidRPr="003E4813">
        <w:rPr>
          <w:rFonts w:asciiTheme="majorBidi" w:hAnsiTheme="majorBidi" w:cstheme="majorBidi"/>
          <w:sz w:val="24"/>
          <w:szCs w:val="24"/>
        </w:rPr>
        <w:t xml:space="preserve"> stock prices through inflation </w:t>
      </w:r>
      <w:r w:rsidR="0077643F" w:rsidRPr="003E4813">
        <w:rPr>
          <w:rFonts w:asciiTheme="majorBidi" w:hAnsiTheme="majorBidi" w:cstheme="majorBidi"/>
          <w:sz w:val="24"/>
          <w:szCs w:val="24"/>
        </w:rPr>
        <w:t>pressures.</w:t>
      </w:r>
      <w:r w:rsidR="00520D04" w:rsidRPr="003E4813">
        <w:rPr>
          <w:rFonts w:asciiTheme="majorBidi" w:hAnsiTheme="majorBidi" w:cstheme="majorBidi"/>
          <w:sz w:val="24"/>
          <w:szCs w:val="24"/>
        </w:rPr>
        <w:t xml:space="preserve"> </w:t>
      </w:r>
      <w:proofErr w:type="spellStart"/>
      <w:r w:rsidR="00647381" w:rsidRPr="003E4813">
        <w:rPr>
          <w:rFonts w:asciiTheme="majorBidi" w:hAnsiTheme="majorBidi" w:cstheme="majorBidi"/>
          <w:sz w:val="24"/>
          <w:szCs w:val="24"/>
        </w:rPr>
        <w:t>Fama</w:t>
      </w:r>
      <w:proofErr w:type="spellEnd"/>
      <w:r w:rsidR="00647381" w:rsidRPr="003E4813">
        <w:rPr>
          <w:rFonts w:asciiTheme="majorBidi" w:hAnsiTheme="majorBidi" w:cstheme="majorBidi"/>
          <w:sz w:val="24"/>
          <w:szCs w:val="24"/>
        </w:rPr>
        <w:t xml:space="preserve"> (1981) hypothesized a positive relation</w:t>
      </w:r>
      <w:r w:rsidR="00F37798" w:rsidRPr="003E4813">
        <w:rPr>
          <w:rFonts w:asciiTheme="majorBidi" w:hAnsiTheme="majorBidi" w:cstheme="majorBidi"/>
          <w:sz w:val="24"/>
          <w:szCs w:val="24"/>
        </w:rPr>
        <w:t>ship between stock prices and the industrial production index</w:t>
      </w:r>
      <w:r w:rsidR="00C2110A" w:rsidRPr="003E4813">
        <w:rPr>
          <w:rFonts w:asciiTheme="majorBidi" w:hAnsiTheme="majorBidi" w:cstheme="majorBidi"/>
          <w:sz w:val="24"/>
          <w:szCs w:val="24"/>
        </w:rPr>
        <w:t>. In addition</w:t>
      </w:r>
      <w:r w:rsidR="00647381" w:rsidRPr="003E4813">
        <w:rPr>
          <w:rFonts w:asciiTheme="majorBidi" w:hAnsiTheme="majorBidi" w:cstheme="majorBidi"/>
          <w:sz w:val="24"/>
          <w:szCs w:val="24"/>
        </w:rPr>
        <w:t xml:space="preserve">, </w:t>
      </w:r>
      <w:proofErr w:type="spellStart"/>
      <w:r w:rsidR="00647381" w:rsidRPr="003E4813">
        <w:rPr>
          <w:rFonts w:asciiTheme="majorBidi" w:hAnsiTheme="majorBidi" w:cstheme="majorBidi"/>
          <w:sz w:val="24"/>
          <w:szCs w:val="24"/>
        </w:rPr>
        <w:t>Geske</w:t>
      </w:r>
      <w:proofErr w:type="spellEnd"/>
      <w:r w:rsidR="00647381" w:rsidRPr="003E4813">
        <w:rPr>
          <w:rFonts w:asciiTheme="majorBidi" w:hAnsiTheme="majorBidi" w:cstheme="majorBidi"/>
          <w:sz w:val="24"/>
          <w:szCs w:val="24"/>
        </w:rPr>
        <w:t xml:space="preserve"> and Roll (1983) found a positive relationship between US stock prices</w:t>
      </w:r>
      <w:r w:rsidR="00F37798" w:rsidRPr="003E4813">
        <w:rPr>
          <w:rFonts w:asciiTheme="majorBidi" w:hAnsiTheme="majorBidi" w:cstheme="majorBidi"/>
          <w:sz w:val="24"/>
          <w:szCs w:val="24"/>
        </w:rPr>
        <w:t xml:space="preserve"> and the industrial production index. The increase of output </w:t>
      </w:r>
      <w:r w:rsidR="00647381" w:rsidRPr="003E4813">
        <w:rPr>
          <w:rFonts w:asciiTheme="majorBidi" w:hAnsiTheme="majorBidi" w:cstheme="majorBidi"/>
          <w:sz w:val="24"/>
          <w:szCs w:val="24"/>
        </w:rPr>
        <w:t xml:space="preserve">produced by corporations boosts the future cash flow and profits </w:t>
      </w:r>
      <w:r w:rsidR="006D7F23">
        <w:rPr>
          <w:rFonts w:asciiTheme="majorBidi" w:hAnsiTheme="majorBidi" w:cstheme="majorBidi"/>
          <w:sz w:val="24"/>
          <w:szCs w:val="24"/>
        </w:rPr>
        <w:t xml:space="preserve">of corporations, thereby </w:t>
      </w:r>
      <w:r w:rsidR="00647381" w:rsidRPr="003E4813">
        <w:rPr>
          <w:rFonts w:asciiTheme="majorBidi" w:hAnsiTheme="majorBidi" w:cstheme="majorBidi"/>
          <w:sz w:val="24"/>
          <w:szCs w:val="24"/>
        </w:rPr>
        <w:t>incre</w:t>
      </w:r>
      <w:r w:rsidR="006D7F23">
        <w:rPr>
          <w:rFonts w:asciiTheme="majorBidi" w:hAnsiTheme="majorBidi" w:cstheme="majorBidi"/>
          <w:sz w:val="24"/>
          <w:szCs w:val="24"/>
        </w:rPr>
        <w:t>asing</w:t>
      </w:r>
      <w:r w:rsidR="0077643F" w:rsidRPr="003E4813">
        <w:rPr>
          <w:rFonts w:asciiTheme="majorBidi" w:hAnsiTheme="majorBidi" w:cstheme="majorBidi"/>
          <w:sz w:val="24"/>
          <w:szCs w:val="24"/>
        </w:rPr>
        <w:t xml:space="preserve"> corporations’ stock </w:t>
      </w:r>
      <w:r w:rsidR="00647381" w:rsidRPr="003E4813">
        <w:rPr>
          <w:rFonts w:asciiTheme="majorBidi" w:hAnsiTheme="majorBidi" w:cstheme="majorBidi"/>
          <w:sz w:val="24"/>
          <w:szCs w:val="24"/>
        </w:rPr>
        <w:t>prices.</w:t>
      </w:r>
    </w:p>
    <w:p w:rsidR="00396322" w:rsidRPr="003E4813" w:rsidRDefault="00647381" w:rsidP="003D29DA">
      <w:pPr>
        <w:spacing w:after="0" w:line="240" w:lineRule="auto"/>
        <w:jc w:val="both"/>
        <w:rPr>
          <w:rFonts w:asciiTheme="majorBidi" w:hAnsiTheme="majorBidi" w:cstheme="majorBidi"/>
          <w:sz w:val="24"/>
          <w:szCs w:val="24"/>
        </w:rPr>
      </w:pPr>
      <w:r w:rsidRPr="003E4813">
        <w:rPr>
          <w:rFonts w:asciiTheme="majorBidi" w:hAnsiTheme="majorBidi" w:cstheme="majorBidi"/>
          <w:sz w:val="24"/>
          <w:szCs w:val="24"/>
        </w:rPr>
        <w:t xml:space="preserve"> </w:t>
      </w:r>
    </w:p>
    <w:p w:rsidR="003D29DA" w:rsidRDefault="004F5B05" w:rsidP="003D29DA">
      <w:pPr>
        <w:spacing w:after="0" w:line="240" w:lineRule="auto"/>
        <w:jc w:val="both"/>
        <w:rPr>
          <w:rFonts w:asciiTheme="majorBidi" w:hAnsiTheme="majorBidi" w:cstheme="majorBidi"/>
          <w:sz w:val="24"/>
          <w:szCs w:val="24"/>
        </w:rPr>
      </w:pPr>
      <w:r>
        <w:rPr>
          <w:rFonts w:asciiTheme="majorBidi" w:hAnsiTheme="majorBidi" w:cstheme="majorBidi"/>
          <w:sz w:val="24"/>
          <w:szCs w:val="24"/>
        </w:rPr>
        <w:t>Several studies have examined the relationships between macroeconomic variables and stock prices</w:t>
      </w:r>
      <w:r w:rsidR="00DF452E">
        <w:rPr>
          <w:rFonts w:asciiTheme="majorBidi" w:hAnsiTheme="majorBidi" w:cstheme="majorBidi"/>
          <w:sz w:val="24"/>
          <w:szCs w:val="24"/>
        </w:rPr>
        <w:t xml:space="preserve"> using various dynamic time </w:t>
      </w:r>
      <w:r w:rsidR="009746CA">
        <w:rPr>
          <w:rFonts w:asciiTheme="majorBidi" w:hAnsiTheme="majorBidi" w:cstheme="majorBidi"/>
          <w:sz w:val="24"/>
          <w:szCs w:val="24"/>
        </w:rPr>
        <w:t>series models</w:t>
      </w:r>
      <w:r>
        <w:rPr>
          <w:rFonts w:asciiTheme="majorBidi" w:hAnsiTheme="majorBidi" w:cstheme="majorBidi"/>
          <w:sz w:val="24"/>
          <w:szCs w:val="24"/>
        </w:rPr>
        <w:t xml:space="preserve">. </w:t>
      </w:r>
      <w:proofErr w:type="spellStart"/>
      <w:r w:rsidR="009746CA" w:rsidRPr="00FD07B4">
        <w:rPr>
          <w:rFonts w:asciiTheme="majorBidi" w:hAnsiTheme="majorBidi" w:cstheme="majorBidi"/>
          <w:sz w:val="24"/>
          <w:szCs w:val="24"/>
        </w:rPr>
        <w:t>Abugri</w:t>
      </w:r>
      <w:proofErr w:type="spellEnd"/>
      <w:r w:rsidR="009746CA" w:rsidRPr="00FD07B4">
        <w:rPr>
          <w:rFonts w:asciiTheme="majorBidi" w:hAnsiTheme="majorBidi" w:cstheme="majorBidi"/>
          <w:sz w:val="24"/>
          <w:szCs w:val="24"/>
        </w:rPr>
        <w:t xml:space="preserve"> (2008) </w:t>
      </w:r>
      <w:r w:rsidR="009746CA">
        <w:rPr>
          <w:rFonts w:asciiTheme="majorBidi" w:hAnsiTheme="majorBidi" w:cstheme="majorBidi"/>
          <w:sz w:val="24"/>
          <w:szCs w:val="24"/>
        </w:rPr>
        <w:t xml:space="preserve">employed </w:t>
      </w:r>
      <w:r w:rsidR="00657C62">
        <w:rPr>
          <w:rFonts w:asciiTheme="majorBidi" w:hAnsiTheme="majorBidi" w:cstheme="majorBidi"/>
          <w:sz w:val="24"/>
          <w:szCs w:val="24"/>
        </w:rPr>
        <w:t xml:space="preserve">the </w:t>
      </w:r>
      <w:r w:rsidR="009746CA">
        <w:rPr>
          <w:rFonts w:asciiTheme="majorBidi" w:hAnsiTheme="majorBidi" w:cstheme="majorBidi"/>
          <w:sz w:val="24"/>
          <w:szCs w:val="24"/>
        </w:rPr>
        <w:t xml:space="preserve">vector autoregressive (VAR) model to examine the impact of domestic and global macroeconomic variables on </w:t>
      </w:r>
      <w:r w:rsidR="009746CA" w:rsidRPr="00FD07B4">
        <w:rPr>
          <w:rFonts w:asciiTheme="majorBidi" w:hAnsiTheme="majorBidi" w:cstheme="majorBidi"/>
          <w:sz w:val="24"/>
          <w:szCs w:val="24"/>
        </w:rPr>
        <w:t>stock market indices of four Latin American countries</w:t>
      </w:r>
      <w:r w:rsidR="00657C62">
        <w:rPr>
          <w:rFonts w:asciiTheme="majorBidi" w:hAnsiTheme="majorBidi" w:cstheme="majorBidi"/>
          <w:sz w:val="24"/>
          <w:szCs w:val="24"/>
        </w:rPr>
        <w:t>:</w:t>
      </w:r>
      <w:r w:rsidR="009746CA" w:rsidRPr="00FD07B4">
        <w:rPr>
          <w:rFonts w:asciiTheme="majorBidi" w:hAnsiTheme="majorBidi" w:cstheme="majorBidi"/>
          <w:sz w:val="24"/>
          <w:szCs w:val="24"/>
        </w:rPr>
        <w:t xml:space="preserve"> Argent</w:t>
      </w:r>
      <w:r w:rsidR="009746CA">
        <w:rPr>
          <w:rFonts w:asciiTheme="majorBidi" w:hAnsiTheme="majorBidi" w:cstheme="majorBidi"/>
          <w:sz w:val="24"/>
          <w:szCs w:val="24"/>
        </w:rPr>
        <w:t xml:space="preserve">ina, Brazil, Chile, and Mexico. </w:t>
      </w:r>
      <w:r w:rsidR="00DF452E">
        <w:rPr>
          <w:rFonts w:asciiTheme="majorBidi" w:hAnsiTheme="majorBidi" w:cstheme="majorBidi"/>
          <w:sz w:val="24"/>
          <w:szCs w:val="24"/>
        </w:rPr>
        <w:t xml:space="preserve">Using the same time </w:t>
      </w:r>
      <w:r w:rsidR="00160080">
        <w:rPr>
          <w:rFonts w:asciiTheme="majorBidi" w:hAnsiTheme="majorBidi" w:cstheme="majorBidi"/>
          <w:sz w:val="24"/>
          <w:szCs w:val="24"/>
        </w:rPr>
        <w:t xml:space="preserve">series model, </w:t>
      </w:r>
      <w:proofErr w:type="spellStart"/>
      <w:r w:rsidR="00160080" w:rsidRPr="00FD07B4">
        <w:rPr>
          <w:rFonts w:asciiTheme="majorBidi" w:hAnsiTheme="majorBidi" w:cstheme="majorBidi"/>
          <w:sz w:val="24"/>
          <w:szCs w:val="24"/>
        </w:rPr>
        <w:t>Bjornald</w:t>
      </w:r>
      <w:proofErr w:type="spellEnd"/>
      <w:r w:rsidR="00160080" w:rsidRPr="00FD07B4">
        <w:rPr>
          <w:rFonts w:asciiTheme="majorBidi" w:hAnsiTheme="majorBidi" w:cstheme="majorBidi"/>
          <w:sz w:val="24"/>
          <w:szCs w:val="24"/>
        </w:rPr>
        <w:t xml:space="preserve"> and </w:t>
      </w:r>
      <w:proofErr w:type="spellStart"/>
      <w:r w:rsidR="00160080" w:rsidRPr="00FD07B4">
        <w:rPr>
          <w:rFonts w:asciiTheme="majorBidi" w:hAnsiTheme="majorBidi" w:cstheme="majorBidi"/>
          <w:sz w:val="24"/>
          <w:szCs w:val="24"/>
        </w:rPr>
        <w:t>Leitemo</w:t>
      </w:r>
      <w:proofErr w:type="spellEnd"/>
      <w:r w:rsidR="00160080" w:rsidRPr="00FD07B4">
        <w:rPr>
          <w:rFonts w:asciiTheme="majorBidi" w:hAnsiTheme="majorBidi" w:cstheme="majorBidi"/>
          <w:sz w:val="24"/>
          <w:szCs w:val="24"/>
        </w:rPr>
        <w:t xml:space="preserve"> (2009)</w:t>
      </w:r>
      <w:r w:rsidR="0077643F">
        <w:rPr>
          <w:rFonts w:asciiTheme="majorBidi" w:hAnsiTheme="majorBidi" w:cstheme="majorBidi"/>
          <w:sz w:val="24"/>
          <w:szCs w:val="24"/>
        </w:rPr>
        <w:t>,</w:t>
      </w:r>
      <w:r w:rsidR="00160080">
        <w:rPr>
          <w:rFonts w:asciiTheme="majorBidi" w:hAnsiTheme="majorBidi" w:cstheme="majorBidi"/>
          <w:sz w:val="24"/>
          <w:szCs w:val="24"/>
        </w:rPr>
        <w:t xml:space="preserve"> </w:t>
      </w:r>
      <w:r w:rsidR="00160080" w:rsidRPr="00FD07B4">
        <w:rPr>
          <w:rFonts w:asciiTheme="majorBidi" w:hAnsiTheme="majorBidi" w:cstheme="majorBidi"/>
          <w:sz w:val="24"/>
          <w:szCs w:val="24"/>
        </w:rPr>
        <w:t xml:space="preserve">Black </w:t>
      </w:r>
      <w:r w:rsidR="00160080" w:rsidRPr="00160080">
        <w:rPr>
          <w:rFonts w:asciiTheme="majorBidi" w:hAnsiTheme="majorBidi" w:cstheme="majorBidi"/>
          <w:sz w:val="24"/>
          <w:szCs w:val="24"/>
        </w:rPr>
        <w:t>et al.</w:t>
      </w:r>
      <w:r w:rsidR="00160080" w:rsidRPr="00FD07B4">
        <w:rPr>
          <w:rFonts w:asciiTheme="majorBidi" w:hAnsiTheme="majorBidi" w:cstheme="majorBidi"/>
          <w:sz w:val="24"/>
          <w:szCs w:val="24"/>
        </w:rPr>
        <w:t xml:space="preserve"> (2003)</w:t>
      </w:r>
      <w:r w:rsidR="0077643F">
        <w:rPr>
          <w:rFonts w:asciiTheme="majorBidi" w:hAnsiTheme="majorBidi" w:cstheme="majorBidi"/>
          <w:sz w:val="24"/>
          <w:szCs w:val="24"/>
        </w:rPr>
        <w:t>,</w:t>
      </w:r>
      <w:r w:rsidR="00160080" w:rsidRPr="00FD07B4">
        <w:rPr>
          <w:rFonts w:asciiTheme="majorBidi" w:hAnsiTheme="majorBidi" w:cstheme="majorBidi"/>
          <w:sz w:val="24"/>
          <w:szCs w:val="24"/>
        </w:rPr>
        <w:t xml:space="preserve"> </w:t>
      </w:r>
      <w:proofErr w:type="spellStart"/>
      <w:r w:rsidR="00160080" w:rsidRPr="00FD07B4">
        <w:rPr>
          <w:rFonts w:asciiTheme="majorBidi" w:hAnsiTheme="majorBidi" w:cstheme="majorBidi"/>
          <w:sz w:val="24"/>
          <w:szCs w:val="24"/>
        </w:rPr>
        <w:t>Kizys</w:t>
      </w:r>
      <w:proofErr w:type="spellEnd"/>
      <w:r w:rsidR="00160080" w:rsidRPr="00FD07B4">
        <w:rPr>
          <w:rFonts w:asciiTheme="majorBidi" w:hAnsiTheme="majorBidi" w:cstheme="majorBidi"/>
          <w:sz w:val="24"/>
          <w:szCs w:val="24"/>
        </w:rPr>
        <w:t xml:space="preserve"> and </w:t>
      </w:r>
      <w:proofErr w:type="spellStart"/>
      <w:r w:rsidR="00160080" w:rsidRPr="00FD07B4">
        <w:rPr>
          <w:rFonts w:asciiTheme="majorBidi" w:hAnsiTheme="majorBidi" w:cstheme="majorBidi"/>
          <w:sz w:val="24"/>
          <w:szCs w:val="24"/>
        </w:rPr>
        <w:t>Pierdzioch</w:t>
      </w:r>
      <w:proofErr w:type="spellEnd"/>
      <w:r w:rsidR="00160080" w:rsidRPr="00FD07B4">
        <w:rPr>
          <w:rFonts w:asciiTheme="majorBidi" w:hAnsiTheme="majorBidi" w:cstheme="majorBidi"/>
          <w:sz w:val="24"/>
          <w:szCs w:val="24"/>
        </w:rPr>
        <w:t xml:space="preserve"> (2009)</w:t>
      </w:r>
      <w:r w:rsidR="0077643F">
        <w:rPr>
          <w:rFonts w:asciiTheme="majorBidi" w:hAnsiTheme="majorBidi" w:cstheme="majorBidi"/>
          <w:sz w:val="24"/>
          <w:szCs w:val="24"/>
        </w:rPr>
        <w:t>,</w:t>
      </w:r>
      <w:r w:rsidR="00160080">
        <w:rPr>
          <w:rFonts w:asciiTheme="majorBidi" w:hAnsiTheme="majorBidi" w:cstheme="majorBidi"/>
          <w:sz w:val="24"/>
          <w:szCs w:val="24"/>
        </w:rPr>
        <w:t xml:space="preserve"> </w:t>
      </w:r>
      <w:r w:rsidR="0077643F">
        <w:rPr>
          <w:rFonts w:asciiTheme="majorBidi" w:hAnsiTheme="majorBidi" w:cstheme="majorBidi"/>
          <w:sz w:val="24"/>
          <w:szCs w:val="24"/>
        </w:rPr>
        <w:t xml:space="preserve">and </w:t>
      </w:r>
      <w:proofErr w:type="spellStart"/>
      <w:r w:rsidR="00CC44DB">
        <w:rPr>
          <w:rFonts w:asciiTheme="majorBidi" w:hAnsiTheme="majorBidi" w:cstheme="majorBidi"/>
          <w:sz w:val="24"/>
          <w:szCs w:val="24"/>
        </w:rPr>
        <w:t>Ratanapakorn</w:t>
      </w:r>
      <w:proofErr w:type="spellEnd"/>
      <w:r w:rsidR="00160080" w:rsidRPr="00160080">
        <w:rPr>
          <w:rFonts w:asciiTheme="majorBidi" w:hAnsiTheme="majorBidi" w:cstheme="majorBidi"/>
          <w:sz w:val="24"/>
          <w:szCs w:val="24"/>
        </w:rPr>
        <w:t xml:space="preserve"> and Sharma (2007)</w:t>
      </w:r>
      <w:r w:rsidR="00160080">
        <w:rPr>
          <w:rFonts w:asciiTheme="majorBidi" w:hAnsiTheme="majorBidi" w:cstheme="majorBidi"/>
          <w:sz w:val="24"/>
          <w:szCs w:val="24"/>
        </w:rPr>
        <w:t xml:space="preserve"> </w:t>
      </w:r>
      <w:r w:rsidR="00160080" w:rsidRPr="00FD07B4">
        <w:rPr>
          <w:rFonts w:asciiTheme="majorBidi" w:hAnsiTheme="majorBidi" w:cstheme="majorBidi"/>
          <w:sz w:val="24"/>
          <w:szCs w:val="24"/>
        </w:rPr>
        <w:t xml:space="preserve">investigated the impact of macroeconomic variables </w:t>
      </w:r>
      <w:r w:rsidR="00FE090E">
        <w:rPr>
          <w:rFonts w:asciiTheme="majorBidi" w:hAnsiTheme="majorBidi" w:cstheme="majorBidi"/>
          <w:sz w:val="24"/>
          <w:szCs w:val="24"/>
        </w:rPr>
        <w:t>on the US stock market index</w:t>
      </w:r>
      <w:r w:rsidR="00DF452E">
        <w:rPr>
          <w:rFonts w:asciiTheme="majorBidi" w:hAnsiTheme="majorBidi" w:cstheme="majorBidi"/>
          <w:sz w:val="24"/>
          <w:szCs w:val="24"/>
        </w:rPr>
        <w:t xml:space="preserve">, </w:t>
      </w:r>
      <w:r w:rsidR="00657C62">
        <w:rPr>
          <w:rFonts w:asciiTheme="majorBidi" w:hAnsiTheme="majorBidi" w:cstheme="majorBidi"/>
          <w:sz w:val="24"/>
          <w:szCs w:val="24"/>
        </w:rPr>
        <w:t>(</w:t>
      </w:r>
      <w:r w:rsidR="00DF452E">
        <w:rPr>
          <w:rFonts w:asciiTheme="majorBidi" w:hAnsiTheme="majorBidi" w:cstheme="majorBidi"/>
          <w:sz w:val="24"/>
          <w:szCs w:val="24"/>
        </w:rPr>
        <w:t>i.e., S&amp;P500</w:t>
      </w:r>
      <w:r w:rsidR="00657C62">
        <w:rPr>
          <w:rFonts w:asciiTheme="majorBidi" w:hAnsiTheme="majorBidi" w:cstheme="majorBidi"/>
          <w:sz w:val="24"/>
          <w:szCs w:val="24"/>
        </w:rPr>
        <w:t>)</w:t>
      </w:r>
      <w:r w:rsidR="00160080">
        <w:rPr>
          <w:rFonts w:asciiTheme="majorBidi" w:hAnsiTheme="majorBidi" w:cstheme="majorBidi"/>
          <w:sz w:val="24"/>
          <w:szCs w:val="24"/>
        </w:rPr>
        <w:t>.</w:t>
      </w:r>
      <w:r w:rsidR="00260D77">
        <w:rPr>
          <w:rFonts w:asciiTheme="majorBidi" w:hAnsiTheme="majorBidi" w:cstheme="majorBidi"/>
          <w:sz w:val="24"/>
          <w:szCs w:val="24"/>
        </w:rPr>
        <w:t xml:space="preserve"> By implementing VECM</w:t>
      </w:r>
      <w:r w:rsidR="00657C62">
        <w:rPr>
          <w:rFonts w:asciiTheme="majorBidi" w:hAnsiTheme="majorBidi" w:cstheme="majorBidi"/>
          <w:sz w:val="24"/>
          <w:szCs w:val="24"/>
        </w:rPr>
        <w:t xml:space="preserve">, </w:t>
      </w:r>
      <w:proofErr w:type="spellStart"/>
      <w:r w:rsidR="00260D77" w:rsidRPr="00FD07B4">
        <w:rPr>
          <w:rFonts w:asciiTheme="majorBidi" w:hAnsiTheme="majorBidi" w:cstheme="majorBidi"/>
          <w:sz w:val="24"/>
          <w:szCs w:val="24"/>
        </w:rPr>
        <w:t>Laopodis</w:t>
      </w:r>
      <w:proofErr w:type="spellEnd"/>
      <w:r w:rsidR="00260D77" w:rsidRPr="00FD07B4">
        <w:rPr>
          <w:rFonts w:asciiTheme="majorBidi" w:hAnsiTheme="majorBidi" w:cstheme="majorBidi"/>
          <w:sz w:val="24"/>
          <w:szCs w:val="24"/>
        </w:rPr>
        <w:t xml:space="preserve"> (2006) </w:t>
      </w:r>
      <w:r w:rsidR="00657C62">
        <w:rPr>
          <w:rFonts w:asciiTheme="majorBidi" w:hAnsiTheme="majorBidi" w:cstheme="majorBidi"/>
          <w:sz w:val="24"/>
          <w:szCs w:val="24"/>
        </w:rPr>
        <w:t>in the US</w:t>
      </w:r>
      <w:r w:rsidR="00880D85">
        <w:rPr>
          <w:rFonts w:asciiTheme="majorBidi" w:hAnsiTheme="majorBidi" w:cstheme="majorBidi"/>
          <w:sz w:val="24"/>
          <w:szCs w:val="24"/>
        </w:rPr>
        <w:t>,</w:t>
      </w:r>
      <w:r w:rsidR="0064561A">
        <w:rPr>
          <w:rFonts w:asciiTheme="majorBidi" w:hAnsiTheme="majorBidi" w:cstheme="majorBidi"/>
          <w:sz w:val="24"/>
          <w:szCs w:val="24"/>
        </w:rPr>
        <w:t xml:space="preserve"> </w:t>
      </w:r>
      <w:proofErr w:type="spellStart"/>
      <w:r w:rsidR="007C4FD0" w:rsidRPr="00FD07B4">
        <w:rPr>
          <w:rFonts w:asciiTheme="majorBidi" w:hAnsiTheme="majorBidi" w:cstheme="majorBidi"/>
          <w:sz w:val="24"/>
          <w:szCs w:val="24"/>
        </w:rPr>
        <w:t>Maysami</w:t>
      </w:r>
      <w:proofErr w:type="spellEnd"/>
      <w:r w:rsidR="007C4FD0" w:rsidRPr="00FD07B4">
        <w:rPr>
          <w:rFonts w:asciiTheme="majorBidi" w:hAnsiTheme="majorBidi" w:cstheme="majorBidi"/>
          <w:sz w:val="24"/>
          <w:szCs w:val="24"/>
        </w:rPr>
        <w:t xml:space="preserve"> and </w:t>
      </w:r>
      <w:proofErr w:type="spellStart"/>
      <w:r w:rsidR="007C4FD0" w:rsidRPr="00FD07B4">
        <w:rPr>
          <w:rFonts w:asciiTheme="majorBidi" w:hAnsiTheme="majorBidi" w:cstheme="majorBidi"/>
          <w:sz w:val="24"/>
          <w:szCs w:val="24"/>
        </w:rPr>
        <w:t>Koh</w:t>
      </w:r>
      <w:proofErr w:type="spellEnd"/>
      <w:r w:rsidR="007C4FD0" w:rsidRPr="00FD07B4">
        <w:rPr>
          <w:rFonts w:asciiTheme="majorBidi" w:hAnsiTheme="majorBidi" w:cstheme="majorBidi"/>
          <w:sz w:val="24"/>
          <w:szCs w:val="24"/>
        </w:rPr>
        <w:t xml:space="preserve"> (2000) </w:t>
      </w:r>
      <w:r w:rsidR="00880D85">
        <w:rPr>
          <w:rFonts w:asciiTheme="majorBidi" w:hAnsiTheme="majorBidi" w:cstheme="majorBidi"/>
          <w:sz w:val="24"/>
          <w:szCs w:val="24"/>
        </w:rPr>
        <w:t>in Singapore,</w:t>
      </w:r>
      <w:r w:rsidR="0064561A">
        <w:rPr>
          <w:rFonts w:asciiTheme="majorBidi" w:hAnsiTheme="majorBidi" w:cstheme="majorBidi"/>
          <w:sz w:val="24"/>
          <w:szCs w:val="24"/>
        </w:rPr>
        <w:t xml:space="preserve"> </w:t>
      </w:r>
      <w:proofErr w:type="spellStart"/>
      <w:r w:rsidR="007C4FD0" w:rsidRPr="00FD07B4">
        <w:rPr>
          <w:rFonts w:asciiTheme="majorBidi" w:hAnsiTheme="majorBidi" w:cstheme="majorBidi"/>
          <w:sz w:val="24"/>
          <w:szCs w:val="24"/>
        </w:rPr>
        <w:t>Muradoglu</w:t>
      </w:r>
      <w:proofErr w:type="spellEnd"/>
      <w:r w:rsidR="007C4FD0" w:rsidRPr="00FD07B4">
        <w:rPr>
          <w:rFonts w:asciiTheme="majorBidi" w:hAnsiTheme="majorBidi" w:cstheme="majorBidi"/>
          <w:sz w:val="24"/>
          <w:szCs w:val="24"/>
        </w:rPr>
        <w:t xml:space="preserve"> </w:t>
      </w:r>
      <w:r w:rsidR="007C4FD0" w:rsidRPr="0064561A">
        <w:rPr>
          <w:rFonts w:asciiTheme="majorBidi" w:hAnsiTheme="majorBidi" w:cstheme="majorBidi"/>
          <w:sz w:val="24"/>
          <w:szCs w:val="24"/>
        </w:rPr>
        <w:t xml:space="preserve">et al. </w:t>
      </w:r>
      <w:r w:rsidR="007C4FD0" w:rsidRPr="00FD07B4">
        <w:rPr>
          <w:rFonts w:asciiTheme="majorBidi" w:hAnsiTheme="majorBidi" w:cstheme="majorBidi"/>
          <w:sz w:val="24"/>
          <w:szCs w:val="24"/>
        </w:rPr>
        <w:t xml:space="preserve">(2001) </w:t>
      </w:r>
      <w:r w:rsidR="00880D85">
        <w:rPr>
          <w:rFonts w:asciiTheme="majorBidi" w:hAnsiTheme="majorBidi" w:cstheme="majorBidi"/>
          <w:sz w:val="24"/>
          <w:szCs w:val="24"/>
        </w:rPr>
        <w:t>in Turkey,</w:t>
      </w:r>
      <w:r w:rsidR="0064561A">
        <w:rPr>
          <w:rFonts w:asciiTheme="majorBidi" w:hAnsiTheme="majorBidi" w:cstheme="majorBidi"/>
          <w:sz w:val="24"/>
          <w:szCs w:val="24"/>
        </w:rPr>
        <w:t xml:space="preserve"> </w:t>
      </w:r>
      <w:proofErr w:type="spellStart"/>
      <w:r w:rsidR="007C4FD0" w:rsidRPr="00FD07B4">
        <w:rPr>
          <w:rFonts w:asciiTheme="majorBidi" w:hAnsiTheme="majorBidi" w:cstheme="majorBidi"/>
          <w:sz w:val="24"/>
          <w:szCs w:val="24"/>
        </w:rPr>
        <w:t>Nasseh</w:t>
      </w:r>
      <w:proofErr w:type="spellEnd"/>
      <w:r w:rsidR="007C4FD0" w:rsidRPr="00FD07B4">
        <w:rPr>
          <w:rFonts w:asciiTheme="majorBidi" w:hAnsiTheme="majorBidi" w:cstheme="majorBidi"/>
          <w:sz w:val="24"/>
          <w:szCs w:val="24"/>
        </w:rPr>
        <w:t xml:space="preserve"> and Strauss (2000) </w:t>
      </w:r>
      <w:r w:rsidR="0064561A">
        <w:rPr>
          <w:rFonts w:asciiTheme="majorBidi" w:hAnsiTheme="majorBidi" w:cstheme="majorBidi"/>
          <w:sz w:val="24"/>
          <w:szCs w:val="24"/>
        </w:rPr>
        <w:t xml:space="preserve">in six </w:t>
      </w:r>
      <w:r w:rsidR="007C4FD0" w:rsidRPr="00FD07B4">
        <w:rPr>
          <w:rFonts w:asciiTheme="majorBidi" w:hAnsiTheme="majorBidi" w:cstheme="majorBidi"/>
          <w:sz w:val="24"/>
          <w:szCs w:val="24"/>
        </w:rPr>
        <w:t>European countries</w:t>
      </w:r>
      <w:r w:rsidR="00657C62">
        <w:rPr>
          <w:rFonts w:asciiTheme="majorBidi" w:hAnsiTheme="majorBidi" w:cstheme="majorBidi"/>
          <w:sz w:val="24"/>
          <w:szCs w:val="24"/>
        </w:rPr>
        <w:t>,</w:t>
      </w:r>
      <w:r w:rsidR="007C4FD0" w:rsidRPr="00FD07B4">
        <w:rPr>
          <w:rFonts w:asciiTheme="majorBidi" w:hAnsiTheme="majorBidi" w:cstheme="majorBidi"/>
          <w:sz w:val="24"/>
          <w:szCs w:val="24"/>
        </w:rPr>
        <w:t xml:space="preserve"> </w:t>
      </w:r>
      <w:r w:rsidR="00657C62">
        <w:rPr>
          <w:rFonts w:asciiTheme="majorBidi" w:hAnsiTheme="majorBidi" w:cstheme="majorBidi"/>
          <w:sz w:val="24"/>
          <w:szCs w:val="24"/>
        </w:rPr>
        <w:t xml:space="preserve">(i.e., France, Germany, </w:t>
      </w:r>
      <w:r w:rsidR="007C4FD0" w:rsidRPr="00FD07B4">
        <w:rPr>
          <w:rFonts w:asciiTheme="majorBidi" w:hAnsiTheme="majorBidi" w:cstheme="majorBidi"/>
          <w:sz w:val="24"/>
          <w:szCs w:val="24"/>
        </w:rPr>
        <w:t xml:space="preserve">Italy, </w:t>
      </w:r>
      <w:r w:rsidR="00657C62">
        <w:rPr>
          <w:rFonts w:asciiTheme="majorBidi" w:hAnsiTheme="majorBidi" w:cstheme="majorBidi"/>
          <w:sz w:val="24"/>
          <w:szCs w:val="24"/>
        </w:rPr>
        <w:t xml:space="preserve">the </w:t>
      </w:r>
      <w:r w:rsidR="007C4FD0" w:rsidRPr="00FD07B4">
        <w:rPr>
          <w:rFonts w:asciiTheme="majorBidi" w:hAnsiTheme="majorBidi" w:cstheme="majorBidi"/>
          <w:sz w:val="24"/>
          <w:szCs w:val="24"/>
        </w:rPr>
        <w:t>Netherlands, Switzerland</w:t>
      </w:r>
      <w:r w:rsidR="007C4FD0">
        <w:rPr>
          <w:rFonts w:asciiTheme="majorBidi" w:hAnsiTheme="majorBidi" w:cstheme="majorBidi"/>
          <w:sz w:val="24"/>
          <w:szCs w:val="24"/>
        </w:rPr>
        <w:t>,</w:t>
      </w:r>
      <w:r w:rsidR="007C4FD0" w:rsidRPr="00FD07B4">
        <w:rPr>
          <w:rFonts w:asciiTheme="majorBidi" w:hAnsiTheme="majorBidi" w:cstheme="majorBidi"/>
          <w:sz w:val="24"/>
          <w:szCs w:val="24"/>
        </w:rPr>
        <w:t xml:space="preserve"> and the UK</w:t>
      </w:r>
      <w:r w:rsidR="00657C62">
        <w:rPr>
          <w:rFonts w:asciiTheme="majorBidi" w:hAnsiTheme="majorBidi" w:cstheme="majorBidi"/>
          <w:sz w:val="24"/>
          <w:szCs w:val="24"/>
        </w:rPr>
        <w:t>)</w:t>
      </w:r>
      <w:r w:rsidR="00880D85">
        <w:rPr>
          <w:rFonts w:asciiTheme="majorBidi" w:hAnsiTheme="majorBidi" w:cstheme="majorBidi"/>
          <w:sz w:val="24"/>
          <w:szCs w:val="24"/>
        </w:rPr>
        <w:t>,</w:t>
      </w:r>
      <w:r w:rsidR="0064561A">
        <w:rPr>
          <w:rFonts w:asciiTheme="majorBidi" w:hAnsiTheme="majorBidi" w:cstheme="majorBidi"/>
          <w:sz w:val="24"/>
          <w:szCs w:val="24"/>
        </w:rPr>
        <w:t xml:space="preserve"> </w:t>
      </w:r>
      <w:r w:rsidR="00880D85">
        <w:rPr>
          <w:rFonts w:asciiTheme="majorBidi" w:hAnsiTheme="majorBidi" w:cstheme="majorBidi"/>
          <w:sz w:val="24"/>
          <w:szCs w:val="24"/>
        </w:rPr>
        <w:t xml:space="preserve">and </w:t>
      </w:r>
      <w:r w:rsidR="007C4FD0" w:rsidRPr="00FD07B4">
        <w:rPr>
          <w:rFonts w:asciiTheme="majorBidi" w:hAnsiTheme="majorBidi" w:cstheme="majorBidi"/>
          <w:sz w:val="24"/>
          <w:szCs w:val="24"/>
        </w:rPr>
        <w:t xml:space="preserve">Pal and Mittal (2011) </w:t>
      </w:r>
      <w:r w:rsidR="00880D85">
        <w:rPr>
          <w:rFonts w:asciiTheme="majorBidi" w:hAnsiTheme="majorBidi" w:cstheme="majorBidi"/>
          <w:sz w:val="24"/>
          <w:szCs w:val="24"/>
        </w:rPr>
        <w:t>in India</w:t>
      </w:r>
      <w:r w:rsidR="00657C62">
        <w:rPr>
          <w:rFonts w:asciiTheme="majorBidi" w:hAnsiTheme="majorBidi" w:cstheme="majorBidi"/>
          <w:sz w:val="24"/>
          <w:szCs w:val="24"/>
        </w:rPr>
        <w:t xml:space="preserve"> </w:t>
      </w:r>
      <w:r w:rsidR="00880D85">
        <w:rPr>
          <w:rFonts w:asciiTheme="majorBidi" w:hAnsiTheme="majorBidi" w:cstheme="majorBidi"/>
          <w:sz w:val="24"/>
          <w:szCs w:val="24"/>
        </w:rPr>
        <w:t xml:space="preserve">examined the equilibrium relationships between various macroeconomic variables and stock market indices. The overall results showed that stock market indices </w:t>
      </w:r>
      <w:r w:rsidR="00657C62">
        <w:rPr>
          <w:rFonts w:asciiTheme="majorBidi" w:hAnsiTheme="majorBidi" w:cstheme="majorBidi"/>
          <w:sz w:val="24"/>
          <w:szCs w:val="24"/>
        </w:rPr>
        <w:t xml:space="preserve">were </w:t>
      </w:r>
      <w:r w:rsidR="00880D85">
        <w:rPr>
          <w:rFonts w:asciiTheme="majorBidi" w:hAnsiTheme="majorBidi" w:cstheme="majorBidi"/>
          <w:sz w:val="24"/>
          <w:szCs w:val="24"/>
        </w:rPr>
        <w:t xml:space="preserve">significantly influenced by </w:t>
      </w:r>
      <w:r w:rsidR="00520D04">
        <w:rPr>
          <w:rFonts w:asciiTheme="majorBidi" w:hAnsiTheme="majorBidi" w:cstheme="majorBidi"/>
          <w:sz w:val="24"/>
          <w:szCs w:val="24"/>
        </w:rPr>
        <w:t>various macroeconomic variables.</w:t>
      </w:r>
      <w:r w:rsidR="0063609E">
        <w:rPr>
          <w:rFonts w:asciiTheme="majorBidi" w:hAnsiTheme="majorBidi" w:cstheme="majorBidi"/>
          <w:sz w:val="24"/>
          <w:szCs w:val="24"/>
        </w:rPr>
        <w:t xml:space="preserve"> </w:t>
      </w:r>
      <w:r w:rsidR="00BA2001">
        <w:rPr>
          <w:rFonts w:asciiTheme="majorBidi" w:hAnsiTheme="majorBidi" w:cstheme="majorBidi"/>
          <w:sz w:val="24"/>
          <w:szCs w:val="24"/>
        </w:rPr>
        <w:t>B</w:t>
      </w:r>
      <w:r w:rsidR="0063609E">
        <w:rPr>
          <w:rFonts w:asciiTheme="majorBidi" w:hAnsiTheme="majorBidi" w:cstheme="majorBidi"/>
          <w:sz w:val="24"/>
          <w:szCs w:val="24"/>
        </w:rPr>
        <w:t>y utilizing the generalized autoregr</w:t>
      </w:r>
      <w:r w:rsidR="00657C62">
        <w:rPr>
          <w:rFonts w:asciiTheme="majorBidi" w:hAnsiTheme="majorBidi" w:cstheme="majorBidi"/>
          <w:sz w:val="24"/>
          <w:szCs w:val="24"/>
        </w:rPr>
        <w:t xml:space="preserve">essive conditional </w:t>
      </w:r>
      <w:proofErr w:type="spellStart"/>
      <w:r w:rsidR="00657C62">
        <w:rPr>
          <w:rFonts w:asciiTheme="majorBidi" w:hAnsiTheme="majorBidi" w:cstheme="majorBidi"/>
          <w:sz w:val="24"/>
          <w:szCs w:val="24"/>
        </w:rPr>
        <w:t>h</w:t>
      </w:r>
      <w:r w:rsidR="0063609E">
        <w:rPr>
          <w:rFonts w:asciiTheme="majorBidi" w:hAnsiTheme="majorBidi" w:cstheme="majorBidi"/>
          <w:sz w:val="24"/>
          <w:szCs w:val="24"/>
        </w:rPr>
        <w:t>eteroscedasticity</w:t>
      </w:r>
      <w:proofErr w:type="spellEnd"/>
      <w:r w:rsidR="0063609E">
        <w:rPr>
          <w:rFonts w:asciiTheme="majorBidi" w:hAnsiTheme="majorBidi" w:cstheme="majorBidi"/>
          <w:sz w:val="24"/>
          <w:szCs w:val="24"/>
        </w:rPr>
        <w:t xml:space="preserve"> (GARCH) model, </w:t>
      </w:r>
      <w:r w:rsidR="00614949" w:rsidRPr="00FD07B4">
        <w:rPr>
          <w:rFonts w:asciiTheme="majorBidi" w:hAnsiTheme="majorBidi" w:cstheme="majorBidi"/>
          <w:sz w:val="24"/>
          <w:szCs w:val="24"/>
        </w:rPr>
        <w:t>Rangel (2011)</w:t>
      </w:r>
      <w:r w:rsidR="00657C62">
        <w:rPr>
          <w:rFonts w:asciiTheme="majorBidi" w:hAnsiTheme="majorBidi" w:cstheme="majorBidi"/>
          <w:sz w:val="24"/>
          <w:szCs w:val="24"/>
        </w:rPr>
        <w:t xml:space="preserve"> in the US</w:t>
      </w:r>
      <w:r w:rsidR="00D41789">
        <w:rPr>
          <w:rFonts w:asciiTheme="majorBidi" w:hAnsiTheme="majorBidi" w:cstheme="majorBidi"/>
          <w:sz w:val="24"/>
          <w:szCs w:val="24"/>
        </w:rPr>
        <w:t xml:space="preserve"> and </w:t>
      </w:r>
      <w:proofErr w:type="spellStart"/>
      <w:r w:rsidR="00614949" w:rsidRPr="00FD07B4">
        <w:rPr>
          <w:rFonts w:asciiTheme="majorBidi" w:hAnsiTheme="majorBidi" w:cstheme="majorBidi"/>
          <w:sz w:val="24"/>
          <w:szCs w:val="24"/>
        </w:rPr>
        <w:t>Vrugt</w:t>
      </w:r>
      <w:proofErr w:type="spellEnd"/>
      <w:r w:rsidR="00614949" w:rsidRPr="00FD07B4">
        <w:rPr>
          <w:rFonts w:asciiTheme="majorBidi" w:hAnsiTheme="majorBidi" w:cstheme="majorBidi"/>
          <w:sz w:val="24"/>
          <w:szCs w:val="24"/>
        </w:rPr>
        <w:t xml:space="preserve"> (2009) </w:t>
      </w:r>
      <w:r w:rsidR="00657C62">
        <w:rPr>
          <w:rFonts w:asciiTheme="majorBidi" w:hAnsiTheme="majorBidi" w:cstheme="majorBidi"/>
          <w:sz w:val="24"/>
          <w:szCs w:val="24"/>
        </w:rPr>
        <w:t>in the US</w:t>
      </w:r>
      <w:r w:rsidR="00614949">
        <w:rPr>
          <w:rFonts w:asciiTheme="majorBidi" w:hAnsiTheme="majorBidi" w:cstheme="majorBidi"/>
          <w:sz w:val="24"/>
          <w:szCs w:val="24"/>
        </w:rPr>
        <w:t>, Japan, Hong Kong, South Korea, and Australia</w:t>
      </w:r>
      <w:r w:rsidR="00657C62">
        <w:rPr>
          <w:rFonts w:asciiTheme="majorBidi" w:hAnsiTheme="majorBidi" w:cstheme="majorBidi"/>
          <w:sz w:val="24"/>
          <w:szCs w:val="24"/>
        </w:rPr>
        <w:t xml:space="preserve"> </w:t>
      </w:r>
      <w:r w:rsidR="00614949">
        <w:rPr>
          <w:rFonts w:asciiTheme="majorBidi" w:hAnsiTheme="majorBidi" w:cstheme="majorBidi"/>
          <w:sz w:val="24"/>
          <w:szCs w:val="24"/>
        </w:rPr>
        <w:t>investigated the impact of the conditional volatilities of macroeconomic variables on stock market indices</w:t>
      </w:r>
      <w:r w:rsidR="00657C62">
        <w:rPr>
          <w:rFonts w:asciiTheme="majorBidi" w:hAnsiTheme="majorBidi" w:cstheme="majorBidi"/>
          <w:sz w:val="24"/>
          <w:szCs w:val="24"/>
        </w:rPr>
        <w:t>’</w:t>
      </w:r>
      <w:r w:rsidR="00601844">
        <w:rPr>
          <w:rFonts w:asciiTheme="majorBidi" w:hAnsiTheme="majorBidi" w:cstheme="majorBidi"/>
          <w:sz w:val="24"/>
          <w:szCs w:val="24"/>
        </w:rPr>
        <w:t xml:space="preserve"> volatilities</w:t>
      </w:r>
      <w:r w:rsidR="00657C62">
        <w:rPr>
          <w:rFonts w:asciiTheme="majorBidi" w:hAnsiTheme="majorBidi" w:cstheme="majorBidi"/>
          <w:sz w:val="24"/>
          <w:szCs w:val="24"/>
        </w:rPr>
        <w:t xml:space="preserve">, revealing </w:t>
      </w:r>
      <w:r w:rsidR="00614949">
        <w:rPr>
          <w:rFonts w:asciiTheme="majorBidi" w:hAnsiTheme="majorBidi" w:cstheme="majorBidi"/>
          <w:sz w:val="24"/>
          <w:szCs w:val="24"/>
        </w:rPr>
        <w:t>that</w:t>
      </w:r>
      <w:r w:rsidR="00601844">
        <w:rPr>
          <w:rFonts w:asciiTheme="majorBidi" w:hAnsiTheme="majorBidi" w:cstheme="majorBidi"/>
          <w:sz w:val="24"/>
          <w:szCs w:val="24"/>
        </w:rPr>
        <w:t xml:space="preserve"> the conditional volatilities of macroeconomic </w:t>
      </w:r>
      <w:r w:rsidR="00657C62">
        <w:rPr>
          <w:rFonts w:asciiTheme="majorBidi" w:hAnsiTheme="majorBidi" w:cstheme="majorBidi"/>
          <w:sz w:val="24"/>
          <w:szCs w:val="24"/>
        </w:rPr>
        <w:t xml:space="preserve">variables </w:t>
      </w:r>
      <w:r w:rsidR="00601844">
        <w:rPr>
          <w:rFonts w:asciiTheme="majorBidi" w:hAnsiTheme="majorBidi" w:cstheme="majorBidi"/>
          <w:sz w:val="24"/>
          <w:szCs w:val="24"/>
        </w:rPr>
        <w:t>explained the volatilities of stock market indices.</w:t>
      </w:r>
    </w:p>
    <w:p w:rsidR="00CA04FA" w:rsidRDefault="00614949" w:rsidP="003D29D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3E6F49">
        <w:rPr>
          <w:rFonts w:asciiTheme="majorBidi" w:hAnsiTheme="majorBidi" w:cstheme="majorBidi"/>
          <w:sz w:val="24"/>
          <w:szCs w:val="24"/>
        </w:rPr>
        <w:t xml:space="preserve"> </w:t>
      </w:r>
      <w:r w:rsidR="008C718F">
        <w:rPr>
          <w:rFonts w:asciiTheme="majorBidi" w:hAnsiTheme="majorBidi" w:cstheme="majorBidi"/>
          <w:sz w:val="24"/>
          <w:szCs w:val="24"/>
        </w:rPr>
        <w:t xml:space="preserve"> </w:t>
      </w:r>
      <w:r w:rsidR="009308C5">
        <w:rPr>
          <w:rFonts w:asciiTheme="majorBidi" w:hAnsiTheme="majorBidi" w:cstheme="majorBidi"/>
          <w:sz w:val="24"/>
          <w:szCs w:val="24"/>
        </w:rPr>
        <w:t xml:space="preserve">    </w:t>
      </w:r>
      <w:r w:rsidR="000F23CD">
        <w:rPr>
          <w:rFonts w:asciiTheme="majorBidi" w:hAnsiTheme="majorBidi" w:cstheme="majorBidi"/>
          <w:sz w:val="24"/>
          <w:szCs w:val="24"/>
        </w:rPr>
        <w:t xml:space="preserve"> </w:t>
      </w:r>
      <w:r w:rsidR="00D37BE2">
        <w:rPr>
          <w:rFonts w:asciiTheme="majorBidi" w:hAnsiTheme="majorBidi" w:cstheme="majorBidi"/>
          <w:sz w:val="24"/>
          <w:szCs w:val="24"/>
        </w:rPr>
        <w:t xml:space="preserve"> </w:t>
      </w:r>
    </w:p>
    <w:p w:rsidR="00047E95" w:rsidRDefault="00951DFE" w:rsidP="003D29DA">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3. Data and </w:t>
      </w:r>
      <w:r w:rsidR="00047E95" w:rsidRPr="00047E95">
        <w:rPr>
          <w:rFonts w:asciiTheme="majorBidi" w:hAnsiTheme="majorBidi" w:cstheme="majorBidi"/>
          <w:b/>
          <w:bCs/>
          <w:sz w:val="24"/>
          <w:szCs w:val="24"/>
          <w:lang w:val="en-US"/>
        </w:rPr>
        <w:t>Methodology</w:t>
      </w:r>
    </w:p>
    <w:p w:rsidR="00C52D6F" w:rsidRDefault="00951DFE" w:rsidP="00C6212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current paper </w:t>
      </w:r>
      <w:r w:rsidR="00B64449">
        <w:rPr>
          <w:rFonts w:asciiTheme="majorBidi" w:hAnsiTheme="majorBidi" w:cstheme="majorBidi"/>
          <w:sz w:val="24"/>
          <w:szCs w:val="24"/>
          <w:lang w:val="en-US"/>
        </w:rPr>
        <w:t>analys</w:t>
      </w:r>
      <w:r w:rsidR="00336B4A">
        <w:rPr>
          <w:rFonts w:asciiTheme="majorBidi" w:hAnsiTheme="majorBidi" w:cstheme="majorBidi"/>
          <w:sz w:val="24"/>
          <w:szCs w:val="24"/>
          <w:lang w:val="en-US"/>
        </w:rPr>
        <w:t xml:space="preserve">es the </w:t>
      </w:r>
      <w:r w:rsidR="00B64449">
        <w:rPr>
          <w:rFonts w:asciiTheme="majorBidi" w:hAnsiTheme="majorBidi" w:cstheme="majorBidi"/>
          <w:sz w:val="24"/>
          <w:szCs w:val="24"/>
          <w:lang w:val="en-US"/>
        </w:rPr>
        <w:t xml:space="preserve">long-term </w:t>
      </w:r>
      <w:r w:rsidR="00DF452E">
        <w:rPr>
          <w:rFonts w:asciiTheme="majorBidi" w:hAnsiTheme="majorBidi" w:cstheme="majorBidi"/>
          <w:sz w:val="24"/>
          <w:szCs w:val="24"/>
          <w:lang w:val="en-US"/>
        </w:rPr>
        <w:t xml:space="preserve">relationships </w:t>
      </w:r>
      <w:r w:rsidR="00B64449">
        <w:rPr>
          <w:rFonts w:asciiTheme="majorBidi" w:hAnsiTheme="majorBidi" w:cstheme="majorBidi"/>
          <w:sz w:val="24"/>
          <w:szCs w:val="24"/>
          <w:lang w:val="en-US"/>
        </w:rPr>
        <w:t xml:space="preserve">and </w:t>
      </w:r>
      <w:r w:rsidR="00895AFA">
        <w:rPr>
          <w:rFonts w:asciiTheme="majorBidi" w:hAnsiTheme="majorBidi" w:cstheme="majorBidi"/>
          <w:sz w:val="24"/>
          <w:szCs w:val="24"/>
          <w:lang w:val="en-US"/>
        </w:rPr>
        <w:t xml:space="preserve">dynamic linkages </w:t>
      </w:r>
      <w:r w:rsidR="00473F6F">
        <w:rPr>
          <w:rFonts w:asciiTheme="majorBidi" w:hAnsiTheme="majorBidi" w:cstheme="majorBidi"/>
          <w:sz w:val="24"/>
          <w:szCs w:val="24"/>
          <w:lang w:val="en-US"/>
        </w:rPr>
        <w:t>between Malaysian capital market a</w:t>
      </w:r>
      <w:r w:rsidR="00CA0C0A">
        <w:rPr>
          <w:rFonts w:asciiTheme="majorBidi" w:hAnsiTheme="majorBidi" w:cstheme="majorBidi"/>
          <w:sz w:val="24"/>
          <w:szCs w:val="24"/>
          <w:lang w:val="en-US"/>
        </w:rPr>
        <w:t xml:space="preserve">nd four macroeconomic variables: </w:t>
      </w:r>
      <w:r w:rsidR="00473F6F">
        <w:rPr>
          <w:rFonts w:asciiTheme="majorBidi" w:hAnsiTheme="majorBidi" w:cstheme="majorBidi"/>
          <w:sz w:val="24"/>
          <w:szCs w:val="24"/>
          <w:lang w:val="en-US"/>
        </w:rPr>
        <w:t>inflation rate</w:t>
      </w:r>
      <w:r w:rsidR="007D2208">
        <w:rPr>
          <w:rFonts w:asciiTheme="majorBidi" w:hAnsiTheme="majorBidi" w:cstheme="majorBidi"/>
          <w:sz w:val="24"/>
          <w:szCs w:val="24"/>
          <w:lang w:val="en-US"/>
        </w:rPr>
        <w:t>s</w:t>
      </w:r>
      <w:r w:rsidR="00473F6F">
        <w:rPr>
          <w:rFonts w:asciiTheme="majorBidi" w:hAnsiTheme="majorBidi" w:cstheme="majorBidi"/>
          <w:sz w:val="24"/>
          <w:szCs w:val="24"/>
          <w:lang w:val="en-US"/>
        </w:rPr>
        <w:t>, inter</w:t>
      </w:r>
      <w:r w:rsidR="00CA0C0A">
        <w:rPr>
          <w:rFonts w:asciiTheme="majorBidi" w:hAnsiTheme="majorBidi" w:cstheme="majorBidi"/>
          <w:sz w:val="24"/>
          <w:szCs w:val="24"/>
          <w:lang w:val="en-US"/>
        </w:rPr>
        <w:t>est rate</w:t>
      </w:r>
      <w:r w:rsidR="007D2208">
        <w:rPr>
          <w:rFonts w:asciiTheme="majorBidi" w:hAnsiTheme="majorBidi" w:cstheme="majorBidi"/>
          <w:sz w:val="24"/>
          <w:szCs w:val="24"/>
          <w:lang w:val="en-US"/>
        </w:rPr>
        <w:t>s</w:t>
      </w:r>
      <w:r w:rsidR="00CA0C0A">
        <w:rPr>
          <w:rFonts w:asciiTheme="majorBidi" w:hAnsiTheme="majorBidi" w:cstheme="majorBidi"/>
          <w:sz w:val="24"/>
          <w:szCs w:val="24"/>
          <w:lang w:val="en-US"/>
        </w:rPr>
        <w:t xml:space="preserve">, money supply, and </w:t>
      </w:r>
      <w:r w:rsidR="00473F6F">
        <w:rPr>
          <w:rFonts w:asciiTheme="majorBidi" w:hAnsiTheme="majorBidi" w:cstheme="majorBidi"/>
          <w:sz w:val="24"/>
          <w:szCs w:val="24"/>
          <w:lang w:val="en-US"/>
        </w:rPr>
        <w:t xml:space="preserve">real economic activity. The time series data are </w:t>
      </w:r>
      <w:r w:rsidR="00CA0C0A">
        <w:rPr>
          <w:rFonts w:asciiTheme="majorBidi" w:hAnsiTheme="majorBidi" w:cstheme="majorBidi"/>
          <w:sz w:val="24"/>
          <w:szCs w:val="24"/>
          <w:lang w:val="en-US"/>
        </w:rPr>
        <w:t xml:space="preserve">based </w:t>
      </w:r>
      <w:r w:rsidR="00473F6F">
        <w:rPr>
          <w:rFonts w:asciiTheme="majorBidi" w:hAnsiTheme="majorBidi" w:cstheme="majorBidi"/>
          <w:sz w:val="24"/>
          <w:szCs w:val="24"/>
          <w:lang w:val="en-US"/>
        </w:rPr>
        <w:t xml:space="preserve">on annual </w:t>
      </w:r>
      <w:r w:rsidR="00CA0C0A">
        <w:rPr>
          <w:rFonts w:asciiTheme="majorBidi" w:hAnsiTheme="majorBidi" w:cstheme="majorBidi"/>
          <w:sz w:val="24"/>
          <w:szCs w:val="24"/>
          <w:lang w:val="en-US"/>
        </w:rPr>
        <w:t>figured from 1977 to 201</w:t>
      </w:r>
      <w:r w:rsidR="00C6212D">
        <w:rPr>
          <w:rFonts w:asciiTheme="majorBidi" w:hAnsiTheme="majorBidi" w:cstheme="majorBidi"/>
          <w:sz w:val="24"/>
          <w:szCs w:val="24"/>
          <w:lang w:val="en-US"/>
        </w:rPr>
        <w:t>5</w:t>
      </w:r>
      <w:r w:rsidR="00CA0C0A">
        <w:rPr>
          <w:rFonts w:asciiTheme="majorBidi" w:hAnsiTheme="majorBidi" w:cstheme="majorBidi"/>
          <w:sz w:val="24"/>
          <w:szCs w:val="24"/>
          <w:lang w:val="en-US"/>
        </w:rPr>
        <w:t xml:space="preserve">, </w:t>
      </w:r>
      <w:r w:rsidR="00D5088C">
        <w:rPr>
          <w:rFonts w:asciiTheme="majorBidi" w:hAnsiTheme="majorBidi" w:cstheme="majorBidi"/>
          <w:sz w:val="24"/>
          <w:szCs w:val="24"/>
          <w:lang w:val="en-US"/>
        </w:rPr>
        <w:t xml:space="preserve">establishing a small sample size </w:t>
      </w:r>
      <w:r w:rsidR="00CA0C0A">
        <w:rPr>
          <w:rFonts w:asciiTheme="majorBidi" w:hAnsiTheme="majorBidi" w:cstheme="majorBidi"/>
          <w:sz w:val="24"/>
          <w:szCs w:val="24"/>
          <w:lang w:val="en-US"/>
        </w:rPr>
        <w:t xml:space="preserve">of </w:t>
      </w:r>
      <w:r w:rsidR="00D5088C">
        <w:rPr>
          <w:rFonts w:asciiTheme="majorBidi" w:hAnsiTheme="majorBidi" w:cstheme="majorBidi"/>
          <w:sz w:val="24"/>
          <w:szCs w:val="24"/>
          <w:lang w:val="en-US"/>
        </w:rPr>
        <w:t>36 observations</w:t>
      </w:r>
      <w:r w:rsidR="00CA0C0A">
        <w:rPr>
          <w:rFonts w:asciiTheme="majorBidi" w:hAnsiTheme="majorBidi" w:cstheme="majorBidi"/>
          <w:sz w:val="24"/>
          <w:szCs w:val="24"/>
          <w:lang w:val="en-US"/>
        </w:rPr>
        <w:t xml:space="preserve">. The analysis begins with 1977 </w:t>
      </w:r>
      <w:r w:rsidR="00473F6F">
        <w:rPr>
          <w:rFonts w:asciiTheme="majorBidi" w:hAnsiTheme="majorBidi" w:cstheme="majorBidi"/>
          <w:sz w:val="24"/>
          <w:szCs w:val="24"/>
          <w:lang w:val="en-US"/>
        </w:rPr>
        <w:t xml:space="preserve">due to the availability of time series data on </w:t>
      </w:r>
      <w:r w:rsidR="006E1245">
        <w:rPr>
          <w:rFonts w:asciiTheme="majorBidi" w:hAnsiTheme="majorBidi" w:cstheme="majorBidi"/>
          <w:sz w:val="24"/>
          <w:szCs w:val="24"/>
          <w:lang w:val="en-US"/>
        </w:rPr>
        <w:t xml:space="preserve">the stock price index. The analysis ends in 2012 to obtain a long span of time series data. In addition, the sample includes several observations during the </w:t>
      </w:r>
      <w:r w:rsidR="00CA0C0A">
        <w:rPr>
          <w:rFonts w:asciiTheme="majorBidi" w:hAnsiTheme="majorBidi" w:cstheme="majorBidi"/>
          <w:sz w:val="24"/>
          <w:szCs w:val="24"/>
          <w:lang w:val="en-US"/>
        </w:rPr>
        <w:t>1984−</w:t>
      </w:r>
      <w:r w:rsidR="00402E99">
        <w:rPr>
          <w:rFonts w:asciiTheme="majorBidi" w:hAnsiTheme="majorBidi" w:cstheme="majorBidi"/>
          <w:sz w:val="24"/>
          <w:szCs w:val="24"/>
          <w:lang w:val="en-US"/>
        </w:rPr>
        <w:t>198</w:t>
      </w:r>
      <w:r w:rsidR="00CA0C0A">
        <w:rPr>
          <w:rFonts w:asciiTheme="majorBidi" w:hAnsiTheme="majorBidi" w:cstheme="majorBidi"/>
          <w:sz w:val="24"/>
          <w:szCs w:val="24"/>
          <w:lang w:val="en-US"/>
        </w:rPr>
        <w:t>5 commodity crisis, the 1997−</w:t>
      </w:r>
      <w:r w:rsidR="006E1245">
        <w:rPr>
          <w:rFonts w:asciiTheme="majorBidi" w:hAnsiTheme="majorBidi" w:cstheme="majorBidi"/>
          <w:sz w:val="24"/>
          <w:szCs w:val="24"/>
          <w:lang w:val="en-US"/>
        </w:rPr>
        <w:t xml:space="preserve">1998 </w:t>
      </w:r>
      <w:r w:rsidR="00402E99">
        <w:rPr>
          <w:rFonts w:asciiTheme="majorBidi" w:hAnsiTheme="majorBidi" w:cstheme="majorBidi"/>
          <w:sz w:val="24"/>
          <w:szCs w:val="24"/>
          <w:lang w:val="en-US"/>
        </w:rPr>
        <w:t>Asian</w:t>
      </w:r>
      <w:r w:rsidR="00CA0C0A">
        <w:rPr>
          <w:rFonts w:asciiTheme="majorBidi" w:hAnsiTheme="majorBidi" w:cstheme="majorBidi"/>
          <w:sz w:val="24"/>
          <w:szCs w:val="24"/>
          <w:lang w:val="en-US"/>
        </w:rPr>
        <w:t xml:space="preserve"> financial crisis, and the 2008−</w:t>
      </w:r>
      <w:r w:rsidR="00402E99">
        <w:rPr>
          <w:rFonts w:asciiTheme="majorBidi" w:hAnsiTheme="majorBidi" w:cstheme="majorBidi"/>
          <w:sz w:val="24"/>
          <w:szCs w:val="24"/>
          <w:lang w:val="en-US"/>
        </w:rPr>
        <w:t>2009 global financial crisis. These crises will influence the results obtained from the regression</w:t>
      </w:r>
      <w:r w:rsidR="008B7502">
        <w:rPr>
          <w:rFonts w:asciiTheme="majorBidi" w:hAnsiTheme="majorBidi" w:cstheme="majorBidi"/>
          <w:sz w:val="24"/>
          <w:szCs w:val="24"/>
          <w:lang w:val="en-US"/>
        </w:rPr>
        <w:t>.</w:t>
      </w:r>
    </w:p>
    <w:p w:rsidR="008B7502" w:rsidRDefault="00196A29" w:rsidP="003D29D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3D29DA" w:rsidRDefault="008B7502" w:rsidP="00B319DF">
      <w:pPr>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 xml:space="preserve">The present paper uses </w:t>
      </w:r>
      <w:r w:rsidR="00E923A3">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Kuala Lumpur composite index (KLCI) to measure the performance of the Malaysian capital market. </w:t>
      </w:r>
      <w:r w:rsidR="00E923A3">
        <w:rPr>
          <w:rFonts w:asciiTheme="majorBidi" w:hAnsiTheme="majorBidi" w:cstheme="majorBidi"/>
          <w:sz w:val="24"/>
          <w:szCs w:val="24"/>
          <w:lang w:val="en-US"/>
        </w:rPr>
        <w:t xml:space="preserve">KLCI contains stocks for 30 of the </w:t>
      </w:r>
      <w:r w:rsidR="00A12A19">
        <w:rPr>
          <w:rFonts w:asciiTheme="majorBidi" w:hAnsiTheme="majorBidi" w:cstheme="majorBidi"/>
          <w:sz w:val="24"/>
          <w:szCs w:val="24"/>
          <w:lang w:val="en-US"/>
        </w:rPr>
        <w:t>largest c</w:t>
      </w:r>
      <w:r w:rsidR="00E923A3">
        <w:rPr>
          <w:rFonts w:asciiTheme="majorBidi" w:hAnsiTheme="majorBidi" w:cstheme="majorBidi"/>
          <w:sz w:val="24"/>
          <w:szCs w:val="24"/>
          <w:lang w:val="en-US"/>
        </w:rPr>
        <w:t xml:space="preserve">ompanies from the main board through </w:t>
      </w:r>
      <w:r w:rsidR="00A12A19">
        <w:rPr>
          <w:rFonts w:asciiTheme="majorBidi" w:hAnsiTheme="majorBidi" w:cstheme="majorBidi"/>
          <w:sz w:val="24"/>
          <w:szCs w:val="24"/>
          <w:lang w:val="en-US"/>
        </w:rPr>
        <w:t xml:space="preserve">full market capitalization. </w:t>
      </w:r>
      <w:r w:rsidR="00050B47">
        <w:rPr>
          <w:rFonts w:asciiTheme="majorBidi" w:hAnsiTheme="majorBidi" w:cstheme="majorBidi"/>
          <w:sz w:val="24"/>
          <w:szCs w:val="24"/>
          <w:lang w:val="en-US"/>
        </w:rPr>
        <w:t xml:space="preserve">Inflation rates (IFR) </w:t>
      </w:r>
      <w:r w:rsidR="00E923A3">
        <w:rPr>
          <w:rFonts w:asciiTheme="majorBidi" w:hAnsiTheme="majorBidi" w:cstheme="majorBidi"/>
          <w:sz w:val="24"/>
          <w:szCs w:val="24"/>
          <w:lang w:val="en-US"/>
        </w:rPr>
        <w:t xml:space="preserve">refer to </w:t>
      </w:r>
      <w:r w:rsidR="00050B47">
        <w:rPr>
          <w:rFonts w:asciiTheme="majorBidi" w:hAnsiTheme="majorBidi" w:cstheme="majorBidi"/>
          <w:sz w:val="24"/>
          <w:szCs w:val="24"/>
          <w:lang w:val="en-US"/>
        </w:rPr>
        <w:t xml:space="preserve">consumer prices </w:t>
      </w:r>
      <w:r w:rsidR="00E923A3">
        <w:rPr>
          <w:rFonts w:asciiTheme="majorBidi" w:hAnsiTheme="majorBidi" w:cstheme="majorBidi"/>
          <w:sz w:val="24"/>
          <w:szCs w:val="24"/>
          <w:lang w:val="en-US"/>
        </w:rPr>
        <w:t xml:space="preserve">in terms of annual percentages. </w:t>
      </w:r>
      <w:r w:rsidR="00A12A19">
        <w:rPr>
          <w:rFonts w:asciiTheme="majorBidi" w:hAnsiTheme="majorBidi" w:cstheme="majorBidi"/>
          <w:sz w:val="24"/>
          <w:szCs w:val="24"/>
          <w:lang w:val="en-US"/>
        </w:rPr>
        <w:t xml:space="preserve">Interest rates are measured by the deposit interest rates (IR). </w:t>
      </w:r>
      <w:r w:rsidR="00DF452E">
        <w:rPr>
          <w:rFonts w:asciiTheme="majorBidi" w:hAnsiTheme="majorBidi" w:cstheme="majorBidi"/>
          <w:sz w:val="24"/>
          <w:szCs w:val="24"/>
          <w:lang w:val="en-US"/>
        </w:rPr>
        <w:t xml:space="preserve">The money supply is measured </w:t>
      </w:r>
      <w:r w:rsidR="00050B47">
        <w:rPr>
          <w:rFonts w:asciiTheme="majorBidi" w:hAnsiTheme="majorBidi" w:cstheme="majorBidi"/>
          <w:sz w:val="24"/>
          <w:szCs w:val="24"/>
          <w:lang w:val="en-US"/>
        </w:rPr>
        <w:t xml:space="preserve">by </w:t>
      </w:r>
      <w:r w:rsidR="00050B47" w:rsidRPr="00050B47">
        <w:rPr>
          <w:rFonts w:asciiTheme="majorBidi" w:hAnsiTheme="majorBidi" w:cstheme="majorBidi"/>
          <w:sz w:val="24"/>
          <w:szCs w:val="24"/>
          <w:lang w:val="en-US"/>
        </w:rPr>
        <w:t xml:space="preserve">the broadest monetary aggregate (M3). The </w:t>
      </w:r>
      <w:r w:rsidR="00050B47">
        <w:rPr>
          <w:rFonts w:asciiTheme="majorBidi" w:hAnsiTheme="majorBidi" w:cstheme="majorBidi"/>
          <w:sz w:val="24"/>
          <w:szCs w:val="24"/>
          <w:lang w:val="en-US"/>
        </w:rPr>
        <w:t xml:space="preserve">M3 </w:t>
      </w:r>
      <w:r w:rsidR="00050B47" w:rsidRPr="00050B47">
        <w:rPr>
          <w:rFonts w:asciiTheme="majorBidi" w:hAnsiTheme="majorBidi" w:cstheme="majorBidi"/>
          <w:sz w:val="24"/>
          <w:szCs w:val="24"/>
        </w:rPr>
        <w:t xml:space="preserve">is the broadest type of money supply and is used as a proxy of the total </w:t>
      </w:r>
      <w:r w:rsidR="00025F7E">
        <w:rPr>
          <w:rFonts w:asciiTheme="majorBidi" w:hAnsiTheme="majorBidi" w:cstheme="majorBidi"/>
          <w:sz w:val="24"/>
          <w:szCs w:val="24"/>
        </w:rPr>
        <w:t xml:space="preserve">monetary </w:t>
      </w:r>
      <w:r w:rsidR="00050B47">
        <w:rPr>
          <w:rFonts w:asciiTheme="majorBidi" w:hAnsiTheme="majorBidi" w:cstheme="majorBidi"/>
          <w:sz w:val="24"/>
          <w:szCs w:val="24"/>
        </w:rPr>
        <w:t xml:space="preserve">aggregates </w:t>
      </w:r>
      <w:r w:rsidR="00050B47" w:rsidRPr="00050B47">
        <w:rPr>
          <w:rFonts w:asciiTheme="majorBidi" w:hAnsiTheme="majorBidi" w:cstheme="majorBidi"/>
          <w:sz w:val="24"/>
          <w:szCs w:val="24"/>
        </w:rPr>
        <w:t xml:space="preserve">available in the </w:t>
      </w:r>
      <w:r w:rsidR="00025F7E">
        <w:rPr>
          <w:rFonts w:asciiTheme="majorBidi" w:hAnsiTheme="majorBidi" w:cstheme="majorBidi"/>
          <w:sz w:val="24"/>
          <w:szCs w:val="24"/>
        </w:rPr>
        <w:t xml:space="preserve">Malaysian economy. The real economic activity is measured by the gross domestic product (GDP). Data on macroeconomic variables were obtained from </w:t>
      </w:r>
      <w:r w:rsidR="00CB3474">
        <w:rPr>
          <w:rFonts w:asciiTheme="majorBidi" w:hAnsiTheme="majorBidi" w:cstheme="majorBidi"/>
          <w:sz w:val="24"/>
          <w:szCs w:val="24"/>
        </w:rPr>
        <w:t>(</w:t>
      </w:r>
      <w:r w:rsidR="00A35391" w:rsidRPr="00CB3474">
        <w:rPr>
          <w:rFonts w:asciiTheme="majorBidi" w:hAnsiTheme="majorBidi" w:cstheme="majorBidi"/>
          <w:sz w:val="24"/>
          <w:szCs w:val="24"/>
        </w:rPr>
        <w:t>Bank Negara Malaysia</w:t>
      </w:r>
      <w:r w:rsidR="00CB3474">
        <w:rPr>
          <w:rFonts w:asciiTheme="majorBidi" w:hAnsiTheme="majorBidi" w:cstheme="majorBidi"/>
          <w:sz w:val="24"/>
          <w:szCs w:val="24"/>
        </w:rPr>
        <w:t>, 2013)</w:t>
      </w:r>
      <w:r w:rsidR="00A35391">
        <w:rPr>
          <w:rFonts w:asciiTheme="majorBidi" w:hAnsiTheme="majorBidi" w:cstheme="majorBidi"/>
          <w:sz w:val="24"/>
          <w:szCs w:val="24"/>
        </w:rPr>
        <w:t xml:space="preserve"> </w:t>
      </w:r>
      <w:r w:rsidR="006C5645">
        <w:rPr>
          <w:rFonts w:asciiTheme="majorBidi" w:hAnsiTheme="majorBidi" w:cstheme="majorBidi"/>
          <w:sz w:val="24"/>
          <w:szCs w:val="24"/>
        </w:rPr>
        <w:t xml:space="preserve">while the data on KLCI were </w:t>
      </w:r>
      <w:r w:rsidR="00CB08F5">
        <w:rPr>
          <w:rFonts w:asciiTheme="majorBidi" w:hAnsiTheme="majorBidi" w:cstheme="majorBidi"/>
          <w:sz w:val="24"/>
          <w:szCs w:val="24"/>
        </w:rPr>
        <w:t xml:space="preserve">obtained from </w:t>
      </w:r>
      <w:r w:rsidR="00CB3474">
        <w:rPr>
          <w:rFonts w:asciiTheme="majorBidi" w:hAnsiTheme="majorBidi" w:cstheme="majorBidi"/>
          <w:sz w:val="24"/>
          <w:szCs w:val="24"/>
        </w:rPr>
        <w:t>(</w:t>
      </w:r>
      <w:r w:rsidR="00A35391" w:rsidRPr="00CB3474">
        <w:rPr>
          <w:rFonts w:asciiTheme="majorBidi" w:hAnsiTheme="majorBidi" w:cstheme="majorBidi"/>
          <w:sz w:val="24"/>
          <w:szCs w:val="24"/>
        </w:rPr>
        <w:t>Bursa Malaysia</w:t>
      </w:r>
      <w:r w:rsidR="00CB3474">
        <w:rPr>
          <w:rFonts w:asciiTheme="majorBidi" w:hAnsiTheme="majorBidi" w:cstheme="majorBidi"/>
          <w:sz w:val="24"/>
          <w:szCs w:val="24"/>
        </w:rPr>
        <w:t>, 2013)</w:t>
      </w:r>
      <w:r w:rsidR="00CB08F5">
        <w:rPr>
          <w:rFonts w:asciiTheme="majorBidi" w:hAnsiTheme="majorBidi" w:cstheme="majorBidi"/>
          <w:sz w:val="24"/>
          <w:szCs w:val="24"/>
        </w:rPr>
        <w:t>.</w:t>
      </w:r>
      <w:r w:rsidR="006C5645">
        <w:rPr>
          <w:rFonts w:asciiTheme="majorBidi" w:hAnsiTheme="majorBidi" w:cstheme="majorBidi"/>
          <w:sz w:val="24"/>
          <w:szCs w:val="24"/>
        </w:rPr>
        <w:t xml:space="preserve"> All </w:t>
      </w:r>
      <w:r w:rsidR="00313964">
        <w:rPr>
          <w:rFonts w:asciiTheme="majorBidi" w:hAnsiTheme="majorBidi" w:cstheme="majorBidi"/>
          <w:sz w:val="24"/>
          <w:szCs w:val="24"/>
        </w:rPr>
        <w:t xml:space="preserve">variables </w:t>
      </w:r>
      <w:r w:rsidR="006C5645">
        <w:rPr>
          <w:rFonts w:asciiTheme="majorBidi" w:hAnsiTheme="majorBidi" w:cstheme="majorBidi"/>
          <w:sz w:val="24"/>
          <w:szCs w:val="24"/>
        </w:rPr>
        <w:t>were</w:t>
      </w:r>
      <w:r w:rsidR="00313964">
        <w:rPr>
          <w:rFonts w:asciiTheme="majorBidi" w:hAnsiTheme="majorBidi" w:cstheme="majorBidi"/>
          <w:sz w:val="24"/>
          <w:szCs w:val="24"/>
        </w:rPr>
        <w:t xml:space="preserve"> transformed into </w:t>
      </w:r>
      <w:r w:rsidR="006C5645">
        <w:rPr>
          <w:rFonts w:asciiTheme="majorBidi" w:hAnsiTheme="majorBidi" w:cstheme="majorBidi"/>
          <w:sz w:val="24"/>
          <w:szCs w:val="24"/>
        </w:rPr>
        <w:t xml:space="preserve">a </w:t>
      </w:r>
      <w:r w:rsidR="00313964">
        <w:rPr>
          <w:rFonts w:asciiTheme="majorBidi" w:hAnsiTheme="majorBidi" w:cstheme="majorBidi"/>
          <w:sz w:val="24"/>
          <w:szCs w:val="24"/>
        </w:rPr>
        <w:t xml:space="preserve">natural logarithmic form, </w:t>
      </w:r>
      <w:r w:rsidR="006C5645">
        <w:rPr>
          <w:rFonts w:asciiTheme="majorBidi" w:hAnsiTheme="majorBidi" w:cstheme="majorBidi"/>
          <w:sz w:val="24"/>
          <w:szCs w:val="24"/>
        </w:rPr>
        <w:t>(</w:t>
      </w:r>
      <w:r w:rsidR="00313964">
        <w:rPr>
          <w:rFonts w:asciiTheme="majorBidi" w:hAnsiTheme="majorBidi" w:cstheme="majorBidi"/>
          <w:sz w:val="24"/>
          <w:szCs w:val="24"/>
        </w:rPr>
        <w:t>i.e., LKLCI, LIFR, LIR, LM3, and LGDP</w:t>
      </w:r>
      <w:r w:rsidR="006C5645">
        <w:rPr>
          <w:rFonts w:asciiTheme="majorBidi" w:hAnsiTheme="majorBidi" w:cstheme="majorBidi"/>
          <w:sz w:val="24"/>
          <w:szCs w:val="24"/>
        </w:rPr>
        <w:t>)</w:t>
      </w:r>
      <w:r w:rsidR="00313964">
        <w:rPr>
          <w:rFonts w:asciiTheme="majorBidi" w:hAnsiTheme="majorBidi" w:cstheme="majorBidi"/>
          <w:sz w:val="24"/>
          <w:szCs w:val="24"/>
        </w:rPr>
        <w:t>.</w:t>
      </w:r>
    </w:p>
    <w:p w:rsidR="00A12A19" w:rsidRDefault="009A535B" w:rsidP="005975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Methodologically speaking</w:t>
      </w:r>
      <w:r w:rsidR="00175DAA" w:rsidRPr="00175DAA">
        <w:rPr>
          <w:rFonts w:asciiTheme="majorBidi" w:hAnsiTheme="majorBidi" w:cstheme="majorBidi"/>
          <w:sz w:val="24"/>
          <w:szCs w:val="24"/>
          <w:lang w:val="en-US"/>
        </w:rPr>
        <w:t xml:space="preserve">, the regression results are likely to be spurious if the variables are </w:t>
      </w:r>
      <w:r w:rsidR="00784364">
        <w:rPr>
          <w:rFonts w:asciiTheme="majorBidi" w:hAnsiTheme="majorBidi" w:cstheme="majorBidi"/>
          <w:sz w:val="24"/>
          <w:szCs w:val="24"/>
          <w:lang w:val="en-US"/>
        </w:rPr>
        <w:t>non-s</w:t>
      </w:r>
      <w:r w:rsidR="00E53A0E">
        <w:rPr>
          <w:rFonts w:asciiTheme="majorBidi" w:hAnsiTheme="majorBidi" w:cstheme="majorBidi"/>
          <w:sz w:val="24"/>
          <w:szCs w:val="24"/>
          <w:lang w:val="en-US"/>
        </w:rPr>
        <w:t xml:space="preserve">tationary. The solution to the </w:t>
      </w:r>
      <w:r w:rsidR="00175DAA" w:rsidRPr="00175DAA">
        <w:rPr>
          <w:rFonts w:asciiTheme="majorBidi" w:hAnsiTheme="majorBidi" w:cstheme="majorBidi"/>
          <w:sz w:val="24"/>
          <w:szCs w:val="24"/>
          <w:lang w:val="en-US"/>
        </w:rPr>
        <w:t xml:space="preserve">spurious </w:t>
      </w:r>
      <w:r w:rsidR="00E53A0E">
        <w:rPr>
          <w:rFonts w:asciiTheme="majorBidi" w:hAnsiTheme="majorBidi" w:cstheme="majorBidi"/>
          <w:sz w:val="24"/>
          <w:szCs w:val="24"/>
          <w:lang w:val="en-US"/>
        </w:rPr>
        <w:t xml:space="preserve">phenomenon is to differentiate the variables and </w:t>
      </w:r>
      <w:r w:rsidR="00E53A0E">
        <w:rPr>
          <w:rFonts w:asciiTheme="majorBidi" w:hAnsiTheme="majorBidi" w:cstheme="majorBidi"/>
          <w:sz w:val="24"/>
          <w:szCs w:val="24"/>
          <w:lang w:val="en-US"/>
        </w:rPr>
        <w:lastRenderedPageBreak/>
        <w:t xml:space="preserve">to use </w:t>
      </w:r>
      <w:r w:rsidR="00784364">
        <w:rPr>
          <w:rFonts w:asciiTheme="majorBidi" w:hAnsiTheme="majorBidi" w:cstheme="majorBidi"/>
          <w:sz w:val="24"/>
          <w:szCs w:val="24"/>
          <w:lang w:val="en-US"/>
        </w:rPr>
        <w:t xml:space="preserve">the </w:t>
      </w:r>
      <w:r w:rsidR="00175DAA" w:rsidRPr="00175DAA">
        <w:rPr>
          <w:rFonts w:asciiTheme="majorBidi" w:hAnsiTheme="majorBidi" w:cstheme="majorBidi"/>
          <w:sz w:val="24"/>
          <w:szCs w:val="24"/>
          <w:lang w:val="en-US"/>
        </w:rPr>
        <w:t xml:space="preserve">co-integration mechanism. </w:t>
      </w:r>
      <w:r w:rsidR="00175DAA">
        <w:rPr>
          <w:rFonts w:asciiTheme="majorBidi" w:hAnsiTheme="majorBidi" w:cstheme="majorBidi"/>
          <w:sz w:val="24"/>
          <w:szCs w:val="24"/>
          <w:lang w:val="en-US"/>
        </w:rPr>
        <w:t xml:space="preserve">Nowadays, </w:t>
      </w:r>
      <w:r w:rsidR="0055364A">
        <w:rPr>
          <w:rFonts w:asciiTheme="majorBidi" w:hAnsiTheme="majorBidi" w:cstheme="majorBidi"/>
          <w:sz w:val="24"/>
          <w:szCs w:val="24"/>
          <w:lang w:val="en-US"/>
        </w:rPr>
        <w:t>there are three models for implementin</w:t>
      </w:r>
      <w:r w:rsidR="00784364">
        <w:rPr>
          <w:rFonts w:asciiTheme="majorBidi" w:hAnsiTheme="majorBidi" w:cstheme="majorBidi"/>
          <w:sz w:val="24"/>
          <w:szCs w:val="24"/>
          <w:lang w:val="en-US"/>
        </w:rPr>
        <w:t xml:space="preserve">g the co-integration mechanism: </w:t>
      </w:r>
      <w:r w:rsidR="00175DAA" w:rsidRPr="00175DAA">
        <w:rPr>
          <w:rFonts w:asciiTheme="majorBidi" w:hAnsiTheme="majorBidi" w:cstheme="majorBidi"/>
          <w:sz w:val="24"/>
          <w:szCs w:val="24"/>
          <w:lang w:val="en-US"/>
        </w:rPr>
        <w:t>Engle and Granger</w:t>
      </w:r>
      <w:r w:rsidR="00784364">
        <w:rPr>
          <w:rFonts w:asciiTheme="majorBidi" w:hAnsiTheme="majorBidi" w:cstheme="majorBidi"/>
          <w:sz w:val="24"/>
          <w:szCs w:val="24"/>
          <w:lang w:val="en-US"/>
        </w:rPr>
        <w:t>’s</w:t>
      </w:r>
      <w:r w:rsidR="00175DAA" w:rsidRPr="00175DAA">
        <w:rPr>
          <w:rFonts w:asciiTheme="majorBidi" w:hAnsiTheme="majorBidi" w:cstheme="majorBidi"/>
          <w:sz w:val="24"/>
          <w:szCs w:val="24"/>
          <w:lang w:val="en-US"/>
        </w:rPr>
        <w:t xml:space="preserve"> (1987)</w:t>
      </w:r>
      <w:r w:rsidR="00784364">
        <w:rPr>
          <w:rFonts w:asciiTheme="majorBidi" w:hAnsiTheme="majorBidi" w:cstheme="majorBidi"/>
          <w:sz w:val="24"/>
          <w:szCs w:val="24"/>
          <w:lang w:val="en-US"/>
        </w:rPr>
        <w:t xml:space="preserve"> two-step process,</w:t>
      </w:r>
      <w:r w:rsidR="0055364A">
        <w:rPr>
          <w:rFonts w:asciiTheme="majorBidi" w:hAnsiTheme="majorBidi" w:cstheme="majorBidi"/>
          <w:sz w:val="24"/>
          <w:szCs w:val="24"/>
          <w:lang w:val="en-US"/>
        </w:rPr>
        <w:t xml:space="preserve"> </w:t>
      </w:r>
      <w:r w:rsidR="00175DAA">
        <w:rPr>
          <w:rFonts w:asciiTheme="majorBidi" w:hAnsiTheme="majorBidi" w:cstheme="majorBidi"/>
          <w:sz w:val="24"/>
          <w:szCs w:val="24"/>
          <w:lang w:val="en-US"/>
        </w:rPr>
        <w:t xml:space="preserve">henceforth referred to as </w:t>
      </w:r>
      <w:r w:rsidR="00784364">
        <w:rPr>
          <w:rFonts w:asciiTheme="majorBidi" w:hAnsiTheme="majorBidi" w:cstheme="majorBidi"/>
          <w:sz w:val="24"/>
          <w:szCs w:val="24"/>
          <w:lang w:val="en-US"/>
        </w:rPr>
        <w:t xml:space="preserve">the </w:t>
      </w:r>
      <w:r w:rsidR="00E53A0E">
        <w:rPr>
          <w:rFonts w:asciiTheme="majorBidi" w:hAnsiTheme="majorBidi" w:cstheme="majorBidi"/>
          <w:sz w:val="24"/>
          <w:szCs w:val="24"/>
          <w:lang w:val="en-US"/>
        </w:rPr>
        <w:t>vector autoregressive (</w:t>
      </w:r>
      <w:r w:rsidR="004A1FBB">
        <w:rPr>
          <w:rFonts w:asciiTheme="majorBidi" w:hAnsiTheme="majorBidi" w:cstheme="majorBidi"/>
          <w:sz w:val="24"/>
          <w:szCs w:val="24"/>
          <w:lang w:val="en-US"/>
        </w:rPr>
        <w:t>VAR</w:t>
      </w:r>
      <w:r w:rsidR="00E53A0E">
        <w:rPr>
          <w:rFonts w:asciiTheme="majorBidi" w:hAnsiTheme="majorBidi" w:cstheme="majorBidi"/>
          <w:sz w:val="24"/>
          <w:szCs w:val="24"/>
          <w:lang w:val="en-US"/>
        </w:rPr>
        <w:t>)</w:t>
      </w:r>
      <w:r w:rsidR="004A1FBB">
        <w:rPr>
          <w:rFonts w:asciiTheme="majorBidi" w:hAnsiTheme="majorBidi" w:cstheme="majorBidi"/>
          <w:sz w:val="24"/>
          <w:szCs w:val="24"/>
          <w:lang w:val="en-US"/>
        </w:rPr>
        <w:t xml:space="preserve"> </w:t>
      </w:r>
      <w:r w:rsidR="00175DAA">
        <w:rPr>
          <w:rFonts w:asciiTheme="majorBidi" w:hAnsiTheme="majorBidi" w:cstheme="majorBidi"/>
          <w:sz w:val="24"/>
          <w:szCs w:val="24"/>
          <w:lang w:val="en-US"/>
        </w:rPr>
        <w:t>model</w:t>
      </w:r>
      <w:r w:rsidR="00784364">
        <w:rPr>
          <w:rFonts w:asciiTheme="majorBidi" w:hAnsiTheme="majorBidi" w:cstheme="majorBidi"/>
          <w:sz w:val="24"/>
          <w:szCs w:val="24"/>
          <w:lang w:val="en-US"/>
        </w:rPr>
        <w:t xml:space="preserve">; </w:t>
      </w:r>
      <w:r w:rsidR="0055364A">
        <w:rPr>
          <w:rFonts w:asciiTheme="majorBidi" w:hAnsiTheme="majorBidi" w:cstheme="majorBidi"/>
          <w:sz w:val="24"/>
          <w:szCs w:val="24"/>
          <w:lang w:val="en-US"/>
        </w:rPr>
        <w:t xml:space="preserve">Johansen and </w:t>
      </w:r>
      <w:proofErr w:type="spellStart"/>
      <w:r w:rsidR="0055364A">
        <w:rPr>
          <w:rFonts w:asciiTheme="majorBidi" w:hAnsiTheme="majorBidi" w:cstheme="majorBidi"/>
          <w:sz w:val="24"/>
          <w:szCs w:val="24"/>
          <w:lang w:val="en-US"/>
        </w:rPr>
        <w:t>Juselius</w:t>
      </w:r>
      <w:r w:rsidR="00784364">
        <w:rPr>
          <w:rFonts w:asciiTheme="majorBidi" w:hAnsiTheme="majorBidi" w:cstheme="majorBidi"/>
          <w:sz w:val="24"/>
          <w:szCs w:val="24"/>
          <w:lang w:val="en-US"/>
        </w:rPr>
        <w:t>’s</w:t>
      </w:r>
      <w:proofErr w:type="spellEnd"/>
      <w:r w:rsidR="0055364A">
        <w:rPr>
          <w:rFonts w:asciiTheme="majorBidi" w:hAnsiTheme="majorBidi" w:cstheme="majorBidi"/>
          <w:sz w:val="24"/>
          <w:szCs w:val="24"/>
          <w:lang w:val="en-US"/>
        </w:rPr>
        <w:t xml:space="preserve"> (1990)</w:t>
      </w:r>
      <w:r w:rsidR="00784364">
        <w:rPr>
          <w:rFonts w:asciiTheme="majorBidi" w:hAnsiTheme="majorBidi" w:cstheme="majorBidi"/>
          <w:sz w:val="24"/>
          <w:szCs w:val="24"/>
          <w:lang w:val="en-US"/>
        </w:rPr>
        <w:t xml:space="preserve"> maximum likelihood process</w:t>
      </w:r>
      <w:r w:rsidR="0055364A">
        <w:rPr>
          <w:rFonts w:asciiTheme="majorBidi" w:hAnsiTheme="majorBidi" w:cstheme="majorBidi"/>
          <w:sz w:val="24"/>
          <w:szCs w:val="24"/>
          <w:lang w:val="en-US"/>
        </w:rPr>
        <w:t xml:space="preserve">, hereafter referred to as </w:t>
      </w:r>
      <w:r w:rsidR="00E53A0E">
        <w:rPr>
          <w:rFonts w:asciiTheme="majorBidi" w:hAnsiTheme="majorBidi" w:cstheme="majorBidi"/>
          <w:sz w:val="24"/>
          <w:szCs w:val="24"/>
          <w:lang w:val="en-US"/>
        </w:rPr>
        <w:t>the vector error correction model (</w:t>
      </w:r>
      <w:r w:rsidR="004A1FBB">
        <w:rPr>
          <w:rFonts w:asciiTheme="majorBidi" w:hAnsiTheme="majorBidi" w:cstheme="majorBidi"/>
          <w:sz w:val="24"/>
          <w:szCs w:val="24"/>
          <w:lang w:val="en-US"/>
        </w:rPr>
        <w:t>VECM</w:t>
      </w:r>
      <w:r w:rsidR="00E53A0E">
        <w:rPr>
          <w:rFonts w:asciiTheme="majorBidi" w:hAnsiTheme="majorBidi" w:cstheme="majorBidi"/>
          <w:sz w:val="24"/>
          <w:szCs w:val="24"/>
          <w:lang w:val="en-US"/>
        </w:rPr>
        <w:t>)</w:t>
      </w:r>
      <w:r w:rsidR="00784364">
        <w:rPr>
          <w:rFonts w:asciiTheme="majorBidi" w:hAnsiTheme="majorBidi" w:cstheme="majorBidi"/>
          <w:sz w:val="24"/>
          <w:szCs w:val="24"/>
          <w:lang w:val="en-US"/>
        </w:rPr>
        <w:t xml:space="preserve">; and </w:t>
      </w:r>
      <w:proofErr w:type="spellStart"/>
      <w:r w:rsidR="00A67250">
        <w:rPr>
          <w:rFonts w:asciiTheme="majorBidi" w:hAnsiTheme="majorBidi" w:cstheme="majorBidi"/>
          <w:sz w:val="24"/>
          <w:szCs w:val="24"/>
          <w:lang w:val="en-US"/>
        </w:rPr>
        <w:t>Pesaran</w:t>
      </w:r>
      <w:proofErr w:type="spellEnd"/>
      <w:r w:rsidR="00A67250">
        <w:rPr>
          <w:rFonts w:asciiTheme="majorBidi" w:hAnsiTheme="majorBidi" w:cstheme="majorBidi"/>
          <w:sz w:val="24"/>
          <w:szCs w:val="24"/>
          <w:lang w:val="en-US"/>
        </w:rPr>
        <w:t>, Shin, and Smith</w:t>
      </w:r>
      <w:r w:rsidR="00784364">
        <w:rPr>
          <w:rFonts w:asciiTheme="majorBidi" w:hAnsiTheme="majorBidi" w:cstheme="majorBidi"/>
          <w:sz w:val="24"/>
          <w:szCs w:val="24"/>
          <w:lang w:val="en-US"/>
        </w:rPr>
        <w:t>’s</w:t>
      </w:r>
      <w:r w:rsidR="00A67250">
        <w:rPr>
          <w:rFonts w:asciiTheme="majorBidi" w:hAnsiTheme="majorBidi" w:cstheme="majorBidi"/>
          <w:sz w:val="24"/>
          <w:szCs w:val="24"/>
          <w:lang w:val="en-US"/>
        </w:rPr>
        <w:t xml:space="preserve"> (2001)</w:t>
      </w:r>
      <w:r w:rsidR="00784364">
        <w:rPr>
          <w:rFonts w:asciiTheme="majorBidi" w:hAnsiTheme="majorBidi" w:cstheme="majorBidi"/>
          <w:sz w:val="24"/>
          <w:szCs w:val="24"/>
          <w:lang w:val="en-US"/>
        </w:rPr>
        <w:t xml:space="preserve"> ordinary least square bounds F-statistics</w:t>
      </w:r>
      <w:r w:rsidR="00A67250">
        <w:rPr>
          <w:rFonts w:asciiTheme="majorBidi" w:hAnsiTheme="majorBidi" w:cstheme="majorBidi"/>
          <w:sz w:val="24"/>
          <w:szCs w:val="24"/>
          <w:lang w:val="en-US"/>
        </w:rPr>
        <w:t xml:space="preserve">, henceforth referred to as </w:t>
      </w:r>
      <w:r w:rsidR="00784364">
        <w:rPr>
          <w:rFonts w:asciiTheme="majorBidi" w:hAnsiTheme="majorBidi" w:cstheme="majorBidi"/>
          <w:sz w:val="24"/>
          <w:szCs w:val="24"/>
          <w:lang w:val="en-US"/>
        </w:rPr>
        <w:t xml:space="preserve">the </w:t>
      </w:r>
      <w:r w:rsidR="004A1FBB">
        <w:rPr>
          <w:rFonts w:asciiTheme="majorBidi" w:hAnsiTheme="majorBidi" w:cstheme="majorBidi"/>
          <w:sz w:val="24"/>
          <w:szCs w:val="24"/>
          <w:lang w:val="en-US"/>
        </w:rPr>
        <w:t xml:space="preserve">autoregressive distributed lag </w:t>
      </w:r>
      <w:r w:rsidR="00A525C7">
        <w:rPr>
          <w:rFonts w:asciiTheme="majorBidi" w:hAnsiTheme="majorBidi" w:cstheme="majorBidi"/>
          <w:sz w:val="24"/>
          <w:szCs w:val="24"/>
          <w:lang w:val="en-US"/>
        </w:rPr>
        <w:t>model</w:t>
      </w:r>
      <w:r w:rsidR="00A67250">
        <w:rPr>
          <w:rFonts w:asciiTheme="majorBidi" w:hAnsiTheme="majorBidi" w:cstheme="majorBidi"/>
          <w:sz w:val="24"/>
          <w:szCs w:val="24"/>
          <w:lang w:val="en-US"/>
        </w:rPr>
        <w:t>.</w:t>
      </w:r>
    </w:p>
    <w:p w:rsidR="005975DF" w:rsidRPr="00CB08F5" w:rsidRDefault="005975DF" w:rsidP="005975DF">
      <w:pPr>
        <w:spacing w:after="0" w:line="240" w:lineRule="auto"/>
        <w:jc w:val="both"/>
        <w:rPr>
          <w:rFonts w:asciiTheme="majorBidi" w:hAnsiTheme="majorBidi" w:cstheme="majorBidi"/>
          <w:sz w:val="24"/>
          <w:szCs w:val="24"/>
          <w:lang w:val="en-US"/>
        </w:rPr>
      </w:pPr>
    </w:p>
    <w:p w:rsidR="00644C32" w:rsidRDefault="00EF79F4" w:rsidP="005975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t>
      </w:r>
      <w:r w:rsidR="004A1FBB">
        <w:rPr>
          <w:rFonts w:asciiTheme="majorBidi" w:hAnsiTheme="majorBidi" w:cstheme="majorBidi"/>
          <w:sz w:val="24"/>
          <w:szCs w:val="24"/>
          <w:lang w:val="en-US"/>
        </w:rPr>
        <w:t xml:space="preserve">VAR </w:t>
      </w:r>
      <w:r w:rsidR="00A67250">
        <w:rPr>
          <w:rFonts w:asciiTheme="majorBidi" w:hAnsiTheme="majorBidi" w:cstheme="majorBidi"/>
          <w:sz w:val="24"/>
          <w:szCs w:val="24"/>
          <w:lang w:val="en-US"/>
        </w:rPr>
        <w:t xml:space="preserve">model involves the estimation </w:t>
      </w:r>
      <w:r w:rsidR="00C8789D">
        <w:rPr>
          <w:rFonts w:asciiTheme="majorBidi" w:hAnsiTheme="majorBidi" w:cstheme="majorBidi"/>
          <w:sz w:val="24"/>
          <w:szCs w:val="24"/>
          <w:lang w:val="en-US"/>
        </w:rPr>
        <w:t xml:space="preserve">of one co-integrating vector </w:t>
      </w:r>
      <w:r w:rsidR="00A525C7">
        <w:rPr>
          <w:rFonts w:asciiTheme="majorBidi" w:hAnsiTheme="majorBidi" w:cstheme="majorBidi"/>
          <w:sz w:val="24"/>
          <w:szCs w:val="24"/>
          <w:lang w:val="en-US"/>
        </w:rPr>
        <w:t xml:space="preserve">rather than </w:t>
      </w:r>
      <w:r w:rsidR="00644C32">
        <w:rPr>
          <w:rFonts w:asciiTheme="majorBidi" w:hAnsiTheme="majorBidi" w:cstheme="majorBidi"/>
          <w:sz w:val="24"/>
          <w:szCs w:val="24"/>
          <w:lang w:val="en-US"/>
        </w:rPr>
        <w:t xml:space="preserve">the </w:t>
      </w:r>
      <w:r w:rsidR="004A1FBB">
        <w:rPr>
          <w:rFonts w:asciiTheme="majorBidi" w:hAnsiTheme="majorBidi" w:cstheme="majorBidi"/>
          <w:sz w:val="24"/>
          <w:szCs w:val="24"/>
          <w:lang w:val="en-US"/>
        </w:rPr>
        <w:t>VECM</w:t>
      </w:r>
      <w:r>
        <w:rPr>
          <w:rFonts w:asciiTheme="majorBidi" w:hAnsiTheme="majorBidi" w:cstheme="majorBidi"/>
          <w:sz w:val="24"/>
          <w:szCs w:val="24"/>
          <w:lang w:val="en-US"/>
        </w:rPr>
        <w:t>,</w:t>
      </w:r>
      <w:r w:rsidR="004A1FBB">
        <w:rPr>
          <w:rFonts w:asciiTheme="majorBidi" w:hAnsiTheme="majorBidi" w:cstheme="majorBidi"/>
          <w:sz w:val="24"/>
          <w:szCs w:val="24"/>
          <w:lang w:val="en-US"/>
        </w:rPr>
        <w:t xml:space="preserve"> </w:t>
      </w:r>
      <w:r w:rsidR="00A525C7">
        <w:rPr>
          <w:rFonts w:asciiTheme="majorBidi" w:hAnsiTheme="majorBidi" w:cstheme="majorBidi"/>
          <w:sz w:val="24"/>
          <w:szCs w:val="24"/>
          <w:lang w:val="en-US"/>
        </w:rPr>
        <w:t xml:space="preserve">which implies more than one co-integrating vector in the regression </w:t>
      </w:r>
      <w:r w:rsidR="007E530F">
        <w:rPr>
          <w:rFonts w:asciiTheme="majorBidi" w:hAnsiTheme="majorBidi" w:cstheme="majorBidi"/>
          <w:sz w:val="24"/>
          <w:szCs w:val="24"/>
          <w:lang w:val="en-US"/>
        </w:rPr>
        <w:t>(</w:t>
      </w:r>
      <w:r w:rsidR="00644C32">
        <w:rPr>
          <w:rFonts w:asciiTheme="majorBidi" w:hAnsiTheme="majorBidi" w:cstheme="majorBidi"/>
          <w:sz w:val="24"/>
          <w:szCs w:val="24"/>
          <w:lang w:val="en-US"/>
        </w:rPr>
        <w:t xml:space="preserve">See </w:t>
      </w:r>
      <w:r w:rsidR="00552AD7">
        <w:rPr>
          <w:rFonts w:asciiTheme="majorBidi" w:hAnsiTheme="majorBidi" w:cstheme="majorBidi"/>
          <w:sz w:val="24"/>
          <w:szCs w:val="24"/>
          <w:lang w:val="en-US"/>
        </w:rPr>
        <w:t xml:space="preserve">Eq. </w:t>
      </w:r>
      <w:r w:rsidR="00A67250">
        <w:rPr>
          <w:rFonts w:asciiTheme="majorBidi" w:hAnsiTheme="majorBidi" w:cstheme="majorBidi"/>
          <w:sz w:val="24"/>
          <w:szCs w:val="24"/>
          <w:lang w:val="en-US"/>
        </w:rPr>
        <w:t>(1))</w:t>
      </w:r>
      <w:r w:rsidR="00644C32">
        <w:rPr>
          <w:rFonts w:asciiTheme="majorBidi" w:hAnsiTheme="majorBidi" w:cstheme="majorBidi"/>
          <w:sz w:val="24"/>
          <w:szCs w:val="24"/>
          <w:lang w:val="en-US"/>
        </w:rPr>
        <w:t>.</w:t>
      </w:r>
    </w:p>
    <w:p w:rsidR="005975DF" w:rsidRDefault="005975DF" w:rsidP="005975DF">
      <w:pPr>
        <w:spacing w:after="0" w:line="240" w:lineRule="auto"/>
        <w:jc w:val="both"/>
        <w:rPr>
          <w:rFonts w:asciiTheme="majorBidi" w:hAnsiTheme="majorBidi" w:cstheme="majorBidi"/>
          <w:sz w:val="24"/>
          <w:szCs w:val="24"/>
          <w:lang w:val="en-US"/>
        </w:rPr>
      </w:pPr>
    </w:p>
    <w:p w:rsidR="00A67250" w:rsidRDefault="00DC2BDD" w:rsidP="003D29DA">
      <w:pPr>
        <w:spacing w:after="0" w:line="240" w:lineRule="auto"/>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z</w:t>
      </w:r>
      <w:r w:rsidR="00A67250" w:rsidRPr="00A67250">
        <w:rPr>
          <w:rFonts w:asciiTheme="majorBidi" w:hAnsiTheme="majorBidi" w:cstheme="majorBidi"/>
          <w:sz w:val="24"/>
          <w:szCs w:val="24"/>
          <w:vertAlign w:val="subscript"/>
          <w:lang w:val="en-US"/>
        </w:rPr>
        <w:t>t</w:t>
      </w:r>
      <w:proofErr w:type="spellEnd"/>
      <w:proofErr w:type="gramEnd"/>
      <w:r w:rsidR="00A67250">
        <w:rPr>
          <w:rFonts w:asciiTheme="majorBidi" w:hAnsiTheme="majorBidi" w:cstheme="majorBidi"/>
          <w:sz w:val="24"/>
          <w:szCs w:val="24"/>
          <w:lang w:val="en-US"/>
        </w:rPr>
        <w:t xml:space="preserve"> = α + </w:t>
      </w:r>
      <w:r>
        <w:rPr>
          <w:rFonts w:asciiTheme="majorBidi" w:hAnsiTheme="majorBidi" w:cstheme="majorBidi"/>
          <w:sz w:val="24"/>
          <w:szCs w:val="24"/>
          <w:lang w:val="en-US"/>
        </w:rPr>
        <w:t>X</w:t>
      </w:r>
      <w:r w:rsidR="00A67250" w:rsidRPr="00A67250">
        <w:rPr>
          <w:rFonts w:asciiTheme="majorBidi" w:hAnsiTheme="majorBidi" w:cstheme="majorBidi"/>
          <w:sz w:val="24"/>
          <w:szCs w:val="24"/>
          <w:vertAlign w:val="subscript"/>
          <w:lang w:val="en-US"/>
        </w:rPr>
        <w:t>1</w:t>
      </w:r>
      <w:r>
        <w:rPr>
          <w:rFonts w:asciiTheme="majorBidi" w:hAnsiTheme="majorBidi" w:cstheme="majorBidi"/>
          <w:sz w:val="24"/>
          <w:szCs w:val="24"/>
          <w:lang w:val="en-US"/>
        </w:rPr>
        <w:t>z</w:t>
      </w:r>
      <w:r w:rsidR="00A67250" w:rsidRPr="00A67250">
        <w:rPr>
          <w:rFonts w:asciiTheme="majorBidi" w:hAnsiTheme="majorBidi" w:cstheme="majorBidi"/>
          <w:sz w:val="24"/>
          <w:szCs w:val="24"/>
          <w:vertAlign w:val="subscript"/>
          <w:lang w:val="en-US"/>
        </w:rPr>
        <w:t>t</w:t>
      </w:r>
      <w:r>
        <w:rPr>
          <w:rFonts w:asciiTheme="majorBidi" w:hAnsiTheme="majorBidi" w:cstheme="majorBidi"/>
          <w:sz w:val="24"/>
          <w:szCs w:val="24"/>
          <w:vertAlign w:val="subscript"/>
          <w:lang w:val="en-US"/>
        </w:rPr>
        <w:t>-1</w:t>
      </w:r>
      <w:r w:rsidR="00A67250">
        <w:rPr>
          <w:rFonts w:asciiTheme="majorBidi" w:hAnsiTheme="majorBidi" w:cstheme="majorBidi"/>
          <w:sz w:val="24"/>
          <w:szCs w:val="24"/>
          <w:lang w:val="en-US"/>
        </w:rPr>
        <w:t xml:space="preserve"> + …. + </w:t>
      </w:r>
      <w:r>
        <w:rPr>
          <w:rFonts w:asciiTheme="majorBidi" w:hAnsiTheme="majorBidi" w:cstheme="majorBidi"/>
          <w:sz w:val="24"/>
          <w:szCs w:val="24"/>
          <w:lang w:val="en-US"/>
        </w:rPr>
        <w:t>X</w:t>
      </w:r>
      <w:r w:rsidR="00644C32">
        <w:rPr>
          <w:rFonts w:asciiTheme="majorBidi" w:hAnsiTheme="majorBidi" w:cstheme="majorBidi"/>
          <w:sz w:val="24"/>
          <w:szCs w:val="24"/>
          <w:vertAlign w:val="subscript"/>
          <w:lang w:val="en-US"/>
        </w:rPr>
        <w:t xml:space="preserve">i </w:t>
      </w:r>
      <w:proofErr w:type="spellStart"/>
      <w:r>
        <w:rPr>
          <w:rFonts w:asciiTheme="majorBidi" w:hAnsiTheme="majorBidi" w:cstheme="majorBidi"/>
          <w:sz w:val="24"/>
          <w:szCs w:val="24"/>
          <w:lang w:val="en-US"/>
        </w:rPr>
        <w:t>z</w:t>
      </w:r>
      <w:r w:rsidR="00A67250" w:rsidRPr="00A67250">
        <w:rPr>
          <w:rFonts w:asciiTheme="majorBidi" w:hAnsiTheme="majorBidi" w:cstheme="majorBidi"/>
          <w:sz w:val="24"/>
          <w:szCs w:val="24"/>
          <w:vertAlign w:val="subscript"/>
          <w:lang w:val="en-US"/>
        </w:rPr>
        <w:t>t</w:t>
      </w:r>
      <w:proofErr w:type="spellEnd"/>
      <w:r>
        <w:rPr>
          <w:rFonts w:asciiTheme="majorBidi" w:hAnsiTheme="majorBidi" w:cstheme="majorBidi"/>
          <w:sz w:val="24"/>
          <w:szCs w:val="24"/>
          <w:vertAlign w:val="subscript"/>
          <w:lang w:val="en-US"/>
        </w:rPr>
        <w:t>-</w:t>
      </w:r>
      <w:r w:rsidR="00644C32">
        <w:rPr>
          <w:rFonts w:asciiTheme="majorBidi" w:hAnsiTheme="majorBidi" w:cstheme="majorBidi"/>
          <w:sz w:val="24"/>
          <w:szCs w:val="24"/>
          <w:vertAlign w:val="subscript"/>
          <w:lang w:val="en-US"/>
        </w:rPr>
        <w:t>h</w:t>
      </w:r>
      <w:r w:rsidR="00A67250">
        <w:rPr>
          <w:rFonts w:asciiTheme="majorBidi" w:hAnsiTheme="majorBidi" w:cstheme="majorBidi"/>
          <w:sz w:val="24"/>
          <w:szCs w:val="24"/>
          <w:lang w:val="en-US"/>
        </w:rPr>
        <w:t xml:space="preserve"> + </w:t>
      </w:r>
      <w:proofErr w:type="spellStart"/>
      <w:r w:rsidR="00A67250">
        <w:rPr>
          <w:rFonts w:asciiTheme="majorBidi" w:hAnsiTheme="majorBidi" w:cstheme="majorBidi"/>
          <w:sz w:val="24"/>
          <w:szCs w:val="24"/>
          <w:lang w:val="en-US"/>
        </w:rPr>
        <w:t>ε</w:t>
      </w:r>
      <w:r w:rsidR="00A67250" w:rsidRPr="00A67250">
        <w:rPr>
          <w:rFonts w:asciiTheme="majorBidi" w:hAnsiTheme="majorBidi" w:cstheme="majorBidi"/>
          <w:sz w:val="24"/>
          <w:szCs w:val="24"/>
          <w:vertAlign w:val="subscript"/>
          <w:lang w:val="en-US"/>
        </w:rPr>
        <w:t>t</w:t>
      </w:r>
      <w:proofErr w:type="spellEnd"/>
      <w:r w:rsidR="00A67250">
        <w:rPr>
          <w:rFonts w:asciiTheme="majorBidi" w:hAnsiTheme="majorBidi" w:cstheme="majorBidi"/>
          <w:sz w:val="24"/>
          <w:szCs w:val="24"/>
          <w:lang w:val="en-US"/>
        </w:rPr>
        <w:t xml:space="preserve">,              </w:t>
      </w:r>
      <w:r w:rsidR="00644C32">
        <w:rPr>
          <w:rFonts w:asciiTheme="majorBidi" w:hAnsiTheme="majorBidi" w:cstheme="majorBidi"/>
          <w:sz w:val="24"/>
          <w:szCs w:val="24"/>
          <w:lang w:val="en-US"/>
        </w:rPr>
        <w:t xml:space="preserve">               </w:t>
      </w:r>
      <w:r w:rsidR="00644C32">
        <w:rPr>
          <w:rFonts w:asciiTheme="majorBidi" w:hAnsiTheme="majorBidi" w:cstheme="majorBidi"/>
          <w:sz w:val="24"/>
          <w:szCs w:val="24"/>
        </w:rPr>
        <w:t>X</w:t>
      </w:r>
      <w:r w:rsidR="00644C32" w:rsidRPr="00314528">
        <w:rPr>
          <w:rFonts w:asciiTheme="majorBidi" w:hAnsiTheme="majorBidi" w:cstheme="majorBidi"/>
          <w:sz w:val="24"/>
          <w:szCs w:val="24"/>
          <w:vertAlign w:val="subscript"/>
        </w:rPr>
        <w:t>i</w:t>
      </w:r>
      <w:r w:rsidR="00644C32">
        <w:rPr>
          <w:rFonts w:asciiTheme="majorBidi" w:hAnsiTheme="majorBidi" w:cstheme="majorBidi"/>
          <w:sz w:val="24"/>
          <w:szCs w:val="24"/>
        </w:rPr>
        <w:t xml:space="preserve"> (</w:t>
      </w:r>
      <w:proofErr w:type="spellStart"/>
      <w:r w:rsidR="00644C32">
        <w:rPr>
          <w:rFonts w:asciiTheme="majorBidi" w:hAnsiTheme="majorBidi" w:cstheme="majorBidi"/>
          <w:sz w:val="24"/>
          <w:szCs w:val="24"/>
        </w:rPr>
        <w:t>i</w:t>
      </w:r>
      <w:proofErr w:type="spellEnd"/>
      <w:r w:rsidR="00644C32">
        <w:rPr>
          <w:rFonts w:asciiTheme="majorBidi" w:hAnsiTheme="majorBidi" w:cstheme="majorBidi"/>
          <w:sz w:val="24"/>
          <w:szCs w:val="24"/>
        </w:rPr>
        <w:t>= 1</w:t>
      </w:r>
      <w:proofErr w:type="gramStart"/>
      <w:r w:rsidR="00644C32">
        <w:rPr>
          <w:rFonts w:asciiTheme="majorBidi" w:hAnsiTheme="majorBidi" w:cstheme="majorBidi"/>
          <w:sz w:val="24"/>
          <w:szCs w:val="24"/>
        </w:rPr>
        <w:t>,…</w:t>
      </w:r>
      <w:proofErr w:type="gramEnd"/>
      <w:r w:rsidR="00644C32">
        <w:rPr>
          <w:rFonts w:asciiTheme="majorBidi" w:hAnsiTheme="majorBidi" w:cstheme="majorBidi"/>
          <w:sz w:val="24"/>
          <w:szCs w:val="24"/>
        </w:rPr>
        <w:t xml:space="preserve"> 9)</w:t>
      </w:r>
      <w:r w:rsidR="00644C32">
        <w:rPr>
          <w:rFonts w:asciiTheme="majorBidi" w:hAnsiTheme="majorBidi" w:cstheme="majorBidi"/>
          <w:sz w:val="24"/>
          <w:szCs w:val="24"/>
          <w:lang w:val="en-US"/>
        </w:rPr>
        <w:t xml:space="preserve">                               </w:t>
      </w:r>
      <w:r w:rsidR="00A67250">
        <w:rPr>
          <w:rFonts w:asciiTheme="majorBidi" w:hAnsiTheme="majorBidi" w:cstheme="majorBidi"/>
          <w:sz w:val="24"/>
          <w:szCs w:val="24"/>
          <w:lang w:val="en-US"/>
        </w:rPr>
        <w:t>(1)</w:t>
      </w:r>
    </w:p>
    <w:p w:rsidR="00C52D6F" w:rsidRDefault="00C52D6F" w:rsidP="003D29DA">
      <w:pPr>
        <w:spacing w:after="0" w:line="240" w:lineRule="auto"/>
        <w:jc w:val="both"/>
        <w:rPr>
          <w:rFonts w:asciiTheme="majorBidi" w:hAnsiTheme="majorBidi" w:cstheme="majorBidi"/>
          <w:sz w:val="24"/>
          <w:szCs w:val="24"/>
          <w:lang w:val="en-US"/>
        </w:rPr>
      </w:pPr>
    </w:p>
    <w:p w:rsidR="00644C32" w:rsidRDefault="004C14CB" w:rsidP="003D29DA">
      <w:pPr>
        <w:spacing w:line="240" w:lineRule="auto"/>
        <w:jc w:val="both"/>
        <w:rPr>
          <w:rFonts w:asciiTheme="majorBidi" w:hAnsiTheme="majorBidi" w:cstheme="majorBidi"/>
          <w:sz w:val="24"/>
          <w:szCs w:val="24"/>
          <w:lang w:val="en-US"/>
        </w:rPr>
      </w:pPr>
      <w:r w:rsidRPr="003D29DA">
        <w:rPr>
          <w:rFonts w:asciiTheme="majorBidi" w:hAnsiTheme="majorBidi" w:cstheme="majorBidi"/>
          <w:sz w:val="24"/>
          <w:szCs w:val="24"/>
          <w:lang w:val="en-US"/>
        </w:rPr>
        <w:t>Where</w:t>
      </w:r>
      <w:r w:rsidR="00644C32" w:rsidRPr="003D29DA">
        <w:rPr>
          <w:rFonts w:asciiTheme="majorBidi" w:hAnsiTheme="majorBidi" w:cstheme="majorBidi"/>
          <w:sz w:val="24"/>
          <w:szCs w:val="24"/>
          <w:lang w:val="en-US"/>
        </w:rPr>
        <w:t xml:space="preserve">, </w:t>
      </w:r>
      <w:proofErr w:type="spellStart"/>
      <w:r w:rsidR="00DC2BDD" w:rsidRPr="003D29DA">
        <w:rPr>
          <w:rFonts w:asciiTheme="majorBidi" w:hAnsiTheme="majorBidi" w:cstheme="majorBidi"/>
          <w:sz w:val="24"/>
          <w:szCs w:val="24"/>
          <w:lang w:val="en-US"/>
        </w:rPr>
        <w:t>z</w:t>
      </w:r>
      <w:r w:rsidR="00DC2BDD" w:rsidRPr="003D29DA">
        <w:rPr>
          <w:rFonts w:asciiTheme="majorBidi" w:hAnsiTheme="majorBidi" w:cstheme="majorBidi"/>
          <w:sz w:val="24"/>
          <w:szCs w:val="24"/>
          <w:vertAlign w:val="subscript"/>
          <w:lang w:val="en-US"/>
        </w:rPr>
        <w:t>t</w:t>
      </w:r>
      <w:proofErr w:type="spellEnd"/>
      <w:r w:rsidR="00DC2BDD" w:rsidRPr="003D29DA">
        <w:rPr>
          <w:rFonts w:asciiTheme="majorBidi" w:hAnsiTheme="majorBidi" w:cstheme="majorBidi"/>
          <w:sz w:val="24"/>
          <w:szCs w:val="24"/>
          <w:lang w:val="en-US"/>
        </w:rPr>
        <w:t xml:space="preserve"> is the 5 × 1 vector of the </w:t>
      </w:r>
      <w:r w:rsidR="00516BA2" w:rsidRPr="003D29DA">
        <w:rPr>
          <w:rFonts w:asciiTheme="majorBidi" w:hAnsiTheme="majorBidi" w:cstheme="majorBidi"/>
          <w:sz w:val="24"/>
          <w:szCs w:val="24"/>
          <w:lang w:val="en-US"/>
        </w:rPr>
        <w:t xml:space="preserve">selected </w:t>
      </w:r>
      <w:r w:rsidR="00DC2BDD" w:rsidRPr="003D29DA">
        <w:rPr>
          <w:rFonts w:asciiTheme="majorBidi" w:hAnsiTheme="majorBidi" w:cstheme="majorBidi"/>
          <w:sz w:val="24"/>
          <w:szCs w:val="24"/>
          <w:lang w:val="en-US"/>
        </w:rPr>
        <w:t>variables</w:t>
      </w:r>
      <w:r w:rsidR="00313964" w:rsidRPr="003D29DA">
        <w:rPr>
          <w:rFonts w:asciiTheme="majorBidi" w:hAnsiTheme="majorBidi" w:cstheme="majorBidi"/>
          <w:sz w:val="24"/>
          <w:szCs w:val="24"/>
          <w:lang w:val="en-US"/>
        </w:rPr>
        <w:t xml:space="preserve">, </w:t>
      </w:r>
      <w:r w:rsidR="00082F0C" w:rsidRPr="003D29DA">
        <w:rPr>
          <w:rFonts w:asciiTheme="majorBidi" w:hAnsiTheme="majorBidi" w:cstheme="majorBidi"/>
          <w:sz w:val="24"/>
          <w:szCs w:val="24"/>
          <w:lang w:val="en-US"/>
        </w:rPr>
        <w:t xml:space="preserve">(i.e., </w:t>
      </w:r>
      <w:r w:rsidR="00313964" w:rsidRPr="003D29DA">
        <w:rPr>
          <w:rFonts w:asciiTheme="majorBidi" w:hAnsiTheme="majorBidi" w:cstheme="majorBidi"/>
          <w:sz w:val="24"/>
          <w:szCs w:val="24"/>
          <w:lang w:val="en-US"/>
        </w:rPr>
        <w:t>LKLCI, LIFR, LIR, LM3, and LGDP</w:t>
      </w:r>
      <w:r w:rsidR="00082F0C" w:rsidRPr="003D29DA">
        <w:rPr>
          <w:rFonts w:asciiTheme="majorBidi" w:hAnsiTheme="majorBidi" w:cstheme="majorBidi"/>
          <w:sz w:val="24"/>
          <w:szCs w:val="24"/>
          <w:lang w:val="en-US"/>
        </w:rPr>
        <w:t>)</w:t>
      </w:r>
      <w:r w:rsidR="00DC2BDD" w:rsidRPr="003D29DA">
        <w:rPr>
          <w:rFonts w:asciiTheme="majorBidi" w:hAnsiTheme="majorBidi" w:cstheme="majorBidi"/>
          <w:sz w:val="24"/>
          <w:szCs w:val="24"/>
          <w:lang w:val="en-US"/>
        </w:rPr>
        <w:t>. The</w:t>
      </w:r>
      <w:r w:rsidR="00C8789D" w:rsidRPr="003D29DA">
        <w:rPr>
          <w:rFonts w:asciiTheme="majorBidi" w:hAnsiTheme="majorBidi" w:cstheme="majorBidi"/>
          <w:sz w:val="24"/>
          <w:szCs w:val="24"/>
          <w:lang w:val="en-US"/>
        </w:rPr>
        <w:t xml:space="preserve"> series </w:t>
      </w:r>
      <w:proofErr w:type="spellStart"/>
      <w:r w:rsidR="00C8789D" w:rsidRPr="003D29DA">
        <w:rPr>
          <w:rFonts w:asciiTheme="majorBidi" w:hAnsiTheme="majorBidi" w:cstheme="majorBidi"/>
          <w:sz w:val="24"/>
          <w:szCs w:val="24"/>
          <w:lang w:val="en-US"/>
        </w:rPr>
        <w:t>z</w:t>
      </w:r>
      <w:r w:rsidR="00C8789D" w:rsidRPr="003D29DA">
        <w:rPr>
          <w:rFonts w:asciiTheme="majorBidi" w:hAnsiTheme="majorBidi" w:cstheme="majorBidi"/>
          <w:sz w:val="24"/>
          <w:szCs w:val="24"/>
          <w:vertAlign w:val="subscript"/>
          <w:lang w:val="en-US"/>
        </w:rPr>
        <w:t>t</w:t>
      </w:r>
      <w:proofErr w:type="spellEnd"/>
      <w:r w:rsidR="00DC2BDD" w:rsidRPr="003D29DA">
        <w:rPr>
          <w:rFonts w:asciiTheme="majorBidi" w:hAnsiTheme="majorBidi" w:cstheme="majorBidi"/>
          <w:sz w:val="24"/>
          <w:szCs w:val="24"/>
          <w:lang w:val="en-US"/>
        </w:rPr>
        <w:t xml:space="preserve"> </w:t>
      </w:r>
      <w:r w:rsidR="0037635A" w:rsidRPr="003D29DA">
        <w:rPr>
          <w:rFonts w:asciiTheme="majorBidi" w:hAnsiTheme="majorBidi" w:cstheme="majorBidi"/>
          <w:sz w:val="24"/>
          <w:szCs w:val="24"/>
          <w:lang w:val="en-US"/>
        </w:rPr>
        <w:t xml:space="preserve">is stationary at level </w:t>
      </w:r>
      <w:r w:rsidR="00A366BD" w:rsidRPr="003D29DA">
        <w:rPr>
          <w:rFonts w:asciiTheme="majorBidi" w:hAnsiTheme="majorBidi" w:cstheme="majorBidi"/>
          <w:sz w:val="24"/>
          <w:szCs w:val="24"/>
          <w:lang w:val="en-US"/>
        </w:rPr>
        <w:t>(</w:t>
      </w:r>
      <w:r w:rsidR="002C7250" w:rsidRPr="003D29DA">
        <w:rPr>
          <w:rFonts w:asciiTheme="majorBidi" w:hAnsiTheme="majorBidi" w:cstheme="majorBidi"/>
          <w:sz w:val="24"/>
          <w:szCs w:val="24"/>
          <w:lang w:val="en-US"/>
        </w:rPr>
        <w:t>i.e.,</w:t>
      </w:r>
      <w:r w:rsidR="002C7250" w:rsidRPr="003D29DA">
        <w:rPr>
          <w:rFonts w:asciiTheme="majorBidi" w:hAnsiTheme="majorBidi" w:cstheme="majorBidi"/>
          <w:i/>
          <w:iCs/>
          <w:sz w:val="24"/>
          <w:szCs w:val="24"/>
          <w:lang w:val="en-US"/>
        </w:rPr>
        <w:t xml:space="preserve"> </w:t>
      </w:r>
      <w:proofErr w:type="gramStart"/>
      <w:r w:rsidR="002C7250" w:rsidRPr="003D29DA">
        <w:rPr>
          <w:rFonts w:asciiTheme="majorBidi" w:hAnsiTheme="majorBidi" w:cstheme="majorBidi"/>
          <w:i/>
          <w:iCs/>
          <w:sz w:val="24"/>
          <w:szCs w:val="24"/>
          <w:lang w:val="en-US"/>
        </w:rPr>
        <w:t>I(</w:t>
      </w:r>
      <w:proofErr w:type="gramEnd"/>
      <w:r w:rsidR="002C7250" w:rsidRPr="003D29DA">
        <w:rPr>
          <w:rFonts w:asciiTheme="majorBidi" w:hAnsiTheme="majorBidi" w:cstheme="majorBidi"/>
          <w:i/>
          <w:iCs/>
          <w:sz w:val="24"/>
          <w:szCs w:val="24"/>
          <w:lang w:val="en-US"/>
        </w:rPr>
        <w:t>0)</w:t>
      </w:r>
      <w:r w:rsidR="00A366BD" w:rsidRPr="003D29DA">
        <w:rPr>
          <w:rFonts w:asciiTheme="majorBidi" w:hAnsiTheme="majorBidi" w:cstheme="majorBidi"/>
          <w:sz w:val="24"/>
          <w:szCs w:val="24"/>
          <w:lang w:val="en-US"/>
        </w:rPr>
        <w:t>)</w:t>
      </w:r>
      <w:r w:rsidR="004A1FBB" w:rsidRPr="003D29DA">
        <w:rPr>
          <w:rFonts w:asciiTheme="majorBidi" w:hAnsiTheme="majorBidi" w:cstheme="majorBidi"/>
          <w:sz w:val="24"/>
          <w:szCs w:val="24"/>
          <w:lang w:val="en-US"/>
        </w:rPr>
        <w:t xml:space="preserve"> </w:t>
      </w:r>
      <w:r w:rsidR="002C7250" w:rsidRPr="003D29DA">
        <w:rPr>
          <w:rFonts w:asciiTheme="majorBidi" w:hAnsiTheme="majorBidi" w:cstheme="majorBidi"/>
          <w:sz w:val="24"/>
          <w:szCs w:val="24"/>
          <w:lang w:val="en-US"/>
        </w:rPr>
        <w:t xml:space="preserve">and </w:t>
      </w:r>
      <w:r w:rsidR="00A366BD" w:rsidRPr="003D29DA">
        <w:rPr>
          <w:rFonts w:asciiTheme="majorBidi" w:hAnsiTheme="majorBidi" w:cstheme="majorBidi"/>
          <w:sz w:val="24"/>
          <w:szCs w:val="24"/>
          <w:lang w:val="en-US"/>
        </w:rPr>
        <w:t xml:space="preserve">is </w:t>
      </w:r>
      <w:r w:rsidR="00C8789D" w:rsidRPr="003D29DA">
        <w:rPr>
          <w:rFonts w:asciiTheme="majorBidi" w:hAnsiTheme="majorBidi" w:cstheme="majorBidi"/>
          <w:sz w:val="24"/>
          <w:szCs w:val="24"/>
          <w:lang w:val="en-US"/>
        </w:rPr>
        <w:t xml:space="preserve">said to </w:t>
      </w:r>
      <w:r w:rsidR="00A366BD" w:rsidRPr="003D29DA">
        <w:rPr>
          <w:rFonts w:asciiTheme="majorBidi" w:hAnsiTheme="majorBidi" w:cstheme="majorBidi"/>
          <w:sz w:val="24"/>
          <w:szCs w:val="24"/>
          <w:lang w:val="en-US"/>
        </w:rPr>
        <w:t xml:space="preserve">be </w:t>
      </w:r>
      <w:r w:rsidR="00A525C7" w:rsidRPr="003D29DA">
        <w:rPr>
          <w:rFonts w:asciiTheme="majorBidi" w:hAnsiTheme="majorBidi" w:cstheme="majorBidi"/>
          <w:sz w:val="24"/>
          <w:szCs w:val="24"/>
          <w:lang w:val="en-US"/>
        </w:rPr>
        <w:t>co-integrated</w:t>
      </w:r>
      <w:r w:rsidR="00C8789D" w:rsidRPr="003D29DA">
        <w:rPr>
          <w:rFonts w:asciiTheme="majorBidi" w:hAnsiTheme="majorBidi" w:cstheme="majorBidi"/>
          <w:sz w:val="24"/>
          <w:szCs w:val="24"/>
          <w:lang w:val="en-US"/>
        </w:rPr>
        <w:t xml:space="preserve"> if the series </w:t>
      </w:r>
      <w:proofErr w:type="spellStart"/>
      <w:r w:rsidR="00C8789D">
        <w:rPr>
          <w:rFonts w:asciiTheme="majorBidi" w:hAnsiTheme="majorBidi" w:cstheme="majorBidi"/>
          <w:sz w:val="24"/>
          <w:szCs w:val="24"/>
          <w:lang w:val="en-US"/>
        </w:rPr>
        <w:t>ε</w:t>
      </w:r>
      <w:r w:rsidR="00C8789D" w:rsidRPr="00A67250">
        <w:rPr>
          <w:rFonts w:asciiTheme="majorBidi" w:hAnsiTheme="majorBidi" w:cstheme="majorBidi"/>
          <w:sz w:val="24"/>
          <w:szCs w:val="24"/>
          <w:vertAlign w:val="subscript"/>
          <w:lang w:val="en-US"/>
        </w:rPr>
        <w:t>t</w:t>
      </w:r>
      <w:proofErr w:type="spellEnd"/>
      <w:r w:rsidR="00C8789D">
        <w:rPr>
          <w:rFonts w:asciiTheme="majorBidi" w:hAnsiTheme="majorBidi" w:cstheme="majorBidi"/>
          <w:sz w:val="24"/>
          <w:szCs w:val="24"/>
          <w:lang w:val="en-US"/>
        </w:rPr>
        <w:t xml:space="preserve"> is stationary</w:t>
      </w:r>
      <w:r w:rsidR="00591B91">
        <w:rPr>
          <w:rFonts w:asciiTheme="majorBidi" w:hAnsiTheme="majorBidi" w:cstheme="majorBidi"/>
          <w:sz w:val="24"/>
          <w:szCs w:val="24"/>
          <w:lang w:val="en-US"/>
        </w:rPr>
        <w:t xml:space="preserve"> at </w:t>
      </w:r>
      <w:r w:rsidR="00591B91" w:rsidRPr="00591B91">
        <w:rPr>
          <w:rFonts w:asciiTheme="majorBidi" w:hAnsiTheme="majorBidi" w:cstheme="majorBidi"/>
          <w:i/>
          <w:iCs/>
          <w:sz w:val="24"/>
          <w:szCs w:val="24"/>
          <w:lang w:val="en-US"/>
        </w:rPr>
        <w:t>I(0)</w:t>
      </w:r>
      <w:r w:rsidR="00C8789D">
        <w:rPr>
          <w:rFonts w:asciiTheme="majorBidi" w:hAnsiTheme="majorBidi" w:cstheme="majorBidi"/>
          <w:sz w:val="24"/>
          <w:szCs w:val="24"/>
          <w:lang w:val="en-US"/>
        </w:rPr>
        <w:t>.</w:t>
      </w:r>
      <w:r w:rsidR="007E530F">
        <w:rPr>
          <w:rFonts w:asciiTheme="majorBidi" w:hAnsiTheme="majorBidi" w:cstheme="majorBidi"/>
          <w:sz w:val="24"/>
          <w:szCs w:val="24"/>
          <w:lang w:val="en-US"/>
        </w:rPr>
        <w:t xml:space="preserve"> </w:t>
      </w:r>
      <w:r w:rsidR="00520E41">
        <w:rPr>
          <w:rFonts w:asciiTheme="majorBidi" w:hAnsiTheme="majorBidi" w:cstheme="majorBidi"/>
          <w:sz w:val="24"/>
          <w:szCs w:val="24"/>
          <w:lang w:val="en-US"/>
        </w:rPr>
        <w:t xml:space="preserve">α and </w:t>
      </w:r>
      <w:proofErr w:type="spellStart"/>
      <w:r w:rsidR="00520E41" w:rsidRPr="00520E41">
        <w:rPr>
          <w:rFonts w:asciiTheme="majorBidi" w:hAnsiTheme="majorBidi" w:cstheme="majorBidi"/>
          <w:sz w:val="24"/>
          <w:szCs w:val="24"/>
          <w:lang w:val="en-US"/>
        </w:rPr>
        <w:t>ε</w:t>
      </w:r>
      <w:r w:rsidR="00520E41" w:rsidRPr="00520E41">
        <w:rPr>
          <w:rFonts w:asciiTheme="majorBidi" w:hAnsiTheme="majorBidi" w:cstheme="majorBidi"/>
          <w:sz w:val="24"/>
          <w:szCs w:val="24"/>
          <w:vertAlign w:val="subscript"/>
          <w:lang w:val="en-US"/>
        </w:rPr>
        <w:t>t</w:t>
      </w:r>
      <w:proofErr w:type="spellEnd"/>
      <w:r w:rsidR="00520E41">
        <w:rPr>
          <w:rFonts w:asciiTheme="majorBidi" w:hAnsiTheme="majorBidi" w:cstheme="majorBidi"/>
          <w:sz w:val="24"/>
          <w:szCs w:val="24"/>
          <w:lang w:val="en-US"/>
        </w:rPr>
        <w:t xml:space="preserve"> are the 5 × 1 vector of intercepts and error terms, respectively. The X</w:t>
      </w:r>
      <w:r w:rsidR="0037635A">
        <w:rPr>
          <w:rFonts w:asciiTheme="majorBidi" w:hAnsiTheme="majorBidi" w:cstheme="majorBidi"/>
          <w:sz w:val="24"/>
          <w:szCs w:val="24"/>
          <w:vertAlign w:val="subscript"/>
          <w:lang w:val="en-US"/>
        </w:rPr>
        <w:t>i</w:t>
      </w:r>
      <w:r w:rsidR="00520E41">
        <w:rPr>
          <w:rFonts w:asciiTheme="majorBidi" w:hAnsiTheme="majorBidi" w:cstheme="majorBidi"/>
          <w:sz w:val="24"/>
          <w:szCs w:val="24"/>
          <w:lang w:val="en-US"/>
        </w:rPr>
        <w:t xml:space="preserve"> is a </w:t>
      </w:r>
      <w:r w:rsidR="00397074">
        <w:rPr>
          <w:rFonts w:asciiTheme="majorBidi" w:hAnsiTheme="majorBidi" w:cstheme="majorBidi"/>
          <w:sz w:val="24"/>
          <w:szCs w:val="24"/>
          <w:lang w:val="en-US"/>
        </w:rPr>
        <w:t xml:space="preserve">5 × 5 matrix of parameters for </w:t>
      </w:r>
      <w:r w:rsidR="0037635A">
        <w:rPr>
          <w:rFonts w:asciiTheme="majorBidi" w:hAnsiTheme="majorBidi" w:cstheme="majorBidi"/>
          <w:sz w:val="24"/>
          <w:szCs w:val="24"/>
          <w:lang w:val="en-US"/>
        </w:rPr>
        <w:t xml:space="preserve">the </w:t>
      </w:r>
      <w:r w:rsidR="00397074">
        <w:rPr>
          <w:rFonts w:asciiTheme="majorBidi" w:hAnsiTheme="majorBidi" w:cstheme="majorBidi"/>
          <w:sz w:val="24"/>
          <w:szCs w:val="24"/>
          <w:lang w:val="en-US"/>
        </w:rPr>
        <w:t xml:space="preserve">lag </w:t>
      </w:r>
      <w:r w:rsidR="0037635A">
        <w:rPr>
          <w:rFonts w:asciiTheme="majorBidi" w:hAnsiTheme="majorBidi" w:cstheme="majorBidi"/>
          <w:sz w:val="24"/>
          <w:szCs w:val="24"/>
          <w:lang w:val="en-US"/>
        </w:rPr>
        <w:t xml:space="preserve">length (h). The h is obtained by using the </w:t>
      </w:r>
      <w:proofErr w:type="spellStart"/>
      <w:r w:rsidR="0037635A">
        <w:rPr>
          <w:rFonts w:asciiTheme="majorBidi" w:hAnsiTheme="majorBidi" w:cstheme="majorBidi"/>
          <w:sz w:val="24"/>
          <w:szCs w:val="24"/>
          <w:lang w:val="en-US"/>
        </w:rPr>
        <w:t>Ackaike</w:t>
      </w:r>
      <w:proofErr w:type="spellEnd"/>
      <w:r w:rsidR="0037635A">
        <w:rPr>
          <w:rFonts w:asciiTheme="majorBidi" w:hAnsiTheme="majorBidi" w:cstheme="majorBidi"/>
          <w:sz w:val="24"/>
          <w:szCs w:val="24"/>
          <w:lang w:val="en-US"/>
        </w:rPr>
        <w:t xml:space="preserve"> information criterion (AIC). </w:t>
      </w:r>
      <w:r w:rsidR="0037635A" w:rsidRPr="00C53D52">
        <w:rPr>
          <w:rFonts w:asciiTheme="majorBidi" w:hAnsiTheme="majorBidi" w:cstheme="majorBidi"/>
          <w:sz w:val="24"/>
          <w:szCs w:val="24"/>
          <w:lang w:val="en-US"/>
        </w:rPr>
        <w:t xml:space="preserve">However, </w:t>
      </w:r>
      <w:proofErr w:type="spellStart"/>
      <w:r w:rsidR="0037635A" w:rsidRPr="00C53D52">
        <w:rPr>
          <w:rFonts w:asciiTheme="majorBidi" w:hAnsiTheme="majorBidi" w:cstheme="majorBidi"/>
          <w:sz w:val="24"/>
          <w:szCs w:val="24"/>
          <w:lang w:val="en-US"/>
        </w:rPr>
        <w:t>Hamdi</w:t>
      </w:r>
      <w:proofErr w:type="spellEnd"/>
      <w:r w:rsidR="0037635A" w:rsidRPr="00C53D52">
        <w:rPr>
          <w:rFonts w:asciiTheme="majorBidi" w:hAnsiTheme="majorBidi" w:cstheme="majorBidi"/>
          <w:sz w:val="24"/>
          <w:szCs w:val="24"/>
          <w:lang w:val="en-US"/>
        </w:rPr>
        <w:t xml:space="preserve">, </w:t>
      </w:r>
      <w:proofErr w:type="spellStart"/>
      <w:r w:rsidR="0037635A" w:rsidRPr="00C53D52">
        <w:rPr>
          <w:rFonts w:asciiTheme="majorBidi" w:hAnsiTheme="majorBidi" w:cstheme="majorBidi"/>
          <w:sz w:val="24"/>
          <w:szCs w:val="24"/>
          <w:lang w:val="en-US"/>
        </w:rPr>
        <w:t>Sbia</w:t>
      </w:r>
      <w:proofErr w:type="spellEnd"/>
      <w:r w:rsidR="0037635A" w:rsidRPr="00C53D52">
        <w:rPr>
          <w:rFonts w:asciiTheme="majorBidi" w:hAnsiTheme="majorBidi" w:cstheme="majorBidi"/>
          <w:sz w:val="24"/>
          <w:szCs w:val="24"/>
          <w:lang w:val="en-US"/>
        </w:rPr>
        <w:t xml:space="preserve">, and </w:t>
      </w:r>
      <w:proofErr w:type="spellStart"/>
      <w:r w:rsidR="0037635A">
        <w:rPr>
          <w:rFonts w:asciiTheme="majorBidi" w:hAnsiTheme="majorBidi" w:cstheme="majorBidi"/>
          <w:sz w:val="24"/>
          <w:szCs w:val="24"/>
          <w:lang w:val="en-US"/>
        </w:rPr>
        <w:t>Shahbaz</w:t>
      </w:r>
      <w:proofErr w:type="spellEnd"/>
      <w:r w:rsidR="0037635A">
        <w:rPr>
          <w:rFonts w:asciiTheme="majorBidi" w:hAnsiTheme="majorBidi" w:cstheme="majorBidi"/>
          <w:sz w:val="24"/>
          <w:szCs w:val="24"/>
          <w:lang w:val="en-US"/>
        </w:rPr>
        <w:t xml:space="preserve"> (2014) argued that the </w:t>
      </w:r>
      <w:r w:rsidR="0037635A" w:rsidRPr="00C53D52">
        <w:rPr>
          <w:rFonts w:asciiTheme="majorBidi" w:hAnsiTheme="majorBidi" w:cstheme="majorBidi"/>
          <w:sz w:val="24"/>
          <w:szCs w:val="24"/>
          <w:lang w:val="en-US"/>
        </w:rPr>
        <w:t>AIC is superior and</w:t>
      </w:r>
      <w:r w:rsidR="0037635A">
        <w:rPr>
          <w:rFonts w:asciiTheme="majorBidi" w:hAnsiTheme="majorBidi" w:cstheme="majorBidi"/>
          <w:sz w:val="24"/>
          <w:szCs w:val="24"/>
          <w:lang w:val="en-US"/>
        </w:rPr>
        <w:t xml:space="preserve"> improves performance over the </w:t>
      </w:r>
      <w:r w:rsidR="0037635A" w:rsidRPr="00666D28">
        <w:rPr>
          <w:rFonts w:ascii="Times New Roman" w:hAnsi="Times New Roman" w:cs="Times New Roman"/>
          <w:sz w:val="24"/>
          <w:szCs w:val="24"/>
        </w:rPr>
        <w:t xml:space="preserve">Schwartz </w:t>
      </w:r>
      <w:r w:rsidR="0037635A">
        <w:rPr>
          <w:rFonts w:ascii="Times New Roman" w:hAnsi="Times New Roman" w:cs="Times New Roman"/>
          <w:sz w:val="24"/>
          <w:szCs w:val="24"/>
        </w:rPr>
        <w:t xml:space="preserve">information </w:t>
      </w:r>
      <w:r w:rsidR="0037635A" w:rsidRPr="00666D28">
        <w:rPr>
          <w:rFonts w:ascii="Times New Roman" w:hAnsi="Times New Roman" w:cs="Times New Roman"/>
          <w:sz w:val="24"/>
          <w:szCs w:val="24"/>
        </w:rPr>
        <w:t xml:space="preserve">and </w:t>
      </w:r>
      <w:proofErr w:type="spellStart"/>
      <w:r w:rsidR="0037635A" w:rsidRPr="00666D28">
        <w:rPr>
          <w:rFonts w:ascii="Times New Roman" w:hAnsi="Times New Roman" w:cs="Times New Roman"/>
          <w:sz w:val="24"/>
          <w:szCs w:val="24"/>
        </w:rPr>
        <w:t>Hanna</w:t>
      </w:r>
      <w:r w:rsidR="0037635A">
        <w:rPr>
          <w:rFonts w:ascii="Times New Roman" w:hAnsi="Times New Roman" w:cs="Times New Roman"/>
          <w:sz w:val="24"/>
          <w:szCs w:val="24"/>
        </w:rPr>
        <w:t>n</w:t>
      </w:r>
      <w:proofErr w:type="spellEnd"/>
      <w:r w:rsidR="0037635A">
        <w:rPr>
          <w:rFonts w:ascii="Times New Roman" w:hAnsi="Times New Roman" w:cs="Times New Roman"/>
          <w:sz w:val="24"/>
          <w:szCs w:val="24"/>
        </w:rPr>
        <w:t xml:space="preserve">−Quinn information Criteria </w:t>
      </w:r>
      <w:r w:rsidR="0037635A" w:rsidRPr="00C53D52">
        <w:rPr>
          <w:rFonts w:asciiTheme="majorBidi" w:hAnsiTheme="majorBidi" w:cstheme="majorBidi"/>
          <w:sz w:val="24"/>
          <w:szCs w:val="24"/>
          <w:lang w:val="en-US"/>
        </w:rPr>
        <w:t xml:space="preserve">in </w:t>
      </w:r>
      <w:r w:rsidR="0037635A">
        <w:rPr>
          <w:rFonts w:asciiTheme="majorBidi" w:hAnsiTheme="majorBidi" w:cstheme="majorBidi"/>
          <w:sz w:val="24"/>
          <w:szCs w:val="24"/>
          <w:lang w:val="en-US"/>
        </w:rPr>
        <w:t xml:space="preserve">a </w:t>
      </w:r>
      <w:r w:rsidR="0037635A" w:rsidRPr="00C53D52">
        <w:rPr>
          <w:rFonts w:asciiTheme="majorBidi" w:hAnsiTheme="majorBidi" w:cstheme="majorBidi"/>
          <w:sz w:val="24"/>
          <w:szCs w:val="24"/>
          <w:lang w:val="en-US"/>
        </w:rPr>
        <w:t>small sample size.</w:t>
      </w:r>
      <w:r w:rsidR="0037635A">
        <w:rPr>
          <w:rFonts w:asciiTheme="majorBidi" w:hAnsiTheme="majorBidi" w:cstheme="majorBidi"/>
          <w:sz w:val="24"/>
          <w:szCs w:val="24"/>
          <w:lang w:val="en-US"/>
        </w:rPr>
        <w:t xml:space="preserve"> </w:t>
      </w:r>
      <w:r w:rsidR="007E530F">
        <w:rPr>
          <w:rFonts w:asciiTheme="majorBidi" w:hAnsiTheme="majorBidi" w:cstheme="majorBidi"/>
          <w:sz w:val="24"/>
          <w:szCs w:val="24"/>
          <w:lang w:val="en-US"/>
        </w:rPr>
        <w:t>T</w:t>
      </w:r>
      <w:r w:rsidR="004A1FBB">
        <w:rPr>
          <w:rFonts w:asciiTheme="majorBidi" w:hAnsiTheme="majorBidi" w:cstheme="majorBidi"/>
          <w:sz w:val="24"/>
          <w:szCs w:val="24"/>
          <w:lang w:val="en-US"/>
        </w:rPr>
        <w:t xml:space="preserve">he VECM </w:t>
      </w:r>
      <w:r w:rsidR="00FB7A12">
        <w:rPr>
          <w:rFonts w:asciiTheme="majorBidi" w:hAnsiTheme="majorBidi" w:cstheme="majorBidi"/>
          <w:sz w:val="24"/>
          <w:szCs w:val="24"/>
          <w:lang w:val="en-US"/>
        </w:rPr>
        <w:t xml:space="preserve">is applied </w:t>
      </w:r>
      <w:r w:rsidR="007E530F">
        <w:rPr>
          <w:rFonts w:asciiTheme="majorBidi" w:hAnsiTheme="majorBidi" w:cstheme="majorBidi"/>
          <w:sz w:val="24"/>
          <w:szCs w:val="24"/>
          <w:lang w:val="en-US"/>
        </w:rPr>
        <w:t xml:space="preserve">if </w:t>
      </w:r>
      <w:r w:rsidR="00FB7A12">
        <w:rPr>
          <w:rFonts w:asciiTheme="majorBidi" w:hAnsiTheme="majorBidi" w:cstheme="majorBidi"/>
          <w:sz w:val="24"/>
          <w:szCs w:val="24"/>
          <w:lang w:val="en-US"/>
        </w:rPr>
        <w:t xml:space="preserve">the co-integrating relationship </w:t>
      </w:r>
      <w:r w:rsidR="007E530F">
        <w:rPr>
          <w:rFonts w:asciiTheme="majorBidi" w:hAnsiTheme="majorBidi" w:cstheme="majorBidi"/>
          <w:sz w:val="24"/>
          <w:szCs w:val="24"/>
          <w:lang w:val="en-US"/>
        </w:rPr>
        <w:t xml:space="preserve">in </w:t>
      </w:r>
      <w:r w:rsidR="00552AD7">
        <w:rPr>
          <w:rFonts w:asciiTheme="majorBidi" w:hAnsiTheme="majorBidi" w:cstheme="majorBidi"/>
          <w:sz w:val="24"/>
          <w:szCs w:val="24"/>
          <w:lang w:val="en-US"/>
        </w:rPr>
        <w:t xml:space="preserve">Eq. </w:t>
      </w:r>
      <w:r w:rsidR="007E530F">
        <w:rPr>
          <w:rFonts w:asciiTheme="majorBidi" w:hAnsiTheme="majorBidi" w:cstheme="majorBidi"/>
          <w:sz w:val="24"/>
          <w:szCs w:val="24"/>
          <w:lang w:val="en-US"/>
        </w:rPr>
        <w:t>(</w:t>
      </w:r>
      <w:r w:rsidR="006903C4">
        <w:rPr>
          <w:rFonts w:asciiTheme="majorBidi" w:hAnsiTheme="majorBidi" w:cstheme="majorBidi"/>
          <w:sz w:val="24"/>
          <w:szCs w:val="24"/>
          <w:lang w:val="en-US"/>
        </w:rPr>
        <w:t>1</w:t>
      </w:r>
      <w:r w:rsidR="007E530F">
        <w:rPr>
          <w:rFonts w:asciiTheme="majorBidi" w:hAnsiTheme="majorBidi" w:cstheme="majorBidi"/>
          <w:sz w:val="24"/>
          <w:szCs w:val="24"/>
          <w:lang w:val="en-US"/>
        </w:rPr>
        <w:t>)</w:t>
      </w:r>
      <w:r w:rsidR="006903C4">
        <w:rPr>
          <w:rFonts w:asciiTheme="majorBidi" w:hAnsiTheme="majorBidi" w:cstheme="majorBidi"/>
          <w:sz w:val="24"/>
          <w:szCs w:val="24"/>
          <w:lang w:val="en-US"/>
        </w:rPr>
        <w:t xml:space="preserve"> </w:t>
      </w:r>
      <w:r w:rsidR="007E530F">
        <w:rPr>
          <w:rFonts w:asciiTheme="majorBidi" w:hAnsiTheme="majorBidi" w:cstheme="majorBidi"/>
          <w:sz w:val="24"/>
          <w:szCs w:val="24"/>
          <w:lang w:val="en-US"/>
        </w:rPr>
        <w:t xml:space="preserve">is homoscedastic under the assumption that the series </w:t>
      </w:r>
      <w:proofErr w:type="spellStart"/>
      <w:r w:rsidR="007E530F">
        <w:rPr>
          <w:rFonts w:asciiTheme="majorBidi" w:hAnsiTheme="majorBidi" w:cstheme="majorBidi"/>
          <w:sz w:val="24"/>
          <w:szCs w:val="24"/>
          <w:lang w:val="en-US"/>
        </w:rPr>
        <w:t>z</w:t>
      </w:r>
      <w:r w:rsidR="007E530F" w:rsidRPr="00C8789D">
        <w:rPr>
          <w:rFonts w:asciiTheme="majorBidi" w:hAnsiTheme="majorBidi" w:cstheme="majorBidi"/>
          <w:sz w:val="24"/>
          <w:szCs w:val="24"/>
          <w:vertAlign w:val="subscript"/>
          <w:lang w:val="en-US"/>
        </w:rPr>
        <w:t>t</w:t>
      </w:r>
      <w:proofErr w:type="spellEnd"/>
      <w:r w:rsidR="00397074">
        <w:rPr>
          <w:rFonts w:asciiTheme="majorBidi" w:hAnsiTheme="majorBidi" w:cstheme="majorBidi"/>
          <w:sz w:val="24"/>
          <w:szCs w:val="24"/>
          <w:lang w:val="en-US"/>
        </w:rPr>
        <w:t xml:space="preserve"> </w:t>
      </w:r>
      <w:r w:rsidR="007E530F">
        <w:rPr>
          <w:rFonts w:asciiTheme="majorBidi" w:hAnsiTheme="majorBidi" w:cstheme="majorBidi"/>
          <w:sz w:val="24"/>
          <w:szCs w:val="24"/>
          <w:lang w:val="en-US"/>
        </w:rPr>
        <w:t>is stati</w:t>
      </w:r>
      <w:r w:rsidR="008A5A71">
        <w:rPr>
          <w:rFonts w:asciiTheme="majorBidi" w:hAnsiTheme="majorBidi" w:cstheme="majorBidi"/>
          <w:sz w:val="24"/>
          <w:szCs w:val="24"/>
          <w:lang w:val="en-US"/>
        </w:rPr>
        <w:t>onary at the first differences, (</w:t>
      </w:r>
      <w:r w:rsidR="007E530F">
        <w:rPr>
          <w:rFonts w:asciiTheme="majorBidi" w:hAnsiTheme="majorBidi" w:cstheme="majorBidi"/>
          <w:sz w:val="24"/>
          <w:szCs w:val="24"/>
          <w:lang w:val="en-US"/>
        </w:rPr>
        <w:t xml:space="preserve">i.e., </w:t>
      </w:r>
      <w:proofErr w:type="gramStart"/>
      <w:r w:rsidR="007E530F" w:rsidRPr="007E530F">
        <w:rPr>
          <w:rFonts w:asciiTheme="majorBidi" w:hAnsiTheme="majorBidi" w:cstheme="majorBidi"/>
          <w:i/>
          <w:iCs/>
          <w:sz w:val="24"/>
          <w:szCs w:val="24"/>
          <w:lang w:val="en-US"/>
        </w:rPr>
        <w:t>I(</w:t>
      </w:r>
      <w:proofErr w:type="gramEnd"/>
      <w:r w:rsidR="007E530F" w:rsidRPr="007E530F">
        <w:rPr>
          <w:rFonts w:asciiTheme="majorBidi" w:hAnsiTheme="majorBidi" w:cstheme="majorBidi"/>
          <w:i/>
          <w:iCs/>
          <w:sz w:val="24"/>
          <w:szCs w:val="24"/>
          <w:lang w:val="en-US"/>
        </w:rPr>
        <w:t>1)</w:t>
      </w:r>
      <w:r w:rsidR="008A5A71" w:rsidRPr="008A5A71">
        <w:rPr>
          <w:rFonts w:asciiTheme="majorBidi" w:hAnsiTheme="majorBidi" w:cstheme="majorBidi"/>
          <w:sz w:val="24"/>
          <w:szCs w:val="24"/>
          <w:lang w:val="en-US"/>
        </w:rPr>
        <w:t>)</w:t>
      </w:r>
      <w:r w:rsidR="007E530F">
        <w:rPr>
          <w:rFonts w:asciiTheme="majorBidi" w:hAnsiTheme="majorBidi" w:cstheme="majorBidi"/>
          <w:sz w:val="24"/>
          <w:szCs w:val="24"/>
          <w:lang w:val="en-US"/>
        </w:rPr>
        <w:t xml:space="preserve">. </w:t>
      </w:r>
      <w:r w:rsidR="00BE02A0">
        <w:rPr>
          <w:rFonts w:asciiTheme="majorBidi" w:hAnsiTheme="majorBidi" w:cstheme="majorBidi"/>
          <w:sz w:val="24"/>
          <w:szCs w:val="24"/>
          <w:lang w:val="en-US"/>
        </w:rPr>
        <w:t xml:space="preserve">Thus, Eq. (1) can be turned as in Eq. (2). </w:t>
      </w:r>
    </w:p>
    <w:p w:rsidR="00644C32" w:rsidRDefault="00644C32" w:rsidP="003D29DA">
      <w:pPr>
        <w:spacing w:line="240" w:lineRule="auto"/>
        <w:jc w:val="both"/>
        <w:rPr>
          <w:rFonts w:asciiTheme="majorBidi" w:hAnsiTheme="majorBidi" w:cstheme="majorBidi"/>
          <w:sz w:val="24"/>
          <w:szCs w:val="24"/>
          <w:lang w:val="en-US"/>
        </w:rPr>
      </w:pPr>
      <w:r w:rsidRPr="003E1312">
        <w:rPr>
          <w:rFonts w:asciiTheme="majorBidi" w:hAnsiTheme="majorBidi" w:cstheme="majorBidi"/>
          <w:position w:val="-10"/>
          <w:sz w:val="24"/>
          <w:szCs w:val="24"/>
        </w:rPr>
        <w:object w:dxaOrig="4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45pt;height:15.45pt" o:ole="">
            <v:imagedata r:id="rId10" o:title=""/>
          </v:shape>
          <o:OLEObject Type="Embed" ProgID="Equation.DSMT4" ShapeID="_x0000_i1025" DrawAspect="Content" ObjectID="_1535246789" r:id="rId11"/>
        </w:object>
      </w:r>
      <w:r>
        <w:rPr>
          <w:rFonts w:asciiTheme="majorBidi" w:hAnsiTheme="majorBidi" w:cstheme="majorBidi"/>
          <w:sz w:val="24"/>
          <w:szCs w:val="24"/>
        </w:rPr>
        <w:t xml:space="preserve">             X</w:t>
      </w:r>
      <w:r w:rsidRPr="00314528">
        <w:rPr>
          <w:rFonts w:asciiTheme="majorBidi" w:hAnsiTheme="majorBidi" w:cstheme="majorBidi"/>
          <w:sz w:val="24"/>
          <w:szCs w:val="24"/>
          <w:vertAlign w:val="subscript"/>
        </w:rPr>
        <w:t>i</w:t>
      </w:r>
      <w:r>
        <w:rPr>
          <w:rFonts w:asciiTheme="majorBidi" w:hAnsiTheme="majorBidi" w:cstheme="majorBidi"/>
          <w:sz w:val="24"/>
          <w:szCs w:val="24"/>
        </w:rPr>
        <w:t xml:space="preserve"> (</w:t>
      </w:r>
      <w:proofErr w:type="spellStart"/>
      <w:r>
        <w:rPr>
          <w:rFonts w:asciiTheme="majorBidi" w:hAnsiTheme="majorBidi" w:cstheme="majorBidi"/>
          <w:sz w:val="24"/>
          <w:szCs w:val="24"/>
        </w:rPr>
        <w:t>i</w:t>
      </w:r>
      <w:proofErr w:type="spellEnd"/>
      <w:r>
        <w:rPr>
          <w:rFonts w:asciiTheme="majorBidi" w:hAnsiTheme="majorBidi" w:cstheme="majorBidi"/>
          <w:sz w:val="24"/>
          <w:szCs w:val="24"/>
        </w:rPr>
        <w:t>= 1</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9)                               (2)</w:t>
      </w:r>
    </w:p>
    <w:p w:rsidR="001B6D65" w:rsidRDefault="004C14CB" w:rsidP="005975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Where, </w:t>
      </w:r>
      <w:r w:rsidR="00741C43">
        <w:rPr>
          <w:rFonts w:asciiTheme="majorBidi" w:hAnsiTheme="majorBidi" w:cstheme="majorBidi"/>
          <w:sz w:val="24"/>
          <w:szCs w:val="24"/>
          <w:lang w:val="en-US"/>
        </w:rPr>
        <w:t>∆ denotes the first difference operator; ∏</w:t>
      </w:r>
      <w:proofErr w:type="spellStart"/>
      <w:r w:rsidR="00741C43">
        <w:rPr>
          <w:rFonts w:asciiTheme="majorBidi" w:hAnsiTheme="majorBidi" w:cstheme="majorBidi"/>
          <w:sz w:val="24"/>
          <w:szCs w:val="24"/>
          <w:lang w:val="en-US"/>
        </w:rPr>
        <w:t>z</w:t>
      </w:r>
      <w:r w:rsidR="00741C43" w:rsidRPr="00741C43">
        <w:rPr>
          <w:rFonts w:asciiTheme="majorBidi" w:hAnsiTheme="majorBidi" w:cstheme="majorBidi"/>
          <w:sz w:val="24"/>
          <w:szCs w:val="24"/>
          <w:vertAlign w:val="subscript"/>
          <w:lang w:val="en-US"/>
        </w:rPr>
        <w:t>t</w:t>
      </w:r>
      <w:proofErr w:type="spellEnd"/>
      <w:r w:rsidR="00741C43">
        <w:rPr>
          <w:rFonts w:asciiTheme="majorBidi" w:hAnsiTheme="majorBidi" w:cstheme="majorBidi"/>
          <w:sz w:val="24"/>
          <w:szCs w:val="24"/>
          <w:lang w:val="en-US"/>
        </w:rPr>
        <w:t xml:space="preserve"> denotes the full rank that is used to test the </w:t>
      </w:r>
      <w:r w:rsidR="00741C43" w:rsidRPr="00741C43">
        <w:rPr>
          <w:rFonts w:asciiTheme="majorBidi" w:hAnsiTheme="majorBidi" w:cstheme="majorBidi"/>
          <w:i/>
          <w:iCs/>
          <w:sz w:val="24"/>
          <w:szCs w:val="24"/>
          <w:lang w:val="en-US"/>
        </w:rPr>
        <w:t>H</w:t>
      </w:r>
      <w:r w:rsidR="00741C43" w:rsidRPr="00741C43">
        <w:rPr>
          <w:rFonts w:asciiTheme="majorBidi" w:hAnsiTheme="majorBidi" w:cstheme="majorBidi"/>
          <w:i/>
          <w:iCs/>
          <w:sz w:val="24"/>
          <w:szCs w:val="24"/>
          <w:vertAlign w:val="subscript"/>
          <w:lang w:val="en-US"/>
        </w:rPr>
        <w:t>0</w:t>
      </w:r>
      <w:r w:rsidR="00741C43">
        <w:rPr>
          <w:rFonts w:asciiTheme="majorBidi" w:hAnsiTheme="majorBidi" w:cstheme="majorBidi"/>
          <w:sz w:val="24"/>
          <w:szCs w:val="24"/>
          <w:lang w:val="en-US"/>
        </w:rPr>
        <w:t xml:space="preserve"> of no co-integration among variables. </w:t>
      </w:r>
      <w:r w:rsidR="007E530F">
        <w:rPr>
          <w:rFonts w:asciiTheme="majorBidi" w:hAnsiTheme="majorBidi" w:cstheme="majorBidi"/>
          <w:sz w:val="24"/>
          <w:szCs w:val="24"/>
          <w:lang w:val="en-US"/>
        </w:rPr>
        <w:t xml:space="preserve">However, </w:t>
      </w:r>
      <w:r w:rsidR="00FF27C0">
        <w:rPr>
          <w:rFonts w:asciiTheme="majorBidi" w:hAnsiTheme="majorBidi" w:cstheme="majorBidi"/>
          <w:sz w:val="24"/>
          <w:szCs w:val="24"/>
          <w:lang w:val="en-US"/>
        </w:rPr>
        <w:t xml:space="preserve">to test whether the co-integrating relationship in </w:t>
      </w:r>
      <w:r w:rsidR="00552AD7">
        <w:rPr>
          <w:rFonts w:asciiTheme="majorBidi" w:hAnsiTheme="majorBidi" w:cstheme="majorBidi"/>
          <w:sz w:val="24"/>
          <w:szCs w:val="24"/>
          <w:lang w:val="en-US"/>
        </w:rPr>
        <w:t xml:space="preserve">Eq. </w:t>
      </w:r>
      <w:r w:rsidR="00FF27C0">
        <w:rPr>
          <w:rFonts w:asciiTheme="majorBidi" w:hAnsiTheme="majorBidi" w:cstheme="majorBidi"/>
          <w:sz w:val="24"/>
          <w:szCs w:val="24"/>
          <w:lang w:val="en-US"/>
        </w:rPr>
        <w:t>(1) is homoscedastic or heteroscedastic, the Lagrange Multiplier (LM) test proposed by Engle</w:t>
      </w:r>
      <w:r w:rsidR="00263400">
        <w:rPr>
          <w:rFonts w:asciiTheme="majorBidi" w:hAnsiTheme="majorBidi" w:cstheme="majorBidi"/>
          <w:sz w:val="24"/>
          <w:szCs w:val="24"/>
          <w:lang w:val="en-US"/>
        </w:rPr>
        <w:t xml:space="preserve"> </w:t>
      </w:r>
      <w:r w:rsidR="00FF27C0">
        <w:rPr>
          <w:rFonts w:asciiTheme="majorBidi" w:hAnsiTheme="majorBidi" w:cstheme="majorBidi"/>
          <w:sz w:val="24"/>
          <w:szCs w:val="24"/>
          <w:lang w:val="en-US"/>
        </w:rPr>
        <w:t>(1982)</w:t>
      </w:r>
      <w:r w:rsidR="007413AB">
        <w:rPr>
          <w:rFonts w:asciiTheme="majorBidi" w:hAnsiTheme="majorBidi" w:cstheme="majorBidi"/>
          <w:sz w:val="24"/>
          <w:szCs w:val="24"/>
          <w:lang w:val="en-US"/>
        </w:rPr>
        <w:t xml:space="preserve"> </w:t>
      </w:r>
      <w:r w:rsidR="0036375B">
        <w:rPr>
          <w:rFonts w:asciiTheme="majorBidi" w:hAnsiTheme="majorBidi" w:cstheme="majorBidi"/>
          <w:sz w:val="24"/>
          <w:szCs w:val="24"/>
          <w:lang w:val="en-US"/>
        </w:rPr>
        <w:t xml:space="preserve">is </w:t>
      </w:r>
      <w:r w:rsidR="00263400">
        <w:rPr>
          <w:rFonts w:asciiTheme="majorBidi" w:hAnsiTheme="majorBidi" w:cstheme="majorBidi"/>
          <w:sz w:val="24"/>
          <w:szCs w:val="24"/>
          <w:lang w:val="en-US"/>
        </w:rPr>
        <w:t xml:space="preserve">employed on the residuals from </w:t>
      </w:r>
      <w:r w:rsidR="00FF35A8">
        <w:rPr>
          <w:rFonts w:asciiTheme="majorBidi" w:hAnsiTheme="majorBidi" w:cstheme="majorBidi"/>
          <w:sz w:val="24"/>
          <w:szCs w:val="24"/>
          <w:lang w:val="en-US"/>
        </w:rPr>
        <w:t xml:space="preserve">Eq. </w:t>
      </w:r>
      <w:r w:rsidR="00263400">
        <w:rPr>
          <w:rFonts w:asciiTheme="majorBidi" w:hAnsiTheme="majorBidi" w:cstheme="majorBidi"/>
          <w:sz w:val="24"/>
          <w:szCs w:val="24"/>
          <w:lang w:val="en-US"/>
        </w:rPr>
        <w:t xml:space="preserve">(1). If the LM test implies the existence of </w:t>
      </w:r>
      <w:r w:rsidR="0036375B">
        <w:rPr>
          <w:rFonts w:asciiTheme="majorBidi" w:hAnsiTheme="majorBidi" w:cstheme="majorBidi"/>
          <w:sz w:val="24"/>
          <w:szCs w:val="24"/>
          <w:lang w:val="en-US"/>
        </w:rPr>
        <w:t xml:space="preserve">a </w:t>
      </w:r>
      <w:r w:rsidR="00263400">
        <w:rPr>
          <w:rFonts w:asciiTheme="majorBidi" w:hAnsiTheme="majorBidi" w:cstheme="majorBidi"/>
          <w:sz w:val="24"/>
          <w:szCs w:val="24"/>
          <w:lang w:val="en-US"/>
        </w:rPr>
        <w:t xml:space="preserve">homoscedastic </w:t>
      </w:r>
      <w:r w:rsidR="00D74A3D">
        <w:rPr>
          <w:rFonts w:asciiTheme="majorBidi" w:hAnsiTheme="majorBidi" w:cstheme="majorBidi"/>
          <w:sz w:val="24"/>
          <w:szCs w:val="24"/>
          <w:lang w:val="en-US"/>
        </w:rPr>
        <w:t>(</w:t>
      </w:r>
      <w:r w:rsidR="00CA63A3">
        <w:rPr>
          <w:rFonts w:asciiTheme="majorBidi" w:hAnsiTheme="majorBidi" w:cstheme="majorBidi"/>
          <w:sz w:val="24"/>
          <w:szCs w:val="24"/>
          <w:lang w:val="en-US"/>
        </w:rPr>
        <w:t>equal variance</w:t>
      </w:r>
      <w:r w:rsidR="00E53A0E">
        <w:rPr>
          <w:rFonts w:asciiTheme="majorBidi" w:hAnsiTheme="majorBidi" w:cstheme="majorBidi"/>
          <w:sz w:val="24"/>
          <w:szCs w:val="24"/>
          <w:lang w:val="en-US"/>
        </w:rPr>
        <w:t xml:space="preserve"> (σ</w:t>
      </w:r>
      <w:r w:rsidR="00E53A0E" w:rsidRPr="00E53A0E">
        <w:rPr>
          <w:rFonts w:asciiTheme="majorBidi" w:hAnsiTheme="majorBidi" w:cstheme="majorBidi"/>
          <w:sz w:val="24"/>
          <w:szCs w:val="24"/>
          <w:vertAlign w:val="superscript"/>
          <w:lang w:val="en-US"/>
        </w:rPr>
        <w:t>2</w:t>
      </w:r>
      <w:r w:rsidR="00E53A0E">
        <w:rPr>
          <w:rFonts w:asciiTheme="majorBidi" w:hAnsiTheme="majorBidi" w:cstheme="majorBidi"/>
          <w:sz w:val="24"/>
          <w:szCs w:val="24"/>
          <w:lang w:val="en-US"/>
        </w:rPr>
        <w:t>)</w:t>
      </w:r>
      <w:r w:rsidR="00942606">
        <w:rPr>
          <w:rFonts w:asciiTheme="majorBidi" w:hAnsiTheme="majorBidi" w:cstheme="majorBidi"/>
          <w:sz w:val="24"/>
          <w:szCs w:val="24"/>
          <w:lang w:val="en-US"/>
        </w:rPr>
        <w:t xml:space="preserve"> of (</w:t>
      </w:r>
      <w:proofErr w:type="spellStart"/>
      <w:r w:rsidR="00942606" w:rsidRPr="00942606">
        <w:rPr>
          <w:rFonts w:asciiTheme="majorBidi" w:hAnsiTheme="majorBidi" w:cstheme="majorBidi"/>
          <w:sz w:val="24"/>
          <w:szCs w:val="24"/>
          <w:lang w:val="en-US"/>
        </w:rPr>
        <w:t>ε</w:t>
      </w:r>
      <w:r w:rsidR="00942606" w:rsidRPr="00942606">
        <w:rPr>
          <w:rFonts w:asciiTheme="majorBidi" w:hAnsiTheme="majorBidi" w:cstheme="majorBidi"/>
          <w:sz w:val="24"/>
          <w:szCs w:val="24"/>
          <w:vertAlign w:val="subscript"/>
          <w:lang w:val="en-US"/>
        </w:rPr>
        <w:t>t</w:t>
      </w:r>
      <w:proofErr w:type="spellEnd"/>
      <w:proofErr w:type="gramStart"/>
      <w:r w:rsidR="00942606">
        <w:rPr>
          <w:rFonts w:asciiTheme="majorBidi" w:hAnsiTheme="majorBidi" w:cstheme="majorBidi"/>
          <w:sz w:val="24"/>
          <w:szCs w:val="24"/>
          <w:lang w:val="en-US"/>
        </w:rPr>
        <w:t>)</w:t>
      </w:r>
      <w:r w:rsidR="00942606" w:rsidRPr="00942606">
        <w:rPr>
          <w:rFonts w:asciiTheme="majorBidi" w:hAnsiTheme="majorBidi" w:cstheme="majorBidi"/>
          <w:sz w:val="24"/>
          <w:szCs w:val="24"/>
          <w:lang w:val="en-US"/>
        </w:rPr>
        <w:t>s</w:t>
      </w:r>
      <w:proofErr w:type="gramEnd"/>
      <w:r w:rsidR="00CA63A3">
        <w:rPr>
          <w:rFonts w:asciiTheme="majorBidi" w:hAnsiTheme="majorBidi" w:cstheme="majorBidi"/>
          <w:sz w:val="24"/>
          <w:szCs w:val="24"/>
          <w:lang w:val="en-US"/>
        </w:rPr>
        <w:t xml:space="preserve">) </w:t>
      </w:r>
      <w:r w:rsidR="00263400">
        <w:rPr>
          <w:rFonts w:asciiTheme="majorBidi" w:hAnsiTheme="majorBidi" w:cstheme="majorBidi"/>
          <w:sz w:val="24"/>
          <w:szCs w:val="24"/>
          <w:lang w:val="en-US"/>
        </w:rPr>
        <w:t>co-integrat</w:t>
      </w:r>
      <w:r w:rsidR="0036375B">
        <w:rPr>
          <w:rFonts w:asciiTheme="majorBidi" w:hAnsiTheme="majorBidi" w:cstheme="majorBidi"/>
          <w:sz w:val="24"/>
          <w:szCs w:val="24"/>
          <w:lang w:val="en-US"/>
        </w:rPr>
        <w:t xml:space="preserve">ing relationship, </w:t>
      </w:r>
      <w:r w:rsidR="00D74A3D">
        <w:rPr>
          <w:rFonts w:asciiTheme="majorBidi" w:hAnsiTheme="majorBidi" w:cstheme="majorBidi"/>
          <w:sz w:val="24"/>
          <w:szCs w:val="24"/>
          <w:lang w:val="en-US"/>
        </w:rPr>
        <w:t xml:space="preserve">VECM </w:t>
      </w:r>
      <w:r w:rsidR="0036375B">
        <w:rPr>
          <w:rFonts w:asciiTheme="majorBidi" w:hAnsiTheme="majorBidi" w:cstheme="majorBidi"/>
          <w:sz w:val="24"/>
          <w:szCs w:val="24"/>
          <w:lang w:val="en-US"/>
        </w:rPr>
        <w:t xml:space="preserve">can </w:t>
      </w:r>
      <w:r w:rsidR="00263400">
        <w:rPr>
          <w:rFonts w:asciiTheme="majorBidi" w:hAnsiTheme="majorBidi" w:cstheme="majorBidi"/>
          <w:sz w:val="24"/>
          <w:szCs w:val="24"/>
          <w:lang w:val="en-US"/>
        </w:rPr>
        <w:t>be employed</w:t>
      </w:r>
      <w:r w:rsidR="00942606">
        <w:rPr>
          <w:rFonts w:asciiTheme="majorBidi" w:hAnsiTheme="majorBidi" w:cstheme="majorBidi"/>
          <w:sz w:val="24"/>
          <w:szCs w:val="24"/>
          <w:lang w:val="en-US"/>
        </w:rPr>
        <w:t xml:space="preserve"> (See Eq. (3))</w:t>
      </w:r>
      <w:r w:rsidR="00263400">
        <w:rPr>
          <w:rFonts w:asciiTheme="majorBidi" w:hAnsiTheme="majorBidi" w:cstheme="majorBidi"/>
          <w:sz w:val="24"/>
          <w:szCs w:val="24"/>
          <w:lang w:val="en-US"/>
        </w:rPr>
        <w:t xml:space="preserve">. </w:t>
      </w:r>
    </w:p>
    <w:p w:rsidR="005975DF" w:rsidRDefault="005975DF" w:rsidP="005975DF">
      <w:pPr>
        <w:spacing w:after="0" w:line="240" w:lineRule="auto"/>
        <w:jc w:val="both"/>
        <w:rPr>
          <w:rFonts w:asciiTheme="majorBidi" w:hAnsiTheme="majorBidi" w:cstheme="majorBidi"/>
          <w:sz w:val="24"/>
          <w:szCs w:val="24"/>
          <w:lang w:val="en-US"/>
        </w:rPr>
      </w:pPr>
    </w:p>
    <w:p w:rsidR="00D73D96" w:rsidRDefault="001B6D65" w:rsidP="005975DF">
      <w:pPr>
        <w:spacing w:after="0" w:line="240" w:lineRule="auto"/>
        <w:jc w:val="both"/>
        <w:rPr>
          <w:rFonts w:asciiTheme="majorBidi" w:hAnsiTheme="majorBidi" w:cstheme="majorBidi"/>
          <w:sz w:val="24"/>
          <w:szCs w:val="24"/>
          <w:lang w:val="en-US"/>
        </w:rPr>
      </w:pPr>
      <w:r w:rsidRPr="00B773B1">
        <w:rPr>
          <w:rFonts w:asciiTheme="majorBidi" w:hAnsiTheme="majorBidi" w:cstheme="majorBidi"/>
          <w:position w:val="-74"/>
          <w:sz w:val="24"/>
          <w:szCs w:val="24"/>
          <w:lang w:val="en-US"/>
        </w:rPr>
        <w:object w:dxaOrig="7060" w:dyaOrig="1579">
          <v:shape id="_x0000_i1026" type="#_x0000_t75" style="width:304.3pt;height:78.85pt" o:ole="">
            <v:imagedata r:id="rId12" o:title=""/>
          </v:shape>
          <o:OLEObject Type="Embed" ProgID="Equation.DSMT4" ShapeID="_x0000_i1026" DrawAspect="Content" ObjectID="_1535246790" r:id="rId13"/>
        </w:object>
      </w:r>
      <w:r>
        <w:rPr>
          <w:rFonts w:asciiTheme="majorBidi" w:hAnsiTheme="majorBidi" w:cstheme="majorBidi"/>
          <w:sz w:val="24"/>
          <w:szCs w:val="24"/>
          <w:lang w:val="en-US"/>
        </w:rPr>
        <w:t xml:space="preserve">                                            (3)</w:t>
      </w:r>
    </w:p>
    <w:p w:rsidR="005975DF" w:rsidRDefault="005975DF" w:rsidP="005975DF">
      <w:pPr>
        <w:spacing w:after="0" w:line="240" w:lineRule="auto"/>
        <w:jc w:val="both"/>
        <w:rPr>
          <w:rFonts w:asciiTheme="majorBidi" w:hAnsiTheme="majorBidi" w:cstheme="majorBidi"/>
          <w:sz w:val="24"/>
          <w:szCs w:val="24"/>
          <w:lang w:val="en-US"/>
        </w:rPr>
      </w:pPr>
    </w:p>
    <w:p w:rsidR="005975DF" w:rsidRDefault="0056226E" w:rsidP="005975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Where, ∆ is the first difference operator; α</w:t>
      </w:r>
      <w:r>
        <w:rPr>
          <w:rFonts w:asciiTheme="majorBidi" w:hAnsiTheme="majorBidi" w:cstheme="majorBidi"/>
          <w:sz w:val="24"/>
          <w:szCs w:val="24"/>
          <w:vertAlign w:val="subscript"/>
          <w:lang w:val="en-US"/>
        </w:rPr>
        <w:t>i</w:t>
      </w:r>
      <w:r w:rsidRPr="006601E0">
        <w:rPr>
          <w:rFonts w:asciiTheme="majorBidi" w:hAnsiTheme="majorBidi" w:cstheme="majorBidi"/>
          <w:sz w:val="24"/>
          <w:szCs w:val="24"/>
          <w:vertAlign w:val="subscript"/>
          <w:lang w:val="en-US"/>
        </w:rPr>
        <w:t>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w:t>
      </w:r>
      <w:proofErr w:type="spellEnd"/>
      <w:r>
        <w:rPr>
          <w:rFonts w:asciiTheme="majorBidi" w:hAnsiTheme="majorBidi" w:cstheme="majorBidi"/>
          <w:sz w:val="24"/>
          <w:szCs w:val="24"/>
          <w:lang w:val="en-US"/>
        </w:rPr>
        <w:t>= 1,…. 5] represents the intercept terms; β</w:t>
      </w:r>
      <w:proofErr w:type="spellStart"/>
      <w:r w:rsidRPr="00CD157E">
        <w:rPr>
          <w:rFonts w:asciiTheme="majorBidi" w:hAnsiTheme="majorBidi" w:cstheme="majorBidi"/>
          <w:sz w:val="24"/>
          <w:szCs w:val="24"/>
          <w:vertAlign w:val="subscript"/>
          <w:lang w:val="en-US"/>
        </w:rPr>
        <w:t>ij</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i,j</w:t>
      </w:r>
      <w:proofErr w:type="spellEnd"/>
      <w:r>
        <w:rPr>
          <w:rFonts w:asciiTheme="majorBidi" w:hAnsiTheme="majorBidi" w:cstheme="majorBidi"/>
          <w:sz w:val="24"/>
          <w:szCs w:val="24"/>
          <w:lang w:val="en-US"/>
        </w:rPr>
        <w:t xml:space="preserve">= 1,…., 5] denotes the F-statistics coefficients to evaluate the causality directions in the short-run; </w:t>
      </w:r>
      <w:proofErr w:type="spellStart"/>
      <w:r>
        <w:rPr>
          <w:rFonts w:asciiTheme="majorBidi" w:hAnsiTheme="majorBidi" w:cstheme="majorBidi"/>
          <w:sz w:val="24"/>
          <w:szCs w:val="24"/>
          <w:lang w:val="en-US"/>
        </w:rPr>
        <w:t>ζ</w:t>
      </w:r>
      <w:r w:rsidRPr="00270A3A">
        <w:rPr>
          <w:rFonts w:asciiTheme="majorBidi" w:hAnsiTheme="majorBidi" w:cstheme="majorBidi"/>
          <w:sz w:val="24"/>
          <w:szCs w:val="24"/>
          <w:vertAlign w:val="subscript"/>
          <w:lang w:val="en-US"/>
        </w:rPr>
        <w:t>i</w:t>
      </w:r>
      <w:r w:rsidRPr="0056226E">
        <w:rPr>
          <w:rFonts w:asciiTheme="majorBidi" w:hAnsiTheme="majorBidi" w:cstheme="majorBidi"/>
          <w:sz w:val="24"/>
          <w:szCs w:val="24"/>
          <w:vertAlign w:val="subscript"/>
          <w:lang w:val="en-US"/>
        </w:rPr>
        <w:t>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w:t>
      </w:r>
      <w:proofErr w:type="spellEnd"/>
      <w:r>
        <w:rPr>
          <w:rFonts w:asciiTheme="majorBidi" w:hAnsiTheme="majorBidi" w:cstheme="majorBidi"/>
          <w:sz w:val="24"/>
          <w:szCs w:val="24"/>
          <w:lang w:val="en-US"/>
        </w:rPr>
        <w:t>= 1,…. 5] signifies the t-statistics coefficients of equilibrium error terms (EET</w:t>
      </w:r>
      <w:r w:rsidRPr="00270A3A">
        <w:rPr>
          <w:rFonts w:asciiTheme="majorBidi" w:hAnsiTheme="majorBidi" w:cstheme="majorBidi"/>
          <w:sz w:val="24"/>
          <w:szCs w:val="24"/>
          <w:vertAlign w:val="subscript"/>
          <w:lang w:val="en-US"/>
        </w:rPr>
        <w:t>t-1</w:t>
      </w:r>
      <w:r>
        <w:rPr>
          <w:rFonts w:asciiTheme="majorBidi" w:hAnsiTheme="majorBidi" w:cstheme="majorBidi"/>
          <w:sz w:val="24"/>
          <w:szCs w:val="24"/>
          <w:lang w:val="en-US"/>
        </w:rPr>
        <w:t xml:space="preserve">)s that are used to evaluate the causality directions in the long-run; and </w:t>
      </w:r>
      <w:proofErr w:type="spellStart"/>
      <w:r>
        <w:rPr>
          <w:rFonts w:asciiTheme="majorBidi" w:hAnsiTheme="majorBidi" w:cstheme="majorBidi"/>
          <w:sz w:val="24"/>
          <w:szCs w:val="24"/>
          <w:lang w:val="en-US"/>
        </w:rPr>
        <w:t>ε</w:t>
      </w:r>
      <w:r w:rsidRPr="00270A3A">
        <w:rPr>
          <w:rFonts w:asciiTheme="majorBidi" w:hAnsiTheme="majorBidi" w:cstheme="majorBidi"/>
          <w:sz w:val="24"/>
          <w:szCs w:val="24"/>
          <w:vertAlign w:val="subscript"/>
          <w:lang w:val="en-US"/>
        </w:rPr>
        <w:t>i</w:t>
      </w:r>
      <w:r w:rsidRPr="009D1503">
        <w:rPr>
          <w:rFonts w:asciiTheme="majorBidi" w:hAnsiTheme="majorBidi" w:cstheme="majorBidi"/>
          <w:sz w:val="24"/>
          <w:szCs w:val="24"/>
          <w:vertAlign w:val="subscript"/>
          <w:lang w:val="en-US"/>
        </w:rPr>
        <w:t>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w:t>
      </w:r>
      <w:proofErr w:type="spellEnd"/>
      <w:r>
        <w:rPr>
          <w:rFonts w:asciiTheme="majorBidi" w:hAnsiTheme="majorBidi" w:cstheme="majorBidi"/>
          <w:sz w:val="24"/>
          <w:szCs w:val="24"/>
          <w:lang w:val="en-US"/>
        </w:rPr>
        <w:t xml:space="preserve">= 1,…. 5] are the disturbance terms. </w:t>
      </w:r>
    </w:p>
    <w:p w:rsidR="0056226E" w:rsidRPr="004F4B81" w:rsidRDefault="0056226E" w:rsidP="005975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15B58">
        <w:rPr>
          <w:rFonts w:asciiTheme="majorBidi" w:hAnsiTheme="majorBidi" w:cstheme="majorBidi"/>
          <w:b/>
          <w:bCs/>
          <w:sz w:val="24"/>
          <w:szCs w:val="24"/>
          <w:lang w:val="en-US"/>
        </w:rPr>
        <w:t xml:space="preserve">   </w:t>
      </w:r>
    </w:p>
    <w:p w:rsidR="005975DF" w:rsidRDefault="00263400" w:rsidP="005975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contrast, if the LM test indicates the existence of </w:t>
      </w:r>
      <w:r w:rsidR="0036375B">
        <w:rPr>
          <w:rFonts w:asciiTheme="majorBidi" w:hAnsiTheme="majorBidi" w:cstheme="majorBidi"/>
          <w:sz w:val="24"/>
          <w:szCs w:val="24"/>
          <w:lang w:val="en-US"/>
        </w:rPr>
        <w:t xml:space="preserve">a </w:t>
      </w:r>
      <w:r w:rsidR="00FF35A8">
        <w:rPr>
          <w:rFonts w:asciiTheme="majorBidi" w:hAnsiTheme="majorBidi" w:cstheme="majorBidi"/>
          <w:sz w:val="24"/>
          <w:szCs w:val="24"/>
          <w:lang w:val="en-US"/>
        </w:rPr>
        <w:t>Heteroscedasticity</w:t>
      </w:r>
      <w:r>
        <w:rPr>
          <w:rFonts w:asciiTheme="majorBidi" w:hAnsiTheme="majorBidi" w:cstheme="majorBidi"/>
          <w:sz w:val="24"/>
          <w:szCs w:val="24"/>
          <w:lang w:val="en-US"/>
        </w:rPr>
        <w:t xml:space="preserve"> </w:t>
      </w:r>
      <w:r w:rsidR="00D74A3D">
        <w:rPr>
          <w:rFonts w:asciiTheme="majorBidi" w:hAnsiTheme="majorBidi" w:cstheme="majorBidi"/>
          <w:sz w:val="24"/>
          <w:szCs w:val="24"/>
          <w:lang w:val="en-US"/>
        </w:rPr>
        <w:t>(</w:t>
      </w:r>
      <w:r w:rsidR="00CA63A3">
        <w:rPr>
          <w:rFonts w:asciiTheme="majorBidi" w:hAnsiTheme="majorBidi" w:cstheme="majorBidi"/>
          <w:sz w:val="24"/>
          <w:szCs w:val="24"/>
          <w:lang w:val="en-US"/>
        </w:rPr>
        <w:t xml:space="preserve">unequal </w:t>
      </w:r>
      <w:r w:rsidR="0056226E">
        <w:rPr>
          <w:rFonts w:asciiTheme="majorBidi" w:hAnsiTheme="majorBidi" w:cstheme="majorBidi"/>
          <w:sz w:val="24"/>
          <w:szCs w:val="24"/>
          <w:lang w:val="en-US"/>
        </w:rPr>
        <w:t>(σ</w:t>
      </w:r>
      <w:r w:rsidR="0056226E" w:rsidRPr="00E53A0E">
        <w:rPr>
          <w:rFonts w:asciiTheme="majorBidi" w:hAnsiTheme="majorBidi" w:cstheme="majorBidi"/>
          <w:sz w:val="24"/>
          <w:szCs w:val="24"/>
          <w:vertAlign w:val="superscript"/>
          <w:lang w:val="en-US"/>
        </w:rPr>
        <w:t>2</w:t>
      </w:r>
      <w:r w:rsidR="0056226E">
        <w:rPr>
          <w:rFonts w:asciiTheme="majorBidi" w:hAnsiTheme="majorBidi" w:cstheme="majorBidi"/>
          <w:sz w:val="24"/>
          <w:szCs w:val="24"/>
          <w:lang w:val="en-US"/>
        </w:rPr>
        <w:t>) of (</w:t>
      </w:r>
      <w:proofErr w:type="spellStart"/>
      <w:r w:rsidR="0056226E" w:rsidRPr="00942606">
        <w:rPr>
          <w:rFonts w:asciiTheme="majorBidi" w:hAnsiTheme="majorBidi" w:cstheme="majorBidi"/>
          <w:sz w:val="24"/>
          <w:szCs w:val="24"/>
          <w:lang w:val="en-US"/>
        </w:rPr>
        <w:t>ε</w:t>
      </w:r>
      <w:r w:rsidR="0056226E" w:rsidRPr="00942606">
        <w:rPr>
          <w:rFonts w:asciiTheme="majorBidi" w:hAnsiTheme="majorBidi" w:cstheme="majorBidi"/>
          <w:sz w:val="24"/>
          <w:szCs w:val="24"/>
          <w:vertAlign w:val="subscript"/>
          <w:lang w:val="en-US"/>
        </w:rPr>
        <w:t>t</w:t>
      </w:r>
      <w:proofErr w:type="spellEnd"/>
      <w:proofErr w:type="gramStart"/>
      <w:r w:rsidR="0056226E">
        <w:rPr>
          <w:rFonts w:asciiTheme="majorBidi" w:hAnsiTheme="majorBidi" w:cstheme="majorBidi"/>
          <w:sz w:val="24"/>
          <w:szCs w:val="24"/>
          <w:lang w:val="en-US"/>
        </w:rPr>
        <w:t>)</w:t>
      </w:r>
      <w:r w:rsidR="0056226E" w:rsidRPr="00942606">
        <w:rPr>
          <w:rFonts w:asciiTheme="majorBidi" w:hAnsiTheme="majorBidi" w:cstheme="majorBidi"/>
          <w:sz w:val="24"/>
          <w:szCs w:val="24"/>
          <w:lang w:val="en-US"/>
        </w:rPr>
        <w:t>s</w:t>
      </w:r>
      <w:proofErr w:type="gramEnd"/>
      <w:r w:rsidR="00CA63A3">
        <w:rPr>
          <w:rFonts w:asciiTheme="majorBidi" w:hAnsiTheme="majorBidi" w:cstheme="majorBidi"/>
          <w:sz w:val="24"/>
          <w:szCs w:val="24"/>
          <w:lang w:val="en-US"/>
        </w:rPr>
        <w:t xml:space="preserve">) </w:t>
      </w:r>
      <w:r>
        <w:rPr>
          <w:rFonts w:asciiTheme="majorBidi" w:hAnsiTheme="majorBidi" w:cstheme="majorBidi"/>
          <w:sz w:val="24"/>
          <w:szCs w:val="24"/>
          <w:lang w:val="en-US"/>
        </w:rPr>
        <w:t>co</w:t>
      </w:r>
      <w:r w:rsidR="0036375B">
        <w:rPr>
          <w:rFonts w:asciiTheme="majorBidi" w:hAnsiTheme="majorBidi" w:cstheme="majorBidi"/>
          <w:sz w:val="24"/>
          <w:szCs w:val="24"/>
          <w:lang w:val="en-US"/>
        </w:rPr>
        <w:t xml:space="preserve">-integrating relationship, the </w:t>
      </w:r>
      <w:r w:rsidR="00AA1825">
        <w:rPr>
          <w:rFonts w:asciiTheme="majorBidi" w:hAnsiTheme="majorBidi" w:cstheme="majorBidi"/>
          <w:sz w:val="24"/>
          <w:szCs w:val="24"/>
          <w:lang w:val="en-US"/>
        </w:rPr>
        <w:t xml:space="preserve">GARCH (1,1) </w:t>
      </w:r>
      <w:r w:rsidR="00D74A3D">
        <w:rPr>
          <w:rFonts w:asciiTheme="majorBidi" w:hAnsiTheme="majorBidi" w:cstheme="majorBidi"/>
          <w:sz w:val="24"/>
          <w:szCs w:val="24"/>
          <w:lang w:val="en-US"/>
        </w:rPr>
        <w:t xml:space="preserve">model </w:t>
      </w:r>
      <w:r w:rsidR="0036375B">
        <w:rPr>
          <w:rFonts w:asciiTheme="majorBidi" w:hAnsiTheme="majorBidi" w:cstheme="majorBidi"/>
          <w:sz w:val="24"/>
          <w:szCs w:val="24"/>
          <w:lang w:val="en-US"/>
        </w:rPr>
        <w:t xml:space="preserve">can </w:t>
      </w:r>
      <w:r w:rsidR="00AA1825">
        <w:rPr>
          <w:rFonts w:asciiTheme="majorBidi" w:hAnsiTheme="majorBidi" w:cstheme="majorBidi"/>
          <w:sz w:val="24"/>
          <w:szCs w:val="24"/>
          <w:lang w:val="en-US"/>
        </w:rPr>
        <w:t>be employed (</w:t>
      </w:r>
      <w:r w:rsidR="00FF35A8">
        <w:rPr>
          <w:rFonts w:asciiTheme="majorBidi" w:hAnsiTheme="majorBidi" w:cstheme="majorBidi"/>
          <w:sz w:val="24"/>
          <w:szCs w:val="24"/>
          <w:lang w:val="en-US"/>
        </w:rPr>
        <w:t>S</w:t>
      </w:r>
      <w:r w:rsidR="0056226E">
        <w:rPr>
          <w:rFonts w:asciiTheme="majorBidi" w:hAnsiTheme="majorBidi" w:cstheme="majorBidi"/>
          <w:sz w:val="24"/>
          <w:szCs w:val="24"/>
          <w:lang w:val="en-US"/>
        </w:rPr>
        <w:t xml:space="preserve">ee </w:t>
      </w:r>
      <w:r w:rsidR="00FF35A8">
        <w:rPr>
          <w:rFonts w:asciiTheme="majorBidi" w:hAnsiTheme="majorBidi" w:cstheme="majorBidi"/>
          <w:sz w:val="24"/>
          <w:szCs w:val="24"/>
          <w:lang w:val="en-US"/>
        </w:rPr>
        <w:t xml:space="preserve">Eq. </w:t>
      </w:r>
      <w:r w:rsidR="0056226E">
        <w:rPr>
          <w:rFonts w:asciiTheme="majorBidi" w:hAnsiTheme="majorBidi" w:cstheme="majorBidi"/>
          <w:sz w:val="24"/>
          <w:szCs w:val="24"/>
          <w:lang w:val="en-US"/>
        </w:rPr>
        <w:t>(4) and (5)).</w:t>
      </w:r>
    </w:p>
    <w:p w:rsidR="00CD0D75" w:rsidRDefault="0056226E" w:rsidP="005975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4F5B05" w:rsidRDefault="00397074" w:rsidP="003D29DA">
      <w:pPr>
        <w:spacing w:line="240" w:lineRule="auto"/>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z</w:t>
      </w:r>
      <w:r w:rsidRPr="00A67250">
        <w:rPr>
          <w:rFonts w:asciiTheme="majorBidi" w:hAnsiTheme="majorBidi" w:cstheme="majorBidi"/>
          <w:sz w:val="24"/>
          <w:szCs w:val="24"/>
          <w:vertAlign w:val="subscript"/>
          <w:lang w:val="en-US"/>
        </w:rPr>
        <w:t>t</w:t>
      </w:r>
      <w:proofErr w:type="spellEnd"/>
      <w:proofErr w:type="gramEnd"/>
      <w:r>
        <w:rPr>
          <w:rFonts w:asciiTheme="majorBidi" w:hAnsiTheme="majorBidi" w:cstheme="majorBidi"/>
          <w:sz w:val="24"/>
          <w:szCs w:val="24"/>
          <w:lang w:val="en-US"/>
        </w:rPr>
        <w:t xml:space="preserve"> = α + X</w:t>
      </w:r>
      <w:r w:rsidRPr="00A67250">
        <w:rPr>
          <w:rFonts w:asciiTheme="majorBidi" w:hAnsiTheme="majorBidi" w:cstheme="majorBidi"/>
          <w:sz w:val="24"/>
          <w:szCs w:val="24"/>
          <w:vertAlign w:val="subscript"/>
          <w:lang w:val="en-US"/>
        </w:rPr>
        <w:t>1</w:t>
      </w:r>
      <w:r>
        <w:rPr>
          <w:rFonts w:asciiTheme="majorBidi" w:hAnsiTheme="majorBidi" w:cstheme="majorBidi"/>
          <w:sz w:val="24"/>
          <w:szCs w:val="24"/>
          <w:lang w:val="en-US"/>
        </w:rPr>
        <w:t>z</w:t>
      </w:r>
      <w:r w:rsidRPr="00A67250">
        <w:rPr>
          <w:rFonts w:asciiTheme="majorBidi" w:hAnsiTheme="majorBidi" w:cstheme="majorBidi"/>
          <w:sz w:val="24"/>
          <w:szCs w:val="24"/>
          <w:vertAlign w:val="subscript"/>
          <w:lang w:val="en-US"/>
        </w:rPr>
        <w:t>t</w:t>
      </w:r>
      <w:r>
        <w:rPr>
          <w:rFonts w:asciiTheme="majorBidi" w:hAnsiTheme="majorBidi" w:cstheme="majorBidi"/>
          <w:sz w:val="24"/>
          <w:szCs w:val="24"/>
          <w:vertAlign w:val="subscript"/>
          <w:lang w:val="en-US"/>
        </w:rPr>
        <w:t>-1</w:t>
      </w:r>
      <w:r>
        <w:rPr>
          <w:rFonts w:asciiTheme="majorBidi" w:hAnsiTheme="majorBidi" w:cstheme="majorBidi"/>
          <w:sz w:val="24"/>
          <w:szCs w:val="24"/>
          <w:lang w:val="en-US"/>
        </w:rPr>
        <w:t xml:space="preserve"> + …. + </w:t>
      </w:r>
      <w:proofErr w:type="spellStart"/>
      <w:r>
        <w:rPr>
          <w:rFonts w:asciiTheme="majorBidi" w:hAnsiTheme="majorBidi" w:cstheme="majorBidi"/>
          <w:sz w:val="24"/>
          <w:szCs w:val="24"/>
          <w:lang w:val="en-US"/>
        </w:rPr>
        <w:t>X</w:t>
      </w:r>
      <w:r>
        <w:rPr>
          <w:rFonts w:asciiTheme="majorBidi" w:hAnsiTheme="majorBidi" w:cstheme="majorBidi"/>
          <w:sz w:val="24"/>
          <w:szCs w:val="24"/>
          <w:vertAlign w:val="subscript"/>
          <w:lang w:val="en-US"/>
        </w:rPr>
        <w:t>p</w:t>
      </w:r>
      <w:r>
        <w:rPr>
          <w:rFonts w:asciiTheme="majorBidi" w:hAnsiTheme="majorBidi" w:cstheme="majorBidi"/>
          <w:sz w:val="24"/>
          <w:szCs w:val="24"/>
          <w:lang w:val="en-US"/>
        </w:rPr>
        <w:t>z</w:t>
      </w:r>
      <w:r w:rsidRPr="00A67250">
        <w:rPr>
          <w:rFonts w:asciiTheme="majorBidi" w:hAnsiTheme="majorBidi" w:cstheme="majorBidi"/>
          <w:sz w:val="24"/>
          <w:szCs w:val="24"/>
          <w:vertAlign w:val="subscript"/>
          <w:lang w:val="en-US"/>
        </w:rPr>
        <w:t>t</w:t>
      </w:r>
      <w:proofErr w:type="spellEnd"/>
      <w:r>
        <w:rPr>
          <w:rFonts w:asciiTheme="majorBidi" w:hAnsiTheme="majorBidi" w:cstheme="majorBidi"/>
          <w:sz w:val="24"/>
          <w:szCs w:val="24"/>
          <w:vertAlign w:val="subscript"/>
          <w:lang w:val="en-US"/>
        </w:rPr>
        <w:t>-p</w:t>
      </w:r>
      <w:r>
        <w:rPr>
          <w:rFonts w:asciiTheme="majorBidi" w:hAnsiTheme="majorBidi" w:cstheme="majorBidi"/>
          <w:sz w:val="24"/>
          <w:szCs w:val="24"/>
          <w:lang w:val="en-US"/>
        </w:rPr>
        <w:t xml:space="preserve"> + </w:t>
      </w:r>
      <w:proofErr w:type="spellStart"/>
      <w:proofErr w:type="gramStart"/>
      <w:r>
        <w:rPr>
          <w:rFonts w:asciiTheme="majorBidi" w:hAnsiTheme="majorBidi" w:cstheme="majorBidi"/>
          <w:sz w:val="24"/>
          <w:szCs w:val="24"/>
          <w:lang w:val="en-US"/>
        </w:rPr>
        <w:t>ε</w:t>
      </w:r>
      <w:r w:rsidRPr="00A67250">
        <w:rPr>
          <w:rFonts w:asciiTheme="majorBidi" w:hAnsiTheme="majorBidi" w:cstheme="majorBidi"/>
          <w:sz w:val="24"/>
          <w:szCs w:val="24"/>
          <w:vertAlign w:val="subscript"/>
          <w:lang w:val="en-US"/>
        </w:rPr>
        <w:t>t</w:t>
      </w:r>
      <w:proofErr w:type="spellEnd"/>
      <w:proofErr w:type="gramEnd"/>
      <w:r>
        <w:rPr>
          <w:rFonts w:asciiTheme="majorBidi" w:hAnsiTheme="majorBidi" w:cstheme="majorBidi"/>
          <w:sz w:val="24"/>
          <w:szCs w:val="24"/>
          <w:lang w:val="en-US"/>
        </w:rPr>
        <w:t>,</w:t>
      </w:r>
      <w:r w:rsidR="00AA1825">
        <w:rPr>
          <w:rFonts w:asciiTheme="majorBidi" w:hAnsiTheme="majorBidi" w:cstheme="majorBidi"/>
          <w:sz w:val="24"/>
          <w:szCs w:val="24"/>
          <w:lang w:val="en-US"/>
        </w:rPr>
        <w:t xml:space="preserve">     ε</w:t>
      </w:r>
      <w:r w:rsidR="00AA1825" w:rsidRPr="00A67250">
        <w:rPr>
          <w:rFonts w:asciiTheme="majorBidi" w:hAnsiTheme="majorBidi" w:cstheme="majorBidi"/>
          <w:sz w:val="24"/>
          <w:szCs w:val="24"/>
          <w:vertAlign w:val="subscript"/>
          <w:lang w:val="en-US"/>
        </w:rPr>
        <w:t>t</w:t>
      </w:r>
      <w:r w:rsidR="00AA1825">
        <w:rPr>
          <w:rFonts w:asciiTheme="majorBidi" w:hAnsiTheme="majorBidi" w:cstheme="majorBidi"/>
          <w:sz w:val="24"/>
          <w:szCs w:val="24"/>
          <w:lang w:val="en-US"/>
        </w:rPr>
        <w:t>|Ω</w:t>
      </w:r>
      <w:r w:rsidR="00AA1825" w:rsidRPr="00AA1825">
        <w:rPr>
          <w:rFonts w:asciiTheme="majorBidi" w:hAnsiTheme="majorBidi" w:cstheme="majorBidi"/>
          <w:sz w:val="24"/>
          <w:szCs w:val="24"/>
          <w:vertAlign w:val="subscript"/>
          <w:lang w:val="en-US"/>
        </w:rPr>
        <w:t>t-1</w:t>
      </w:r>
      <w:r w:rsidR="00AA1825">
        <w:rPr>
          <w:rFonts w:asciiTheme="majorBidi" w:hAnsiTheme="majorBidi" w:cstheme="majorBidi"/>
          <w:sz w:val="24"/>
          <w:szCs w:val="24"/>
          <w:lang w:val="en-US"/>
        </w:rPr>
        <w:t xml:space="preserve"> ~ ND (0,</w:t>
      </w:r>
      <w:r w:rsidR="000C2B49">
        <w:rPr>
          <w:rFonts w:asciiTheme="majorBidi" w:hAnsiTheme="majorBidi" w:cstheme="majorBidi"/>
          <w:sz w:val="24"/>
          <w:szCs w:val="24"/>
          <w:lang w:val="en-US"/>
        </w:rPr>
        <w:t xml:space="preserve"> </w:t>
      </w:r>
      <w:proofErr w:type="spellStart"/>
      <w:r w:rsidR="00AA1825">
        <w:rPr>
          <w:rFonts w:asciiTheme="majorBidi" w:hAnsiTheme="majorBidi" w:cstheme="majorBidi"/>
          <w:sz w:val="24"/>
          <w:szCs w:val="24"/>
          <w:lang w:val="en-US"/>
        </w:rPr>
        <w:t>h</w:t>
      </w:r>
      <w:r w:rsidR="00AA1825" w:rsidRPr="00AA1825">
        <w:rPr>
          <w:rFonts w:asciiTheme="majorBidi" w:hAnsiTheme="majorBidi" w:cstheme="majorBidi"/>
          <w:sz w:val="24"/>
          <w:szCs w:val="24"/>
          <w:vertAlign w:val="subscript"/>
          <w:lang w:val="en-US"/>
        </w:rPr>
        <w:t>t</w:t>
      </w:r>
      <w:proofErr w:type="spellEnd"/>
      <w:r w:rsidR="00AA1825">
        <w:rPr>
          <w:rFonts w:asciiTheme="majorBidi" w:hAnsiTheme="majorBidi" w:cstheme="majorBidi"/>
          <w:sz w:val="24"/>
          <w:szCs w:val="24"/>
          <w:lang w:val="en-US"/>
        </w:rPr>
        <w:t xml:space="preserve">)     </w:t>
      </w:r>
      <w:r w:rsidR="004C4370">
        <w:rPr>
          <w:rFonts w:asciiTheme="majorBidi" w:hAnsiTheme="majorBidi" w:cstheme="majorBidi"/>
          <w:sz w:val="24"/>
          <w:szCs w:val="24"/>
          <w:lang w:val="en-US"/>
        </w:rPr>
        <w:t xml:space="preserve">                </w:t>
      </w:r>
      <w:r w:rsidR="00FF35A8">
        <w:rPr>
          <w:rFonts w:asciiTheme="majorBidi" w:hAnsiTheme="majorBidi" w:cstheme="majorBidi"/>
          <w:sz w:val="24"/>
          <w:szCs w:val="24"/>
          <w:lang w:val="en-US"/>
        </w:rPr>
        <w:t xml:space="preserve">                                 </w:t>
      </w:r>
      <w:r w:rsidR="00AA1825">
        <w:rPr>
          <w:rFonts w:asciiTheme="majorBidi" w:hAnsiTheme="majorBidi" w:cstheme="majorBidi"/>
          <w:sz w:val="24"/>
          <w:szCs w:val="24"/>
          <w:lang w:val="en-US"/>
        </w:rPr>
        <w:t>(</w:t>
      </w:r>
      <w:r w:rsidR="0056226E">
        <w:rPr>
          <w:rFonts w:asciiTheme="majorBidi" w:hAnsiTheme="majorBidi" w:cstheme="majorBidi"/>
          <w:sz w:val="24"/>
          <w:szCs w:val="24"/>
          <w:lang w:val="en-US"/>
        </w:rPr>
        <w:t>4</w:t>
      </w:r>
      <w:r w:rsidR="00AB3951">
        <w:rPr>
          <w:rFonts w:asciiTheme="majorBidi" w:hAnsiTheme="majorBidi" w:cstheme="majorBidi"/>
          <w:sz w:val="24"/>
          <w:szCs w:val="24"/>
          <w:lang w:val="en-US"/>
        </w:rPr>
        <w:t>)</w:t>
      </w:r>
    </w:p>
    <w:p w:rsidR="00C52D6F" w:rsidRDefault="00AB3951" w:rsidP="005975DF">
      <w:pPr>
        <w:spacing w:after="0" w:line="240" w:lineRule="auto"/>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lastRenderedPageBreak/>
        <w:t>h</w:t>
      </w:r>
      <w:r w:rsidRPr="00AB3951">
        <w:rPr>
          <w:rFonts w:asciiTheme="majorBidi" w:hAnsiTheme="majorBidi" w:cstheme="majorBidi"/>
          <w:sz w:val="24"/>
          <w:szCs w:val="24"/>
          <w:vertAlign w:val="subscript"/>
          <w:lang w:val="en-US"/>
        </w:rPr>
        <w:t>t</w:t>
      </w:r>
      <w:proofErr w:type="spellEnd"/>
      <w:proofErr w:type="gramEnd"/>
      <w:r>
        <w:rPr>
          <w:rFonts w:asciiTheme="majorBidi" w:hAnsiTheme="majorBidi" w:cstheme="majorBidi"/>
          <w:sz w:val="24"/>
          <w:szCs w:val="24"/>
          <w:lang w:val="en-US"/>
        </w:rPr>
        <w:t xml:space="preserve"> = ϛ</w:t>
      </w:r>
      <w:r w:rsidRPr="00AB3951">
        <w:rPr>
          <w:rFonts w:asciiTheme="majorBidi" w:hAnsiTheme="majorBidi" w:cstheme="majorBidi"/>
          <w:sz w:val="24"/>
          <w:szCs w:val="24"/>
          <w:vertAlign w:val="subscript"/>
          <w:lang w:val="en-US"/>
        </w:rPr>
        <w:t>0</w:t>
      </w:r>
      <w:r>
        <w:rPr>
          <w:rFonts w:asciiTheme="majorBidi" w:hAnsiTheme="majorBidi" w:cstheme="majorBidi"/>
          <w:sz w:val="24"/>
          <w:szCs w:val="24"/>
          <w:lang w:val="en-US"/>
        </w:rPr>
        <w:t xml:space="preserve"> + ϛ</w:t>
      </w:r>
      <w:r w:rsidRPr="00AB3951">
        <w:rPr>
          <w:rFonts w:asciiTheme="majorBidi" w:hAnsiTheme="majorBidi" w:cstheme="majorBidi"/>
          <w:sz w:val="24"/>
          <w:szCs w:val="24"/>
          <w:vertAlign w:val="subscript"/>
          <w:lang w:val="en-US"/>
        </w:rPr>
        <w:t>1</w:t>
      </w:r>
      <w:r>
        <w:rPr>
          <w:rFonts w:asciiTheme="majorBidi" w:hAnsiTheme="majorBidi" w:cstheme="majorBidi"/>
          <w:sz w:val="24"/>
          <w:szCs w:val="24"/>
          <w:lang w:val="en-US"/>
        </w:rPr>
        <w:t>h</w:t>
      </w:r>
      <w:r w:rsidRPr="00AB3951">
        <w:rPr>
          <w:rFonts w:asciiTheme="majorBidi" w:hAnsiTheme="majorBidi" w:cstheme="majorBidi"/>
          <w:sz w:val="24"/>
          <w:szCs w:val="24"/>
          <w:vertAlign w:val="subscript"/>
          <w:lang w:val="en-US"/>
        </w:rPr>
        <w:t>t-1</w:t>
      </w:r>
      <w:r>
        <w:rPr>
          <w:rFonts w:asciiTheme="majorBidi" w:hAnsiTheme="majorBidi" w:cstheme="majorBidi"/>
          <w:sz w:val="24"/>
          <w:szCs w:val="24"/>
          <w:lang w:val="en-US"/>
        </w:rPr>
        <w:t xml:space="preserve"> + ϛ</w:t>
      </w:r>
      <w:r w:rsidRPr="00AB3951">
        <w:rPr>
          <w:rFonts w:asciiTheme="majorBidi" w:hAnsiTheme="majorBidi" w:cstheme="majorBidi"/>
          <w:sz w:val="24"/>
          <w:szCs w:val="24"/>
          <w:vertAlign w:val="subscript"/>
          <w:lang w:val="en-US"/>
        </w:rPr>
        <w:t>2</w:t>
      </w:r>
      <w:r>
        <w:rPr>
          <w:rFonts w:asciiTheme="majorBidi" w:hAnsiTheme="majorBidi" w:cstheme="majorBidi"/>
          <w:sz w:val="24"/>
          <w:szCs w:val="24"/>
          <w:lang w:val="en-US"/>
        </w:rPr>
        <w:t>ε</w:t>
      </w:r>
      <w:r>
        <w:rPr>
          <w:rFonts w:asciiTheme="majorBidi" w:hAnsiTheme="majorBidi" w:cstheme="majorBidi"/>
          <w:sz w:val="24"/>
          <w:szCs w:val="24"/>
          <w:vertAlign w:val="superscript"/>
          <w:lang w:val="en-US"/>
        </w:rPr>
        <w:t>2</w:t>
      </w:r>
      <w:r w:rsidRPr="00AB3951">
        <w:rPr>
          <w:rFonts w:asciiTheme="majorBidi" w:hAnsiTheme="majorBidi" w:cstheme="majorBidi"/>
          <w:sz w:val="24"/>
          <w:szCs w:val="24"/>
          <w:vertAlign w:val="subscript"/>
          <w:lang w:val="en-US"/>
        </w:rPr>
        <w:t>t-</w:t>
      </w:r>
      <w:r w:rsidR="00397074">
        <w:rPr>
          <w:rFonts w:asciiTheme="majorBidi" w:hAnsiTheme="majorBidi" w:cstheme="majorBidi"/>
          <w:sz w:val="24"/>
          <w:szCs w:val="24"/>
          <w:vertAlign w:val="subscript"/>
          <w:lang w:val="en-US"/>
        </w:rPr>
        <w:t>p</w:t>
      </w:r>
      <w:r>
        <w:rPr>
          <w:rFonts w:asciiTheme="majorBidi" w:hAnsiTheme="majorBidi" w:cstheme="majorBidi"/>
          <w:sz w:val="24"/>
          <w:szCs w:val="24"/>
          <w:lang w:val="en-US"/>
        </w:rPr>
        <w:t xml:space="preserve">,                                      </w:t>
      </w:r>
      <w:r w:rsidR="00FA64A4">
        <w:rPr>
          <w:rFonts w:asciiTheme="majorBidi" w:hAnsiTheme="majorBidi" w:cstheme="majorBidi"/>
          <w:sz w:val="24"/>
          <w:szCs w:val="24"/>
          <w:lang w:val="en-US"/>
        </w:rPr>
        <w:t xml:space="preserve">                               </w:t>
      </w:r>
      <w:r w:rsidR="00FF35A8">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56226E">
        <w:rPr>
          <w:rFonts w:asciiTheme="majorBidi" w:hAnsiTheme="majorBidi" w:cstheme="majorBidi"/>
          <w:sz w:val="24"/>
          <w:szCs w:val="24"/>
          <w:lang w:val="en-US"/>
        </w:rPr>
        <w:t>5</w:t>
      </w:r>
      <w:r>
        <w:rPr>
          <w:rFonts w:asciiTheme="majorBidi" w:hAnsiTheme="majorBidi" w:cstheme="majorBidi"/>
          <w:sz w:val="24"/>
          <w:szCs w:val="24"/>
          <w:lang w:val="en-US"/>
        </w:rPr>
        <w:t>)</w:t>
      </w:r>
    </w:p>
    <w:p w:rsidR="005975DF" w:rsidRPr="001A3D39" w:rsidRDefault="005975DF" w:rsidP="005975DF">
      <w:pPr>
        <w:spacing w:after="0" w:line="240" w:lineRule="auto"/>
        <w:jc w:val="both"/>
        <w:rPr>
          <w:rFonts w:asciiTheme="majorBidi" w:hAnsiTheme="majorBidi" w:cstheme="majorBidi"/>
          <w:sz w:val="24"/>
          <w:szCs w:val="24"/>
          <w:lang w:val="en-US"/>
        </w:rPr>
      </w:pPr>
    </w:p>
    <w:p w:rsidR="00047E95" w:rsidRDefault="001A5C05" w:rsidP="003D29DA">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4. </w:t>
      </w:r>
      <w:r w:rsidR="00047E95" w:rsidRPr="00047E95">
        <w:rPr>
          <w:rFonts w:asciiTheme="majorBidi" w:hAnsiTheme="majorBidi" w:cstheme="majorBidi"/>
          <w:b/>
          <w:bCs/>
          <w:sz w:val="24"/>
          <w:szCs w:val="24"/>
          <w:lang w:val="en-US"/>
        </w:rPr>
        <w:t xml:space="preserve">Results </w:t>
      </w:r>
      <w:r w:rsidR="007F2FFC">
        <w:rPr>
          <w:rFonts w:asciiTheme="majorBidi" w:hAnsiTheme="majorBidi" w:cstheme="majorBidi"/>
          <w:b/>
          <w:bCs/>
          <w:sz w:val="24"/>
          <w:szCs w:val="24"/>
          <w:lang w:val="en-US"/>
        </w:rPr>
        <w:t xml:space="preserve">and </w:t>
      </w:r>
      <w:r w:rsidR="003C07D0">
        <w:rPr>
          <w:rFonts w:asciiTheme="majorBidi" w:hAnsiTheme="majorBidi" w:cstheme="majorBidi"/>
          <w:b/>
          <w:bCs/>
          <w:sz w:val="24"/>
          <w:szCs w:val="24"/>
          <w:lang w:val="en-US"/>
        </w:rPr>
        <w:t>D</w:t>
      </w:r>
      <w:r w:rsidR="00047E95" w:rsidRPr="00047E95">
        <w:rPr>
          <w:rFonts w:asciiTheme="majorBidi" w:hAnsiTheme="majorBidi" w:cstheme="majorBidi"/>
          <w:b/>
          <w:bCs/>
          <w:sz w:val="24"/>
          <w:szCs w:val="24"/>
          <w:lang w:val="en-US"/>
        </w:rPr>
        <w:t>iscussions</w:t>
      </w:r>
    </w:p>
    <w:p w:rsidR="00085140" w:rsidRPr="00085140" w:rsidRDefault="00085140" w:rsidP="003D29DA">
      <w:pPr>
        <w:spacing w:after="0" w:line="240" w:lineRule="auto"/>
        <w:rPr>
          <w:rFonts w:asciiTheme="majorBidi" w:hAnsiTheme="majorBidi" w:cstheme="majorBidi"/>
          <w:i/>
          <w:iCs/>
          <w:sz w:val="24"/>
          <w:szCs w:val="24"/>
          <w:lang w:val="en-US"/>
        </w:rPr>
      </w:pPr>
      <w:r w:rsidRPr="00085140">
        <w:rPr>
          <w:rFonts w:asciiTheme="majorBidi" w:hAnsiTheme="majorBidi" w:cstheme="majorBidi"/>
          <w:i/>
          <w:iCs/>
          <w:sz w:val="24"/>
          <w:szCs w:val="24"/>
          <w:lang w:val="en-US"/>
        </w:rPr>
        <w:t>4.1. Lagrange</w:t>
      </w:r>
      <w:r>
        <w:rPr>
          <w:rFonts w:asciiTheme="majorBidi" w:hAnsiTheme="majorBidi" w:cstheme="majorBidi"/>
          <w:i/>
          <w:iCs/>
          <w:sz w:val="24"/>
          <w:szCs w:val="24"/>
          <w:lang w:val="en-US"/>
        </w:rPr>
        <w:t xml:space="preserve"> m</w:t>
      </w:r>
      <w:r w:rsidRPr="00085140">
        <w:rPr>
          <w:rFonts w:asciiTheme="majorBidi" w:hAnsiTheme="majorBidi" w:cstheme="majorBidi"/>
          <w:i/>
          <w:iCs/>
          <w:sz w:val="24"/>
          <w:szCs w:val="24"/>
          <w:lang w:val="en-US"/>
        </w:rPr>
        <w:t xml:space="preserve">ultiplier test </w:t>
      </w:r>
    </w:p>
    <w:p w:rsidR="003D29DA" w:rsidRDefault="00AC0FC3" w:rsidP="003D29D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Table 1 </w:t>
      </w:r>
      <w:r w:rsidR="00C91A40">
        <w:rPr>
          <w:rFonts w:asciiTheme="majorBidi" w:hAnsiTheme="majorBidi" w:cstheme="majorBidi"/>
          <w:sz w:val="24"/>
          <w:szCs w:val="24"/>
          <w:lang w:val="en-US"/>
        </w:rPr>
        <w:t xml:space="preserve">demonstrates that the </w:t>
      </w:r>
      <w:r w:rsidR="003F661F">
        <w:rPr>
          <w:rFonts w:asciiTheme="majorBidi" w:hAnsiTheme="majorBidi" w:cstheme="majorBidi"/>
          <w:sz w:val="24"/>
          <w:szCs w:val="24"/>
          <w:lang w:val="en-US"/>
        </w:rPr>
        <w:t>null hypothesis (</w:t>
      </w:r>
      <w:r w:rsidR="00C91A40" w:rsidRPr="008268D9">
        <w:rPr>
          <w:rFonts w:asciiTheme="majorBidi" w:hAnsiTheme="majorBidi" w:cstheme="majorBidi"/>
          <w:i/>
          <w:iCs/>
          <w:sz w:val="24"/>
          <w:szCs w:val="24"/>
          <w:lang w:val="en-US"/>
        </w:rPr>
        <w:t>H</w:t>
      </w:r>
      <w:r w:rsidR="00C91A40" w:rsidRPr="008268D9">
        <w:rPr>
          <w:rFonts w:asciiTheme="majorBidi" w:hAnsiTheme="majorBidi" w:cstheme="majorBidi"/>
          <w:i/>
          <w:iCs/>
          <w:sz w:val="24"/>
          <w:szCs w:val="24"/>
          <w:vertAlign w:val="subscript"/>
          <w:lang w:val="en-US"/>
        </w:rPr>
        <w:t>0</w:t>
      </w:r>
      <w:r w:rsidR="003F661F" w:rsidRPr="003F661F">
        <w:rPr>
          <w:rFonts w:asciiTheme="majorBidi" w:hAnsiTheme="majorBidi" w:cstheme="majorBidi"/>
          <w:sz w:val="24"/>
          <w:szCs w:val="24"/>
          <w:lang w:val="en-US"/>
        </w:rPr>
        <w:t>)</w:t>
      </w:r>
      <w:r w:rsidR="00C91A40" w:rsidRPr="003F661F">
        <w:rPr>
          <w:rFonts w:asciiTheme="majorBidi" w:hAnsiTheme="majorBidi" w:cstheme="majorBidi"/>
          <w:sz w:val="24"/>
          <w:szCs w:val="24"/>
          <w:lang w:val="en-US"/>
        </w:rPr>
        <w:t xml:space="preserve"> </w:t>
      </w:r>
      <w:r w:rsidR="00C91A40">
        <w:rPr>
          <w:rFonts w:asciiTheme="majorBidi" w:hAnsiTheme="majorBidi" w:cstheme="majorBidi"/>
          <w:sz w:val="24"/>
          <w:szCs w:val="24"/>
          <w:lang w:val="en-US"/>
        </w:rPr>
        <w:t>of heteroscedastic co-integrating relationshi</w:t>
      </w:r>
      <w:r w:rsidR="00FF35A8">
        <w:rPr>
          <w:rFonts w:asciiTheme="majorBidi" w:hAnsiTheme="majorBidi" w:cstheme="majorBidi"/>
          <w:sz w:val="24"/>
          <w:szCs w:val="24"/>
          <w:lang w:val="en-US"/>
        </w:rPr>
        <w:t>p for the residuals in Eq. (</w:t>
      </w:r>
      <w:r w:rsidR="00C91A40">
        <w:rPr>
          <w:rFonts w:asciiTheme="majorBidi" w:hAnsiTheme="majorBidi" w:cstheme="majorBidi"/>
          <w:sz w:val="24"/>
          <w:szCs w:val="24"/>
          <w:lang w:val="en-US"/>
        </w:rPr>
        <w:t>1</w:t>
      </w:r>
      <w:r w:rsidR="00FF35A8">
        <w:rPr>
          <w:rFonts w:asciiTheme="majorBidi" w:hAnsiTheme="majorBidi" w:cstheme="majorBidi"/>
          <w:sz w:val="24"/>
          <w:szCs w:val="24"/>
          <w:lang w:val="en-US"/>
        </w:rPr>
        <w:t>)</w:t>
      </w:r>
      <w:r w:rsidR="00C91A40">
        <w:rPr>
          <w:rFonts w:asciiTheme="majorBidi" w:hAnsiTheme="majorBidi" w:cstheme="majorBidi"/>
          <w:sz w:val="24"/>
          <w:szCs w:val="24"/>
          <w:lang w:val="en-US"/>
        </w:rPr>
        <w:t xml:space="preserve"> is rejected</w:t>
      </w:r>
      <w:r w:rsidR="003F661F">
        <w:rPr>
          <w:rFonts w:asciiTheme="majorBidi" w:hAnsiTheme="majorBidi" w:cstheme="majorBidi"/>
          <w:sz w:val="24"/>
          <w:szCs w:val="24"/>
          <w:lang w:val="en-US"/>
        </w:rPr>
        <w:t xml:space="preserve"> as the F-s</w:t>
      </w:r>
      <w:r w:rsidR="007C6B7C">
        <w:rPr>
          <w:rFonts w:asciiTheme="majorBidi" w:hAnsiTheme="majorBidi" w:cstheme="majorBidi"/>
          <w:sz w:val="24"/>
          <w:szCs w:val="24"/>
          <w:lang w:val="en-US"/>
        </w:rPr>
        <w:t xml:space="preserve">tatistics probability value (i.e., 0.1378) and the </w:t>
      </w:r>
      <w:r w:rsidR="00CC0AAF">
        <w:rPr>
          <w:rFonts w:asciiTheme="majorBidi" w:hAnsiTheme="majorBidi" w:cstheme="majorBidi"/>
          <w:sz w:val="24"/>
          <w:szCs w:val="24"/>
          <w:lang w:val="en-US"/>
        </w:rPr>
        <w:t>chi-square (</w:t>
      </w:r>
      <w:r w:rsidR="008E3CED">
        <w:rPr>
          <w:rFonts w:asciiTheme="majorBidi" w:hAnsiTheme="majorBidi" w:cstheme="majorBidi"/>
          <w:sz w:val="24"/>
          <w:szCs w:val="24"/>
          <w:lang w:val="en-US"/>
        </w:rPr>
        <w:t>χ</w:t>
      </w:r>
      <w:r w:rsidR="008E3CED">
        <w:rPr>
          <w:rFonts w:asciiTheme="majorBidi" w:hAnsiTheme="majorBidi" w:cstheme="majorBidi"/>
          <w:sz w:val="24"/>
          <w:szCs w:val="24"/>
          <w:vertAlign w:val="superscript"/>
          <w:lang w:val="en-US"/>
        </w:rPr>
        <w:t>2</w:t>
      </w:r>
      <w:r w:rsidR="00CC0AAF">
        <w:rPr>
          <w:rFonts w:asciiTheme="majorBidi" w:hAnsiTheme="majorBidi" w:cstheme="majorBidi"/>
          <w:sz w:val="24"/>
          <w:szCs w:val="24"/>
          <w:lang w:val="en-US"/>
        </w:rPr>
        <w:t>)</w:t>
      </w:r>
      <w:r w:rsidR="008E3CED">
        <w:rPr>
          <w:rFonts w:asciiTheme="majorBidi" w:hAnsiTheme="majorBidi" w:cstheme="majorBidi"/>
          <w:sz w:val="24"/>
          <w:szCs w:val="24"/>
          <w:lang w:val="en-US"/>
        </w:rPr>
        <w:t xml:space="preserve"> </w:t>
      </w:r>
      <w:r w:rsidR="007C6B7C">
        <w:rPr>
          <w:rFonts w:asciiTheme="majorBidi" w:hAnsiTheme="majorBidi" w:cstheme="majorBidi"/>
          <w:sz w:val="24"/>
          <w:szCs w:val="24"/>
          <w:lang w:val="en-US"/>
        </w:rPr>
        <w:t>probability value (i.e.</w:t>
      </w:r>
      <w:r w:rsidR="00BF1071">
        <w:rPr>
          <w:rFonts w:asciiTheme="majorBidi" w:hAnsiTheme="majorBidi" w:cstheme="majorBidi"/>
          <w:sz w:val="24"/>
          <w:szCs w:val="24"/>
          <w:lang w:val="en-US"/>
        </w:rPr>
        <w:t>, 0.1171) are greater than 10</w:t>
      </w:r>
      <w:r w:rsidR="00811A3A">
        <w:rPr>
          <w:rFonts w:asciiTheme="majorBidi" w:hAnsiTheme="majorBidi" w:cstheme="majorBidi"/>
          <w:sz w:val="24"/>
          <w:szCs w:val="24"/>
          <w:lang w:val="en-US"/>
        </w:rPr>
        <w:t xml:space="preserve"> per cent</w:t>
      </w:r>
      <w:r w:rsidR="007C6B7C">
        <w:rPr>
          <w:rFonts w:asciiTheme="majorBidi" w:hAnsiTheme="majorBidi" w:cstheme="majorBidi"/>
          <w:sz w:val="24"/>
          <w:szCs w:val="24"/>
          <w:lang w:val="en-US"/>
        </w:rPr>
        <w:t>.</w:t>
      </w:r>
      <w:r w:rsidR="003F661F">
        <w:rPr>
          <w:rFonts w:asciiTheme="majorBidi" w:hAnsiTheme="majorBidi" w:cstheme="majorBidi"/>
          <w:sz w:val="24"/>
          <w:szCs w:val="24"/>
          <w:lang w:val="en-US"/>
        </w:rPr>
        <w:t xml:space="preserve"> Thus</w:t>
      </w:r>
      <w:r w:rsidR="00C91A40">
        <w:rPr>
          <w:rFonts w:asciiTheme="majorBidi" w:hAnsiTheme="majorBidi" w:cstheme="majorBidi"/>
          <w:sz w:val="24"/>
          <w:szCs w:val="24"/>
          <w:lang w:val="en-US"/>
        </w:rPr>
        <w:t xml:space="preserve">, </w:t>
      </w:r>
      <w:r w:rsidR="003E66C6">
        <w:rPr>
          <w:rFonts w:asciiTheme="majorBidi" w:hAnsiTheme="majorBidi" w:cstheme="majorBidi"/>
          <w:sz w:val="24"/>
          <w:szCs w:val="24"/>
          <w:lang w:val="en-US"/>
        </w:rPr>
        <w:t>based on Engle</w:t>
      </w:r>
      <w:r w:rsidR="003F661F">
        <w:rPr>
          <w:rFonts w:asciiTheme="majorBidi" w:hAnsiTheme="majorBidi" w:cstheme="majorBidi"/>
          <w:sz w:val="24"/>
          <w:szCs w:val="24"/>
          <w:lang w:val="en-US"/>
        </w:rPr>
        <w:t>’s</w:t>
      </w:r>
      <w:r w:rsidR="003E66C6">
        <w:rPr>
          <w:rFonts w:asciiTheme="majorBidi" w:hAnsiTheme="majorBidi" w:cstheme="majorBidi"/>
          <w:sz w:val="24"/>
          <w:szCs w:val="24"/>
          <w:lang w:val="en-US"/>
        </w:rPr>
        <w:t xml:space="preserve"> (1982) argument with regard to </w:t>
      </w:r>
      <w:r w:rsidR="003E66C6" w:rsidRPr="003E66C6">
        <w:rPr>
          <w:rFonts w:asciiTheme="majorBidi" w:hAnsiTheme="majorBidi" w:cstheme="majorBidi"/>
          <w:sz w:val="24"/>
          <w:szCs w:val="24"/>
          <w:lang w:val="en-US"/>
        </w:rPr>
        <w:t>either accept</w:t>
      </w:r>
      <w:r w:rsidR="003F661F">
        <w:rPr>
          <w:rFonts w:asciiTheme="majorBidi" w:hAnsiTheme="majorBidi" w:cstheme="majorBidi"/>
          <w:sz w:val="24"/>
          <w:szCs w:val="24"/>
          <w:lang w:val="en-US"/>
        </w:rPr>
        <w:t>ing</w:t>
      </w:r>
      <w:r w:rsidR="003E66C6" w:rsidRPr="003E66C6">
        <w:rPr>
          <w:rFonts w:asciiTheme="majorBidi" w:hAnsiTheme="majorBidi" w:cstheme="majorBidi"/>
          <w:sz w:val="24"/>
          <w:szCs w:val="24"/>
          <w:lang w:val="en-US"/>
        </w:rPr>
        <w:t xml:space="preserve"> or reject</w:t>
      </w:r>
      <w:r w:rsidR="003F661F">
        <w:rPr>
          <w:rFonts w:asciiTheme="majorBidi" w:hAnsiTheme="majorBidi" w:cstheme="majorBidi"/>
          <w:sz w:val="24"/>
          <w:szCs w:val="24"/>
          <w:lang w:val="en-US"/>
        </w:rPr>
        <w:t>ing</w:t>
      </w:r>
      <w:r w:rsidR="003E66C6" w:rsidRPr="003E66C6">
        <w:rPr>
          <w:rFonts w:asciiTheme="majorBidi" w:hAnsiTheme="majorBidi" w:cstheme="majorBidi"/>
          <w:sz w:val="24"/>
          <w:szCs w:val="24"/>
          <w:lang w:val="en-US"/>
        </w:rPr>
        <w:t xml:space="preserve"> the </w:t>
      </w:r>
      <w:r w:rsidR="003E66C6" w:rsidRPr="008268D9">
        <w:rPr>
          <w:rFonts w:asciiTheme="majorBidi" w:hAnsiTheme="majorBidi" w:cstheme="majorBidi"/>
          <w:i/>
          <w:iCs/>
          <w:sz w:val="24"/>
          <w:szCs w:val="24"/>
          <w:lang w:val="en-US"/>
        </w:rPr>
        <w:t>H</w:t>
      </w:r>
      <w:r w:rsidR="003E66C6" w:rsidRPr="008268D9">
        <w:rPr>
          <w:rFonts w:asciiTheme="majorBidi" w:hAnsiTheme="majorBidi" w:cstheme="majorBidi"/>
          <w:i/>
          <w:iCs/>
          <w:sz w:val="24"/>
          <w:szCs w:val="24"/>
          <w:vertAlign w:val="subscript"/>
          <w:lang w:val="en-US"/>
        </w:rPr>
        <w:t>0</w:t>
      </w:r>
      <w:r w:rsidR="003E66C6" w:rsidRPr="003E66C6">
        <w:rPr>
          <w:rFonts w:asciiTheme="majorBidi" w:hAnsiTheme="majorBidi" w:cstheme="majorBidi"/>
          <w:sz w:val="24"/>
          <w:szCs w:val="24"/>
          <w:lang w:val="en-US"/>
        </w:rPr>
        <w:t xml:space="preserve"> of </w:t>
      </w:r>
      <w:r w:rsidR="003F661F">
        <w:rPr>
          <w:rFonts w:asciiTheme="majorBidi" w:hAnsiTheme="majorBidi" w:cstheme="majorBidi"/>
          <w:sz w:val="24"/>
          <w:szCs w:val="24"/>
          <w:lang w:val="en-US"/>
        </w:rPr>
        <w:t xml:space="preserve">the </w:t>
      </w:r>
      <w:r w:rsidR="00FF35A8" w:rsidRPr="003E66C6">
        <w:rPr>
          <w:rFonts w:asciiTheme="majorBidi" w:hAnsiTheme="majorBidi" w:cstheme="majorBidi"/>
          <w:sz w:val="24"/>
          <w:szCs w:val="24"/>
          <w:lang w:val="en-US"/>
        </w:rPr>
        <w:t>Heteroscedasticity</w:t>
      </w:r>
      <w:r w:rsidR="003E66C6" w:rsidRPr="003E66C6">
        <w:rPr>
          <w:rFonts w:asciiTheme="majorBidi" w:hAnsiTheme="majorBidi" w:cstheme="majorBidi"/>
          <w:sz w:val="24"/>
          <w:szCs w:val="24"/>
          <w:lang w:val="en-US"/>
        </w:rPr>
        <w:t xml:space="preserve"> co-integrating relationship, Brooks (2008)</w:t>
      </w:r>
      <w:r w:rsidR="00247317">
        <w:rPr>
          <w:rFonts w:asciiTheme="majorBidi" w:hAnsiTheme="majorBidi" w:cstheme="majorBidi"/>
          <w:sz w:val="24"/>
          <w:szCs w:val="24"/>
          <w:lang w:val="en-US"/>
        </w:rPr>
        <w:t xml:space="preserve"> </w:t>
      </w:r>
      <w:r w:rsidR="003F661F">
        <w:rPr>
          <w:rFonts w:ascii="Times New Roman" w:hAnsi="Times New Roman" w:cs="Times New Roman"/>
          <w:sz w:val="24"/>
          <w:szCs w:val="24"/>
          <w:lang w:val="en-US"/>
        </w:rPr>
        <w:t xml:space="preserve">argued </w:t>
      </w:r>
      <w:r w:rsidR="003E66C6">
        <w:rPr>
          <w:rFonts w:ascii="Times New Roman" w:hAnsi="Times New Roman" w:cs="Times New Roman"/>
          <w:sz w:val="24"/>
          <w:szCs w:val="24"/>
        </w:rPr>
        <w:t>that</w:t>
      </w:r>
      <w:r w:rsidR="00BD22D6">
        <w:rPr>
          <w:rFonts w:ascii="Times New Roman" w:hAnsi="Times New Roman" w:cs="Times New Roman"/>
          <w:sz w:val="24"/>
          <w:szCs w:val="24"/>
        </w:rPr>
        <w:t>,</w:t>
      </w:r>
      <w:r w:rsidR="003E66C6">
        <w:rPr>
          <w:rFonts w:ascii="Times New Roman" w:hAnsi="Times New Roman" w:cs="Times New Roman"/>
          <w:sz w:val="24"/>
          <w:szCs w:val="24"/>
        </w:rPr>
        <w:t xml:space="preserve"> if </w:t>
      </w:r>
      <w:r w:rsidR="003F661F">
        <w:rPr>
          <w:rFonts w:asciiTheme="majorBidi" w:hAnsiTheme="majorBidi" w:cstheme="majorBidi"/>
          <w:sz w:val="24"/>
          <w:szCs w:val="24"/>
          <w:lang w:val="en-US"/>
        </w:rPr>
        <w:t>the F-s</w:t>
      </w:r>
      <w:r w:rsidR="003E66C6" w:rsidRPr="003E66C6">
        <w:rPr>
          <w:rFonts w:asciiTheme="majorBidi" w:hAnsiTheme="majorBidi" w:cstheme="majorBidi"/>
          <w:sz w:val="24"/>
          <w:szCs w:val="24"/>
          <w:lang w:val="en-US"/>
        </w:rPr>
        <w:t xml:space="preserve">tatistics </w:t>
      </w:r>
      <w:r w:rsidR="007C6B7C">
        <w:rPr>
          <w:rFonts w:asciiTheme="majorBidi" w:hAnsiTheme="majorBidi" w:cstheme="majorBidi"/>
          <w:sz w:val="24"/>
          <w:szCs w:val="24"/>
          <w:lang w:val="en-US"/>
        </w:rPr>
        <w:t xml:space="preserve">and the </w:t>
      </w:r>
      <w:r w:rsidR="008E3CED" w:rsidRPr="008E3CED">
        <w:rPr>
          <w:rFonts w:asciiTheme="majorBidi" w:hAnsiTheme="majorBidi" w:cstheme="majorBidi"/>
          <w:sz w:val="24"/>
          <w:szCs w:val="24"/>
          <w:lang w:val="en-US"/>
        </w:rPr>
        <w:t>χ</w:t>
      </w:r>
      <w:r w:rsidR="008E3CED" w:rsidRPr="008E3CED">
        <w:rPr>
          <w:rFonts w:asciiTheme="majorBidi" w:hAnsiTheme="majorBidi" w:cstheme="majorBidi"/>
          <w:sz w:val="24"/>
          <w:szCs w:val="24"/>
          <w:vertAlign w:val="superscript"/>
          <w:lang w:val="en-US"/>
        </w:rPr>
        <w:t>2</w:t>
      </w:r>
      <w:r w:rsidR="008E3CED">
        <w:rPr>
          <w:rFonts w:asciiTheme="majorBidi" w:hAnsiTheme="majorBidi" w:cstheme="majorBidi"/>
          <w:sz w:val="24"/>
          <w:szCs w:val="24"/>
          <w:lang w:val="en-US"/>
        </w:rPr>
        <w:t xml:space="preserve"> </w:t>
      </w:r>
      <w:r w:rsidR="007C6B7C" w:rsidRPr="008E3CED">
        <w:rPr>
          <w:rFonts w:asciiTheme="majorBidi" w:hAnsiTheme="majorBidi" w:cstheme="majorBidi"/>
          <w:sz w:val="24"/>
          <w:szCs w:val="24"/>
          <w:lang w:val="en-US"/>
        </w:rPr>
        <w:t>probabilities</w:t>
      </w:r>
      <w:r w:rsidR="007C6B7C">
        <w:rPr>
          <w:rFonts w:asciiTheme="majorBidi" w:hAnsiTheme="majorBidi" w:cstheme="majorBidi"/>
          <w:sz w:val="24"/>
          <w:szCs w:val="24"/>
          <w:lang w:val="en-US"/>
        </w:rPr>
        <w:t xml:space="preserve"> values are greater than </w:t>
      </w:r>
      <w:r w:rsidR="00BF1071">
        <w:rPr>
          <w:rFonts w:asciiTheme="majorBidi" w:hAnsiTheme="majorBidi" w:cstheme="majorBidi"/>
          <w:sz w:val="24"/>
          <w:szCs w:val="24"/>
          <w:lang w:val="en-US"/>
        </w:rPr>
        <w:t>10</w:t>
      </w:r>
      <w:r w:rsidR="00811A3A">
        <w:rPr>
          <w:rFonts w:asciiTheme="majorBidi" w:hAnsiTheme="majorBidi" w:cstheme="majorBidi"/>
          <w:sz w:val="24"/>
          <w:szCs w:val="24"/>
          <w:lang w:val="en-US"/>
        </w:rPr>
        <w:t xml:space="preserve"> per cent</w:t>
      </w:r>
      <w:r w:rsidR="00BD22D6">
        <w:rPr>
          <w:rFonts w:asciiTheme="majorBidi" w:hAnsiTheme="majorBidi" w:cstheme="majorBidi"/>
          <w:sz w:val="24"/>
          <w:szCs w:val="24"/>
          <w:lang w:val="en-US"/>
        </w:rPr>
        <w:t xml:space="preserve">, </w:t>
      </w:r>
      <w:r w:rsidR="008268D9">
        <w:rPr>
          <w:rFonts w:asciiTheme="majorBidi" w:hAnsiTheme="majorBidi" w:cstheme="majorBidi"/>
          <w:sz w:val="24"/>
          <w:szCs w:val="24"/>
          <w:lang w:val="en-US"/>
        </w:rPr>
        <w:t xml:space="preserve">the </w:t>
      </w:r>
      <w:r w:rsidR="007C6B7C" w:rsidRPr="008268D9">
        <w:rPr>
          <w:rFonts w:asciiTheme="majorBidi" w:hAnsiTheme="majorBidi" w:cstheme="majorBidi"/>
          <w:i/>
          <w:iCs/>
          <w:sz w:val="24"/>
          <w:szCs w:val="24"/>
          <w:lang w:val="en-US"/>
        </w:rPr>
        <w:t>H</w:t>
      </w:r>
      <w:r w:rsidR="007C6B7C" w:rsidRPr="008268D9">
        <w:rPr>
          <w:rFonts w:asciiTheme="majorBidi" w:hAnsiTheme="majorBidi" w:cstheme="majorBidi"/>
          <w:i/>
          <w:iCs/>
          <w:sz w:val="24"/>
          <w:szCs w:val="24"/>
          <w:vertAlign w:val="subscript"/>
          <w:lang w:val="en-US"/>
        </w:rPr>
        <w:t>0</w:t>
      </w:r>
      <w:r w:rsidR="007C6B7C">
        <w:rPr>
          <w:rFonts w:asciiTheme="majorBidi" w:hAnsiTheme="majorBidi" w:cstheme="majorBidi"/>
          <w:sz w:val="24"/>
          <w:szCs w:val="24"/>
          <w:lang w:val="en-US"/>
        </w:rPr>
        <w:t xml:space="preserve"> of </w:t>
      </w:r>
      <w:r w:rsidR="00BD22D6">
        <w:rPr>
          <w:rFonts w:asciiTheme="majorBidi" w:hAnsiTheme="majorBidi" w:cstheme="majorBidi"/>
          <w:sz w:val="24"/>
          <w:szCs w:val="24"/>
          <w:lang w:val="en-US"/>
        </w:rPr>
        <w:t xml:space="preserve">the </w:t>
      </w:r>
      <w:r w:rsidR="00FF35A8">
        <w:rPr>
          <w:rFonts w:asciiTheme="majorBidi" w:hAnsiTheme="majorBidi" w:cstheme="majorBidi"/>
          <w:sz w:val="24"/>
          <w:szCs w:val="24"/>
          <w:lang w:val="en-US"/>
        </w:rPr>
        <w:t>Heteroscedasticity</w:t>
      </w:r>
      <w:r w:rsidR="007C6B7C">
        <w:rPr>
          <w:rFonts w:asciiTheme="majorBidi" w:hAnsiTheme="majorBidi" w:cstheme="majorBidi"/>
          <w:sz w:val="24"/>
          <w:szCs w:val="24"/>
          <w:lang w:val="en-US"/>
        </w:rPr>
        <w:t xml:space="preserve"> co-integrating relationship would be rejected.</w:t>
      </w:r>
    </w:p>
    <w:p w:rsidR="003D29DA" w:rsidRDefault="003D29DA" w:rsidP="003D29DA">
      <w:pPr>
        <w:spacing w:after="0" w:line="240" w:lineRule="auto"/>
        <w:jc w:val="both"/>
        <w:rPr>
          <w:rFonts w:asciiTheme="majorBidi" w:hAnsiTheme="majorBidi" w:cstheme="majorBidi"/>
          <w:sz w:val="24"/>
          <w:szCs w:val="24"/>
          <w:lang w:val="en-US"/>
        </w:rPr>
      </w:pPr>
    </w:p>
    <w:p w:rsidR="00FF35A8" w:rsidRDefault="000C2B49" w:rsidP="000C2B49">
      <w:pPr>
        <w:spacing w:after="0" w:line="240" w:lineRule="auto"/>
        <w:jc w:val="both"/>
        <w:rPr>
          <w:rFonts w:asciiTheme="majorBidi" w:hAnsiTheme="majorBidi" w:cstheme="majorBidi"/>
          <w:sz w:val="24"/>
          <w:szCs w:val="24"/>
          <w:lang w:val="en-US"/>
        </w:rPr>
      </w:pPr>
      <w:r w:rsidRPr="001246C8">
        <w:rPr>
          <w:rFonts w:asciiTheme="majorBidi" w:hAnsiTheme="majorBidi" w:cstheme="majorBidi"/>
          <w:b/>
          <w:bCs/>
          <w:sz w:val="24"/>
          <w:szCs w:val="24"/>
          <w:lang w:val="en-US"/>
        </w:rPr>
        <w:t>Table 1</w:t>
      </w:r>
      <w:r>
        <w:rPr>
          <w:rFonts w:asciiTheme="majorBidi" w:hAnsiTheme="majorBidi" w:cstheme="majorBidi"/>
          <w:sz w:val="24"/>
          <w:szCs w:val="24"/>
          <w:lang w:val="en-US"/>
        </w:rPr>
        <w:t xml:space="preserve"> </w:t>
      </w:r>
    </w:p>
    <w:p w:rsidR="00085140" w:rsidRDefault="00085140" w:rsidP="000C2B49">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Langrage multiplier test results.</w:t>
      </w:r>
    </w:p>
    <w:tbl>
      <w:tblPr>
        <w:tblStyle w:val="TableGrid"/>
        <w:tblW w:w="0" w:type="auto"/>
        <w:tblInd w:w="108" w:type="dxa"/>
        <w:tblLook w:val="04A0" w:firstRow="1" w:lastRow="0" w:firstColumn="1" w:lastColumn="0" w:noHBand="0" w:noVBand="1"/>
      </w:tblPr>
      <w:tblGrid>
        <w:gridCol w:w="1539"/>
        <w:gridCol w:w="1524"/>
        <w:gridCol w:w="3690"/>
        <w:gridCol w:w="2381"/>
      </w:tblGrid>
      <w:tr w:rsidR="00085140" w:rsidTr="00165519">
        <w:tc>
          <w:tcPr>
            <w:tcW w:w="1560" w:type="dxa"/>
            <w:tcBorders>
              <w:left w:val="nil"/>
              <w:bottom w:val="nil"/>
              <w:right w:val="nil"/>
            </w:tcBorders>
          </w:tcPr>
          <w:p w:rsidR="00085140" w:rsidRDefault="00085140" w:rsidP="00731A65">
            <w:pPr>
              <w:jc w:val="both"/>
              <w:rPr>
                <w:rFonts w:asciiTheme="majorBidi" w:hAnsiTheme="majorBidi" w:cstheme="majorBidi"/>
                <w:sz w:val="24"/>
                <w:szCs w:val="24"/>
                <w:lang w:val="en-US"/>
              </w:rPr>
            </w:pPr>
            <w:r>
              <w:rPr>
                <w:rFonts w:asciiTheme="majorBidi" w:hAnsiTheme="majorBidi" w:cstheme="majorBidi"/>
                <w:sz w:val="24"/>
                <w:szCs w:val="24"/>
                <w:lang w:val="en-US"/>
              </w:rPr>
              <w:t>F-statistics</w:t>
            </w:r>
          </w:p>
        </w:tc>
        <w:tc>
          <w:tcPr>
            <w:tcW w:w="1559" w:type="dxa"/>
            <w:tcBorders>
              <w:left w:val="nil"/>
              <w:bottom w:val="nil"/>
              <w:right w:val="nil"/>
            </w:tcBorders>
          </w:tcPr>
          <w:p w:rsidR="00085140" w:rsidRPr="00D74A3D" w:rsidRDefault="00085140" w:rsidP="00731A65">
            <w:pPr>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1.96</w:t>
            </w:r>
            <w:r w:rsidRPr="00D74A3D">
              <w:rPr>
                <w:rFonts w:asciiTheme="majorBidi" w:hAnsiTheme="majorBidi" w:cstheme="majorBidi"/>
                <w:i/>
                <w:iCs/>
                <w:sz w:val="24"/>
                <w:szCs w:val="24"/>
                <w:vertAlign w:val="superscript"/>
                <w:lang w:val="en-US"/>
              </w:rPr>
              <w:t>*</w:t>
            </w:r>
          </w:p>
        </w:tc>
        <w:tc>
          <w:tcPr>
            <w:tcW w:w="3791" w:type="dxa"/>
            <w:tcBorders>
              <w:left w:val="nil"/>
              <w:bottom w:val="nil"/>
              <w:right w:val="nil"/>
            </w:tcBorders>
          </w:tcPr>
          <w:p w:rsidR="00085140" w:rsidRDefault="00085140" w:rsidP="00731A65">
            <w:pPr>
              <w:jc w:val="both"/>
              <w:rPr>
                <w:rFonts w:asciiTheme="majorBidi" w:hAnsiTheme="majorBidi" w:cstheme="majorBidi"/>
                <w:sz w:val="24"/>
                <w:szCs w:val="24"/>
                <w:lang w:val="en-US"/>
              </w:rPr>
            </w:pPr>
            <w:r>
              <w:rPr>
                <w:rFonts w:asciiTheme="majorBidi" w:hAnsiTheme="majorBidi" w:cstheme="majorBidi"/>
                <w:sz w:val="24"/>
                <w:szCs w:val="24"/>
                <w:lang w:val="en-US"/>
              </w:rPr>
              <w:t>Probability. F-Statistics (q = 3,36)</w:t>
            </w:r>
          </w:p>
        </w:tc>
        <w:tc>
          <w:tcPr>
            <w:tcW w:w="2446" w:type="dxa"/>
            <w:tcBorders>
              <w:left w:val="nil"/>
              <w:bottom w:val="nil"/>
              <w:right w:val="nil"/>
            </w:tcBorders>
          </w:tcPr>
          <w:p w:rsidR="00085140" w:rsidRDefault="00085140"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0.1378</w:t>
            </w:r>
          </w:p>
        </w:tc>
      </w:tr>
      <w:tr w:rsidR="00085140" w:rsidTr="00165519">
        <w:tc>
          <w:tcPr>
            <w:tcW w:w="1560" w:type="dxa"/>
            <w:tcBorders>
              <w:top w:val="nil"/>
              <w:left w:val="nil"/>
              <w:right w:val="nil"/>
            </w:tcBorders>
          </w:tcPr>
          <w:p w:rsidR="00085140" w:rsidRDefault="00085140" w:rsidP="00731A65">
            <w:pPr>
              <w:jc w:val="both"/>
              <w:rPr>
                <w:rFonts w:asciiTheme="majorBidi" w:hAnsiTheme="majorBidi" w:cstheme="majorBidi"/>
                <w:sz w:val="24"/>
                <w:szCs w:val="24"/>
                <w:lang w:val="en-US"/>
              </w:rPr>
            </w:pPr>
            <w:r>
              <w:rPr>
                <w:rFonts w:asciiTheme="majorBidi" w:hAnsiTheme="majorBidi" w:cstheme="majorBidi"/>
                <w:sz w:val="24"/>
                <w:szCs w:val="24"/>
                <w:lang w:val="en-US"/>
              </w:rPr>
              <w:t>T × R</w:t>
            </w:r>
            <w:r>
              <w:rPr>
                <w:rFonts w:asciiTheme="majorBidi" w:hAnsiTheme="majorBidi" w:cstheme="majorBidi"/>
                <w:sz w:val="24"/>
                <w:szCs w:val="24"/>
                <w:vertAlign w:val="superscript"/>
                <w:lang w:val="en-US"/>
              </w:rPr>
              <w:t>2</w:t>
            </w:r>
          </w:p>
        </w:tc>
        <w:tc>
          <w:tcPr>
            <w:tcW w:w="1559" w:type="dxa"/>
            <w:tcBorders>
              <w:top w:val="nil"/>
              <w:left w:val="nil"/>
              <w:right w:val="nil"/>
            </w:tcBorders>
          </w:tcPr>
          <w:p w:rsidR="00085140" w:rsidRPr="00D74A3D" w:rsidRDefault="00085140" w:rsidP="00731A65">
            <w:pPr>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5.89</w:t>
            </w:r>
            <w:r w:rsidRPr="00D74A3D">
              <w:rPr>
                <w:rFonts w:asciiTheme="majorBidi" w:hAnsiTheme="majorBidi" w:cstheme="majorBidi"/>
                <w:i/>
                <w:iCs/>
                <w:sz w:val="24"/>
                <w:szCs w:val="24"/>
                <w:vertAlign w:val="superscript"/>
                <w:lang w:val="en-US"/>
              </w:rPr>
              <w:t>*</w:t>
            </w:r>
          </w:p>
        </w:tc>
        <w:tc>
          <w:tcPr>
            <w:tcW w:w="3791" w:type="dxa"/>
            <w:tcBorders>
              <w:top w:val="nil"/>
              <w:left w:val="nil"/>
              <w:right w:val="nil"/>
            </w:tcBorders>
          </w:tcPr>
          <w:p w:rsidR="00085140" w:rsidRDefault="00085140" w:rsidP="00731A65">
            <w:pPr>
              <w:jc w:val="both"/>
              <w:rPr>
                <w:rFonts w:asciiTheme="majorBidi" w:hAnsiTheme="majorBidi" w:cstheme="majorBidi"/>
                <w:sz w:val="24"/>
                <w:szCs w:val="24"/>
                <w:lang w:val="en-US"/>
              </w:rPr>
            </w:pPr>
            <w:r>
              <w:rPr>
                <w:rFonts w:asciiTheme="majorBidi" w:hAnsiTheme="majorBidi" w:cstheme="majorBidi"/>
                <w:sz w:val="24"/>
                <w:szCs w:val="24"/>
                <w:lang w:val="en-US"/>
              </w:rPr>
              <w:t>Probability. χ</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(q = 3)</w:t>
            </w:r>
          </w:p>
        </w:tc>
        <w:tc>
          <w:tcPr>
            <w:tcW w:w="2446" w:type="dxa"/>
            <w:tcBorders>
              <w:top w:val="nil"/>
              <w:left w:val="nil"/>
              <w:right w:val="nil"/>
            </w:tcBorders>
          </w:tcPr>
          <w:p w:rsidR="00085140" w:rsidRDefault="00085140"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0.1171</w:t>
            </w:r>
          </w:p>
        </w:tc>
      </w:tr>
    </w:tbl>
    <w:p w:rsidR="003D29DA" w:rsidRDefault="00085140" w:rsidP="00B319DF">
      <w:pPr>
        <w:spacing w:after="0" w:line="240" w:lineRule="auto"/>
        <w:jc w:val="both"/>
        <w:rPr>
          <w:rFonts w:asciiTheme="majorBidi" w:hAnsiTheme="majorBidi" w:cstheme="majorBidi"/>
        </w:rPr>
      </w:pPr>
      <w:r w:rsidRPr="00085140">
        <w:rPr>
          <w:rFonts w:asciiTheme="majorBidi" w:hAnsiTheme="majorBidi" w:cstheme="majorBidi"/>
          <w:b/>
          <w:bCs/>
          <w:lang w:val="en-US"/>
        </w:rPr>
        <w:t>Notes:</w:t>
      </w:r>
      <w:r w:rsidRPr="00085140">
        <w:rPr>
          <w:rFonts w:asciiTheme="majorBidi" w:hAnsiTheme="majorBidi" w:cstheme="majorBidi"/>
          <w:lang w:val="en-US"/>
        </w:rPr>
        <w:t xml:space="preserve"> (1) T is the number of observations. (2) R</w:t>
      </w:r>
      <w:r w:rsidRPr="00085140">
        <w:rPr>
          <w:rFonts w:asciiTheme="majorBidi" w:hAnsiTheme="majorBidi" w:cstheme="majorBidi"/>
          <w:vertAlign w:val="superscript"/>
          <w:lang w:val="en-US"/>
        </w:rPr>
        <w:t>2</w:t>
      </w:r>
      <w:r w:rsidRPr="00085140">
        <w:rPr>
          <w:rFonts w:asciiTheme="majorBidi" w:hAnsiTheme="majorBidi" w:cstheme="majorBidi"/>
          <w:lang w:val="en-US"/>
        </w:rPr>
        <w:t xml:space="preserve"> is the squared residuals. (3) The LM statistic test is asymptotically distributed F-statistics (q = 3) and chi-Square ((χ</w:t>
      </w:r>
      <w:r w:rsidRPr="00085140">
        <w:rPr>
          <w:rFonts w:asciiTheme="majorBidi" w:hAnsiTheme="majorBidi" w:cstheme="majorBidi"/>
          <w:vertAlign w:val="superscript"/>
          <w:lang w:val="en-US"/>
        </w:rPr>
        <w:t xml:space="preserve">2 </w:t>
      </w:r>
      <w:r w:rsidRPr="00085140">
        <w:rPr>
          <w:rFonts w:asciiTheme="majorBidi" w:hAnsiTheme="majorBidi" w:cstheme="majorBidi"/>
          <w:lang w:val="en-US"/>
        </w:rPr>
        <w:t xml:space="preserve">(q = 3)) with the freedom degrees q equal to the number of lags in the regression. As such, the LM statistic test is calculated using 3 lags. (4) The LM statistic test was performed using </w:t>
      </w:r>
      <w:r w:rsidRPr="00085140">
        <w:rPr>
          <w:rFonts w:asciiTheme="majorBidi" w:hAnsiTheme="majorBidi" w:cstheme="majorBidi"/>
        </w:rPr>
        <w:t>E-views econometric software package version 7.2.</w:t>
      </w:r>
    </w:p>
    <w:p w:rsidR="00B319DF" w:rsidRPr="00B319DF" w:rsidRDefault="00B319DF" w:rsidP="00B319DF">
      <w:pPr>
        <w:spacing w:after="0" w:line="240" w:lineRule="auto"/>
        <w:jc w:val="both"/>
        <w:rPr>
          <w:rFonts w:asciiTheme="majorBidi" w:hAnsiTheme="majorBidi" w:cstheme="majorBidi"/>
        </w:rPr>
      </w:pPr>
    </w:p>
    <w:p w:rsidR="00482842" w:rsidRPr="00085140" w:rsidRDefault="00085140" w:rsidP="003D29DA">
      <w:pPr>
        <w:spacing w:after="0" w:line="240" w:lineRule="auto"/>
        <w:jc w:val="both"/>
        <w:rPr>
          <w:rFonts w:asciiTheme="majorBidi" w:hAnsiTheme="majorBidi" w:cstheme="majorBidi"/>
          <w:i/>
          <w:iCs/>
          <w:sz w:val="24"/>
          <w:szCs w:val="24"/>
        </w:rPr>
      </w:pPr>
      <w:r w:rsidRPr="00085140">
        <w:rPr>
          <w:rFonts w:asciiTheme="majorBidi" w:hAnsiTheme="majorBidi" w:cstheme="majorBidi"/>
          <w:i/>
          <w:iCs/>
          <w:sz w:val="24"/>
          <w:szCs w:val="24"/>
        </w:rPr>
        <w:t xml:space="preserve">4.2. Unit root test </w:t>
      </w:r>
    </w:p>
    <w:p w:rsidR="000C2B49" w:rsidRDefault="008268D9" w:rsidP="003D29D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previous </w:t>
      </w:r>
      <w:r w:rsidR="00AE76EB">
        <w:rPr>
          <w:rFonts w:asciiTheme="majorBidi" w:hAnsiTheme="majorBidi" w:cstheme="majorBidi"/>
          <w:sz w:val="24"/>
          <w:szCs w:val="24"/>
          <w:lang w:val="en-US"/>
        </w:rPr>
        <w:t>step</w:t>
      </w:r>
      <w:r w:rsidR="00972F8E">
        <w:rPr>
          <w:rFonts w:asciiTheme="majorBidi" w:hAnsiTheme="majorBidi" w:cstheme="majorBidi"/>
          <w:sz w:val="24"/>
          <w:szCs w:val="24"/>
          <w:lang w:val="en-US"/>
        </w:rPr>
        <w:t xml:space="preserve"> confirmed </w:t>
      </w:r>
      <w:r w:rsidR="00760AEC">
        <w:rPr>
          <w:rFonts w:asciiTheme="majorBidi" w:hAnsiTheme="majorBidi" w:cstheme="majorBidi"/>
          <w:sz w:val="24"/>
          <w:szCs w:val="24"/>
          <w:lang w:val="en-US"/>
        </w:rPr>
        <w:t xml:space="preserve">the existence </w:t>
      </w:r>
      <w:r w:rsidR="00972F8E">
        <w:rPr>
          <w:rFonts w:asciiTheme="majorBidi" w:hAnsiTheme="majorBidi" w:cstheme="majorBidi"/>
          <w:sz w:val="24"/>
          <w:szCs w:val="24"/>
          <w:lang w:val="en-US"/>
        </w:rPr>
        <w:t xml:space="preserve">of the </w:t>
      </w:r>
      <w:r w:rsidR="00760AEC">
        <w:rPr>
          <w:rFonts w:asciiTheme="majorBidi" w:hAnsiTheme="majorBidi" w:cstheme="majorBidi"/>
          <w:sz w:val="24"/>
          <w:szCs w:val="24"/>
          <w:lang w:val="en-US"/>
        </w:rPr>
        <w:t>homoscedast</w:t>
      </w:r>
      <w:r w:rsidR="004A1FBB">
        <w:rPr>
          <w:rFonts w:asciiTheme="majorBidi" w:hAnsiTheme="majorBidi" w:cstheme="majorBidi"/>
          <w:sz w:val="24"/>
          <w:szCs w:val="24"/>
          <w:lang w:val="en-US"/>
        </w:rPr>
        <w:t xml:space="preserve">ic co-integrating relationship, </w:t>
      </w:r>
      <w:r w:rsidR="00972F8E">
        <w:rPr>
          <w:rFonts w:asciiTheme="majorBidi" w:hAnsiTheme="majorBidi" w:cstheme="majorBidi"/>
          <w:sz w:val="24"/>
          <w:szCs w:val="24"/>
          <w:lang w:val="en-US"/>
        </w:rPr>
        <w:t>(</w:t>
      </w:r>
      <w:r w:rsidR="00760AEC">
        <w:rPr>
          <w:rFonts w:asciiTheme="majorBidi" w:hAnsiTheme="majorBidi" w:cstheme="majorBidi"/>
          <w:sz w:val="24"/>
          <w:szCs w:val="24"/>
          <w:lang w:val="en-US"/>
        </w:rPr>
        <w:t>i.e., the usage</w:t>
      </w:r>
      <w:r w:rsidR="004A1FBB">
        <w:rPr>
          <w:rFonts w:asciiTheme="majorBidi" w:hAnsiTheme="majorBidi" w:cstheme="majorBidi"/>
          <w:sz w:val="24"/>
          <w:szCs w:val="24"/>
          <w:lang w:val="en-US"/>
        </w:rPr>
        <w:t xml:space="preserve"> of VECM</w:t>
      </w:r>
      <w:r w:rsidR="00972F8E">
        <w:rPr>
          <w:rFonts w:asciiTheme="majorBidi" w:hAnsiTheme="majorBidi" w:cstheme="majorBidi"/>
          <w:sz w:val="24"/>
          <w:szCs w:val="24"/>
          <w:lang w:val="en-US"/>
        </w:rPr>
        <w:t>)</w:t>
      </w:r>
      <w:r w:rsidR="00760AEC">
        <w:rPr>
          <w:rFonts w:asciiTheme="majorBidi" w:hAnsiTheme="majorBidi" w:cstheme="majorBidi"/>
          <w:sz w:val="24"/>
          <w:szCs w:val="24"/>
          <w:lang w:val="en-US"/>
        </w:rPr>
        <w:t xml:space="preserve">, but </w:t>
      </w:r>
      <w:r>
        <w:rPr>
          <w:rFonts w:asciiTheme="majorBidi" w:hAnsiTheme="majorBidi" w:cstheme="majorBidi"/>
          <w:sz w:val="24"/>
          <w:szCs w:val="24"/>
          <w:lang w:val="en-US"/>
        </w:rPr>
        <w:t>the unit root test</w:t>
      </w:r>
      <w:r w:rsidR="00760AEC">
        <w:rPr>
          <w:rFonts w:asciiTheme="majorBidi" w:hAnsiTheme="majorBidi" w:cstheme="majorBidi"/>
          <w:sz w:val="24"/>
          <w:szCs w:val="24"/>
          <w:lang w:val="en-US"/>
        </w:rPr>
        <w:t xml:space="preserve"> </w:t>
      </w:r>
      <w:r w:rsidR="00972F8E">
        <w:rPr>
          <w:rFonts w:asciiTheme="majorBidi" w:hAnsiTheme="majorBidi" w:cstheme="majorBidi"/>
          <w:sz w:val="24"/>
          <w:szCs w:val="24"/>
          <w:lang w:val="en-US"/>
        </w:rPr>
        <w:t xml:space="preserve">was still performed </w:t>
      </w:r>
      <w:r w:rsidR="00760AEC">
        <w:rPr>
          <w:rFonts w:asciiTheme="majorBidi" w:hAnsiTheme="majorBidi" w:cstheme="majorBidi"/>
          <w:sz w:val="24"/>
          <w:szCs w:val="24"/>
          <w:lang w:val="en-US"/>
        </w:rPr>
        <w:t xml:space="preserve">to </w:t>
      </w:r>
      <w:r w:rsidR="00972F8E">
        <w:rPr>
          <w:rFonts w:asciiTheme="majorBidi" w:hAnsiTheme="majorBidi" w:cstheme="majorBidi"/>
          <w:sz w:val="24"/>
          <w:szCs w:val="24"/>
          <w:lang w:val="en-US"/>
        </w:rPr>
        <w:t xml:space="preserve">determine </w:t>
      </w:r>
      <w:r w:rsidR="00760AEC">
        <w:rPr>
          <w:rFonts w:asciiTheme="majorBidi" w:hAnsiTheme="majorBidi" w:cstheme="majorBidi"/>
          <w:sz w:val="24"/>
          <w:szCs w:val="24"/>
          <w:lang w:val="en-US"/>
        </w:rPr>
        <w:t>if the variables are stationary at</w:t>
      </w:r>
      <w:r w:rsidR="00972F8E">
        <w:rPr>
          <w:rFonts w:asciiTheme="majorBidi" w:hAnsiTheme="majorBidi" w:cstheme="majorBidi"/>
          <w:sz w:val="24"/>
          <w:szCs w:val="24"/>
          <w:lang w:val="en-US"/>
        </w:rPr>
        <w:t xml:space="preserve"> </w:t>
      </w:r>
      <w:proofErr w:type="gramStart"/>
      <w:r w:rsidR="00760AEC" w:rsidRPr="001E4A01">
        <w:rPr>
          <w:rFonts w:asciiTheme="majorBidi" w:hAnsiTheme="majorBidi" w:cstheme="majorBidi"/>
          <w:i/>
          <w:iCs/>
          <w:sz w:val="24"/>
          <w:szCs w:val="24"/>
          <w:lang w:val="en-US"/>
        </w:rPr>
        <w:t>I(</w:t>
      </w:r>
      <w:proofErr w:type="gramEnd"/>
      <w:r w:rsidR="00760AEC" w:rsidRPr="001E4A01">
        <w:rPr>
          <w:rFonts w:asciiTheme="majorBidi" w:hAnsiTheme="majorBidi" w:cstheme="majorBidi"/>
          <w:i/>
          <w:iCs/>
          <w:sz w:val="24"/>
          <w:szCs w:val="24"/>
          <w:lang w:val="en-US"/>
        </w:rPr>
        <w:t>1)</w:t>
      </w:r>
      <w:r w:rsidR="00760AEC" w:rsidRPr="001E4A01">
        <w:rPr>
          <w:rFonts w:asciiTheme="majorBidi" w:hAnsiTheme="majorBidi" w:cstheme="majorBidi"/>
          <w:sz w:val="24"/>
          <w:szCs w:val="24"/>
          <w:lang w:val="en-US"/>
        </w:rPr>
        <w:t>.</w:t>
      </w:r>
      <w:r w:rsidR="00EC25B6" w:rsidRPr="001E4A01">
        <w:rPr>
          <w:rFonts w:asciiTheme="majorBidi" w:hAnsiTheme="majorBidi" w:cstheme="majorBidi"/>
          <w:sz w:val="24"/>
          <w:szCs w:val="24"/>
          <w:lang w:val="en-US"/>
        </w:rPr>
        <w:t xml:space="preserve"> </w:t>
      </w:r>
      <w:r w:rsidR="001E4A01" w:rsidRPr="001E4A01">
        <w:rPr>
          <w:rFonts w:asciiTheme="majorBidi" w:hAnsiTheme="majorBidi" w:cstheme="majorBidi"/>
          <w:sz w:val="24"/>
          <w:szCs w:val="24"/>
          <w:lang w:val="en-US"/>
        </w:rPr>
        <w:t xml:space="preserve">The results of </w:t>
      </w:r>
      <w:r w:rsidR="00F554A0">
        <w:rPr>
          <w:rFonts w:asciiTheme="majorBidi" w:hAnsiTheme="majorBidi" w:cstheme="majorBidi"/>
          <w:sz w:val="24"/>
          <w:szCs w:val="24"/>
          <w:lang w:val="en-US"/>
        </w:rPr>
        <w:t>Elliot</w:t>
      </w:r>
      <w:r w:rsidR="009A2D02">
        <w:rPr>
          <w:rFonts w:asciiTheme="majorBidi" w:hAnsiTheme="majorBidi" w:cstheme="majorBidi"/>
          <w:sz w:val="24"/>
          <w:szCs w:val="24"/>
          <w:lang w:val="en-US"/>
        </w:rPr>
        <w:t>t</w:t>
      </w:r>
      <w:r w:rsidR="00F554A0">
        <w:rPr>
          <w:rFonts w:asciiTheme="majorBidi" w:hAnsiTheme="majorBidi" w:cstheme="majorBidi"/>
          <w:sz w:val="24"/>
          <w:szCs w:val="24"/>
          <w:lang w:val="en-US"/>
        </w:rPr>
        <w:t>, Rothenberg, and Stock</w:t>
      </w:r>
      <w:r w:rsidR="00972F8E">
        <w:rPr>
          <w:rFonts w:asciiTheme="majorBidi" w:hAnsiTheme="majorBidi" w:cstheme="majorBidi"/>
          <w:sz w:val="24"/>
          <w:szCs w:val="24"/>
          <w:lang w:val="en-US"/>
        </w:rPr>
        <w:t xml:space="preserve">’s </w:t>
      </w:r>
      <w:r w:rsidR="00F554A0">
        <w:rPr>
          <w:rFonts w:asciiTheme="majorBidi" w:hAnsiTheme="majorBidi" w:cstheme="majorBidi"/>
          <w:sz w:val="24"/>
          <w:szCs w:val="24"/>
          <w:lang w:val="en-US"/>
        </w:rPr>
        <w:t xml:space="preserve">(1996) test </w:t>
      </w:r>
      <w:r w:rsidR="001E4A01">
        <w:rPr>
          <w:rFonts w:asciiTheme="majorBidi" w:hAnsiTheme="majorBidi" w:cstheme="majorBidi"/>
          <w:sz w:val="24"/>
          <w:szCs w:val="24"/>
        </w:rPr>
        <w:t>show</w:t>
      </w:r>
      <w:r w:rsidR="00972F8E">
        <w:rPr>
          <w:rFonts w:asciiTheme="majorBidi" w:hAnsiTheme="majorBidi" w:cstheme="majorBidi"/>
          <w:sz w:val="24"/>
          <w:szCs w:val="24"/>
        </w:rPr>
        <w:t>ed</w:t>
      </w:r>
      <w:r w:rsidR="001E4A01">
        <w:rPr>
          <w:rFonts w:asciiTheme="majorBidi" w:hAnsiTheme="majorBidi" w:cstheme="majorBidi"/>
          <w:sz w:val="24"/>
          <w:szCs w:val="24"/>
        </w:rPr>
        <w:t xml:space="preserve"> </w:t>
      </w:r>
      <w:r w:rsidR="00EC25B6" w:rsidRPr="001E4A01">
        <w:rPr>
          <w:rFonts w:asciiTheme="majorBidi" w:hAnsiTheme="majorBidi" w:cstheme="majorBidi"/>
          <w:sz w:val="24"/>
          <w:szCs w:val="24"/>
          <w:lang w:val="en-US"/>
        </w:rPr>
        <w:t xml:space="preserve">that all the variables </w:t>
      </w:r>
      <w:r w:rsidR="001E4A01">
        <w:rPr>
          <w:rFonts w:asciiTheme="majorBidi" w:hAnsiTheme="majorBidi" w:cstheme="majorBidi"/>
          <w:sz w:val="24"/>
          <w:szCs w:val="24"/>
          <w:lang w:val="en-US"/>
        </w:rPr>
        <w:t xml:space="preserve">are stationary at </w:t>
      </w:r>
      <w:proofErr w:type="gramStart"/>
      <w:r w:rsidR="00F554A0" w:rsidRPr="00F554A0">
        <w:rPr>
          <w:rFonts w:asciiTheme="majorBidi" w:hAnsiTheme="majorBidi" w:cstheme="majorBidi"/>
          <w:i/>
          <w:iCs/>
          <w:sz w:val="24"/>
          <w:szCs w:val="24"/>
          <w:lang w:val="en-US"/>
        </w:rPr>
        <w:t>I(</w:t>
      </w:r>
      <w:proofErr w:type="gramEnd"/>
      <w:r w:rsidR="00F554A0" w:rsidRPr="00F554A0">
        <w:rPr>
          <w:rFonts w:asciiTheme="majorBidi" w:hAnsiTheme="majorBidi" w:cstheme="majorBidi"/>
          <w:i/>
          <w:iCs/>
          <w:sz w:val="24"/>
          <w:szCs w:val="24"/>
          <w:lang w:val="en-US"/>
        </w:rPr>
        <w:t>1)</w:t>
      </w:r>
      <w:r w:rsidR="00681126">
        <w:rPr>
          <w:rFonts w:asciiTheme="majorBidi" w:hAnsiTheme="majorBidi" w:cstheme="majorBidi"/>
          <w:i/>
          <w:iCs/>
          <w:sz w:val="24"/>
          <w:szCs w:val="24"/>
          <w:lang w:val="en-US"/>
        </w:rPr>
        <w:t xml:space="preserve"> </w:t>
      </w:r>
      <w:r w:rsidR="00681126">
        <w:rPr>
          <w:rFonts w:asciiTheme="majorBidi" w:hAnsiTheme="majorBidi" w:cstheme="majorBidi"/>
          <w:sz w:val="24"/>
          <w:szCs w:val="24"/>
          <w:lang w:val="en-US"/>
        </w:rPr>
        <w:t>(</w:t>
      </w:r>
      <w:r w:rsidR="00B44F5E">
        <w:rPr>
          <w:rFonts w:asciiTheme="majorBidi" w:hAnsiTheme="majorBidi" w:cstheme="majorBidi"/>
          <w:sz w:val="24"/>
          <w:szCs w:val="24"/>
          <w:lang w:val="en-US"/>
        </w:rPr>
        <w:t>S</w:t>
      </w:r>
      <w:r w:rsidR="00681126">
        <w:rPr>
          <w:rFonts w:asciiTheme="majorBidi" w:hAnsiTheme="majorBidi" w:cstheme="majorBidi"/>
          <w:sz w:val="24"/>
          <w:szCs w:val="24"/>
          <w:lang w:val="en-US"/>
        </w:rPr>
        <w:t>ee, Table 2)</w:t>
      </w:r>
      <w:r w:rsidR="00832165">
        <w:rPr>
          <w:rFonts w:asciiTheme="majorBidi" w:hAnsiTheme="majorBidi" w:cstheme="majorBidi"/>
          <w:sz w:val="24"/>
          <w:szCs w:val="24"/>
          <w:lang w:val="en-US"/>
        </w:rPr>
        <w:t xml:space="preserve">. Specifically, </w:t>
      </w:r>
      <w:r w:rsidR="00681126">
        <w:rPr>
          <w:rFonts w:asciiTheme="majorBidi" w:hAnsiTheme="majorBidi" w:cstheme="majorBidi"/>
          <w:sz w:val="24"/>
          <w:szCs w:val="24"/>
          <w:lang w:val="en-US"/>
        </w:rPr>
        <w:t xml:space="preserve">the variables LKLCI and LGDP are </w:t>
      </w:r>
      <w:r w:rsidR="00811A3A">
        <w:rPr>
          <w:rFonts w:asciiTheme="majorBidi" w:hAnsiTheme="majorBidi" w:cstheme="majorBidi"/>
          <w:sz w:val="24"/>
          <w:szCs w:val="24"/>
          <w:lang w:val="en-US"/>
        </w:rPr>
        <w:t xml:space="preserve">stationary at the 10 per cent </w:t>
      </w:r>
      <w:r w:rsidR="00681126">
        <w:rPr>
          <w:rFonts w:asciiTheme="majorBidi" w:hAnsiTheme="majorBidi" w:cstheme="majorBidi"/>
          <w:sz w:val="24"/>
          <w:szCs w:val="24"/>
          <w:lang w:val="en-US"/>
        </w:rPr>
        <w:t>level of significance. The variables LIFR a</w:t>
      </w:r>
      <w:r w:rsidR="00811A3A">
        <w:rPr>
          <w:rFonts w:asciiTheme="majorBidi" w:hAnsiTheme="majorBidi" w:cstheme="majorBidi"/>
          <w:sz w:val="24"/>
          <w:szCs w:val="24"/>
          <w:lang w:val="en-US"/>
        </w:rPr>
        <w:t xml:space="preserve">nd LM3 are stationary at the 5 per cent </w:t>
      </w:r>
      <w:r w:rsidR="00681126">
        <w:rPr>
          <w:rFonts w:asciiTheme="majorBidi" w:hAnsiTheme="majorBidi" w:cstheme="majorBidi"/>
          <w:sz w:val="24"/>
          <w:szCs w:val="24"/>
          <w:lang w:val="en-US"/>
        </w:rPr>
        <w:t>significance level. The varia</w:t>
      </w:r>
      <w:r w:rsidR="00811A3A">
        <w:rPr>
          <w:rFonts w:asciiTheme="majorBidi" w:hAnsiTheme="majorBidi" w:cstheme="majorBidi"/>
          <w:sz w:val="24"/>
          <w:szCs w:val="24"/>
          <w:lang w:val="en-US"/>
        </w:rPr>
        <w:t xml:space="preserve">ble LIR is stationary at the 1 per cent </w:t>
      </w:r>
      <w:r w:rsidR="00681126">
        <w:rPr>
          <w:rFonts w:asciiTheme="majorBidi" w:hAnsiTheme="majorBidi" w:cstheme="majorBidi"/>
          <w:sz w:val="24"/>
          <w:szCs w:val="24"/>
          <w:lang w:val="en-US"/>
        </w:rPr>
        <w:t>significance level.</w:t>
      </w:r>
    </w:p>
    <w:p w:rsidR="003D29DA" w:rsidRDefault="003D29DA" w:rsidP="003D29DA">
      <w:pPr>
        <w:spacing w:after="0" w:line="240" w:lineRule="auto"/>
        <w:jc w:val="both"/>
        <w:rPr>
          <w:rFonts w:asciiTheme="majorBidi" w:hAnsiTheme="majorBidi" w:cstheme="majorBidi"/>
          <w:sz w:val="24"/>
          <w:szCs w:val="24"/>
          <w:lang w:val="en-US"/>
        </w:rPr>
      </w:pPr>
    </w:p>
    <w:p w:rsidR="000C2B49" w:rsidRDefault="000C2B49" w:rsidP="000C2B49">
      <w:pPr>
        <w:spacing w:after="0" w:line="240" w:lineRule="auto"/>
        <w:jc w:val="both"/>
        <w:rPr>
          <w:rFonts w:asciiTheme="majorBidi" w:hAnsiTheme="majorBidi" w:cstheme="majorBidi"/>
          <w:sz w:val="24"/>
          <w:szCs w:val="24"/>
          <w:lang w:val="en-US"/>
        </w:rPr>
      </w:pPr>
      <w:r w:rsidRPr="001246C8">
        <w:rPr>
          <w:rFonts w:asciiTheme="majorBidi" w:hAnsiTheme="majorBidi" w:cstheme="majorBidi"/>
          <w:b/>
          <w:bCs/>
          <w:sz w:val="24"/>
          <w:szCs w:val="24"/>
          <w:lang w:val="en-US"/>
        </w:rPr>
        <w:t>Table 2</w:t>
      </w:r>
      <w:r>
        <w:rPr>
          <w:rFonts w:asciiTheme="majorBidi" w:hAnsiTheme="majorBidi" w:cstheme="majorBidi"/>
          <w:sz w:val="24"/>
          <w:szCs w:val="24"/>
          <w:lang w:val="en-US"/>
        </w:rPr>
        <w:t xml:space="preserve"> </w:t>
      </w:r>
    </w:p>
    <w:p w:rsidR="00085140" w:rsidRDefault="00085140" w:rsidP="000C2B49">
      <w:pPr>
        <w:spacing w:after="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Unit root test results.</w:t>
      </w:r>
      <w:proofErr w:type="gramEnd"/>
    </w:p>
    <w:tbl>
      <w:tblPr>
        <w:tblStyle w:val="TableGrid"/>
        <w:tblW w:w="0" w:type="auto"/>
        <w:tblInd w:w="108" w:type="dxa"/>
        <w:tblLook w:val="04A0" w:firstRow="1" w:lastRow="0" w:firstColumn="1" w:lastColumn="0" w:noHBand="0" w:noVBand="1"/>
      </w:tblPr>
      <w:tblGrid>
        <w:gridCol w:w="1408"/>
        <w:gridCol w:w="1136"/>
        <w:gridCol w:w="2132"/>
        <w:gridCol w:w="1458"/>
        <w:gridCol w:w="1398"/>
        <w:gridCol w:w="1602"/>
      </w:tblGrid>
      <w:tr w:rsidR="00165519" w:rsidTr="00165519">
        <w:tc>
          <w:tcPr>
            <w:tcW w:w="1413" w:type="dxa"/>
            <w:vMerge w:val="restart"/>
            <w:tcBorders>
              <w:left w:val="nil"/>
              <w:right w:val="nil"/>
            </w:tcBorders>
            <w:vAlign w:val="center"/>
          </w:tcPr>
          <w:p w:rsidR="00165519" w:rsidRDefault="00165519" w:rsidP="00731A65">
            <w:pPr>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Stationarity</w:t>
            </w:r>
            <w:proofErr w:type="spellEnd"/>
          </w:p>
        </w:tc>
        <w:tc>
          <w:tcPr>
            <w:tcW w:w="1136" w:type="dxa"/>
            <w:vMerge w:val="restart"/>
            <w:tcBorders>
              <w:left w:val="nil"/>
              <w:right w:val="nil"/>
            </w:tcBorders>
            <w:vAlign w:val="center"/>
          </w:tcPr>
          <w:p w:rsidR="00165519" w:rsidRDefault="00165519" w:rsidP="00731A65">
            <w:pPr>
              <w:rPr>
                <w:rFonts w:asciiTheme="majorBidi" w:hAnsiTheme="majorBidi" w:cstheme="majorBidi"/>
                <w:sz w:val="24"/>
                <w:szCs w:val="24"/>
                <w:lang w:val="en-US"/>
              </w:rPr>
            </w:pPr>
            <w:r>
              <w:rPr>
                <w:rFonts w:asciiTheme="majorBidi" w:hAnsiTheme="majorBidi" w:cstheme="majorBidi"/>
                <w:sz w:val="24"/>
                <w:szCs w:val="24"/>
                <w:lang w:val="en-US"/>
              </w:rPr>
              <w:t>Variables</w:t>
            </w:r>
          </w:p>
        </w:tc>
        <w:tc>
          <w:tcPr>
            <w:tcW w:w="2197" w:type="dxa"/>
            <w:vMerge w:val="restart"/>
            <w:tcBorders>
              <w:left w:val="nil"/>
              <w:right w:val="nil"/>
            </w:tcBorders>
            <w:vAlign w:val="center"/>
          </w:tcPr>
          <w:p w:rsidR="00165519" w:rsidRDefault="00165519"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ERS P-test statistics</w:t>
            </w:r>
          </w:p>
        </w:tc>
        <w:tc>
          <w:tcPr>
            <w:tcW w:w="4610" w:type="dxa"/>
            <w:gridSpan w:val="3"/>
            <w:tcBorders>
              <w:left w:val="nil"/>
              <w:right w:val="nil"/>
            </w:tcBorders>
            <w:vAlign w:val="center"/>
          </w:tcPr>
          <w:p w:rsidR="00165519" w:rsidRDefault="00165519" w:rsidP="00731A65">
            <w:pPr>
              <w:jc w:val="center"/>
              <w:rPr>
                <w:rFonts w:asciiTheme="majorBidi" w:hAnsiTheme="majorBidi" w:cstheme="majorBidi"/>
                <w:sz w:val="24"/>
                <w:szCs w:val="24"/>
                <w:lang w:val="en-US"/>
              </w:rPr>
            </w:pPr>
            <w:r w:rsidRPr="008C5E99">
              <w:rPr>
                <w:rFonts w:asciiTheme="majorBidi" w:hAnsiTheme="majorBidi" w:cstheme="majorBidi"/>
                <w:sz w:val="24"/>
                <w:szCs w:val="24"/>
                <w:lang w:val="en-US"/>
              </w:rPr>
              <w:t xml:space="preserve">ERS </w:t>
            </w:r>
            <w:r>
              <w:rPr>
                <w:rFonts w:asciiTheme="majorBidi" w:hAnsiTheme="majorBidi" w:cstheme="majorBidi"/>
                <w:sz w:val="24"/>
                <w:szCs w:val="24"/>
              </w:rPr>
              <w:t xml:space="preserve">asymptotic </w:t>
            </w:r>
            <w:r w:rsidRPr="008C5E99">
              <w:rPr>
                <w:rFonts w:asciiTheme="majorBidi" w:hAnsiTheme="majorBidi" w:cstheme="majorBidi"/>
                <w:sz w:val="24"/>
                <w:szCs w:val="24"/>
                <w:lang w:val="en-US"/>
              </w:rPr>
              <w:t>critical values</w:t>
            </w:r>
          </w:p>
        </w:tc>
      </w:tr>
      <w:tr w:rsidR="00165519" w:rsidTr="00165519">
        <w:tc>
          <w:tcPr>
            <w:tcW w:w="1413" w:type="dxa"/>
            <w:vMerge/>
            <w:tcBorders>
              <w:left w:val="nil"/>
              <w:bottom w:val="single" w:sz="4" w:space="0" w:color="auto"/>
              <w:right w:val="nil"/>
            </w:tcBorders>
            <w:vAlign w:val="center"/>
          </w:tcPr>
          <w:p w:rsidR="00165519" w:rsidRDefault="00165519" w:rsidP="00731A65">
            <w:pPr>
              <w:jc w:val="center"/>
              <w:rPr>
                <w:rFonts w:asciiTheme="majorBidi" w:hAnsiTheme="majorBidi" w:cstheme="majorBidi"/>
                <w:sz w:val="24"/>
                <w:szCs w:val="24"/>
                <w:lang w:val="en-US"/>
              </w:rPr>
            </w:pPr>
          </w:p>
        </w:tc>
        <w:tc>
          <w:tcPr>
            <w:tcW w:w="1136" w:type="dxa"/>
            <w:vMerge/>
            <w:tcBorders>
              <w:left w:val="nil"/>
              <w:bottom w:val="single" w:sz="4" w:space="0" w:color="auto"/>
              <w:right w:val="nil"/>
            </w:tcBorders>
            <w:vAlign w:val="center"/>
          </w:tcPr>
          <w:p w:rsidR="00165519" w:rsidRDefault="00165519" w:rsidP="00731A65">
            <w:pPr>
              <w:rPr>
                <w:rFonts w:asciiTheme="majorBidi" w:hAnsiTheme="majorBidi" w:cstheme="majorBidi"/>
                <w:sz w:val="24"/>
                <w:szCs w:val="24"/>
                <w:lang w:val="en-US"/>
              </w:rPr>
            </w:pPr>
          </w:p>
        </w:tc>
        <w:tc>
          <w:tcPr>
            <w:tcW w:w="2197" w:type="dxa"/>
            <w:vMerge/>
            <w:tcBorders>
              <w:left w:val="nil"/>
              <w:bottom w:val="single" w:sz="4" w:space="0" w:color="auto"/>
              <w:right w:val="nil"/>
            </w:tcBorders>
            <w:vAlign w:val="center"/>
          </w:tcPr>
          <w:p w:rsidR="00165519" w:rsidRDefault="00165519" w:rsidP="00731A65">
            <w:pPr>
              <w:jc w:val="center"/>
              <w:rPr>
                <w:rFonts w:asciiTheme="majorBidi" w:hAnsiTheme="majorBidi" w:cstheme="majorBidi"/>
                <w:sz w:val="24"/>
                <w:szCs w:val="24"/>
                <w:lang w:val="en-US"/>
              </w:rPr>
            </w:pPr>
          </w:p>
        </w:tc>
        <w:tc>
          <w:tcPr>
            <w:tcW w:w="1507" w:type="dxa"/>
            <w:tcBorders>
              <w:left w:val="nil"/>
              <w:bottom w:val="single" w:sz="4" w:space="0" w:color="auto"/>
              <w:right w:val="nil"/>
            </w:tcBorders>
            <w:vAlign w:val="center"/>
          </w:tcPr>
          <w:p w:rsidR="00165519" w:rsidRDefault="00165519"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444" w:type="dxa"/>
            <w:tcBorders>
              <w:left w:val="nil"/>
              <w:bottom w:val="single" w:sz="4" w:space="0" w:color="auto"/>
              <w:right w:val="nil"/>
            </w:tcBorders>
            <w:vAlign w:val="center"/>
          </w:tcPr>
          <w:p w:rsidR="00165519" w:rsidRDefault="00165519"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659" w:type="dxa"/>
            <w:tcBorders>
              <w:left w:val="nil"/>
              <w:bottom w:val="single" w:sz="4" w:space="0" w:color="auto"/>
              <w:right w:val="nil"/>
            </w:tcBorders>
            <w:vAlign w:val="center"/>
          </w:tcPr>
          <w:p w:rsidR="00165519" w:rsidRDefault="00165519"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10%</w:t>
            </w:r>
          </w:p>
        </w:tc>
      </w:tr>
      <w:tr w:rsidR="00165519" w:rsidTr="00165519">
        <w:tc>
          <w:tcPr>
            <w:tcW w:w="1413" w:type="dxa"/>
            <w:tcBorders>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136" w:type="dxa"/>
            <w:tcBorders>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LKLCI</w:t>
            </w:r>
          </w:p>
        </w:tc>
        <w:tc>
          <w:tcPr>
            <w:tcW w:w="2197" w:type="dxa"/>
            <w:tcBorders>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2.81</w:t>
            </w:r>
          </w:p>
        </w:tc>
        <w:tc>
          <w:tcPr>
            <w:tcW w:w="1507" w:type="dxa"/>
            <w:tcBorders>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r>
      <w:tr w:rsidR="00165519" w:rsidTr="00165519">
        <w:tc>
          <w:tcPr>
            <w:tcW w:w="1413"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136" w:type="dxa"/>
            <w:tcBorders>
              <w:top w:val="nil"/>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LIFR</w:t>
            </w:r>
          </w:p>
        </w:tc>
        <w:tc>
          <w:tcPr>
            <w:tcW w:w="219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3.31</w:t>
            </w:r>
          </w:p>
        </w:tc>
        <w:tc>
          <w:tcPr>
            <w:tcW w:w="150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r>
      <w:tr w:rsidR="00165519" w:rsidTr="00165519">
        <w:tc>
          <w:tcPr>
            <w:tcW w:w="1413" w:type="dxa"/>
            <w:tcBorders>
              <w:top w:val="nil"/>
              <w:left w:val="nil"/>
              <w:bottom w:val="nil"/>
              <w:right w:val="nil"/>
            </w:tcBorders>
            <w:vAlign w:val="center"/>
          </w:tcPr>
          <w:p w:rsidR="00085140" w:rsidRDefault="00165519"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I(0)</w:t>
            </w:r>
          </w:p>
        </w:tc>
        <w:tc>
          <w:tcPr>
            <w:tcW w:w="1136" w:type="dxa"/>
            <w:tcBorders>
              <w:top w:val="nil"/>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LIR</w:t>
            </w:r>
          </w:p>
        </w:tc>
        <w:tc>
          <w:tcPr>
            <w:tcW w:w="219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3.65</w:t>
            </w:r>
          </w:p>
        </w:tc>
        <w:tc>
          <w:tcPr>
            <w:tcW w:w="150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r>
      <w:tr w:rsidR="00165519" w:rsidTr="00165519">
        <w:tc>
          <w:tcPr>
            <w:tcW w:w="1413"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136" w:type="dxa"/>
            <w:tcBorders>
              <w:top w:val="nil"/>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LM3</w:t>
            </w:r>
          </w:p>
        </w:tc>
        <w:tc>
          <w:tcPr>
            <w:tcW w:w="219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3.85</w:t>
            </w:r>
          </w:p>
        </w:tc>
        <w:tc>
          <w:tcPr>
            <w:tcW w:w="150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r>
      <w:tr w:rsidR="00165519" w:rsidTr="00165519">
        <w:tc>
          <w:tcPr>
            <w:tcW w:w="1413" w:type="dxa"/>
            <w:tcBorders>
              <w:top w:val="nil"/>
              <w:left w:val="nil"/>
              <w:bottom w:val="single" w:sz="4" w:space="0" w:color="auto"/>
              <w:right w:val="nil"/>
            </w:tcBorders>
            <w:vAlign w:val="center"/>
          </w:tcPr>
          <w:p w:rsidR="00085140" w:rsidRDefault="00085140" w:rsidP="00731A65">
            <w:pPr>
              <w:jc w:val="center"/>
              <w:rPr>
                <w:rFonts w:asciiTheme="majorBidi" w:hAnsiTheme="majorBidi" w:cstheme="majorBidi"/>
                <w:sz w:val="24"/>
                <w:szCs w:val="24"/>
                <w:lang w:val="en-US"/>
              </w:rPr>
            </w:pPr>
          </w:p>
        </w:tc>
        <w:tc>
          <w:tcPr>
            <w:tcW w:w="1136" w:type="dxa"/>
            <w:tcBorders>
              <w:top w:val="nil"/>
              <w:left w:val="nil"/>
              <w:bottom w:val="single" w:sz="4" w:space="0" w:color="auto"/>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LGDP</w:t>
            </w:r>
          </w:p>
        </w:tc>
        <w:tc>
          <w:tcPr>
            <w:tcW w:w="2197" w:type="dxa"/>
            <w:tcBorders>
              <w:top w:val="nil"/>
              <w:left w:val="nil"/>
              <w:bottom w:val="single" w:sz="4" w:space="0" w:color="auto"/>
              <w:right w:val="nil"/>
            </w:tcBorders>
            <w:vAlign w:val="center"/>
          </w:tcPr>
          <w:p w:rsidR="00085140" w:rsidRDefault="00085140"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4.10</w:t>
            </w:r>
          </w:p>
        </w:tc>
        <w:tc>
          <w:tcPr>
            <w:tcW w:w="1507" w:type="dxa"/>
            <w:tcBorders>
              <w:top w:val="nil"/>
              <w:left w:val="nil"/>
              <w:bottom w:val="nil"/>
              <w:right w:val="nil"/>
            </w:tcBorders>
            <w:vAlign w:val="bottom"/>
          </w:tcPr>
          <w:p w:rsidR="00085140" w:rsidRPr="008C5E99" w:rsidRDefault="00085140" w:rsidP="00731A65">
            <w:pPr>
              <w:jc w:val="center"/>
              <w:rPr>
                <w:rFonts w:asciiTheme="majorBidi" w:hAnsiTheme="majorBidi" w:cstheme="majorBidi"/>
                <w:sz w:val="24"/>
                <w:szCs w:val="24"/>
                <w:lang w:val="en-US"/>
              </w:rPr>
            </w:pPr>
            <w:r w:rsidRPr="008C5E99">
              <w:rPr>
                <w:rFonts w:asciiTheme="majorBidi" w:hAnsiTheme="majorBidi" w:cstheme="majorBidi"/>
                <w:sz w:val="24"/>
                <w:szCs w:val="24"/>
                <w:lang w:val="en-US"/>
              </w:rPr>
              <w:t>4.22</w:t>
            </w:r>
          </w:p>
        </w:tc>
        <w:tc>
          <w:tcPr>
            <w:tcW w:w="1444" w:type="dxa"/>
            <w:tcBorders>
              <w:top w:val="nil"/>
              <w:left w:val="nil"/>
              <w:bottom w:val="nil"/>
              <w:right w:val="nil"/>
            </w:tcBorders>
            <w:vAlign w:val="bottom"/>
          </w:tcPr>
          <w:p w:rsidR="00085140" w:rsidRPr="008C5E99" w:rsidRDefault="00085140" w:rsidP="00731A65">
            <w:pPr>
              <w:jc w:val="center"/>
              <w:rPr>
                <w:rFonts w:asciiTheme="majorBidi" w:hAnsiTheme="majorBidi" w:cstheme="majorBidi"/>
                <w:sz w:val="24"/>
                <w:szCs w:val="24"/>
                <w:lang w:val="en-US"/>
              </w:rPr>
            </w:pPr>
            <w:r w:rsidRPr="008C5E99">
              <w:rPr>
                <w:rFonts w:asciiTheme="majorBidi" w:hAnsiTheme="majorBidi" w:cstheme="majorBidi"/>
                <w:sz w:val="24"/>
                <w:szCs w:val="24"/>
                <w:lang w:val="en-US"/>
              </w:rPr>
              <w:t>5.72</w:t>
            </w:r>
          </w:p>
        </w:tc>
        <w:tc>
          <w:tcPr>
            <w:tcW w:w="1659" w:type="dxa"/>
            <w:tcBorders>
              <w:top w:val="nil"/>
              <w:left w:val="nil"/>
              <w:bottom w:val="nil"/>
              <w:right w:val="nil"/>
            </w:tcBorders>
            <w:vAlign w:val="bottom"/>
          </w:tcPr>
          <w:p w:rsidR="00085140" w:rsidRPr="008C5E99" w:rsidRDefault="00085140" w:rsidP="00731A65">
            <w:pPr>
              <w:jc w:val="center"/>
              <w:rPr>
                <w:rFonts w:asciiTheme="majorBidi" w:hAnsiTheme="majorBidi" w:cstheme="majorBidi"/>
                <w:sz w:val="24"/>
                <w:szCs w:val="24"/>
                <w:lang w:val="en-US"/>
              </w:rPr>
            </w:pPr>
            <w:r w:rsidRPr="008C5E99">
              <w:rPr>
                <w:rFonts w:asciiTheme="majorBidi" w:hAnsiTheme="majorBidi" w:cstheme="majorBidi"/>
                <w:sz w:val="24"/>
                <w:szCs w:val="24"/>
                <w:lang w:val="en-US"/>
              </w:rPr>
              <w:t>6.77</w:t>
            </w:r>
          </w:p>
        </w:tc>
      </w:tr>
      <w:tr w:rsidR="00165519" w:rsidTr="00165519">
        <w:tc>
          <w:tcPr>
            <w:tcW w:w="1413" w:type="dxa"/>
            <w:tcBorders>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136" w:type="dxa"/>
            <w:tcBorders>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LKLCI</w:t>
            </w:r>
          </w:p>
        </w:tc>
        <w:tc>
          <w:tcPr>
            <w:tcW w:w="2197" w:type="dxa"/>
            <w:tcBorders>
              <w:left w:val="nil"/>
              <w:bottom w:val="nil"/>
              <w:right w:val="nil"/>
            </w:tcBorders>
            <w:vAlign w:val="center"/>
          </w:tcPr>
          <w:p w:rsidR="00085140" w:rsidRPr="001A3D39" w:rsidRDefault="00085140" w:rsidP="00731A65">
            <w:pPr>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10.39</w:t>
            </w:r>
            <w:r w:rsidRPr="001A3D39">
              <w:rPr>
                <w:rFonts w:asciiTheme="majorBidi" w:hAnsiTheme="majorBidi" w:cstheme="majorBidi"/>
                <w:i/>
                <w:iCs/>
                <w:sz w:val="24"/>
                <w:szCs w:val="24"/>
                <w:vertAlign w:val="superscript"/>
                <w:lang w:val="en-US"/>
              </w:rPr>
              <w:t>***</w:t>
            </w:r>
          </w:p>
        </w:tc>
        <w:tc>
          <w:tcPr>
            <w:tcW w:w="150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r>
      <w:tr w:rsidR="00165519" w:rsidTr="00165519">
        <w:tc>
          <w:tcPr>
            <w:tcW w:w="1413"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136" w:type="dxa"/>
            <w:tcBorders>
              <w:top w:val="nil"/>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LIFR</w:t>
            </w:r>
          </w:p>
        </w:tc>
        <w:tc>
          <w:tcPr>
            <w:tcW w:w="2197" w:type="dxa"/>
            <w:tcBorders>
              <w:top w:val="nil"/>
              <w:left w:val="nil"/>
              <w:bottom w:val="nil"/>
              <w:right w:val="nil"/>
            </w:tcBorders>
            <w:vAlign w:val="center"/>
          </w:tcPr>
          <w:p w:rsidR="00085140" w:rsidRPr="001A3D39" w:rsidRDefault="00085140" w:rsidP="00731A65">
            <w:pPr>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5.82</w:t>
            </w:r>
            <w:r w:rsidRPr="001A3D39">
              <w:rPr>
                <w:rFonts w:asciiTheme="majorBidi" w:hAnsiTheme="majorBidi" w:cstheme="majorBidi"/>
                <w:i/>
                <w:iCs/>
                <w:sz w:val="24"/>
                <w:szCs w:val="24"/>
                <w:vertAlign w:val="superscript"/>
                <w:lang w:val="en-US"/>
              </w:rPr>
              <w:t>**</w:t>
            </w:r>
          </w:p>
        </w:tc>
        <w:tc>
          <w:tcPr>
            <w:tcW w:w="150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r>
      <w:tr w:rsidR="00165519" w:rsidTr="00165519">
        <w:tc>
          <w:tcPr>
            <w:tcW w:w="1413" w:type="dxa"/>
            <w:tcBorders>
              <w:top w:val="nil"/>
              <w:left w:val="nil"/>
              <w:bottom w:val="nil"/>
              <w:right w:val="nil"/>
            </w:tcBorders>
            <w:vAlign w:val="center"/>
          </w:tcPr>
          <w:p w:rsidR="00085140" w:rsidRDefault="00165519" w:rsidP="00731A65">
            <w:pPr>
              <w:jc w:val="center"/>
              <w:rPr>
                <w:rFonts w:asciiTheme="majorBidi" w:hAnsiTheme="majorBidi" w:cstheme="majorBidi"/>
                <w:sz w:val="24"/>
                <w:szCs w:val="24"/>
                <w:lang w:val="en-US"/>
              </w:rPr>
            </w:pPr>
            <w:r>
              <w:rPr>
                <w:rFonts w:asciiTheme="majorBidi" w:hAnsiTheme="majorBidi" w:cstheme="majorBidi"/>
                <w:sz w:val="24"/>
                <w:szCs w:val="24"/>
                <w:lang w:val="en-US"/>
              </w:rPr>
              <w:t>I(1)</w:t>
            </w:r>
          </w:p>
        </w:tc>
        <w:tc>
          <w:tcPr>
            <w:tcW w:w="1136" w:type="dxa"/>
            <w:tcBorders>
              <w:top w:val="nil"/>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LIR</w:t>
            </w:r>
          </w:p>
        </w:tc>
        <w:tc>
          <w:tcPr>
            <w:tcW w:w="2197" w:type="dxa"/>
            <w:tcBorders>
              <w:top w:val="nil"/>
              <w:left w:val="nil"/>
              <w:bottom w:val="nil"/>
              <w:right w:val="nil"/>
            </w:tcBorders>
            <w:vAlign w:val="center"/>
          </w:tcPr>
          <w:p w:rsidR="00085140" w:rsidRPr="001A3D39" w:rsidRDefault="00085140" w:rsidP="00731A65">
            <w:pPr>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4.25</w:t>
            </w:r>
            <w:r w:rsidRPr="001A3D39">
              <w:rPr>
                <w:rFonts w:asciiTheme="majorBidi" w:hAnsiTheme="majorBidi" w:cstheme="majorBidi"/>
                <w:i/>
                <w:iCs/>
                <w:sz w:val="24"/>
                <w:szCs w:val="24"/>
                <w:vertAlign w:val="superscript"/>
                <w:lang w:val="en-US"/>
              </w:rPr>
              <w:t>*</w:t>
            </w:r>
          </w:p>
        </w:tc>
        <w:tc>
          <w:tcPr>
            <w:tcW w:w="150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r>
      <w:tr w:rsidR="00165519" w:rsidTr="00165519">
        <w:tc>
          <w:tcPr>
            <w:tcW w:w="1413"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136" w:type="dxa"/>
            <w:tcBorders>
              <w:top w:val="nil"/>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LM3</w:t>
            </w:r>
          </w:p>
        </w:tc>
        <w:tc>
          <w:tcPr>
            <w:tcW w:w="2197" w:type="dxa"/>
            <w:tcBorders>
              <w:top w:val="nil"/>
              <w:left w:val="nil"/>
              <w:bottom w:val="nil"/>
              <w:right w:val="nil"/>
            </w:tcBorders>
            <w:vAlign w:val="center"/>
          </w:tcPr>
          <w:p w:rsidR="00085140" w:rsidRPr="001A3D39" w:rsidRDefault="00085140" w:rsidP="00731A65">
            <w:pPr>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5.77</w:t>
            </w:r>
            <w:r w:rsidRPr="001A3D39">
              <w:rPr>
                <w:rFonts w:asciiTheme="majorBidi" w:hAnsiTheme="majorBidi" w:cstheme="majorBidi"/>
                <w:i/>
                <w:iCs/>
                <w:sz w:val="24"/>
                <w:szCs w:val="24"/>
                <w:vertAlign w:val="superscript"/>
                <w:lang w:val="en-US"/>
              </w:rPr>
              <w:t>**</w:t>
            </w:r>
          </w:p>
        </w:tc>
        <w:tc>
          <w:tcPr>
            <w:tcW w:w="1507"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top w:val="nil"/>
              <w:left w:val="nil"/>
              <w:bottom w:val="nil"/>
              <w:right w:val="nil"/>
            </w:tcBorders>
            <w:vAlign w:val="center"/>
          </w:tcPr>
          <w:p w:rsidR="00085140" w:rsidRDefault="00085140" w:rsidP="00731A65">
            <w:pPr>
              <w:jc w:val="center"/>
              <w:rPr>
                <w:rFonts w:asciiTheme="majorBidi" w:hAnsiTheme="majorBidi" w:cstheme="majorBidi"/>
                <w:sz w:val="24"/>
                <w:szCs w:val="24"/>
                <w:lang w:val="en-US"/>
              </w:rPr>
            </w:pPr>
          </w:p>
        </w:tc>
      </w:tr>
      <w:tr w:rsidR="00085140" w:rsidTr="00165519">
        <w:tc>
          <w:tcPr>
            <w:tcW w:w="1413" w:type="dxa"/>
            <w:tcBorders>
              <w:top w:val="nil"/>
              <w:left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136" w:type="dxa"/>
            <w:tcBorders>
              <w:top w:val="nil"/>
              <w:left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LGDP</w:t>
            </w:r>
          </w:p>
        </w:tc>
        <w:tc>
          <w:tcPr>
            <w:tcW w:w="2197" w:type="dxa"/>
            <w:tcBorders>
              <w:top w:val="nil"/>
              <w:left w:val="nil"/>
              <w:right w:val="nil"/>
            </w:tcBorders>
            <w:vAlign w:val="center"/>
          </w:tcPr>
          <w:p w:rsidR="00085140" w:rsidRPr="001A3D39" w:rsidRDefault="00085140" w:rsidP="00731A65">
            <w:pPr>
              <w:jc w:val="center"/>
              <w:rPr>
                <w:rFonts w:asciiTheme="majorBidi" w:hAnsiTheme="majorBidi" w:cstheme="majorBidi"/>
                <w:sz w:val="24"/>
                <w:szCs w:val="24"/>
                <w:vertAlign w:val="superscript"/>
                <w:lang w:val="en-US"/>
              </w:rPr>
            </w:pPr>
            <w:r>
              <w:rPr>
                <w:rFonts w:asciiTheme="majorBidi" w:hAnsiTheme="majorBidi" w:cstheme="majorBidi"/>
                <w:sz w:val="24"/>
                <w:szCs w:val="24"/>
                <w:lang w:val="en-US"/>
              </w:rPr>
              <w:t>6.80</w:t>
            </w:r>
            <w:r w:rsidRPr="001A3D39">
              <w:rPr>
                <w:rFonts w:asciiTheme="majorBidi" w:hAnsiTheme="majorBidi" w:cstheme="majorBidi"/>
                <w:i/>
                <w:iCs/>
                <w:sz w:val="24"/>
                <w:szCs w:val="24"/>
                <w:vertAlign w:val="superscript"/>
                <w:lang w:val="en-US"/>
              </w:rPr>
              <w:t>***</w:t>
            </w:r>
          </w:p>
        </w:tc>
        <w:tc>
          <w:tcPr>
            <w:tcW w:w="1507" w:type="dxa"/>
            <w:tcBorders>
              <w:top w:val="nil"/>
              <w:left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444" w:type="dxa"/>
            <w:tcBorders>
              <w:top w:val="nil"/>
              <w:left w:val="nil"/>
              <w:right w:val="nil"/>
            </w:tcBorders>
            <w:vAlign w:val="center"/>
          </w:tcPr>
          <w:p w:rsidR="00085140" w:rsidRDefault="00085140" w:rsidP="00731A65">
            <w:pPr>
              <w:jc w:val="center"/>
              <w:rPr>
                <w:rFonts w:asciiTheme="majorBidi" w:hAnsiTheme="majorBidi" w:cstheme="majorBidi"/>
                <w:sz w:val="24"/>
                <w:szCs w:val="24"/>
                <w:lang w:val="en-US"/>
              </w:rPr>
            </w:pPr>
          </w:p>
        </w:tc>
        <w:tc>
          <w:tcPr>
            <w:tcW w:w="1659" w:type="dxa"/>
            <w:tcBorders>
              <w:top w:val="nil"/>
              <w:left w:val="nil"/>
              <w:right w:val="nil"/>
            </w:tcBorders>
            <w:vAlign w:val="center"/>
          </w:tcPr>
          <w:p w:rsidR="00085140" w:rsidRDefault="00085140" w:rsidP="00731A65">
            <w:pPr>
              <w:jc w:val="center"/>
              <w:rPr>
                <w:rFonts w:asciiTheme="majorBidi" w:hAnsiTheme="majorBidi" w:cstheme="majorBidi"/>
                <w:sz w:val="24"/>
                <w:szCs w:val="24"/>
                <w:lang w:val="en-US"/>
              </w:rPr>
            </w:pPr>
          </w:p>
        </w:tc>
      </w:tr>
    </w:tbl>
    <w:p w:rsidR="0020717B" w:rsidRDefault="00085140" w:rsidP="00085140">
      <w:pPr>
        <w:spacing w:after="0" w:line="240" w:lineRule="auto"/>
        <w:jc w:val="both"/>
        <w:rPr>
          <w:rFonts w:asciiTheme="majorBidi" w:hAnsiTheme="majorBidi" w:cstheme="majorBidi"/>
          <w:sz w:val="24"/>
          <w:szCs w:val="24"/>
          <w:lang w:val="en-US"/>
        </w:rPr>
      </w:pPr>
      <w:r w:rsidRPr="0020717B">
        <w:rPr>
          <w:rFonts w:asciiTheme="majorBidi" w:hAnsiTheme="majorBidi" w:cstheme="majorBidi"/>
          <w:b/>
          <w:bCs/>
          <w:lang w:val="en-US"/>
        </w:rPr>
        <w:t>Notes:</w:t>
      </w:r>
      <w:r w:rsidRPr="0020717B">
        <w:rPr>
          <w:rFonts w:asciiTheme="majorBidi" w:hAnsiTheme="majorBidi" w:cstheme="majorBidi"/>
          <w:lang w:val="en-US"/>
        </w:rPr>
        <w:t xml:space="preserve"> (1) *, **, *** denote the significance at the 1%, 5%, and 10% levels, respectively. (2) Four bandwidths employed using </w:t>
      </w:r>
      <w:proofErr w:type="spellStart"/>
      <w:r w:rsidRPr="0020717B">
        <w:rPr>
          <w:rFonts w:asciiTheme="majorBidi" w:hAnsiTheme="majorBidi" w:cstheme="majorBidi"/>
          <w:lang w:val="en-US"/>
        </w:rPr>
        <w:t>Parzen</w:t>
      </w:r>
      <w:proofErr w:type="spellEnd"/>
      <w:r w:rsidRPr="0020717B">
        <w:rPr>
          <w:rFonts w:asciiTheme="majorBidi" w:hAnsiTheme="majorBidi" w:cstheme="majorBidi"/>
          <w:lang w:val="en-US"/>
        </w:rPr>
        <w:t xml:space="preserve"> Kernel. (3) </w:t>
      </w:r>
      <w:r w:rsidRPr="0020717B">
        <w:rPr>
          <w:rFonts w:ascii="Times New Roman" w:hAnsi="Times New Roman" w:cs="Times New Roman"/>
          <w:color w:val="000000"/>
        </w:rPr>
        <w:t xml:space="preserve">The analysis conducted using intercept and linear time trend. (4) The output of Elliot, Rothenberg, and Stock’s (ERS) </w:t>
      </w:r>
      <w:r w:rsidRPr="0020717B">
        <w:rPr>
          <w:rFonts w:asciiTheme="majorBidi" w:hAnsiTheme="majorBidi" w:cstheme="majorBidi"/>
          <w:lang w:val="en-US"/>
        </w:rPr>
        <w:t>test extracted from E-views econometric software package version 7.2.</w:t>
      </w:r>
    </w:p>
    <w:p w:rsidR="0020717B" w:rsidRDefault="0020717B" w:rsidP="00085140">
      <w:pPr>
        <w:spacing w:after="0" w:line="240" w:lineRule="auto"/>
        <w:jc w:val="both"/>
        <w:rPr>
          <w:rFonts w:asciiTheme="majorBidi" w:hAnsiTheme="majorBidi" w:cstheme="majorBidi"/>
          <w:sz w:val="24"/>
          <w:szCs w:val="24"/>
          <w:lang w:val="en-US"/>
        </w:rPr>
      </w:pPr>
    </w:p>
    <w:p w:rsidR="00FA4ECB" w:rsidRPr="0020717B" w:rsidRDefault="0020717B" w:rsidP="003D29DA">
      <w:pPr>
        <w:spacing w:after="0" w:line="240" w:lineRule="auto"/>
        <w:jc w:val="both"/>
        <w:rPr>
          <w:rFonts w:asciiTheme="majorBidi" w:hAnsiTheme="majorBidi" w:cstheme="majorBidi"/>
          <w:i/>
          <w:iCs/>
          <w:sz w:val="24"/>
          <w:szCs w:val="24"/>
          <w:lang w:val="en-US"/>
        </w:rPr>
      </w:pPr>
      <w:r w:rsidRPr="0020717B">
        <w:rPr>
          <w:rFonts w:asciiTheme="majorBidi" w:hAnsiTheme="majorBidi" w:cstheme="majorBidi"/>
          <w:i/>
          <w:iCs/>
          <w:sz w:val="24"/>
          <w:szCs w:val="24"/>
          <w:lang w:val="en-US"/>
        </w:rPr>
        <w:t>4.3. Co-integration test</w:t>
      </w:r>
      <w:r w:rsidR="00085140" w:rsidRPr="0020717B">
        <w:rPr>
          <w:rFonts w:asciiTheme="majorBidi" w:hAnsiTheme="majorBidi" w:cstheme="majorBidi"/>
          <w:i/>
          <w:iCs/>
          <w:sz w:val="24"/>
          <w:szCs w:val="24"/>
          <w:lang w:val="en-US"/>
        </w:rPr>
        <w:t xml:space="preserve">      </w:t>
      </w:r>
    </w:p>
    <w:p w:rsidR="00B44F5E" w:rsidRDefault="00FA4ECB" w:rsidP="003D29DA">
      <w:pPr>
        <w:tabs>
          <w:tab w:val="left" w:pos="1677"/>
          <w:tab w:val="left" w:pos="3702"/>
        </w:tabs>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earlier step checked </w:t>
      </w:r>
      <w:r w:rsidR="0048265E">
        <w:rPr>
          <w:rFonts w:asciiTheme="majorBidi" w:hAnsiTheme="majorBidi" w:cstheme="majorBidi"/>
          <w:sz w:val="24"/>
          <w:szCs w:val="24"/>
        </w:rPr>
        <w:t>the variables</w:t>
      </w:r>
      <w:r>
        <w:rPr>
          <w:rFonts w:asciiTheme="majorBidi" w:hAnsiTheme="majorBidi" w:cstheme="majorBidi"/>
          <w:sz w:val="24"/>
          <w:szCs w:val="24"/>
        </w:rPr>
        <w:t>’</w:t>
      </w:r>
      <w:r w:rsidR="0048265E">
        <w:rPr>
          <w:rFonts w:asciiTheme="majorBidi" w:hAnsiTheme="majorBidi" w:cstheme="majorBidi"/>
          <w:sz w:val="24"/>
          <w:szCs w:val="24"/>
        </w:rPr>
        <w:t xml:space="preserve"> </w:t>
      </w:r>
      <w:proofErr w:type="spellStart"/>
      <w:r w:rsidR="0048265E">
        <w:rPr>
          <w:rFonts w:asciiTheme="majorBidi" w:hAnsiTheme="majorBidi" w:cstheme="majorBidi"/>
          <w:sz w:val="24"/>
          <w:szCs w:val="24"/>
        </w:rPr>
        <w:t>stationarity</w:t>
      </w:r>
      <w:proofErr w:type="spellEnd"/>
      <w:r w:rsidR="0048265E">
        <w:rPr>
          <w:rFonts w:asciiTheme="majorBidi" w:hAnsiTheme="majorBidi" w:cstheme="majorBidi"/>
          <w:sz w:val="24"/>
          <w:szCs w:val="24"/>
        </w:rPr>
        <w:t xml:space="preserve"> levels and found that all the variables are stationary at </w:t>
      </w:r>
      <w:proofErr w:type="gramStart"/>
      <w:r w:rsidR="0048265E" w:rsidRPr="0048265E">
        <w:rPr>
          <w:rFonts w:asciiTheme="majorBidi" w:hAnsiTheme="majorBidi" w:cstheme="majorBidi"/>
          <w:i/>
          <w:iCs/>
          <w:sz w:val="24"/>
          <w:szCs w:val="24"/>
        </w:rPr>
        <w:t>I(</w:t>
      </w:r>
      <w:proofErr w:type="gramEnd"/>
      <w:r w:rsidR="0048265E" w:rsidRPr="0048265E">
        <w:rPr>
          <w:rFonts w:asciiTheme="majorBidi" w:hAnsiTheme="majorBidi" w:cstheme="majorBidi"/>
          <w:i/>
          <w:iCs/>
          <w:sz w:val="24"/>
          <w:szCs w:val="24"/>
        </w:rPr>
        <w:t>1)</w:t>
      </w:r>
      <w:r w:rsidR="0048265E">
        <w:rPr>
          <w:rFonts w:asciiTheme="majorBidi" w:hAnsiTheme="majorBidi" w:cstheme="majorBidi"/>
          <w:sz w:val="24"/>
          <w:szCs w:val="24"/>
        </w:rPr>
        <w:t xml:space="preserve">. </w:t>
      </w:r>
      <w:r w:rsidR="009315D4">
        <w:rPr>
          <w:rFonts w:asciiTheme="majorBidi" w:hAnsiTheme="majorBidi" w:cstheme="majorBidi"/>
          <w:sz w:val="24"/>
          <w:szCs w:val="24"/>
        </w:rPr>
        <w:t>T</w:t>
      </w:r>
      <w:r w:rsidR="00B44F5E">
        <w:rPr>
          <w:rFonts w:asciiTheme="majorBidi" w:hAnsiTheme="majorBidi" w:cstheme="majorBidi"/>
          <w:sz w:val="24"/>
          <w:szCs w:val="24"/>
        </w:rPr>
        <w:t xml:space="preserve">herefore, VECM will </w:t>
      </w:r>
      <w:r w:rsidR="009315D4">
        <w:rPr>
          <w:rFonts w:asciiTheme="majorBidi" w:hAnsiTheme="majorBidi" w:cstheme="majorBidi"/>
          <w:sz w:val="24"/>
          <w:szCs w:val="24"/>
        </w:rPr>
        <w:t xml:space="preserve">be employed </w:t>
      </w:r>
      <w:r w:rsidR="00E545BA">
        <w:rPr>
          <w:rFonts w:asciiTheme="majorBidi" w:hAnsiTheme="majorBidi" w:cstheme="majorBidi"/>
          <w:sz w:val="24"/>
          <w:szCs w:val="24"/>
        </w:rPr>
        <w:t xml:space="preserve">to </w:t>
      </w:r>
      <w:r w:rsidR="00B6552A">
        <w:rPr>
          <w:rFonts w:asciiTheme="majorBidi" w:hAnsiTheme="majorBidi" w:cstheme="majorBidi"/>
          <w:sz w:val="24"/>
          <w:szCs w:val="24"/>
        </w:rPr>
        <w:t xml:space="preserve">test the </w:t>
      </w:r>
      <w:r>
        <w:rPr>
          <w:rFonts w:asciiTheme="majorBidi" w:hAnsiTheme="majorBidi" w:cstheme="majorBidi"/>
          <w:sz w:val="24"/>
          <w:szCs w:val="24"/>
        </w:rPr>
        <w:t xml:space="preserve">long-term </w:t>
      </w:r>
      <w:r w:rsidR="00E545BA">
        <w:rPr>
          <w:rFonts w:asciiTheme="majorBidi" w:hAnsiTheme="majorBidi" w:cstheme="majorBidi"/>
          <w:sz w:val="24"/>
          <w:szCs w:val="24"/>
        </w:rPr>
        <w:t>equilibrium relationship</w:t>
      </w:r>
      <w:r w:rsidR="00B6552A">
        <w:rPr>
          <w:rFonts w:asciiTheme="majorBidi" w:hAnsiTheme="majorBidi" w:cstheme="majorBidi"/>
          <w:sz w:val="24"/>
          <w:szCs w:val="24"/>
        </w:rPr>
        <w:t>s</w:t>
      </w:r>
      <w:r>
        <w:rPr>
          <w:rFonts w:asciiTheme="majorBidi" w:hAnsiTheme="majorBidi" w:cstheme="majorBidi"/>
          <w:sz w:val="24"/>
          <w:szCs w:val="24"/>
        </w:rPr>
        <w:t xml:space="preserve"> among </w:t>
      </w:r>
      <w:r w:rsidR="00E545BA">
        <w:rPr>
          <w:rFonts w:asciiTheme="majorBidi" w:hAnsiTheme="majorBidi" w:cstheme="majorBidi"/>
          <w:sz w:val="24"/>
          <w:szCs w:val="24"/>
        </w:rPr>
        <w:t xml:space="preserve">the selected variables. </w:t>
      </w:r>
      <w:r w:rsidR="00F54D1F">
        <w:rPr>
          <w:rFonts w:asciiTheme="majorBidi" w:hAnsiTheme="majorBidi" w:cstheme="majorBidi"/>
          <w:sz w:val="24"/>
          <w:szCs w:val="24"/>
        </w:rPr>
        <w:t>Table 3 shows that t</w:t>
      </w:r>
      <w:r w:rsidR="000169DF">
        <w:rPr>
          <w:rFonts w:asciiTheme="majorBidi" w:hAnsiTheme="majorBidi" w:cstheme="majorBidi"/>
          <w:sz w:val="24"/>
          <w:szCs w:val="24"/>
        </w:rPr>
        <w:t>hree la</w:t>
      </w:r>
      <w:r w:rsidR="00D50630">
        <w:rPr>
          <w:rFonts w:asciiTheme="majorBidi" w:hAnsiTheme="majorBidi" w:cstheme="majorBidi"/>
          <w:sz w:val="24"/>
          <w:szCs w:val="24"/>
        </w:rPr>
        <w:t xml:space="preserve">gs were selected using </w:t>
      </w:r>
      <w:r w:rsidR="000169DF">
        <w:rPr>
          <w:rFonts w:asciiTheme="majorBidi" w:hAnsiTheme="majorBidi" w:cstheme="majorBidi"/>
          <w:sz w:val="24"/>
          <w:szCs w:val="24"/>
        </w:rPr>
        <w:t>Schwartz</w:t>
      </w:r>
      <w:r w:rsidR="00E44B0E">
        <w:rPr>
          <w:rFonts w:asciiTheme="majorBidi" w:hAnsiTheme="majorBidi" w:cstheme="majorBidi"/>
          <w:sz w:val="24"/>
          <w:szCs w:val="24"/>
        </w:rPr>
        <w:t>,</w:t>
      </w:r>
      <w:r w:rsidR="000169DF">
        <w:rPr>
          <w:rFonts w:asciiTheme="majorBidi" w:hAnsiTheme="majorBidi" w:cstheme="majorBidi"/>
          <w:sz w:val="24"/>
          <w:szCs w:val="24"/>
        </w:rPr>
        <w:t xml:space="preserve"> </w:t>
      </w:r>
      <w:r w:rsidR="00454C29">
        <w:rPr>
          <w:rFonts w:asciiTheme="majorBidi" w:hAnsiTheme="majorBidi" w:cstheme="majorBidi"/>
          <w:sz w:val="24"/>
          <w:szCs w:val="24"/>
        </w:rPr>
        <w:t>LR</w:t>
      </w:r>
      <w:r w:rsidR="00E44B0E">
        <w:rPr>
          <w:rFonts w:asciiTheme="majorBidi" w:hAnsiTheme="majorBidi" w:cstheme="majorBidi"/>
          <w:sz w:val="24"/>
          <w:szCs w:val="24"/>
        </w:rPr>
        <w:t xml:space="preserve">, </w:t>
      </w:r>
      <w:r w:rsidR="000169DF">
        <w:rPr>
          <w:rFonts w:asciiTheme="majorBidi" w:hAnsiTheme="majorBidi" w:cstheme="majorBidi"/>
          <w:sz w:val="24"/>
          <w:szCs w:val="24"/>
        </w:rPr>
        <w:t xml:space="preserve">and </w:t>
      </w:r>
      <w:proofErr w:type="spellStart"/>
      <w:r w:rsidR="000169DF">
        <w:rPr>
          <w:rFonts w:asciiTheme="majorBidi" w:hAnsiTheme="majorBidi" w:cstheme="majorBidi"/>
          <w:sz w:val="24"/>
          <w:szCs w:val="24"/>
        </w:rPr>
        <w:t>Akaike</w:t>
      </w:r>
      <w:proofErr w:type="spellEnd"/>
      <w:r w:rsidR="00E44B0E">
        <w:rPr>
          <w:rFonts w:asciiTheme="majorBidi" w:hAnsiTheme="majorBidi" w:cstheme="majorBidi"/>
          <w:sz w:val="24"/>
          <w:szCs w:val="24"/>
        </w:rPr>
        <w:t xml:space="preserve"> </w:t>
      </w:r>
      <w:r w:rsidR="00F54D1F">
        <w:rPr>
          <w:rFonts w:asciiTheme="majorBidi" w:hAnsiTheme="majorBidi" w:cstheme="majorBidi"/>
          <w:sz w:val="24"/>
          <w:szCs w:val="24"/>
        </w:rPr>
        <w:t>information criteria</w:t>
      </w:r>
      <w:r w:rsidR="000169DF">
        <w:rPr>
          <w:rFonts w:asciiTheme="majorBidi" w:hAnsiTheme="majorBidi" w:cstheme="majorBidi"/>
          <w:sz w:val="24"/>
          <w:szCs w:val="24"/>
        </w:rPr>
        <w:t>.</w:t>
      </w:r>
      <w:r w:rsidR="00BF0EB1">
        <w:rPr>
          <w:rFonts w:asciiTheme="majorBidi" w:hAnsiTheme="majorBidi" w:cstheme="majorBidi"/>
          <w:sz w:val="24"/>
          <w:szCs w:val="24"/>
        </w:rPr>
        <w:t xml:space="preserve"> The number of lags should </w:t>
      </w:r>
      <w:r w:rsidR="000169DF">
        <w:rPr>
          <w:rFonts w:asciiTheme="majorBidi" w:hAnsiTheme="majorBidi" w:cstheme="majorBidi"/>
          <w:sz w:val="24"/>
          <w:szCs w:val="24"/>
        </w:rPr>
        <w:t xml:space="preserve">equal the degrees of freedom </w:t>
      </w:r>
      <w:r w:rsidR="00E44B0E">
        <w:rPr>
          <w:rFonts w:asciiTheme="majorBidi" w:hAnsiTheme="majorBidi" w:cstheme="majorBidi"/>
          <w:sz w:val="24"/>
          <w:szCs w:val="24"/>
        </w:rPr>
        <w:t xml:space="preserve">in </w:t>
      </w:r>
      <w:r>
        <w:rPr>
          <w:rFonts w:asciiTheme="majorBidi" w:hAnsiTheme="majorBidi" w:cstheme="majorBidi"/>
          <w:sz w:val="24"/>
          <w:szCs w:val="24"/>
        </w:rPr>
        <w:t xml:space="preserve">the </w:t>
      </w:r>
      <w:r w:rsidR="00E44B0E">
        <w:rPr>
          <w:rFonts w:asciiTheme="majorBidi" w:hAnsiTheme="majorBidi" w:cstheme="majorBidi"/>
          <w:sz w:val="24"/>
          <w:szCs w:val="24"/>
        </w:rPr>
        <w:t>LM statistic test</w:t>
      </w:r>
      <w:r w:rsidR="00454C29">
        <w:rPr>
          <w:rFonts w:asciiTheme="majorBidi" w:hAnsiTheme="majorBidi" w:cstheme="majorBidi"/>
          <w:sz w:val="24"/>
          <w:szCs w:val="24"/>
        </w:rPr>
        <w:t xml:space="preserve"> </w:t>
      </w:r>
      <w:r w:rsidR="00D66B1A" w:rsidRPr="00D66B1A">
        <w:rPr>
          <w:rFonts w:asciiTheme="majorBidi" w:hAnsiTheme="majorBidi" w:cstheme="majorBidi"/>
          <w:sz w:val="24"/>
          <w:szCs w:val="24"/>
        </w:rPr>
        <w:t xml:space="preserve">(Engle </w:t>
      </w:r>
      <w:r w:rsidR="00454C29" w:rsidRPr="00D66B1A">
        <w:rPr>
          <w:rFonts w:asciiTheme="majorBidi" w:hAnsiTheme="majorBidi" w:cstheme="majorBidi"/>
          <w:sz w:val="24"/>
          <w:szCs w:val="24"/>
        </w:rPr>
        <w:t>1982</w:t>
      </w:r>
      <w:r w:rsidR="00D66B1A" w:rsidRPr="00D66B1A">
        <w:rPr>
          <w:rFonts w:asciiTheme="majorBidi" w:hAnsiTheme="majorBidi" w:cstheme="majorBidi"/>
          <w:sz w:val="24"/>
          <w:szCs w:val="24"/>
        </w:rPr>
        <w:t xml:space="preserve">, </w:t>
      </w:r>
      <w:r w:rsidR="00D66B1A">
        <w:rPr>
          <w:rFonts w:asciiTheme="majorBidi" w:hAnsiTheme="majorBidi" w:cstheme="majorBidi"/>
          <w:sz w:val="24"/>
          <w:szCs w:val="24"/>
        </w:rPr>
        <w:t>p</w:t>
      </w:r>
      <w:r w:rsidR="00D66B1A" w:rsidRPr="00D66B1A">
        <w:rPr>
          <w:rFonts w:asciiTheme="majorBidi" w:hAnsiTheme="majorBidi" w:cstheme="majorBidi"/>
          <w:sz w:val="24"/>
          <w:szCs w:val="24"/>
        </w:rPr>
        <w:t>. 998</w:t>
      </w:r>
      <w:r w:rsidR="00454C29" w:rsidRPr="00D66B1A">
        <w:rPr>
          <w:rFonts w:asciiTheme="majorBidi" w:hAnsiTheme="majorBidi" w:cstheme="majorBidi"/>
          <w:sz w:val="24"/>
          <w:szCs w:val="24"/>
        </w:rPr>
        <w:t>)</w:t>
      </w:r>
      <w:r w:rsidR="000169DF" w:rsidRPr="00D66B1A">
        <w:rPr>
          <w:rFonts w:asciiTheme="majorBidi" w:hAnsiTheme="majorBidi" w:cstheme="majorBidi"/>
          <w:sz w:val="24"/>
          <w:szCs w:val="24"/>
        </w:rPr>
        <w:t>.</w:t>
      </w:r>
    </w:p>
    <w:p w:rsidR="003D29DA" w:rsidRDefault="003D29DA" w:rsidP="003D29DA">
      <w:pPr>
        <w:tabs>
          <w:tab w:val="left" w:pos="1677"/>
          <w:tab w:val="left" w:pos="3702"/>
        </w:tabs>
        <w:spacing w:after="0" w:line="240" w:lineRule="auto"/>
        <w:jc w:val="both"/>
        <w:rPr>
          <w:rFonts w:asciiTheme="majorBidi" w:hAnsiTheme="majorBidi" w:cstheme="majorBidi"/>
          <w:sz w:val="24"/>
          <w:szCs w:val="24"/>
        </w:rPr>
      </w:pPr>
    </w:p>
    <w:p w:rsidR="00917741" w:rsidRDefault="00B44F5E" w:rsidP="00B44F5E">
      <w:pPr>
        <w:tabs>
          <w:tab w:val="left" w:pos="1677"/>
          <w:tab w:val="left" w:pos="3702"/>
        </w:tabs>
        <w:spacing w:after="0" w:line="240" w:lineRule="auto"/>
        <w:jc w:val="both"/>
        <w:rPr>
          <w:rFonts w:asciiTheme="majorBidi" w:hAnsiTheme="majorBidi" w:cstheme="majorBidi"/>
          <w:sz w:val="24"/>
          <w:szCs w:val="24"/>
        </w:rPr>
      </w:pPr>
      <w:r w:rsidRPr="001246C8">
        <w:rPr>
          <w:rFonts w:asciiTheme="majorBidi" w:hAnsiTheme="majorBidi" w:cstheme="majorBidi"/>
          <w:b/>
          <w:bCs/>
          <w:sz w:val="24"/>
          <w:szCs w:val="24"/>
        </w:rPr>
        <w:t xml:space="preserve">Table </w:t>
      </w:r>
      <w:r>
        <w:rPr>
          <w:rFonts w:asciiTheme="majorBidi" w:hAnsiTheme="majorBidi" w:cstheme="majorBidi"/>
          <w:sz w:val="24"/>
          <w:szCs w:val="24"/>
        </w:rPr>
        <w:t xml:space="preserve"> </w:t>
      </w:r>
    </w:p>
    <w:p w:rsidR="00085140" w:rsidRDefault="00085140" w:rsidP="00B44F5E">
      <w:pPr>
        <w:tabs>
          <w:tab w:val="left" w:pos="1677"/>
          <w:tab w:val="left" w:pos="3702"/>
        </w:tabs>
        <w:spacing w:after="0"/>
        <w:jc w:val="both"/>
        <w:rPr>
          <w:rFonts w:asciiTheme="majorBidi" w:hAnsiTheme="majorBidi" w:cstheme="majorBidi"/>
          <w:sz w:val="24"/>
          <w:szCs w:val="24"/>
        </w:rPr>
      </w:pPr>
      <w:r>
        <w:rPr>
          <w:rFonts w:asciiTheme="majorBidi" w:hAnsiTheme="majorBidi" w:cstheme="majorBidi"/>
          <w:sz w:val="24"/>
          <w:szCs w:val="24"/>
        </w:rPr>
        <w:t>Lag length selection tests results.</w:t>
      </w:r>
    </w:p>
    <w:tbl>
      <w:tblPr>
        <w:tblStyle w:val="TableGrid"/>
        <w:tblW w:w="0" w:type="auto"/>
        <w:tblInd w:w="108" w:type="dxa"/>
        <w:tblLook w:val="04A0" w:firstRow="1" w:lastRow="0" w:firstColumn="1" w:lastColumn="0" w:noHBand="0" w:noVBand="1"/>
      </w:tblPr>
      <w:tblGrid>
        <w:gridCol w:w="1391"/>
        <w:gridCol w:w="1122"/>
        <w:gridCol w:w="3581"/>
        <w:gridCol w:w="3040"/>
      </w:tblGrid>
      <w:tr w:rsidR="00085140" w:rsidTr="007C5A54">
        <w:tc>
          <w:tcPr>
            <w:tcW w:w="1418" w:type="dxa"/>
            <w:tcBorders>
              <w:left w:val="nil"/>
              <w:bottom w:val="single" w:sz="4" w:space="0" w:color="auto"/>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Lag length</w:t>
            </w:r>
          </w:p>
        </w:tc>
        <w:tc>
          <w:tcPr>
            <w:tcW w:w="1134" w:type="dxa"/>
            <w:tcBorders>
              <w:left w:val="nil"/>
              <w:bottom w:val="single" w:sz="4" w:space="0" w:color="auto"/>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LR</w:t>
            </w:r>
          </w:p>
        </w:tc>
        <w:tc>
          <w:tcPr>
            <w:tcW w:w="3685" w:type="dxa"/>
            <w:tcBorders>
              <w:left w:val="nil"/>
              <w:bottom w:val="single" w:sz="4" w:space="0" w:color="auto"/>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 xml:space="preserve">Schwartz information criterion </w:t>
            </w:r>
          </w:p>
        </w:tc>
        <w:tc>
          <w:tcPr>
            <w:tcW w:w="3119" w:type="dxa"/>
            <w:tcBorders>
              <w:left w:val="nil"/>
              <w:bottom w:val="single" w:sz="4" w:space="0" w:color="auto"/>
              <w:right w:val="nil"/>
            </w:tcBorders>
          </w:tcPr>
          <w:p w:rsidR="00085140" w:rsidRDefault="00085140" w:rsidP="00731A65">
            <w:pPr>
              <w:tabs>
                <w:tab w:val="left" w:pos="1677"/>
                <w:tab w:val="left" w:pos="3702"/>
              </w:tabs>
              <w:jc w:val="both"/>
              <w:rPr>
                <w:rFonts w:asciiTheme="majorBidi" w:hAnsiTheme="majorBidi" w:cstheme="majorBidi"/>
                <w:sz w:val="24"/>
                <w:szCs w:val="24"/>
              </w:rPr>
            </w:pPr>
            <w:proofErr w:type="spellStart"/>
            <w:r>
              <w:rPr>
                <w:rFonts w:asciiTheme="majorBidi" w:hAnsiTheme="majorBidi" w:cstheme="majorBidi"/>
                <w:sz w:val="24"/>
                <w:szCs w:val="24"/>
              </w:rPr>
              <w:t>Akaike</w:t>
            </w:r>
            <w:proofErr w:type="spellEnd"/>
            <w:r>
              <w:rPr>
                <w:rFonts w:asciiTheme="majorBidi" w:hAnsiTheme="majorBidi" w:cstheme="majorBidi"/>
                <w:sz w:val="24"/>
                <w:szCs w:val="24"/>
              </w:rPr>
              <w:t xml:space="preserve"> information criterion </w:t>
            </w:r>
          </w:p>
        </w:tc>
      </w:tr>
      <w:tr w:rsidR="00AD508F" w:rsidTr="007C5A54">
        <w:tc>
          <w:tcPr>
            <w:tcW w:w="1418" w:type="dxa"/>
            <w:tcBorders>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w:t>
            </w:r>
          </w:p>
        </w:tc>
        <w:tc>
          <w:tcPr>
            <w:tcW w:w="1134" w:type="dxa"/>
            <w:tcBorders>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proofErr w:type="spellStart"/>
            <w:r>
              <w:rPr>
                <w:rFonts w:asciiTheme="majorBidi" w:hAnsiTheme="majorBidi" w:cstheme="majorBidi"/>
                <w:sz w:val="24"/>
                <w:szCs w:val="24"/>
              </w:rPr>
              <w:t>n.a</w:t>
            </w:r>
            <w:proofErr w:type="spellEnd"/>
            <w:r>
              <w:rPr>
                <w:rFonts w:asciiTheme="majorBidi" w:hAnsiTheme="majorBidi" w:cstheme="majorBidi"/>
                <w:sz w:val="24"/>
                <w:szCs w:val="24"/>
              </w:rPr>
              <w:t>.</w:t>
            </w:r>
          </w:p>
        </w:tc>
        <w:tc>
          <w:tcPr>
            <w:tcW w:w="3685" w:type="dxa"/>
            <w:tcBorders>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20.10</w:t>
            </w:r>
          </w:p>
        </w:tc>
        <w:tc>
          <w:tcPr>
            <w:tcW w:w="3119" w:type="dxa"/>
            <w:tcBorders>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20.87</w:t>
            </w:r>
          </w:p>
        </w:tc>
      </w:tr>
      <w:tr w:rsidR="007C5A54" w:rsidTr="007C5A54">
        <w:tc>
          <w:tcPr>
            <w:tcW w:w="1418"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1</w:t>
            </w:r>
          </w:p>
        </w:tc>
        <w:tc>
          <w:tcPr>
            <w:tcW w:w="1134"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179.13</w:t>
            </w:r>
          </w:p>
        </w:tc>
        <w:tc>
          <w:tcPr>
            <w:tcW w:w="3685"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17.25</w:t>
            </w:r>
          </w:p>
        </w:tc>
        <w:tc>
          <w:tcPr>
            <w:tcW w:w="3119"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16.08</w:t>
            </w:r>
          </w:p>
        </w:tc>
      </w:tr>
      <w:tr w:rsidR="00AD508F" w:rsidTr="007C5A54">
        <w:trPr>
          <w:trHeight w:val="151"/>
        </w:trPr>
        <w:tc>
          <w:tcPr>
            <w:tcW w:w="1418"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2</w:t>
            </w:r>
          </w:p>
        </w:tc>
        <w:tc>
          <w:tcPr>
            <w:tcW w:w="1134"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19.73</w:t>
            </w:r>
          </w:p>
        </w:tc>
        <w:tc>
          <w:tcPr>
            <w:tcW w:w="3685"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16.82</w:t>
            </w:r>
          </w:p>
        </w:tc>
        <w:tc>
          <w:tcPr>
            <w:tcW w:w="3119"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15.96</w:t>
            </w:r>
          </w:p>
        </w:tc>
      </w:tr>
      <w:tr w:rsidR="00085140" w:rsidTr="007C5A54">
        <w:tc>
          <w:tcPr>
            <w:tcW w:w="1418" w:type="dxa"/>
            <w:tcBorders>
              <w:top w:val="nil"/>
              <w:left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3</w:t>
            </w:r>
          </w:p>
        </w:tc>
        <w:tc>
          <w:tcPr>
            <w:tcW w:w="1134" w:type="dxa"/>
            <w:tcBorders>
              <w:top w:val="nil"/>
              <w:left w:val="nil"/>
              <w:right w:val="nil"/>
            </w:tcBorders>
          </w:tcPr>
          <w:p w:rsidR="00085140" w:rsidRPr="00431829" w:rsidRDefault="00085140" w:rsidP="00731A65">
            <w:pPr>
              <w:tabs>
                <w:tab w:val="left" w:pos="1677"/>
                <w:tab w:val="left" w:pos="3702"/>
              </w:tabs>
              <w:jc w:val="both"/>
              <w:rPr>
                <w:rFonts w:asciiTheme="majorBidi" w:hAnsiTheme="majorBidi" w:cstheme="majorBidi"/>
                <w:sz w:val="24"/>
                <w:szCs w:val="24"/>
                <w:vertAlign w:val="superscript"/>
              </w:rPr>
            </w:pPr>
            <w:r>
              <w:rPr>
                <w:rFonts w:asciiTheme="majorBidi" w:hAnsiTheme="majorBidi" w:cstheme="majorBidi"/>
                <w:sz w:val="24"/>
                <w:szCs w:val="24"/>
              </w:rPr>
              <w:t>11.90</w:t>
            </w:r>
            <w:r w:rsidRPr="00431829">
              <w:rPr>
                <w:rFonts w:asciiTheme="majorBidi" w:hAnsiTheme="majorBidi" w:cstheme="majorBidi"/>
                <w:i/>
                <w:iCs/>
                <w:sz w:val="24"/>
                <w:szCs w:val="24"/>
                <w:vertAlign w:val="superscript"/>
              </w:rPr>
              <w:t>*</w:t>
            </w:r>
          </w:p>
        </w:tc>
        <w:tc>
          <w:tcPr>
            <w:tcW w:w="3685" w:type="dxa"/>
            <w:tcBorders>
              <w:top w:val="nil"/>
              <w:left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16.59</w:t>
            </w:r>
            <w:r w:rsidRPr="00431829">
              <w:rPr>
                <w:rFonts w:asciiTheme="majorBidi" w:hAnsiTheme="majorBidi" w:cstheme="majorBidi"/>
                <w:i/>
                <w:iCs/>
                <w:sz w:val="24"/>
                <w:szCs w:val="24"/>
                <w:vertAlign w:val="superscript"/>
              </w:rPr>
              <w:t>*</w:t>
            </w:r>
            <w:r>
              <w:rPr>
                <w:rFonts w:asciiTheme="majorBidi" w:hAnsiTheme="majorBidi" w:cstheme="majorBidi"/>
                <w:sz w:val="24"/>
                <w:szCs w:val="24"/>
              </w:rPr>
              <w:t xml:space="preserve"> </w:t>
            </w:r>
          </w:p>
        </w:tc>
        <w:tc>
          <w:tcPr>
            <w:tcW w:w="3119" w:type="dxa"/>
            <w:tcBorders>
              <w:top w:val="nil"/>
              <w:left w:val="nil"/>
              <w:right w:val="nil"/>
            </w:tcBorders>
          </w:tcPr>
          <w:p w:rsidR="00085140" w:rsidRPr="00431829" w:rsidRDefault="00085140" w:rsidP="00731A65">
            <w:pPr>
              <w:tabs>
                <w:tab w:val="left" w:pos="1677"/>
                <w:tab w:val="left" w:pos="3702"/>
              </w:tabs>
              <w:jc w:val="both"/>
              <w:rPr>
                <w:rFonts w:asciiTheme="majorBidi" w:hAnsiTheme="majorBidi" w:cstheme="majorBidi"/>
                <w:sz w:val="24"/>
                <w:szCs w:val="24"/>
                <w:vertAlign w:val="superscript"/>
              </w:rPr>
            </w:pPr>
            <w:r>
              <w:rPr>
                <w:rFonts w:asciiTheme="majorBidi" w:hAnsiTheme="majorBidi" w:cstheme="majorBidi"/>
                <w:sz w:val="24"/>
                <w:szCs w:val="24"/>
              </w:rPr>
              <w:t>15.91</w:t>
            </w:r>
            <w:r w:rsidRPr="00431829">
              <w:rPr>
                <w:rFonts w:asciiTheme="majorBidi" w:hAnsiTheme="majorBidi" w:cstheme="majorBidi"/>
                <w:i/>
                <w:iCs/>
                <w:sz w:val="24"/>
                <w:szCs w:val="24"/>
                <w:vertAlign w:val="superscript"/>
              </w:rPr>
              <w:t>*</w:t>
            </w:r>
          </w:p>
        </w:tc>
      </w:tr>
    </w:tbl>
    <w:p w:rsidR="00917741" w:rsidRDefault="00085140" w:rsidP="005975DF">
      <w:pPr>
        <w:tabs>
          <w:tab w:val="left" w:pos="1677"/>
          <w:tab w:val="left" w:pos="3702"/>
        </w:tabs>
        <w:spacing w:after="0" w:line="240" w:lineRule="auto"/>
        <w:jc w:val="both"/>
        <w:rPr>
          <w:rFonts w:asciiTheme="majorBidi" w:hAnsiTheme="majorBidi" w:cstheme="majorBidi"/>
        </w:rPr>
      </w:pPr>
      <w:r w:rsidRPr="00917741">
        <w:rPr>
          <w:rFonts w:asciiTheme="majorBidi" w:hAnsiTheme="majorBidi" w:cstheme="majorBidi"/>
          <w:b/>
          <w:bCs/>
        </w:rPr>
        <w:t>Notes:</w:t>
      </w:r>
      <w:r w:rsidRPr="00917741">
        <w:rPr>
          <w:rFonts w:asciiTheme="majorBidi" w:hAnsiTheme="majorBidi" w:cstheme="majorBidi"/>
        </w:rPr>
        <w:t xml:space="preserve"> (1) </w:t>
      </w:r>
      <w:proofErr w:type="spellStart"/>
      <w:r w:rsidRPr="00917741">
        <w:rPr>
          <w:rFonts w:asciiTheme="majorBidi" w:hAnsiTheme="majorBidi" w:cstheme="majorBidi"/>
        </w:rPr>
        <w:t>n.a</w:t>
      </w:r>
      <w:proofErr w:type="spellEnd"/>
      <w:r w:rsidRPr="00917741">
        <w:rPr>
          <w:rFonts w:asciiTheme="majorBidi" w:hAnsiTheme="majorBidi" w:cstheme="majorBidi"/>
        </w:rPr>
        <w:t>. = not available. (2) LR = likelihood ratio. (3) * denotes the optimal lag length. (4) The lag length selection tests were conducted using Micro-fit econometric software package version 4.1.</w:t>
      </w:r>
    </w:p>
    <w:p w:rsidR="005975DF" w:rsidRPr="00917741" w:rsidRDefault="005975DF" w:rsidP="005975DF">
      <w:pPr>
        <w:tabs>
          <w:tab w:val="left" w:pos="1677"/>
          <w:tab w:val="left" w:pos="3702"/>
        </w:tabs>
        <w:spacing w:after="0" w:line="240" w:lineRule="auto"/>
        <w:jc w:val="both"/>
        <w:rPr>
          <w:rFonts w:asciiTheme="majorBidi" w:hAnsiTheme="majorBidi" w:cstheme="majorBidi"/>
        </w:rPr>
      </w:pPr>
    </w:p>
    <w:p w:rsidR="00482842" w:rsidRDefault="001A37A6" w:rsidP="003D29DA">
      <w:pPr>
        <w:tabs>
          <w:tab w:val="left" w:pos="1677"/>
          <w:tab w:val="left" w:pos="3702"/>
        </w:tabs>
        <w:spacing w:after="0" w:line="240" w:lineRule="auto"/>
        <w:jc w:val="both"/>
        <w:rPr>
          <w:rFonts w:asciiTheme="majorBidi" w:hAnsiTheme="majorBidi" w:cstheme="majorBidi"/>
          <w:sz w:val="24"/>
          <w:szCs w:val="24"/>
        </w:rPr>
      </w:pPr>
      <w:r>
        <w:rPr>
          <w:rFonts w:asciiTheme="majorBidi" w:hAnsiTheme="majorBidi" w:cstheme="majorBidi"/>
          <w:sz w:val="24"/>
          <w:szCs w:val="24"/>
        </w:rPr>
        <w:t>Table 4 demonstrates</w:t>
      </w:r>
      <w:r w:rsidR="00451603">
        <w:rPr>
          <w:rFonts w:asciiTheme="majorBidi" w:hAnsiTheme="majorBidi" w:cstheme="majorBidi"/>
          <w:sz w:val="24"/>
          <w:szCs w:val="24"/>
        </w:rPr>
        <w:t xml:space="preserve"> the existence of </w:t>
      </w:r>
      <w:r w:rsidR="003F5074">
        <w:rPr>
          <w:rFonts w:asciiTheme="majorBidi" w:hAnsiTheme="majorBidi" w:cstheme="majorBidi"/>
          <w:sz w:val="24"/>
          <w:szCs w:val="24"/>
        </w:rPr>
        <w:t xml:space="preserve">a long-term </w:t>
      </w:r>
      <w:r w:rsidR="00451603">
        <w:rPr>
          <w:rFonts w:asciiTheme="majorBidi" w:hAnsiTheme="majorBidi" w:cstheme="majorBidi"/>
          <w:sz w:val="24"/>
          <w:szCs w:val="24"/>
        </w:rPr>
        <w:t>e</w:t>
      </w:r>
      <w:r w:rsidR="003F5074">
        <w:rPr>
          <w:rFonts w:asciiTheme="majorBidi" w:hAnsiTheme="majorBidi" w:cstheme="majorBidi"/>
          <w:sz w:val="24"/>
          <w:szCs w:val="24"/>
        </w:rPr>
        <w:t xml:space="preserve">quilibrium relationship among </w:t>
      </w:r>
      <w:r w:rsidR="00451603">
        <w:rPr>
          <w:rFonts w:asciiTheme="majorBidi" w:hAnsiTheme="majorBidi" w:cstheme="majorBidi"/>
          <w:sz w:val="24"/>
          <w:szCs w:val="24"/>
        </w:rPr>
        <w:t>the variables</w:t>
      </w:r>
      <w:r w:rsidR="003F5074">
        <w:rPr>
          <w:rFonts w:asciiTheme="majorBidi" w:hAnsiTheme="majorBidi" w:cstheme="majorBidi"/>
          <w:sz w:val="24"/>
          <w:szCs w:val="24"/>
        </w:rPr>
        <w:t>−</w:t>
      </w:r>
      <w:r w:rsidR="00451603">
        <w:rPr>
          <w:rFonts w:asciiTheme="majorBidi" w:hAnsiTheme="majorBidi" w:cstheme="majorBidi"/>
          <w:sz w:val="24"/>
          <w:szCs w:val="24"/>
        </w:rPr>
        <w:t xml:space="preserve"> namely, LKLCI, LIFR, LIR, LM3, and LGDP. The trace statistics indicate six numbers of co</w:t>
      </w:r>
      <w:r w:rsidR="00DC628C">
        <w:rPr>
          <w:rFonts w:asciiTheme="majorBidi" w:hAnsiTheme="majorBidi" w:cstheme="majorBidi"/>
          <w:sz w:val="24"/>
          <w:szCs w:val="24"/>
        </w:rPr>
        <w:t>-</w:t>
      </w:r>
      <w:r w:rsidR="0093721B">
        <w:rPr>
          <w:rFonts w:asciiTheme="majorBidi" w:hAnsiTheme="majorBidi" w:cstheme="majorBidi"/>
          <w:sz w:val="24"/>
          <w:szCs w:val="24"/>
        </w:rPr>
        <w:t xml:space="preserve">integrating vectors exist at </w:t>
      </w:r>
      <w:r w:rsidR="00811A3A">
        <w:rPr>
          <w:rFonts w:asciiTheme="majorBidi" w:hAnsiTheme="majorBidi" w:cstheme="majorBidi"/>
          <w:sz w:val="24"/>
          <w:szCs w:val="24"/>
        </w:rPr>
        <w:t xml:space="preserve">the 5 per cent </w:t>
      </w:r>
      <w:r w:rsidR="00451603">
        <w:rPr>
          <w:rFonts w:asciiTheme="majorBidi" w:hAnsiTheme="majorBidi" w:cstheme="majorBidi"/>
          <w:sz w:val="24"/>
          <w:szCs w:val="24"/>
        </w:rPr>
        <w:t xml:space="preserve">significance level. The trace statistics </w:t>
      </w:r>
      <w:r w:rsidR="00811A3A">
        <w:rPr>
          <w:rFonts w:asciiTheme="majorBidi" w:hAnsiTheme="majorBidi" w:cstheme="majorBidi"/>
          <w:sz w:val="24"/>
          <w:szCs w:val="24"/>
        </w:rPr>
        <w:t xml:space="preserve">values are greater than their 5 per cent </w:t>
      </w:r>
      <w:r w:rsidR="00451603">
        <w:rPr>
          <w:rFonts w:asciiTheme="majorBidi" w:hAnsiTheme="majorBidi" w:cstheme="majorBidi"/>
          <w:sz w:val="24"/>
          <w:szCs w:val="24"/>
        </w:rPr>
        <w:t>critical values.</w:t>
      </w:r>
      <w:r w:rsidR="0046316E">
        <w:rPr>
          <w:rFonts w:asciiTheme="majorBidi" w:hAnsiTheme="majorBidi" w:cstheme="majorBidi"/>
          <w:sz w:val="24"/>
          <w:szCs w:val="24"/>
        </w:rPr>
        <w:t xml:space="preserve"> </w:t>
      </w:r>
      <w:r w:rsidR="0076342A">
        <w:rPr>
          <w:rFonts w:asciiTheme="majorBidi" w:hAnsiTheme="majorBidi" w:cstheme="majorBidi"/>
          <w:sz w:val="24"/>
          <w:szCs w:val="24"/>
        </w:rPr>
        <w:t xml:space="preserve">These results are consistent with </w:t>
      </w:r>
      <w:r w:rsidR="00DC628C">
        <w:rPr>
          <w:rFonts w:asciiTheme="majorBidi" w:hAnsiTheme="majorBidi" w:cstheme="majorBidi"/>
          <w:sz w:val="24"/>
          <w:szCs w:val="24"/>
        </w:rPr>
        <w:t xml:space="preserve">the results obtained </w:t>
      </w:r>
      <w:r w:rsidR="0076342A">
        <w:rPr>
          <w:rFonts w:asciiTheme="majorBidi" w:hAnsiTheme="majorBidi" w:cstheme="majorBidi"/>
          <w:sz w:val="24"/>
          <w:szCs w:val="24"/>
        </w:rPr>
        <w:t>for Malaysia</w:t>
      </w:r>
      <w:r w:rsidR="00663591">
        <w:rPr>
          <w:rFonts w:asciiTheme="majorBidi" w:hAnsiTheme="majorBidi" w:cstheme="majorBidi"/>
          <w:sz w:val="24"/>
          <w:szCs w:val="24"/>
        </w:rPr>
        <w:t xml:space="preserve"> (</w:t>
      </w:r>
      <w:r w:rsidR="0093721B">
        <w:rPr>
          <w:rFonts w:asciiTheme="majorBidi" w:hAnsiTheme="majorBidi" w:cstheme="majorBidi"/>
          <w:sz w:val="24"/>
          <w:szCs w:val="24"/>
        </w:rPr>
        <w:t xml:space="preserve">Ibrahim, 1999; </w:t>
      </w:r>
      <w:r w:rsidR="00663591">
        <w:rPr>
          <w:rFonts w:asciiTheme="majorBidi" w:hAnsiTheme="majorBidi" w:cstheme="majorBidi"/>
          <w:sz w:val="24"/>
          <w:szCs w:val="24"/>
        </w:rPr>
        <w:t xml:space="preserve">Ibrahim </w:t>
      </w:r>
      <w:r w:rsidR="00441B28">
        <w:rPr>
          <w:rFonts w:asciiTheme="majorBidi" w:hAnsiTheme="majorBidi" w:cstheme="majorBidi"/>
          <w:sz w:val="24"/>
          <w:szCs w:val="24"/>
        </w:rPr>
        <w:t xml:space="preserve">and </w:t>
      </w:r>
      <w:r w:rsidR="00663591">
        <w:rPr>
          <w:rFonts w:asciiTheme="majorBidi" w:hAnsiTheme="majorBidi" w:cstheme="majorBidi"/>
          <w:sz w:val="24"/>
          <w:szCs w:val="24"/>
        </w:rPr>
        <w:t xml:space="preserve">Aziz, 2003). </w:t>
      </w:r>
      <w:r w:rsidR="0046316E">
        <w:rPr>
          <w:rFonts w:asciiTheme="majorBidi" w:hAnsiTheme="majorBidi" w:cstheme="majorBidi"/>
          <w:sz w:val="24"/>
          <w:szCs w:val="24"/>
        </w:rPr>
        <w:t xml:space="preserve">However, the next step is to analyse </w:t>
      </w:r>
      <w:r w:rsidR="007413AB">
        <w:rPr>
          <w:rFonts w:asciiTheme="majorBidi" w:hAnsiTheme="majorBidi" w:cstheme="majorBidi"/>
          <w:sz w:val="24"/>
          <w:szCs w:val="24"/>
        </w:rPr>
        <w:t>the coefficients of the selected variables</w:t>
      </w:r>
      <w:r w:rsidR="00E43B5D">
        <w:rPr>
          <w:rFonts w:asciiTheme="majorBidi" w:hAnsiTheme="majorBidi" w:cstheme="majorBidi"/>
          <w:sz w:val="24"/>
          <w:szCs w:val="24"/>
        </w:rPr>
        <w:t xml:space="preserve"> (</w:t>
      </w:r>
      <w:r w:rsidR="00B44F5E">
        <w:rPr>
          <w:rFonts w:asciiTheme="majorBidi" w:hAnsiTheme="majorBidi" w:cstheme="majorBidi"/>
          <w:sz w:val="24"/>
          <w:szCs w:val="24"/>
        </w:rPr>
        <w:t>S</w:t>
      </w:r>
      <w:r w:rsidR="00E43B5D">
        <w:rPr>
          <w:rFonts w:asciiTheme="majorBidi" w:hAnsiTheme="majorBidi" w:cstheme="majorBidi"/>
          <w:sz w:val="24"/>
          <w:szCs w:val="24"/>
        </w:rPr>
        <w:t>ee, Table 5)</w:t>
      </w:r>
      <w:r w:rsidR="007413AB">
        <w:rPr>
          <w:rFonts w:asciiTheme="majorBidi" w:hAnsiTheme="majorBidi" w:cstheme="majorBidi"/>
          <w:sz w:val="24"/>
          <w:szCs w:val="24"/>
        </w:rPr>
        <w:t>.</w:t>
      </w:r>
    </w:p>
    <w:p w:rsidR="003D29DA" w:rsidRDefault="003D29DA" w:rsidP="003D29DA">
      <w:pPr>
        <w:tabs>
          <w:tab w:val="left" w:pos="1677"/>
          <w:tab w:val="left" w:pos="3702"/>
        </w:tabs>
        <w:spacing w:after="0" w:line="240" w:lineRule="auto"/>
        <w:jc w:val="both"/>
        <w:rPr>
          <w:rFonts w:asciiTheme="majorBidi" w:hAnsiTheme="majorBidi" w:cstheme="majorBidi"/>
          <w:sz w:val="24"/>
          <w:szCs w:val="24"/>
        </w:rPr>
      </w:pPr>
    </w:p>
    <w:p w:rsidR="00AD508F" w:rsidRDefault="00B44F5E" w:rsidP="00B44F5E">
      <w:pPr>
        <w:tabs>
          <w:tab w:val="left" w:pos="1677"/>
          <w:tab w:val="left" w:pos="3702"/>
        </w:tabs>
        <w:spacing w:after="0" w:line="240" w:lineRule="auto"/>
        <w:jc w:val="both"/>
        <w:rPr>
          <w:rFonts w:asciiTheme="majorBidi" w:hAnsiTheme="majorBidi" w:cstheme="majorBidi"/>
          <w:sz w:val="24"/>
          <w:szCs w:val="24"/>
        </w:rPr>
      </w:pPr>
      <w:r w:rsidRPr="001246C8">
        <w:rPr>
          <w:rFonts w:asciiTheme="majorBidi" w:hAnsiTheme="majorBidi" w:cstheme="majorBidi"/>
          <w:b/>
          <w:bCs/>
          <w:sz w:val="24"/>
          <w:szCs w:val="24"/>
        </w:rPr>
        <w:t>Table 4</w:t>
      </w:r>
      <w:r>
        <w:rPr>
          <w:rFonts w:asciiTheme="majorBidi" w:hAnsiTheme="majorBidi" w:cstheme="majorBidi"/>
          <w:sz w:val="24"/>
          <w:szCs w:val="24"/>
        </w:rPr>
        <w:t xml:space="preserve"> </w:t>
      </w:r>
    </w:p>
    <w:p w:rsidR="00085140" w:rsidRDefault="00085140" w:rsidP="00B44F5E">
      <w:pPr>
        <w:tabs>
          <w:tab w:val="left" w:pos="1677"/>
          <w:tab w:val="left" w:pos="3702"/>
        </w:tabs>
        <w:spacing w:after="0"/>
        <w:jc w:val="both"/>
        <w:rPr>
          <w:rFonts w:asciiTheme="majorBidi" w:hAnsiTheme="majorBidi" w:cstheme="majorBidi"/>
          <w:sz w:val="24"/>
          <w:szCs w:val="24"/>
        </w:rPr>
      </w:pPr>
      <w:proofErr w:type="gramStart"/>
      <w:r>
        <w:rPr>
          <w:rFonts w:asciiTheme="majorBidi" w:hAnsiTheme="majorBidi" w:cstheme="majorBidi"/>
          <w:sz w:val="24"/>
          <w:szCs w:val="24"/>
        </w:rPr>
        <w:t>Co-integration test statistics for LKLCI.</w:t>
      </w:r>
      <w:proofErr w:type="gramEnd"/>
      <w:r>
        <w:rPr>
          <w:rFonts w:asciiTheme="majorBidi" w:hAnsiTheme="majorBidi" w:cstheme="majorBidi"/>
          <w:sz w:val="24"/>
          <w:szCs w:val="24"/>
        </w:rPr>
        <w:t xml:space="preserve"> </w:t>
      </w:r>
    </w:p>
    <w:tbl>
      <w:tblPr>
        <w:tblStyle w:val="TableGrid"/>
        <w:tblW w:w="0" w:type="auto"/>
        <w:tblInd w:w="108" w:type="dxa"/>
        <w:tblLook w:val="04A0" w:firstRow="1" w:lastRow="0" w:firstColumn="1" w:lastColumn="0" w:noHBand="0" w:noVBand="1"/>
      </w:tblPr>
      <w:tblGrid>
        <w:gridCol w:w="3027"/>
        <w:gridCol w:w="1669"/>
        <w:gridCol w:w="974"/>
        <w:gridCol w:w="2067"/>
        <w:gridCol w:w="1397"/>
      </w:tblGrid>
      <w:tr w:rsidR="00AD508F" w:rsidTr="00917741">
        <w:tc>
          <w:tcPr>
            <w:tcW w:w="3119" w:type="dxa"/>
            <w:tcBorders>
              <w:left w:val="nil"/>
              <w:bottom w:val="single" w:sz="4" w:space="0" w:color="auto"/>
              <w:right w:val="nil"/>
            </w:tcBorders>
            <w:vAlign w:val="center"/>
          </w:tcPr>
          <w:p w:rsidR="00085140" w:rsidRDefault="00085140" w:rsidP="00731A65">
            <w:pPr>
              <w:tabs>
                <w:tab w:val="left" w:pos="1677"/>
                <w:tab w:val="left" w:pos="3702"/>
              </w:tabs>
              <w:rPr>
                <w:rFonts w:asciiTheme="majorBidi" w:hAnsiTheme="majorBidi" w:cstheme="majorBidi"/>
                <w:sz w:val="24"/>
                <w:szCs w:val="24"/>
              </w:rPr>
            </w:pPr>
            <w:r>
              <w:rPr>
                <w:rFonts w:asciiTheme="majorBidi" w:hAnsiTheme="majorBidi" w:cstheme="majorBidi"/>
                <w:sz w:val="24"/>
                <w:szCs w:val="24"/>
              </w:rPr>
              <w:t>No. of co-integrating vectors</w:t>
            </w:r>
          </w:p>
        </w:tc>
        <w:tc>
          <w:tcPr>
            <w:tcW w:w="1701" w:type="dxa"/>
            <w:tcBorders>
              <w:left w:val="nil"/>
              <w:bottom w:val="single" w:sz="4" w:space="0" w:color="auto"/>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Trace statistics</w:t>
            </w:r>
          </w:p>
        </w:tc>
        <w:tc>
          <w:tcPr>
            <w:tcW w:w="992" w:type="dxa"/>
            <w:tcBorders>
              <w:left w:val="nil"/>
              <w:bottom w:val="single" w:sz="4" w:space="0" w:color="auto"/>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λ max</w:t>
            </w:r>
          </w:p>
        </w:tc>
        <w:tc>
          <w:tcPr>
            <w:tcW w:w="2126" w:type="dxa"/>
            <w:tcBorders>
              <w:left w:val="nil"/>
              <w:bottom w:val="single" w:sz="4" w:space="0" w:color="auto"/>
              <w:right w:val="nil"/>
            </w:tcBorders>
            <w:vAlign w:val="center"/>
          </w:tcPr>
          <w:p w:rsidR="00085140" w:rsidRPr="008B1D95"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5% Critical values</w:t>
            </w:r>
            <w:r>
              <w:rPr>
                <w:rFonts w:asciiTheme="majorBidi" w:hAnsiTheme="majorBidi" w:cstheme="majorBidi"/>
                <w:sz w:val="24"/>
                <w:szCs w:val="24"/>
                <w:vertAlign w:val="superscript"/>
              </w:rPr>
              <w:t xml:space="preserve"> </w:t>
            </w:r>
          </w:p>
        </w:tc>
        <w:tc>
          <w:tcPr>
            <w:tcW w:w="1418" w:type="dxa"/>
            <w:tcBorders>
              <w:left w:val="nil"/>
              <w:bottom w:val="single" w:sz="4" w:space="0" w:color="auto"/>
              <w:right w:val="nil"/>
            </w:tcBorders>
            <w:vAlign w:val="center"/>
          </w:tcPr>
          <w:p w:rsidR="00085140" w:rsidRPr="00B41EF9" w:rsidRDefault="00085140" w:rsidP="00731A65">
            <w:pPr>
              <w:tabs>
                <w:tab w:val="left" w:pos="1677"/>
                <w:tab w:val="left" w:pos="3702"/>
              </w:tabs>
              <w:jc w:val="center"/>
              <w:rPr>
                <w:rFonts w:asciiTheme="majorBidi" w:hAnsiTheme="majorBidi" w:cstheme="majorBidi"/>
                <w:sz w:val="24"/>
                <w:szCs w:val="24"/>
                <w:vertAlign w:val="superscript"/>
              </w:rPr>
            </w:pPr>
            <w:r>
              <w:rPr>
                <w:rFonts w:asciiTheme="majorBidi" w:hAnsiTheme="majorBidi" w:cstheme="majorBidi"/>
                <w:sz w:val="24"/>
                <w:szCs w:val="24"/>
              </w:rPr>
              <w:t>P-values</w:t>
            </w:r>
            <w:r w:rsidRPr="00A9314C">
              <w:rPr>
                <w:rFonts w:asciiTheme="majorBidi" w:hAnsiTheme="majorBidi" w:cstheme="majorBidi"/>
                <w:i/>
                <w:iCs/>
                <w:sz w:val="24"/>
                <w:szCs w:val="24"/>
                <w:vertAlign w:val="superscript"/>
              </w:rPr>
              <w:t>**</w:t>
            </w:r>
          </w:p>
        </w:tc>
      </w:tr>
      <w:tr w:rsidR="00917741" w:rsidTr="00917741">
        <w:tc>
          <w:tcPr>
            <w:tcW w:w="3119" w:type="dxa"/>
            <w:tcBorders>
              <w:left w:val="nil"/>
              <w:bottom w:val="nil"/>
              <w:right w:val="nil"/>
            </w:tcBorders>
            <w:vAlign w:val="center"/>
          </w:tcPr>
          <w:p w:rsidR="00085140" w:rsidRDefault="00085140" w:rsidP="00731A65">
            <w:pPr>
              <w:tabs>
                <w:tab w:val="left" w:pos="1677"/>
                <w:tab w:val="left" w:pos="3702"/>
              </w:tabs>
              <w:rPr>
                <w:rFonts w:asciiTheme="majorBidi" w:hAnsiTheme="majorBidi" w:cstheme="majorBidi"/>
                <w:sz w:val="24"/>
                <w:szCs w:val="24"/>
              </w:rPr>
            </w:pPr>
            <w:r>
              <w:rPr>
                <w:rFonts w:asciiTheme="majorBidi" w:hAnsiTheme="majorBidi" w:cstheme="majorBidi"/>
                <w:sz w:val="24"/>
                <w:szCs w:val="24"/>
              </w:rPr>
              <w:t>None, r = 0</w:t>
            </w:r>
          </w:p>
        </w:tc>
        <w:tc>
          <w:tcPr>
            <w:tcW w:w="1701" w:type="dxa"/>
            <w:tcBorders>
              <w:left w:val="nil"/>
              <w:bottom w:val="nil"/>
              <w:right w:val="nil"/>
            </w:tcBorders>
            <w:vAlign w:val="center"/>
          </w:tcPr>
          <w:p w:rsidR="00085140" w:rsidRPr="008B1D95"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80.40</w:t>
            </w:r>
            <w:r w:rsidRPr="008B1D95">
              <w:rPr>
                <w:rFonts w:asciiTheme="majorBidi" w:hAnsiTheme="majorBidi" w:cstheme="majorBidi"/>
                <w:i/>
                <w:iCs/>
                <w:sz w:val="24"/>
                <w:szCs w:val="24"/>
                <w:vertAlign w:val="superscript"/>
              </w:rPr>
              <w:t>*</w:t>
            </w:r>
          </w:p>
        </w:tc>
        <w:tc>
          <w:tcPr>
            <w:tcW w:w="992" w:type="dxa"/>
            <w:tcBorders>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0.80</w:t>
            </w:r>
          </w:p>
        </w:tc>
        <w:tc>
          <w:tcPr>
            <w:tcW w:w="2126" w:type="dxa"/>
            <w:tcBorders>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77.22</w:t>
            </w:r>
          </w:p>
        </w:tc>
        <w:tc>
          <w:tcPr>
            <w:tcW w:w="1418" w:type="dxa"/>
            <w:tcBorders>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0.00</w:t>
            </w:r>
          </w:p>
        </w:tc>
      </w:tr>
      <w:tr w:rsidR="00917741" w:rsidTr="00917741">
        <w:tc>
          <w:tcPr>
            <w:tcW w:w="3119" w:type="dxa"/>
            <w:tcBorders>
              <w:top w:val="nil"/>
              <w:left w:val="nil"/>
              <w:bottom w:val="nil"/>
              <w:right w:val="nil"/>
            </w:tcBorders>
            <w:vAlign w:val="center"/>
          </w:tcPr>
          <w:p w:rsidR="00085140" w:rsidRDefault="00085140" w:rsidP="00731A65">
            <w:pPr>
              <w:tabs>
                <w:tab w:val="left" w:pos="1677"/>
                <w:tab w:val="left" w:pos="3702"/>
              </w:tabs>
              <w:rPr>
                <w:rFonts w:asciiTheme="majorBidi" w:hAnsiTheme="majorBidi" w:cstheme="majorBidi"/>
                <w:sz w:val="24"/>
                <w:szCs w:val="24"/>
              </w:rPr>
            </w:pPr>
            <w:r>
              <w:rPr>
                <w:rFonts w:asciiTheme="majorBidi" w:hAnsiTheme="majorBidi" w:cstheme="majorBidi"/>
                <w:sz w:val="24"/>
                <w:szCs w:val="24"/>
              </w:rPr>
              <w:t xml:space="preserve">At most 1, r ≤ 1 </w:t>
            </w:r>
          </w:p>
        </w:tc>
        <w:tc>
          <w:tcPr>
            <w:tcW w:w="1701"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71.22</w:t>
            </w:r>
            <w:r w:rsidRPr="008B1D95">
              <w:rPr>
                <w:rFonts w:asciiTheme="majorBidi" w:hAnsiTheme="majorBidi" w:cstheme="majorBidi"/>
                <w:i/>
                <w:iCs/>
                <w:sz w:val="24"/>
                <w:szCs w:val="24"/>
                <w:vertAlign w:val="superscript"/>
              </w:rPr>
              <w:t>*</w:t>
            </w:r>
          </w:p>
        </w:tc>
        <w:tc>
          <w:tcPr>
            <w:tcW w:w="992"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0.77</w:t>
            </w:r>
          </w:p>
        </w:tc>
        <w:tc>
          <w:tcPr>
            <w:tcW w:w="2126"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66.53</w:t>
            </w:r>
          </w:p>
        </w:tc>
        <w:tc>
          <w:tcPr>
            <w:tcW w:w="1418"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0.00</w:t>
            </w:r>
          </w:p>
        </w:tc>
      </w:tr>
      <w:tr w:rsidR="00917741" w:rsidTr="00917741">
        <w:tc>
          <w:tcPr>
            <w:tcW w:w="3119" w:type="dxa"/>
            <w:tcBorders>
              <w:top w:val="nil"/>
              <w:left w:val="nil"/>
              <w:bottom w:val="nil"/>
              <w:right w:val="nil"/>
            </w:tcBorders>
            <w:vAlign w:val="center"/>
          </w:tcPr>
          <w:p w:rsidR="00085140" w:rsidRDefault="00085140" w:rsidP="00731A65">
            <w:pPr>
              <w:tabs>
                <w:tab w:val="left" w:pos="1677"/>
                <w:tab w:val="left" w:pos="3702"/>
              </w:tabs>
              <w:rPr>
                <w:rFonts w:asciiTheme="majorBidi" w:hAnsiTheme="majorBidi" w:cstheme="majorBidi"/>
                <w:sz w:val="24"/>
                <w:szCs w:val="24"/>
              </w:rPr>
            </w:pPr>
            <w:r>
              <w:rPr>
                <w:rFonts w:asciiTheme="majorBidi" w:hAnsiTheme="majorBidi" w:cstheme="majorBidi"/>
                <w:sz w:val="24"/>
                <w:szCs w:val="24"/>
              </w:rPr>
              <w:t>At most 2, r ≤ 2</w:t>
            </w:r>
          </w:p>
        </w:tc>
        <w:tc>
          <w:tcPr>
            <w:tcW w:w="1701"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60.55</w:t>
            </w:r>
            <w:r w:rsidRPr="008B1D95">
              <w:rPr>
                <w:rFonts w:asciiTheme="majorBidi" w:hAnsiTheme="majorBidi" w:cstheme="majorBidi"/>
                <w:i/>
                <w:iCs/>
                <w:sz w:val="24"/>
                <w:szCs w:val="24"/>
                <w:vertAlign w:val="superscript"/>
              </w:rPr>
              <w:t>*</w:t>
            </w:r>
          </w:p>
        </w:tc>
        <w:tc>
          <w:tcPr>
            <w:tcW w:w="992"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0.66</w:t>
            </w:r>
          </w:p>
        </w:tc>
        <w:tc>
          <w:tcPr>
            <w:tcW w:w="2126"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55.44</w:t>
            </w:r>
          </w:p>
        </w:tc>
        <w:tc>
          <w:tcPr>
            <w:tcW w:w="1418"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0.00</w:t>
            </w:r>
          </w:p>
        </w:tc>
      </w:tr>
      <w:tr w:rsidR="00917741" w:rsidTr="00917741">
        <w:tc>
          <w:tcPr>
            <w:tcW w:w="3119" w:type="dxa"/>
            <w:tcBorders>
              <w:top w:val="nil"/>
              <w:left w:val="nil"/>
              <w:bottom w:val="nil"/>
              <w:right w:val="nil"/>
            </w:tcBorders>
            <w:vAlign w:val="center"/>
          </w:tcPr>
          <w:p w:rsidR="00085140" w:rsidRDefault="00085140" w:rsidP="00731A65">
            <w:pPr>
              <w:tabs>
                <w:tab w:val="left" w:pos="1677"/>
                <w:tab w:val="left" w:pos="3702"/>
              </w:tabs>
              <w:rPr>
                <w:rFonts w:asciiTheme="majorBidi" w:hAnsiTheme="majorBidi" w:cstheme="majorBidi"/>
                <w:sz w:val="24"/>
                <w:szCs w:val="24"/>
              </w:rPr>
            </w:pPr>
            <w:r>
              <w:rPr>
                <w:rFonts w:asciiTheme="majorBidi" w:hAnsiTheme="majorBidi" w:cstheme="majorBidi"/>
                <w:sz w:val="24"/>
                <w:szCs w:val="24"/>
              </w:rPr>
              <w:t>At most 3, r ≤ 3</w:t>
            </w:r>
          </w:p>
        </w:tc>
        <w:tc>
          <w:tcPr>
            <w:tcW w:w="1701"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55.89</w:t>
            </w:r>
            <w:r w:rsidRPr="008B1D95">
              <w:rPr>
                <w:rFonts w:asciiTheme="majorBidi" w:hAnsiTheme="majorBidi" w:cstheme="majorBidi"/>
                <w:i/>
                <w:iCs/>
                <w:sz w:val="24"/>
                <w:szCs w:val="24"/>
                <w:vertAlign w:val="superscript"/>
              </w:rPr>
              <w:t>*</w:t>
            </w:r>
          </w:p>
        </w:tc>
        <w:tc>
          <w:tcPr>
            <w:tcW w:w="992"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0.51</w:t>
            </w:r>
          </w:p>
        </w:tc>
        <w:tc>
          <w:tcPr>
            <w:tcW w:w="2126"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51.22</w:t>
            </w:r>
          </w:p>
        </w:tc>
        <w:tc>
          <w:tcPr>
            <w:tcW w:w="1418"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0.00</w:t>
            </w:r>
          </w:p>
        </w:tc>
      </w:tr>
      <w:tr w:rsidR="00917741" w:rsidTr="00917741">
        <w:tc>
          <w:tcPr>
            <w:tcW w:w="3119" w:type="dxa"/>
            <w:tcBorders>
              <w:top w:val="nil"/>
              <w:left w:val="nil"/>
              <w:bottom w:val="nil"/>
              <w:right w:val="nil"/>
            </w:tcBorders>
            <w:vAlign w:val="center"/>
          </w:tcPr>
          <w:p w:rsidR="00085140" w:rsidRDefault="00085140" w:rsidP="00731A65">
            <w:pPr>
              <w:tabs>
                <w:tab w:val="left" w:pos="1677"/>
                <w:tab w:val="left" w:pos="3702"/>
              </w:tabs>
              <w:rPr>
                <w:rFonts w:asciiTheme="majorBidi" w:hAnsiTheme="majorBidi" w:cstheme="majorBidi"/>
                <w:sz w:val="24"/>
                <w:szCs w:val="24"/>
              </w:rPr>
            </w:pPr>
            <w:r>
              <w:rPr>
                <w:rFonts w:asciiTheme="majorBidi" w:hAnsiTheme="majorBidi" w:cstheme="majorBidi"/>
                <w:sz w:val="24"/>
                <w:szCs w:val="24"/>
              </w:rPr>
              <w:t>At most 4, r ≤ 4</w:t>
            </w:r>
          </w:p>
        </w:tc>
        <w:tc>
          <w:tcPr>
            <w:tcW w:w="1701"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48.22</w:t>
            </w:r>
            <w:r w:rsidRPr="008B1D95">
              <w:rPr>
                <w:rFonts w:asciiTheme="majorBidi" w:hAnsiTheme="majorBidi" w:cstheme="majorBidi"/>
                <w:i/>
                <w:iCs/>
                <w:sz w:val="24"/>
                <w:szCs w:val="24"/>
                <w:vertAlign w:val="superscript"/>
              </w:rPr>
              <w:t>*</w:t>
            </w:r>
          </w:p>
        </w:tc>
        <w:tc>
          <w:tcPr>
            <w:tcW w:w="992"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0.45</w:t>
            </w:r>
          </w:p>
        </w:tc>
        <w:tc>
          <w:tcPr>
            <w:tcW w:w="2126"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40.35</w:t>
            </w:r>
          </w:p>
        </w:tc>
        <w:tc>
          <w:tcPr>
            <w:tcW w:w="1418" w:type="dxa"/>
            <w:tcBorders>
              <w:top w:val="nil"/>
              <w:left w:val="nil"/>
              <w:bottom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0.00</w:t>
            </w:r>
          </w:p>
        </w:tc>
      </w:tr>
      <w:tr w:rsidR="00085140" w:rsidTr="00917741">
        <w:tc>
          <w:tcPr>
            <w:tcW w:w="3119" w:type="dxa"/>
            <w:tcBorders>
              <w:top w:val="nil"/>
              <w:left w:val="nil"/>
              <w:right w:val="nil"/>
            </w:tcBorders>
            <w:vAlign w:val="center"/>
          </w:tcPr>
          <w:p w:rsidR="00085140" w:rsidRDefault="00085140" w:rsidP="00731A65">
            <w:pPr>
              <w:tabs>
                <w:tab w:val="left" w:pos="1677"/>
                <w:tab w:val="left" w:pos="3702"/>
              </w:tabs>
              <w:rPr>
                <w:rFonts w:asciiTheme="majorBidi" w:hAnsiTheme="majorBidi" w:cstheme="majorBidi"/>
                <w:sz w:val="24"/>
                <w:szCs w:val="24"/>
              </w:rPr>
            </w:pPr>
            <w:r>
              <w:rPr>
                <w:rFonts w:asciiTheme="majorBidi" w:hAnsiTheme="majorBidi" w:cstheme="majorBidi"/>
                <w:sz w:val="24"/>
                <w:szCs w:val="24"/>
              </w:rPr>
              <w:t>At most 5, r ≤ 5</w:t>
            </w:r>
          </w:p>
        </w:tc>
        <w:tc>
          <w:tcPr>
            <w:tcW w:w="1701" w:type="dxa"/>
            <w:tcBorders>
              <w:top w:val="nil"/>
              <w:left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33.51</w:t>
            </w:r>
            <w:r w:rsidRPr="008B1D95">
              <w:rPr>
                <w:rFonts w:asciiTheme="majorBidi" w:hAnsiTheme="majorBidi" w:cstheme="majorBidi"/>
                <w:i/>
                <w:iCs/>
                <w:sz w:val="24"/>
                <w:szCs w:val="24"/>
                <w:vertAlign w:val="superscript"/>
              </w:rPr>
              <w:t>*</w:t>
            </w:r>
          </w:p>
        </w:tc>
        <w:tc>
          <w:tcPr>
            <w:tcW w:w="992" w:type="dxa"/>
            <w:tcBorders>
              <w:top w:val="nil"/>
              <w:left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0.33</w:t>
            </w:r>
          </w:p>
        </w:tc>
        <w:tc>
          <w:tcPr>
            <w:tcW w:w="2126" w:type="dxa"/>
            <w:tcBorders>
              <w:top w:val="nil"/>
              <w:left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22.10</w:t>
            </w:r>
          </w:p>
        </w:tc>
        <w:tc>
          <w:tcPr>
            <w:tcW w:w="1418" w:type="dxa"/>
            <w:tcBorders>
              <w:top w:val="nil"/>
              <w:left w:val="nil"/>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0.01</w:t>
            </w:r>
          </w:p>
        </w:tc>
      </w:tr>
    </w:tbl>
    <w:p w:rsidR="00C52D6F" w:rsidRDefault="00085140" w:rsidP="005975DF">
      <w:pPr>
        <w:tabs>
          <w:tab w:val="left" w:pos="1677"/>
          <w:tab w:val="left" w:pos="3702"/>
        </w:tabs>
        <w:spacing w:after="0" w:line="240" w:lineRule="auto"/>
        <w:jc w:val="both"/>
        <w:rPr>
          <w:rFonts w:asciiTheme="majorBidi" w:hAnsiTheme="majorBidi" w:cstheme="majorBidi"/>
          <w:sz w:val="24"/>
          <w:szCs w:val="24"/>
        </w:rPr>
      </w:pPr>
      <w:r w:rsidRPr="00917741">
        <w:rPr>
          <w:rFonts w:asciiTheme="majorBidi" w:hAnsiTheme="majorBidi" w:cstheme="majorBidi"/>
          <w:b/>
          <w:bCs/>
        </w:rPr>
        <w:t xml:space="preserve">Notes: </w:t>
      </w:r>
      <w:r w:rsidRPr="00917741">
        <w:rPr>
          <w:rFonts w:asciiTheme="majorBidi" w:hAnsiTheme="majorBidi" w:cstheme="majorBidi"/>
        </w:rPr>
        <w:t>(1)</w:t>
      </w:r>
      <w:r w:rsidRPr="00917741">
        <w:rPr>
          <w:rFonts w:asciiTheme="majorBidi" w:hAnsiTheme="majorBidi" w:cstheme="majorBidi"/>
          <w:b/>
          <w:bCs/>
        </w:rPr>
        <w:t xml:space="preserve"> </w:t>
      </w:r>
      <w:r w:rsidRPr="00917741">
        <w:rPr>
          <w:rFonts w:asciiTheme="majorBidi" w:hAnsiTheme="majorBidi" w:cstheme="majorBidi"/>
        </w:rPr>
        <w:t xml:space="preserve">r is the number of co-integrating vectors. (2) * represents the significance at the 5% level. (3) ** (Mackinnon et al. 1999, p. 570). </w:t>
      </w:r>
      <w:r w:rsidRPr="00917741">
        <w:rPr>
          <w:rFonts w:ascii="Times New Roman" w:hAnsi="Times New Roman" w:cs="Times New Roman"/>
          <w:color w:val="000000"/>
        </w:rPr>
        <w:t xml:space="preserve">The output of co-integration </w:t>
      </w:r>
      <w:r w:rsidRPr="00917741">
        <w:rPr>
          <w:rFonts w:asciiTheme="majorBidi" w:hAnsiTheme="majorBidi" w:cstheme="majorBidi"/>
          <w:lang w:val="en-US"/>
        </w:rPr>
        <w:t xml:space="preserve">test statistics extracted from E-views econometric software package version 7.2.  </w:t>
      </w:r>
      <w:r w:rsidRPr="00917741">
        <w:rPr>
          <w:rFonts w:asciiTheme="majorBidi" w:hAnsiTheme="majorBidi" w:cstheme="majorBidi"/>
          <w:sz w:val="24"/>
          <w:szCs w:val="24"/>
        </w:rPr>
        <w:t xml:space="preserve">      </w:t>
      </w:r>
    </w:p>
    <w:p w:rsidR="005975DF" w:rsidRDefault="005975DF" w:rsidP="005975DF">
      <w:pPr>
        <w:tabs>
          <w:tab w:val="left" w:pos="1677"/>
          <w:tab w:val="left" w:pos="3702"/>
        </w:tabs>
        <w:spacing w:after="0" w:line="240" w:lineRule="auto"/>
        <w:jc w:val="both"/>
        <w:rPr>
          <w:rFonts w:asciiTheme="majorBidi" w:hAnsiTheme="majorBidi" w:cstheme="majorBidi"/>
          <w:sz w:val="24"/>
          <w:szCs w:val="24"/>
        </w:rPr>
      </w:pPr>
    </w:p>
    <w:p w:rsidR="00AD508F" w:rsidRPr="00AD508F" w:rsidRDefault="00AD508F" w:rsidP="003D29DA">
      <w:pPr>
        <w:tabs>
          <w:tab w:val="left" w:pos="1677"/>
          <w:tab w:val="left" w:pos="3702"/>
        </w:tabs>
        <w:spacing w:after="0" w:line="240" w:lineRule="auto"/>
        <w:jc w:val="both"/>
        <w:rPr>
          <w:rFonts w:asciiTheme="majorBidi" w:hAnsiTheme="majorBidi" w:cstheme="majorBidi"/>
          <w:i/>
          <w:iCs/>
          <w:sz w:val="24"/>
          <w:szCs w:val="24"/>
        </w:rPr>
      </w:pPr>
      <w:r w:rsidRPr="00AD508F">
        <w:rPr>
          <w:rFonts w:asciiTheme="majorBidi" w:hAnsiTheme="majorBidi" w:cstheme="majorBidi"/>
          <w:i/>
          <w:iCs/>
          <w:sz w:val="24"/>
          <w:szCs w:val="24"/>
        </w:rPr>
        <w:t>4.4. VECM analysis</w:t>
      </w:r>
    </w:p>
    <w:p w:rsidR="00482842" w:rsidRDefault="00E43B5D" w:rsidP="003D29DA">
      <w:pPr>
        <w:tabs>
          <w:tab w:val="left" w:pos="1677"/>
          <w:tab w:val="left" w:pos="3702"/>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Table 5 </w:t>
      </w:r>
      <w:r w:rsidR="00FC73C4">
        <w:rPr>
          <w:rFonts w:asciiTheme="majorBidi" w:hAnsiTheme="majorBidi" w:cstheme="majorBidi"/>
          <w:sz w:val="24"/>
          <w:szCs w:val="24"/>
        </w:rPr>
        <w:t xml:space="preserve">indicates that the coefficient of </w:t>
      </w:r>
      <w:r w:rsidR="00654E84">
        <w:rPr>
          <w:rFonts w:asciiTheme="majorBidi" w:hAnsiTheme="majorBidi" w:cstheme="majorBidi"/>
          <w:sz w:val="24"/>
          <w:szCs w:val="24"/>
        </w:rPr>
        <w:t>the error-</w:t>
      </w:r>
      <w:r w:rsidR="00FC73C4">
        <w:rPr>
          <w:rFonts w:asciiTheme="majorBidi" w:hAnsiTheme="majorBidi" w:cstheme="majorBidi"/>
          <w:sz w:val="24"/>
          <w:szCs w:val="24"/>
        </w:rPr>
        <w:t>correction term (ecm</w:t>
      </w:r>
      <w:r w:rsidR="00FC73C4" w:rsidRPr="00FC73C4">
        <w:rPr>
          <w:rFonts w:asciiTheme="majorBidi" w:hAnsiTheme="majorBidi" w:cstheme="majorBidi"/>
          <w:sz w:val="24"/>
          <w:szCs w:val="24"/>
          <w:vertAlign w:val="subscript"/>
        </w:rPr>
        <w:t>t-1</w:t>
      </w:r>
      <w:r w:rsidR="00FC73C4">
        <w:rPr>
          <w:rFonts w:asciiTheme="majorBidi" w:hAnsiTheme="majorBidi" w:cstheme="majorBidi"/>
          <w:sz w:val="24"/>
          <w:szCs w:val="24"/>
        </w:rPr>
        <w:t>) is -0.84</w:t>
      </w:r>
      <w:r w:rsidR="00654E84">
        <w:rPr>
          <w:rFonts w:asciiTheme="majorBidi" w:hAnsiTheme="majorBidi" w:cstheme="majorBidi"/>
          <w:sz w:val="24"/>
          <w:szCs w:val="24"/>
        </w:rPr>
        <w:t>,</w:t>
      </w:r>
      <w:r w:rsidR="00FC73C4">
        <w:rPr>
          <w:rFonts w:asciiTheme="majorBidi" w:hAnsiTheme="majorBidi" w:cstheme="majorBidi"/>
          <w:sz w:val="24"/>
          <w:szCs w:val="24"/>
        </w:rPr>
        <w:t xml:space="preserve"> with </w:t>
      </w:r>
      <w:r w:rsidR="00654E84">
        <w:rPr>
          <w:rFonts w:asciiTheme="majorBidi" w:hAnsiTheme="majorBidi" w:cstheme="majorBidi"/>
          <w:sz w:val="24"/>
          <w:szCs w:val="24"/>
        </w:rPr>
        <w:t>an</w:t>
      </w:r>
      <w:r w:rsidR="00FC73C4">
        <w:rPr>
          <w:rFonts w:asciiTheme="majorBidi" w:hAnsiTheme="majorBidi" w:cstheme="majorBidi"/>
          <w:sz w:val="24"/>
          <w:szCs w:val="24"/>
        </w:rPr>
        <w:t xml:space="preserve"> accurate sign and </w:t>
      </w:r>
      <w:r w:rsidR="00654E84">
        <w:rPr>
          <w:rFonts w:asciiTheme="majorBidi" w:hAnsiTheme="majorBidi" w:cstheme="majorBidi"/>
          <w:sz w:val="24"/>
          <w:szCs w:val="24"/>
        </w:rPr>
        <w:t xml:space="preserve">high significance </w:t>
      </w:r>
      <w:r w:rsidR="00811A3A">
        <w:rPr>
          <w:rFonts w:asciiTheme="majorBidi" w:hAnsiTheme="majorBidi" w:cstheme="majorBidi"/>
          <w:sz w:val="24"/>
          <w:szCs w:val="24"/>
        </w:rPr>
        <w:t xml:space="preserve">at the 1 per cent </w:t>
      </w:r>
      <w:r w:rsidR="00FC73C4">
        <w:rPr>
          <w:rFonts w:asciiTheme="majorBidi" w:hAnsiTheme="majorBidi" w:cstheme="majorBidi"/>
          <w:sz w:val="24"/>
          <w:szCs w:val="24"/>
        </w:rPr>
        <w:t xml:space="preserve">level. However, </w:t>
      </w:r>
      <w:r w:rsidR="001B7A8B">
        <w:rPr>
          <w:rFonts w:asciiTheme="majorBidi" w:hAnsiTheme="majorBidi" w:cstheme="majorBidi"/>
          <w:sz w:val="24"/>
          <w:szCs w:val="24"/>
        </w:rPr>
        <w:t>the ecm</w:t>
      </w:r>
      <w:r w:rsidR="001B7A8B" w:rsidRPr="001B7A8B">
        <w:rPr>
          <w:rFonts w:asciiTheme="majorBidi" w:hAnsiTheme="majorBidi" w:cstheme="majorBidi"/>
          <w:sz w:val="24"/>
          <w:szCs w:val="24"/>
          <w:vertAlign w:val="subscript"/>
        </w:rPr>
        <w:t>t-1</w:t>
      </w:r>
      <w:r w:rsidR="001B7A8B">
        <w:rPr>
          <w:rFonts w:asciiTheme="majorBidi" w:hAnsiTheme="majorBidi" w:cstheme="majorBidi"/>
          <w:sz w:val="24"/>
          <w:szCs w:val="24"/>
        </w:rPr>
        <w:t xml:space="preserve"> coefficient </w:t>
      </w:r>
      <w:r w:rsidR="00D02615">
        <w:rPr>
          <w:rFonts w:asciiTheme="majorBidi" w:hAnsiTheme="majorBidi" w:cstheme="majorBidi"/>
          <w:sz w:val="24"/>
          <w:szCs w:val="24"/>
        </w:rPr>
        <w:t xml:space="preserve">implies that any disequilibrium in the LKLCI </w:t>
      </w:r>
      <w:r w:rsidR="00654E84">
        <w:rPr>
          <w:rFonts w:asciiTheme="majorBidi" w:hAnsiTheme="majorBidi" w:cstheme="majorBidi"/>
          <w:sz w:val="24"/>
          <w:szCs w:val="24"/>
        </w:rPr>
        <w:t xml:space="preserve">of </w:t>
      </w:r>
      <w:r w:rsidR="00D02615">
        <w:rPr>
          <w:rFonts w:asciiTheme="majorBidi" w:hAnsiTheme="majorBidi" w:cstheme="majorBidi"/>
          <w:sz w:val="24"/>
          <w:szCs w:val="24"/>
        </w:rPr>
        <w:t>201</w:t>
      </w:r>
      <w:r w:rsidR="0078185B">
        <w:rPr>
          <w:rFonts w:asciiTheme="majorBidi" w:hAnsiTheme="majorBidi" w:cstheme="majorBidi"/>
          <w:sz w:val="24"/>
          <w:szCs w:val="24"/>
        </w:rPr>
        <w:t>2</w:t>
      </w:r>
      <w:r w:rsidR="00654E84">
        <w:rPr>
          <w:rFonts w:asciiTheme="majorBidi" w:hAnsiTheme="majorBidi" w:cstheme="majorBidi"/>
          <w:sz w:val="24"/>
          <w:szCs w:val="24"/>
        </w:rPr>
        <w:t xml:space="preserve">’s shock would </w:t>
      </w:r>
      <w:r w:rsidR="00D02615">
        <w:rPr>
          <w:rFonts w:asciiTheme="majorBidi" w:hAnsiTheme="majorBidi" w:cstheme="majorBidi"/>
          <w:sz w:val="24"/>
          <w:szCs w:val="24"/>
        </w:rPr>
        <w:t xml:space="preserve">shortly </w:t>
      </w:r>
      <w:r w:rsidR="00654E84">
        <w:rPr>
          <w:rFonts w:asciiTheme="majorBidi" w:hAnsiTheme="majorBidi" w:cstheme="majorBidi"/>
          <w:sz w:val="24"/>
          <w:szCs w:val="24"/>
        </w:rPr>
        <w:t xml:space="preserve">be </w:t>
      </w:r>
      <w:r w:rsidR="00D02615">
        <w:rPr>
          <w:rFonts w:asciiTheme="majorBidi" w:hAnsiTheme="majorBidi" w:cstheme="majorBidi"/>
          <w:sz w:val="24"/>
          <w:szCs w:val="24"/>
        </w:rPr>
        <w:t>adjusted back to the</w:t>
      </w:r>
      <w:r w:rsidR="00654E84">
        <w:rPr>
          <w:rFonts w:asciiTheme="majorBidi" w:hAnsiTheme="majorBidi" w:cstheme="majorBidi"/>
          <w:sz w:val="24"/>
          <w:szCs w:val="24"/>
        </w:rPr>
        <w:t xml:space="preserve"> long-</w:t>
      </w:r>
      <w:r w:rsidR="00677AD6">
        <w:rPr>
          <w:rFonts w:asciiTheme="majorBidi" w:hAnsiTheme="majorBidi" w:cstheme="majorBidi"/>
          <w:sz w:val="24"/>
          <w:szCs w:val="24"/>
        </w:rPr>
        <w:t xml:space="preserve">run equilibrium in the current </w:t>
      </w:r>
      <w:r w:rsidR="00654E84">
        <w:rPr>
          <w:rFonts w:asciiTheme="majorBidi" w:hAnsiTheme="majorBidi" w:cstheme="majorBidi"/>
          <w:sz w:val="24"/>
          <w:szCs w:val="24"/>
        </w:rPr>
        <w:t xml:space="preserve">year (i.e., </w:t>
      </w:r>
      <w:r w:rsidR="0078185B">
        <w:rPr>
          <w:rFonts w:asciiTheme="majorBidi" w:hAnsiTheme="majorBidi" w:cstheme="majorBidi"/>
          <w:sz w:val="24"/>
          <w:szCs w:val="24"/>
        </w:rPr>
        <w:t>2013</w:t>
      </w:r>
      <w:r w:rsidR="00654E84">
        <w:rPr>
          <w:rFonts w:asciiTheme="majorBidi" w:hAnsiTheme="majorBidi" w:cstheme="majorBidi"/>
          <w:sz w:val="24"/>
          <w:szCs w:val="24"/>
        </w:rPr>
        <w:t>)</w:t>
      </w:r>
      <w:r w:rsidR="00D02615">
        <w:rPr>
          <w:rFonts w:asciiTheme="majorBidi" w:hAnsiTheme="majorBidi" w:cstheme="majorBidi"/>
          <w:sz w:val="24"/>
          <w:szCs w:val="24"/>
        </w:rPr>
        <w:t>.</w:t>
      </w:r>
    </w:p>
    <w:p w:rsidR="003D29DA" w:rsidRDefault="003D29DA" w:rsidP="003D29DA">
      <w:pPr>
        <w:tabs>
          <w:tab w:val="left" w:pos="1677"/>
          <w:tab w:val="left" w:pos="3702"/>
        </w:tabs>
        <w:spacing w:after="0" w:line="240" w:lineRule="auto"/>
        <w:jc w:val="both"/>
        <w:rPr>
          <w:rFonts w:asciiTheme="majorBidi" w:hAnsiTheme="majorBidi" w:cstheme="majorBidi"/>
          <w:sz w:val="24"/>
          <w:szCs w:val="24"/>
        </w:rPr>
      </w:pPr>
    </w:p>
    <w:p w:rsidR="000C4D08" w:rsidRDefault="00B44F5E" w:rsidP="00B44F5E">
      <w:pPr>
        <w:tabs>
          <w:tab w:val="left" w:pos="1677"/>
          <w:tab w:val="left" w:pos="3702"/>
        </w:tabs>
        <w:spacing w:after="0" w:line="240" w:lineRule="auto"/>
        <w:jc w:val="both"/>
        <w:rPr>
          <w:rFonts w:asciiTheme="majorBidi" w:hAnsiTheme="majorBidi" w:cstheme="majorBidi"/>
          <w:sz w:val="24"/>
          <w:szCs w:val="24"/>
        </w:rPr>
      </w:pPr>
      <w:r>
        <w:rPr>
          <w:rFonts w:asciiTheme="majorBidi" w:hAnsiTheme="majorBidi" w:cstheme="majorBidi"/>
          <w:b/>
          <w:bCs/>
          <w:sz w:val="24"/>
          <w:szCs w:val="24"/>
        </w:rPr>
        <w:t>Table 5</w:t>
      </w:r>
      <w:r w:rsidRPr="00DD07B3">
        <w:rPr>
          <w:rFonts w:asciiTheme="majorBidi" w:hAnsiTheme="majorBidi" w:cstheme="majorBidi"/>
          <w:b/>
          <w:bCs/>
          <w:sz w:val="24"/>
          <w:szCs w:val="24"/>
        </w:rPr>
        <w:t xml:space="preserve"> </w:t>
      </w:r>
    </w:p>
    <w:p w:rsidR="00085140" w:rsidRDefault="00085140" w:rsidP="00B44F5E">
      <w:pPr>
        <w:tabs>
          <w:tab w:val="left" w:pos="1677"/>
          <w:tab w:val="left" w:pos="3702"/>
        </w:tabs>
        <w:spacing w:after="0"/>
        <w:jc w:val="both"/>
        <w:rPr>
          <w:rFonts w:asciiTheme="majorBidi" w:hAnsiTheme="majorBidi" w:cstheme="majorBidi"/>
          <w:sz w:val="24"/>
          <w:szCs w:val="24"/>
        </w:rPr>
      </w:pPr>
      <w:r>
        <w:rPr>
          <w:rFonts w:asciiTheme="majorBidi" w:hAnsiTheme="majorBidi" w:cstheme="majorBidi"/>
          <w:sz w:val="24"/>
          <w:szCs w:val="24"/>
        </w:rPr>
        <w:t xml:space="preserve">VECM results for LKLCI (dependent variable). </w:t>
      </w:r>
    </w:p>
    <w:tbl>
      <w:tblPr>
        <w:tblStyle w:val="TableGrid"/>
        <w:tblW w:w="0" w:type="auto"/>
        <w:tblInd w:w="108" w:type="dxa"/>
        <w:tblLook w:val="04A0" w:firstRow="1" w:lastRow="0" w:firstColumn="1" w:lastColumn="0" w:noHBand="0" w:noVBand="1"/>
      </w:tblPr>
      <w:tblGrid>
        <w:gridCol w:w="2365"/>
        <w:gridCol w:w="3145"/>
        <w:gridCol w:w="1863"/>
        <w:gridCol w:w="1761"/>
      </w:tblGrid>
      <w:tr w:rsidR="00085140" w:rsidTr="00917741">
        <w:tc>
          <w:tcPr>
            <w:tcW w:w="2410" w:type="dxa"/>
            <w:tcBorders>
              <w:left w:val="nil"/>
              <w:bottom w:val="single" w:sz="4" w:space="0" w:color="auto"/>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Independent variables</w:t>
            </w:r>
          </w:p>
        </w:tc>
        <w:tc>
          <w:tcPr>
            <w:tcW w:w="3227" w:type="dxa"/>
            <w:tcBorders>
              <w:left w:val="nil"/>
              <w:bottom w:val="single" w:sz="4" w:space="0" w:color="auto"/>
              <w:right w:val="nil"/>
            </w:tcBorders>
            <w:vAlign w:val="center"/>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Coefficients</w:t>
            </w:r>
          </w:p>
        </w:tc>
        <w:tc>
          <w:tcPr>
            <w:tcW w:w="1915" w:type="dxa"/>
            <w:tcBorders>
              <w:left w:val="nil"/>
              <w:bottom w:val="single" w:sz="4" w:space="0" w:color="auto"/>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t-ratios</w:t>
            </w:r>
          </w:p>
        </w:tc>
        <w:tc>
          <w:tcPr>
            <w:tcW w:w="1804" w:type="dxa"/>
            <w:tcBorders>
              <w:left w:val="nil"/>
              <w:bottom w:val="single" w:sz="4" w:space="0" w:color="auto"/>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P-values</w:t>
            </w:r>
          </w:p>
        </w:tc>
      </w:tr>
      <w:tr w:rsidR="00AD508F" w:rsidTr="00917741">
        <w:tc>
          <w:tcPr>
            <w:tcW w:w="2410" w:type="dxa"/>
            <w:tcBorders>
              <w:left w:val="nil"/>
              <w:bottom w:val="nil"/>
              <w:right w:val="nil"/>
            </w:tcBorders>
            <w:vAlign w:val="center"/>
          </w:tcPr>
          <w:p w:rsidR="00085140" w:rsidRDefault="00085140" w:rsidP="00731A65">
            <w:pPr>
              <w:rPr>
                <w:rFonts w:asciiTheme="majorBidi" w:hAnsiTheme="majorBidi" w:cstheme="majorBidi"/>
                <w:sz w:val="24"/>
                <w:szCs w:val="24"/>
                <w:lang w:val="en-US"/>
              </w:rPr>
            </w:pPr>
            <w:r>
              <w:rPr>
                <w:rFonts w:asciiTheme="majorBidi" w:hAnsiTheme="majorBidi" w:cstheme="majorBidi"/>
                <w:sz w:val="24"/>
                <w:szCs w:val="24"/>
                <w:lang w:val="en-US"/>
              </w:rPr>
              <w:t>∆LIFR</w:t>
            </w:r>
          </w:p>
        </w:tc>
        <w:tc>
          <w:tcPr>
            <w:tcW w:w="3227" w:type="dxa"/>
            <w:tcBorders>
              <w:left w:val="nil"/>
              <w:bottom w:val="nil"/>
              <w:right w:val="nil"/>
            </w:tcBorders>
          </w:tcPr>
          <w:p w:rsidR="00085140" w:rsidRPr="00C9003E" w:rsidRDefault="00085140" w:rsidP="00731A65">
            <w:pPr>
              <w:tabs>
                <w:tab w:val="left" w:pos="1677"/>
                <w:tab w:val="left" w:pos="3702"/>
              </w:tabs>
              <w:jc w:val="center"/>
              <w:rPr>
                <w:rFonts w:asciiTheme="majorBidi" w:hAnsiTheme="majorBidi" w:cstheme="majorBidi"/>
                <w:sz w:val="24"/>
                <w:szCs w:val="24"/>
                <w:vertAlign w:val="superscript"/>
              </w:rPr>
            </w:pPr>
            <w:r>
              <w:rPr>
                <w:rFonts w:asciiTheme="majorBidi" w:hAnsiTheme="majorBidi" w:cstheme="majorBidi"/>
                <w:sz w:val="24"/>
                <w:szCs w:val="24"/>
              </w:rPr>
              <w:t>-1.82</w:t>
            </w:r>
            <w:r w:rsidRPr="009101D6">
              <w:rPr>
                <w:rFonts w:asciiTheme="majorBidi" w:hAnsiTheme="majorBidi" w:cstheme="majorBidi"/>
                <w:i/>
                <w:iCs/>
                <w:sz w:val="24"/>
                <w:szCs w:val="24"/>
                <w:vertAlign w:val="superscript"/>
              </w:rPr>
              <w:t>*</w:t>
            </w:r>
          </w:p>
        </w:tc>
        <w:tc>
          <w:tcPr>
            <w:tcW w:w="1915" w:type="dxa"/>
            <w:tcBorders>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-11.87</w:t>
            </w:r>
          </w:p>
        </w:tc>
        <w:tc>
          <w:tcPr>
            <w:tcW w:w="1804" w:type="dxa"/>
            <w:tcBorders>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0.01</w:t>
            </w:r>
          </w:p>
        </w:tc>
      </w:tr>
      <w:tr w:rsidR="00917741" w:rsidTr="00917741">
        <w:tc>
          <w:tcPr>
            <w:tcW w:w="2410"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∆LIR</w:t>
            </w:r>
          </w:p>
        </w:tc>
        <w:tc>
          <w:tcPr>
            <w:tcW w:w="3227" w:type="dxa"/>
            <w:tcBorders>
              <w:top w:val="nil"/>
              <w:left w:val="nil"/>
              <w:bottom w:val="nil"/>
              <w:right w:val="nil"/>
            </w:tcBorders>
          </w:tcPr>
          <w:p w:rsidR="00085140" w:rsidRPr="00C9003E" w:rsidRDefault="00085140" w:rsidP="00731A65">
            <w:pPr>
              <w:tabs>
                <w:tab w:val="left" w:pos="1677"/>
                <w:tab w:val="left" w:pos="3702"/>
              </w:tabs>
              <w:jc w:val="center"/>
              <w:rPr>
                <w:rFonts w:asciiTheme="majorBidi" w:hAnsiTheme="majorBidi" w:cstheme="majorBidi"/>
                <w:sz w:val="24"/>
                <w:szCs w:val="24"/>
                <w:vertAlign w:val="superscript"/>
              </w:rPr>
            </w:pPr>
            <w:r>
              <w:rPr>
                <w:rFonts w:asciiTheme="majorBidi" w:hAnsiTheme="majorBidi" w:cstheme="majorBidi"/>
                <w:sz w:val="24"/>
                <w:szCs w:val="24"/>
              </w:rPr>
              <w:t>-2.33</w:t>
            </w:r>
            <w:r w:rsidRPr="009101D6">
              <w:rPr>
                <w:rFonts w:asciiTheme="majorBidi" w:hAnsiTheme="majorBidi" w:cstheme="majorBidi"/>
                <w:i/>
                <w:iCs/>
                <w:sz w:val="24"/>
                <w:szCs w:val="24"/>
                <w:vertAlign w:val="superscript"/>
              </w:rPr>
              <w:t>*</w:t>
            </w:r>
          </w:p>
        </w:tc>
        <w:tc>
          <w:tcPr>
            <w:tcW w:w="1915"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-15.89</w:t>
            </w:r>
          </w:p>
        </w:tc>
        <w:tc>
          <w:tcPr>
            <w:tcW w:w="1804"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0.00</w:t>
            </w:r>
          </w:p>
        </w:tc>
      </w:tr>
      <w:tr w:rsidR="00917741" w:rsidTr="00917741">
        <w:tc>
          <w:tcPr>
            <w:tcW w:w="2410"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∆LM3</w:t>
            </w:r>
          </w:p>
        </w:tc>
        <w:tc>
          <w:tcPr>
            <w:tcW w:w="3227" w:type="dxa"/>
            <w:tcBorders>
              <w:top w:val="nil"/>
              <w:left w:val="nil"/>
              <w:bottom w:val="nil"/>
              <w:right w:val="nil"/>
            </w:tcBorders>
          </w:tcPr>
          <w:p w:rsidR="00085140" w:rsidRPr="00C9003E" w:rsidRDefault="00085140" w:rsidP="00731A65">
            <w:pPr>
              <w:tabs>
                <w:tab w:val="left" w:pos="1677"/>
                <w:tab w:val="left" w:pos="3702"/>
              </w:tabs>
              <w:jc w:val="center"/>
              <w:rPr>
                <w:rFonts w:asciiTheme="majorBidi" w:hAnsiTheme="majorBidi" w:cstheme="majorBidi"/>
                <w:sz w:val="24"/>
                <w:szCs w:val="24"/>
                <w:vertAlign w:val="superscript"/>
              </w:rPr>
            </w:pPr>
            <w:r>
              <w:rPr>
                <w:rFonts w:asciiTheme="majorBidi" w:hAnsiTheme="majorBidi" w:cstheme="majorBidi"/>
                <w:sz w:val="24"/>
                <w:szCs w:val="24"/>
              </w:rPr>
              <w:t xml:space="preserve">  3.10</w:t>
            </w:r>
            <w:r w:rsidRPr="009101D6">
              <w:rPr>
                <w:rFonts w:asciiTheme="majorBidi" w:hAnsiTheme="majorBidi" w:cstheme="majorBidi"/>
                <w:i/>
                <w:iCs/>
                <w:sz w:val="24"/>
                <w:szCs w:val="24"/>
                <w:vertAlign w:val="superscript"/>
              </w:rPr>
              <w:t>**</w:t>
            </w:r>
          </w:p>
        </w:tc>
        <w:tc>
          <w:tcPr>
            <w:tcW w:w="1915"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6.78</w:t>
            </w:r>
          </w:p>
        </w:tc>
        <w:tc>
          <w:tcPr>
            <w:tcW w:w="1804"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0.03</w:t>
            </w:r>
          </w:p>
        </w:tc>
      </w:tr>
      <w:tr w:rsidR="00917741" w:rsidTr="00917741">
        <w:tc>
          <w:tcPr>
            <w:tcW w:w="2410"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∆LGDP</w:t>
            </w:r>
          </w:p>
        </w:tc>
        <w:tc>
          <w:tcPr>
            <w:tcW w:w="3227" w:type="dxa"/>
            <w:tcBorders>
              <w:top w:val="nil"/>
              <w:left w:val="nil"/>
              <w:bottom w:val="nil"/>
              <w:right w:val="nil"/>
            </w:tcBorders>
          </w:tcPr>
          <w:p w:rsidR="00085140" w:rsidRPr="00C9003E" w:rsidRDefault="00085140" w:rsidP="00731A65">
            <w:pPr>
              <w:tabs>
                <w:tab w:val="left" w:pos="1677"/>
                <w:tab w:val="left" w:pos="3702"/>
              </w:tabs>
              <w:jc w:val="center"/>
              <w:rPr>
                <w:rFonts w:asciiTheme="majorBidi" w:hAnsiTheme="majorBidi" w:cstheme="majorBidi"/>
                <w:sz w:val="24"/>
                <w:szCs w:val="24"/>
                <w:vertAlign w:val="superscript"/>
              </w:rPr>
            </w:pPr>
            <w:r>
              <w:rPr>
                <w:rFonts w:asciiTheme="majorBidi" w:hAnsiTheme="majorBidi" w:cstheme="majorBidi"/>
                <w:sz w:val="24"/>
                <w:szCs w:val="24"/>
              </w:rPr>
              <w:t xml:space="preserve">  2.87</w:t>
            </w:r>
            <w:r w:rsidRPr="009101D6">
              <w:rPr>
                <w:rFonts w:asciiTheme="majorBidi" w:hAnsiTheme="majorBidi" w:cstheme="majorBidi"/>
                <w:i/>
                <w:iCs/>
                <w:sz w:val="24"/>
                <w:szCs w:val="24"/>
                <w:vertAlign w:val="superscript"/>
              </w:rPr>
              <w:t>**</w:t>
            </w:r>
          </w:p>
        </w:tc>
        <w:tc>
          <w:tcPr>
            <w:tcW w:w="1915"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7.86</w:t>
            </w:r>
          </w:p>
        </w:tc>
        <w:tc>
          <w:tcPr>
            <w:tcW w:w="1804"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0.04</w:t>
            </w:r>
          </w:p>
        </w:tc>
      </w:tr>
      <w:tr w:rsidR="00917741" w:rsidTr="00917741">
        <w:tc>
          <w:tcPr>
            <w:tcW w:w="2410"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ecm</w:t>
            </w:r>
            <w:r w:rsidRPr="006749E7">
              <w:rPr>
                <w:rFonts w:asciiTheme="majorBidi" w:hAnsiTheme="majorBidi" w:cstheme="majorBidi"/>
                <w:sz w:val="24"/>
                <w:szCs w:val="24"/>
                <w:vertAlign w:val="subscript"/>
              </w:rPr>
              <w:t>t-1</w:t>
            </w:r>
          </w:p>
        </w:tc>
        <w:tc>
          <w:tcPr>
            <w:tcW w:w="3227" w:type="dxa"/>
            <w:tcBorders>
              <w:top w:val="nil"/>
              <w:left w:val="nil"/>
              <w:bottom w:val="nil"/>
              <w:right w:val="nil"/>
            </w:tcBorders>
          </w:tcPr>
          <w:p w:rsidR="00085140" w:rsidRPr="00C9003E" w:rsidRDefault="00085140" w:rsidP="00731A65">
            <w:pPr>
              <w:tabs>
                <w:tab w:val="left" w:pos="1677"/>
                <w:tab w:val="left" w:pos="3702"/>
              </w:tabs>
              <w:jc w:val="center"/>
              <w:rPr>
                <w:rFonts w:asciiTheme="majorBidi" w:hAnsiTheme="majorBidi" w:cstheme="majorBidi"/>
                <w:sz w:val="24"/>
                <w:szCs w:val="24"/>
                <w:vertAlign w:val="superscript"/>
              </w:rPr>
            </w:pPr>
            <w:r>
              <w:rPr>
                <w:rFonts w:asciiTheme="majorBidi" w:hAnsiTheme="majorBidi" w:cstheme="majorBidi"/>
                <w:sz w:val="24"/>
                <w:szCs w:val="24"/>
              </w:rPr>
              <w:t>-0.84</w:t>
            </w:r>
            <w:r w:rsidRPr="009101D6">
              <w:rPr>
                <w:rFonts w:asciiTheme="majorBidi" w:hAnsiTheme="majorBidi" w:cstheme="majorBidi"/>
                <w:i/>
                <w:iCs/>
                <w:sz w:val="24"/>
                <w:szCs w:val="24"/>
                <w:vertAlign w:val="superscript"/>
              </w:rPr>
              <w:t>*</w:t>
            </w:r>
          </w:p>
        </w:tc>
        <w:tc>
          <w:tcPr>
            <w:tcW w:w="1915"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-3.60</w:t>
            </w:r>
          </w:p>
        </w:tc>
        <w:tc>
          <w:tcPr>
            <w:tcW w:w="1804"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0.00</w:t>
            </w:r>
          </w:p>
        </w:tc>
      </w:tr>
      <w:tr w:rsidR="00917741" w:rsidTr="00917741">
        <w:tc>
          <w:tcPr>
            <w:tcW w:w="2410" w:type="dxa"/>
            <w:tcBorders>
              <w:top w:val="nil"/>
              <w:left w:val="nil"/>
              <w:bottom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p>
        </w:tc>
        <w:tc>
          <w:tcPr>
            <w:tcW w:w="3227"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Diagnostic tests</w:t>
            </w:r>
          </w:p>
        </w:tc>
        <w:tc>
          <w:tcPr>
            <w:tcW w:w="1915"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p>
        </w:tc>
        <w:tc>
          <w:tcPr>
            <w:tcW w:w="1804"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p>
        </w:tc>
      </w:tr>
      <w:tr w:rsidR="00AD508F" w:rsidTr="00917741">
        <w:tc>
          <w:tcPr>
            <w:tcW w:w="2410" w:type="dxa"/>
            <w:tcBorders>
              <w:top w:val="nil"/>
              <w:left w:val="nil"/>
              <w:bottom w:val="nil"/>
              <w:right w:val="nil"/>
            </w:tcBorders>
          </w:tcPr>
          <w:p w:rsidR="00085140" w:rsidRPr="006749E7" w:rsidRDefault="00085140" w:rsidP="00731A65">
            <w:pPr>
              <w:tabs>
                <w:tab w:val="left" w:pos="1677"/>
                <w:tab w:val="left" w:pos="3702"/>
              </w:tabs>
              <w:jc w:val="both"/>
              <w:rPr>
                <w:rFonts w:asciiTheme="majorBidi" w:hAnsiTheme="majorBidi" w:cstheme="majorBidi"/>
                <w:sz w:val="24"/>
                <w:szCs w:val="24"/>
                <w:vertAlign w:val="superscript"/>
              </w:rPr>
            </w:pPr>
            <w:r>
              <w:rPr>
                <w:rFonts w:asciiTheme="majorBidi" w:hAnsiTheme="majorBidi" w:cstheme="majorBidi"/>
                <w:sz w:val="24"/>
                <w:szCs w:val="24"/>
              </w:rPr>
              <w:t>R</w:t>
            </w:r>
            <w:r>
              <w:rPr>
                <w:rFonts w:asciiTheme="majorBidi" w:hAnsiTheme="majorBidi" w:cstheme="majorBidi"/>
                <w:sz w:val="24"/>
                <w:szCs w:val="24"/>
                <w:vertAlign w:val="superscript"/>
              </w:rPr>
              <w:t>2</w:t>
            </w:r>
          </w:p>
        </w:tc>
        <w:tc>
          <w:tcPr>
            <w:tcW w:w="3227"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0.81</w:t>
            </w:r>
          </w:p>
        </w:tc>
        <w:tc>
          <w:tcPr>
            <w:tcW w:w="1915"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p>
        </w:tc>
        <w:tc>
          <w:tcPr>
            <w:tcW w:w="1804" w:type="dxa"/>
            <w:tcBorders>
              <w:top w:val="nil"/>
              <w:left w:val="nil"/>
              <w:bottom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p>
        </w:tc>
      </w:tr>
      <w:tr w:rsidR="00085140" w:rsidTr="00917741">
        <w:tc>
          <w:tcPr>
            <w:tcW w:w="2410" w:type="dxa"/>
            <w:tcBorders>
              <w:top w:val="nil"/>
              <w:left w:val="nil"/>
              <w:right w:val="nil"/>
            </w:tcBorders>
          </w:tcPr>
          <w:p w:rsidR="00085140" w:rsidRDefault="00085140" w:rsidP="00731A65">
            <w:pPr>
              <w:tabs>
                <w:tab w:val="left" w:pos="1677"/>
                <w:tab w:val="left" w:pos="3702"/>
              </w:tabs>
              <w:jc w:val="both"/>
              <w:rPr>
                <w:rFonts w:asciiTheme="majorBidi" w:hAnsiTheme="majorBidi" w:cstheme="majorBidi"/>
                <w:sz w:val="24"/>
                <w:szCs w:val="24"/>
              </w:rPr>
            </w:pPr>
            <w:r>
              <w:rPr>
                <w:rFonts w:asciiTheme="majorBidi" w:hAnsiTheme="majorBidi" w:cstheme="majorBidi"/>
                <w:sz w:val="24"/>
                <w:szCs w:val="24"/>
              </w:rPr>
              <w:t>F-statistics</w:t>
            </w:r>
          </w:p>
        </w:tc>
        <w:tc>
          <w:tcPr>
            <w:tcW w:w="3227" w:type="dxa"/>
            <w:tcBorders>
              <w:top w:val="nil"/>
              <w:left w:val="nil"/>
              <w:right w:val="nil"/>
            </w:tcBorders>
          </w:tcPr>
          <w:p w:rsidR="00085140" w:rsidRPr="009101D6" w:rsidRDefault="00085140" w:rsidP="00731A65">
            <w:pPr>
              <w:tabs>
                <w:tab w:val="left" w:pos="1677"/>
                <w:tab w:val="left" w:pos="3702"/>
              </w:tabs>
              <w:jc w:val="center"/>
              <w:rPr>
                <w:rFonts w:asciiTheme="majorBidi" w:hAnsiTheme="majorBidi" w:cstheme="majorBidi"/>
                <w:sz w:val="24"/>
                <w:szCs w:val="24"/>
                <w:vertAlign w:val="superscript"/>
              </w:rPr>
            </w:pPr>
            <w:r>
              <w:rPr>
                <w:rFonts w:asciiTheme="majorBidi" w:hAnsiTheme="majorBidi" w:cstheme="majorBidi"/>
                <w:sz w:val="24"/>
                <w:szCs w:val="24"/>
              </w:rPr>
              <w:t>12.79</w:t>
            </w:r>
            <w:r w:rsidRPr="009101D6">
              <w:rPr>
                <w:rFonts w:asciiTheme="majorBidi" w:hAnsiTheme="majorBidi" w:cstheme="majorBidi"/>
                <w:i/>
                <w:iCs/>
                <w:sz w:val="24"/>
                <w:szCs w:val="24"/>
                <w:vertAlign w:val="superscript"/>
              </w:rPr>
              <w:t>*</w:t>
            </w:r>
          </w:p>
        </w:tc>
        <w:tc>
          <w:tcPr>
            <w:tcW w:w="1915" w:type="dxa"/>
            <w:tcBorders>
              <w:top w:val="nil"/>
              <w:left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p>
        </w:tc>
        <w:tc>
          <w:tcPr>
            <w:tcW w:w="1804" w:type="dxa"/>
            <w:tcBorders>
              <w:top w:val="nil"/>
              <w:left w:val="nil"/>
              <w:right w:val="nil"/>
            </w:tcBorders>
          </w:tcPr>
          <w:p w:rsidR="00085140" w:rsidRDefault="00085140" w:rsidP="00731A65">
            <w:pPr>
              <w:tabs>
                <w:tab w:val="left" w:pos="1677"/>
                <w:tab w:val="left" w:pos="3702"/>
              </w:tabs>
              <w:jc w:val="center"/>
              <w:rPr>
                <w:rFonts w:asciiTheme="majorBidi" w:hAnsiTheme="majorBidi" w:cstheme="majorBidi"/>
                <w:sz w:val="24"/>
                <w:szCs w:val="24"/>
              </w:rPr>
            </w:pPr>
            <w:r>
              <w:rPr>
                <w:rFonts w:asciiTheme="majorBidi" w:hAnsiTheme="majorBidi" w:cstheme="majorBidi"/>
                <w:sz w:val="24"/>
                <w:szCs w:val="24"/>
              </w:rPr>
              <w:t>0.00</w:t>
            </w:r>
          </w:p>
        </w:tc>
      </w:tr>
    </w:tbl>
    <w:p w:rsidR="005975DF" w:rsidRDefault="00085140" w:rsidP="005975DF">
      <w:pPr>
        <w:tabs>
          <w:tab w:val="left" w:pos="1677"/>
          <w:tab w:val="left" w:pos="3702"/>
        </w:tabs>
        <w:spacing w:after="0" w:line="240" w:lineRule="auto"/>
        <w:jc w:val="both"/>
        <w:rPr>
          <w:rFonts w:asciiTheme="majorBidi" w:hAnsiTheme="majorBidi" w:cstheme="majorBidi"/>
        </w:rPr>
      </w:pPr>
      <w:r w:rsidRPr="00917741">
        <w:rPr>
          <w:rFonts w:asciiTheme="majorBidi" w:hAnsiTheme="majorBidi" w:cstheme="majorBidi"/>
          <w:b/>
          <w:bCs/>
        </w:rPr>
        <w:t>Notes:</w:t>
      </w:r>
      <w:r w:rsidRPr="00917741">
        <w:rPr>
          <w:rFonts w:asciiTheme="majorBidi" w:hAnsiTheme="majorBidi" w:cstheme="majorBidi"/>
        </w:rPr>
        <w:t xml:space="preserve"> (1) *, ** denote the significance at the 1% and 5% levels, respectively. The output of VECM results extracted from Micro-fit econometric software package version 4.1.</w:t>
      </w:r>
    </w:p>
    <w:p w:rsidR="00CB088D" w:rsidRPr="005975DF" w:rsidRDefault="00FC73C4" w:rsidP="005975DF">
      <w:pPr>
        <w:tabs>
          <w:tab w:val="left" w:pos="1677"/>
          <w:tab w:val="left" w:pos="3702"/>
        </w:tabs>
        <w:spacing w:after="0" w:line="240" w:lineRule="auto"/>
        <w:jc w:val="both"/>
        <w:rPr>
          <w:rFonts w:asciiTheme="majorBidi" w:hAnsiTheme="majorBidi" w:cstheme="majorBidi"/>
        </w:rPr>
      </w:pPr>
      <w:r>
        <w:rPr>
          <w:rFonts w:asciiTheme="majorBidi" w:hAnsiTheme="majorBidi" w:cstheme="majorBidi"/>
          <w:sz w:val="24"/>
          <w:szCs w:val="24"/>
        </w:rPr>
        <w:t xml:space="preserve">   </w:t>
      </w:r>
      <w:r w:rsidR="00E43B5D">
        <w:rPr>
          <w:rFonts w:asciiTheme="majorBidi" w:hAnsiTheme="majorBidi" w:cstheme="majorBidi"/>
          <w:sz w:val="24"/>
          <w:szCs w:val="24"/>
        </w:rPr>
        <w:t xml:space="preserve"> </w:t>
      </w:r>
      <w:r w:rsidR="00512463">
        <w:rPr>
          <w:rFonts w:asciiTheme="majorBidi" w:hAnsiTheme="majorBidi" w:cstheme="majorBidi"/>
          <w:sz w:val="24"/>
          <w:szCs w:val="24"/>
        </w:rPr>
        <w:tab/>
      </w:r>
    </w:p>
    <w:p w:rsidR="00AD1AA9" w:rsidRDefault="00516BA2" w:rsidP="003D29DA">
      <w:pPr>
        <w:tabs>
          <w:tab w:val="left" w:pos="1677"/>
          <w:tab w:val="left" w:pos="3702"/>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Table 5 implies that </w:t>
      </w:r>
      <w:r>
        <w:rPr>
          <w:rFonts w:asciiTheme="majorBidi" w:hAnsiTheme="majorBidi" w:cstheme="majorBidi"/>
          <w:sz w:val="24"/>
          <w:szCs w:val="24"/>
          <w:lang w:val="en-US"/>
        </w:rPr>
        <w:t>∆LIFR</w:t>
      </w:r>
      <w:r w:rsidR="00FF0B38">
        <w:rPr>
          <w:rFonts w:asciiTheme="majorBidi" w:hAnsiTheme="majorBidi" w:cstheme="majorBidi"/>
          <w:sz w:val="24"/>
          <w:szCs w:val="24"/>
          <w:lang w:val="en-US"/>
        </w:rPr>
        <w:t xml:space="preserve"> </w:t>
      </w:r>
      <w:r w:rsidR="00CE5826">
        <w:rPr>
          <w:rFonts w:asciiTheme="majorBidi" w:hAnsiTheme="majorBidi" w:cstheme="majorBidi"/>
          <w:sz w:val="24"/>
          <w:szCs w:val="24"/>
          <w:lang w:val="en-US"/>
        </w:rPr>
        <w:t>is negatively associated with LKLCI. The increase of in</w:t>
      </w:r>
      <w:r w:rsidR="0035205F">
        <w:rPr>
          <w:rFonts w:asciiTheme="majorBidi" w:hAnsiTheme="majorBidi" w:cstheme="majorBidi"/>
          <w:sz w:val="24"/>
          <w:szCs w:val="24"/>
          <w:lang w:val="en-US"/>
        </w:rPr>
        <w:t xml:space="preserve">flation rates </w:t>
      </w:r>
      <w:r w:rsidR="00251FC9">
        <w:rPr>
          <w:rFonts w:asciiTheme="majorBidi" w:hAnsiTheme="majorBidi" w:cstheme="majorBidi"/>
          <w:sz w:val="24"/>
          <w:szCs w:val="24"/>
          <w:lang w:val="en-US"/>
        </w:rPr>
        <w:t xml:space="preserve">leads to </w:t>
      </w:r>
      <w:r w:rsidR="0035205F">
        <w:rPr>
          <w:rFonts w:asciiTheme="majorBidi" w:hAnsiTheme="majorBidi" w:cstheme="majorBidi"/>
          <w:sz w:val="24"/>
          <w:szCs w:val="24"/>
          <w:lang w:val="en-US"/>
        </w:rPr>
        <w:t>decrease</w:t>
      </w:r>
      <w:r w:rsidR="00251FC9">
        <w:rPr>
          <w:rFonts w:asciiTheme="majorBidi" w:hAnsiTheme="majorBidi" w:cstheme="majorBidi"/>
          <w:sz w:val="24"/>
          <w:szCs w:val="24"/>
          <w:lang w:val="en-US"/>
        </w:rPr>
        <w:t>d</w:t>
      </w:r>
      <w:r w:rsidR="00297A51">
        <w:rPr>
          <w:rFonts w:asciiTheme="majorBidi" w:hAnsiTheme="majorBidi" w:cstheme="majorBidi"/>
          <w:sz w:val="24"/>
          <w:szCs w:val="24"/>
          <w:lang w:val="en-US"/>
        </w:rPr>
        <w:t xml:space="preserve"> </w:t>
      </w:r>
      <w:r w:rsidR="00CE5826">
        <w:rPr>
          <w:rFonts w:asciiTheme="majorBidi" w:hAnsiTheme="majorBidi" w:cstheme="majorBidi"/>
          <w:sz w:val="24"/>
          <w:szCs w:val="24"/>
          <w:lang w:val="en-US"/>
        </w:rPr>
        <w:t>purchasing power</w:t>
      </w:r>
      <w:r w:rsidR="0035205F">
        <w:rPr>
          <w:rFonts w:asciiTheme="majorBidi" w:hAnsiTheme="majorBidi" w:cstheme="majorBidi"/>
          <w:sz w:val="24"/>
          <w:szCs w:val="24"/>
          <w:lang w:val="en-US"/>
        </w:rPr>
        <w:t>,</w:t>
      </w:r>
      <w:r w:rsidR="00CE5826">
        <w:rPr>
          <w:rFonts w:asciiTheme="majorBidi" w:hAnsiTheme="majorBidi" w:cstheme="majorBidi"/>
          <w:sz w:val="24"/>
          <w:szCs w:val="24"/>
          <w:lang w:val="en-US"/>
        </w:rPr>
        <w:t xml:space="preserve"> which in turn decreases stock prices</w:t>
      </w:r>
      <w:r w:rsidR="00BD3FC5">
        <w:rPr>
          <w:rFonts w:asciiTheme="majorBidi" w:hAnsiTheme="majorBidi" w:cstheme="majorBidi"/>
          <w:sz w:val="24"/>
          <w:szCs w:val="24"/>
          <w:lang w:val="en-US"/>
        </w:rPr>
        <w:t xml:space="preserve"> and vice versa</w:t>
      </w:r>
      <w:r w:rsidR="00CE5826">
        <w:rPr>
          <w:rFonts w:asciiTheme="majorBidi" w:hAnsiTheme="majorBidi" w:cstheme="majorBidi"/>
          <w:sz w:val="24"/>
          <w:szCs w:val="24"/>
          <w:lang w:val="en-US"/>
        </w:rPr>
        <w:t xml:space="preserve">. These results are similar to the results </w:t>
      </w:r>
      <w:r w:rsidR="0035205F">
        <w:rPr>
          <w:rFonts w:asciiTheme="majorBidi" w:hAnsiTheme="majorBidi" w:cstheme="majorBidi"/>
          <w:sz w:val="24"/>
          <w:szCs w:val="24"/>
          <w:lang w:val="en-US"/>
        </w:rPr>
        <w:t xml:space="preserve">obtained for the US </w:t>
      </w:r>
      <w:r w:rsidR="00AB2D48">
        <w:rPr>
          <w:rFonts w:asciiTheme="majorBidi" w:hAnsiTheme="majorBidi" w:cstheme="majorBidi"/>
          <w:sz w:val="24"/>
          <w:szCs w:val="24"/>
          <w:lang w:val="en-US"/>
        </w:rPr>
        <w:t>(</w:t>
      </w:r>
      <w:proofErr w:type="spellStart"/>
      <w:r w:rsidR="00CB3CF6">
        <w:rPr>
          <w:rFonts w:asciiTheme="majorBidi" w:hAnsiTheme="majorBidi" w:cstheme="majorBidi"/>
          <w:sz w:val="24"/>
          <w:szCs w:val="24"/>
        </w:rPr>
        <w:t>Fama</w:t>
      </w:r>
      <w:proofErr w:type="spellEnd"/>
      <w:r w:rsidR="00CB3CF6">
        <w:rPr>
          <w:rFonts w:asciiTheme="majorBidi" w:hAnsiTheme="majorBidi" w:cstheme="majorBidi"/>
          <w:sz w:val="24"/>
          <w:szCs w:val="24"/>
        </w:rPr>
        <w:t xml:space="preserve"> and Gibbons, 1982; </w:t>
      </w:r>
      <w:proofErr w:type="spellStart"/>
      <w:r w:rsidR="00CB3CF6">
        <w:rPr>
          <w:rFonts w:asciiTheme="majorBidi" w:hAnsiTheme="majorBidi" w:cstheme="majorBidi"/>
          <w:sz w:val="24"/>
          <w:szCs w:val="24"/>
        </w:rPr>
        <w:t>Fama</w:t>
      </w:r>
      <w:proofErr w:type="spellEnd"/>
      <w:r w:rsidR="00CB3CF6">
        <w:rPr>
          <w:rFonts w:asciiTheme="majorBidi" w:hAnsiTheme="majorBidi" w:cstheme="majorBidi"/>
          <w:sz w:val="24"/>
          <w:szCs w:val="24"/>
        </w:rPr>
        <w:t xml:space="preserve"> and </w:t>
      </w:r>
      <w:proofErr w:type="spellStart"/>
      <w:r w:rsidR="00AB2D48">
        <w:rPr>
          <w:rFonts w:asciiTheme="majorBidi" w:hAnsiTheme="majorBidi" w:cstheme="majorBidi"/>
          <w:sz w:val="24"/>
          <w:szCs w:val="24"/>
        </w:rPr>
        <w:t>Schwert</w:t>
      </w:r>
      <w:proofErr w:type="spellEnd"/>
      <w:r w:rsidR="00AB2D48">
        <w:rPr>
          <w:rFonts w:asciiTheme="majorBidi" w:hAnsiTheme="majorBidi" w:cstheme="majorBidi"/>
          <w:sz w:val="24"/>
          <w:szCs w:val="24"/>
        </w:rPr>
        <w:t xml:space="preserve">, </w:t>
      </w:r>
      <w:r w:rsidR="00AB2D48" w:rsidRPr="00E05192">
        <w:rPr>
          <w:rFonts w:asciiTheme="majorBidi" w:hAnsiTheme="majorBidi" w:cstheme="majorBidi"/>
          <w:sz w:val="24"/>
          <w:szCs w:val="24"/>
        </w:rPr>
        <w:t>1977</w:t>
      </w:r>
      <w:r w:rsidR="00CB3CF6">
        <w:rPr>
          <w:rFonts w:asciiTheme="majorBidi" w:hAnsiTheme="majorBidi" w:cstheme="majorBidi"/>
          <w:sz w:val="24"/>
          <w:szCs w:val="24"/>
        </w:rPr>
        <w:t xml:space="preserve">; </w:t>
      </w:r>
      <w:proofErr w:type="spellStart"/>
      <w:r w:rsidR="00CB3CF6">
        <w:rPr>
          <w:rFonts w:asciiTheme="majorBidi" w:hAnsiTheme="majorBidi" w:cstheme="majorBidi"/>
          <w:sz w:val="24"/>
          <w:szCs w:val="24"/>
        </w:rPr>
        <w:t>Geske</w:t>
      </w:r>
      <w:proofErr w:type="spellEnd"/>
      <w:r w:rsidR="00CB3CF6">
        <w:rPr>
          <w:rFonts w:asciiTheme="majorBidi" w:hAnsiTheme="majorBidi" w:cstheme="majorBidi"/>
          <w:sz w:val="24"/>
          <w:szCs w:val="24"/>
        </w:rPr>
        <w:t xml:space="preserve"> and </w:t>
      </w:r>
      <w:r w:rsidR="00AB2D48">
        <w:rPr>
          <w:rFonts w:asciiTheme="majorBidi" w:hAnsiTheme="majorBidi" w:cstheme="majorBidi"/>
          <w:sz w:val="24"/>
          <w:szCs w:val="24"/>
        </w:rPr>
        <w:t xml:space="preserve">Roll, 1983). In addition, the results are confirmed </w:t>
      </w:r>
      <w:r w:rsidR="00CE5826" w:rsidRPr="00E05192">
        <w:rPr>
          <w:rFonts w:asciiTheme="majorBidi" w:hAnsiTheme="majorBidi" w:cstheme="majorBidi"/>
          <w:sz w:val="24"/>
          <w:szCs w:val="24"/>
        </w:rPr>
        <w:t xml:space="preserve">with </w:t>
      </w:r>
      <w:proofErr w:type="spellStart"/>
      <w:r w:rsidR="00CE5826" w:rsidRPr="00E05192">
        <w:rPr>
          <w:rFonts w:asciiTheme="majorBidi" w:hAnsiTheme="majorBidi" w:cstheme="majorBidi"/>
          <w:sz w:val="24"/>
          <w:szCs w:val="24"/>
        </w:rPr>
        <w:t>Mundell</w:t>
      </w:r>
      <w:proofErr w:type="spellEnd"/>
      <w:r w:rsidR="00CE5826" w:rsidRPr="00E05192">
        <w:rPr>
          <w:rFonts w:asciiTheme="majorBidi" w:hAnsiTheme="majorBidi" w:cstheme="majorBidi"/>
          <w:sz w:val="24"/>
          <w:szCs w:val="24"/>
        </w:rPr>
        <w:t xml:space="preserve"> (1963) and Tobin (196</w:t>
      </w:r>
      <w:r w:rsidR="00CE5826">
        <w:rPr>
          <w:rFonts w:asciiTheme="majorBidi" w:hAnsiTheme="majorBidi" w:cstheme="majorBidi"/>
          <w:sz w:val="24"/>
          <w:szCs w:val="24"/>
        </w:rPr>
        <w:t xml:space="preserve">9) hypotheses that inflation rates </w:t>
      </w:r>
      <w:r w:rsidR="00CE5826" w:rsidRPr="00E05192">
        <w:rPr>
          <w:rFonts w:asciiTheme="majorBidi" w:hAnsiTheme="majorBidi" w:cstheme="majorBidi"/>
          <w:sz w:val="24"/>
          <w:szCs w:val="24"/>
        </w:rPr>
        <w:t>are negatively relat</w:t>
      </w:r>
      <w:r w:rsidR="00CE5826">
        <w:rPr>
          <w:rFonts w:asciiTheme="majorBidi" w:hAnsiTheme="majorBidi" w:cstheme="majorBidi"/>
          <w:sz w:val="24"/>
          <w:szCs w:val="24"/>
        </w:rPr>
        <w:t xml:space="preserve">ed to stock prices. </w:t>
      </w:r>
      <w:r w:rsidR="00E30044">
        <w:rPr>
          <w:rFonts w:asciiTheme="majorBidi" w:hAnsiTheme="majorBidi" w:cstheme="majorBidi"/>
          <w:sz w:val="24"/>
          <w:szCs w:val="24"/>
        </w:rPr>
        <w:t>Yet t</w:t>
      </w:r>
      <w:r w:rsidR="00AB2D48">
        <w:rPr>
          <w:rFonts w:asciiTheme="majorBidi" w:hAnsiTheme="majorBidi" w:cstheme="majorBidi"/>
          <w:sz w:val="24"/>
          <w:szCs w:val="24"/>
        </w:rPr>
        <w:t xml:space="preserve">he results </w:t>
      </w:r>
      <w:r w:rsidR="00E30044">
        <w:rPr>
          <w:rFonts w:asciiTheme="majorBidi" w:hAnsiTheme="majorBidi" w:cstheme="majorBidi"/>
          <w:sz w:val="24"/>
          <w:szCs w:val="24"/>
        </w:rPr>
        <w:t>contradict</w:t>
      </w:r>
      <w:r w:rsidR="00AB2D48">
        <w:rPr>
          <w:rFonts w:asciiTheme="majorBidi" w:hAnsiTheme="majorBidi" w:cstheme="majorBidi"/>
          <w:sz w:val="24"/>
          <w:szCs w:val="24"/>
        </w:rPr>
        <w:t xml:space="preserve"> the results obtained for </w:t>
      </w:r>
      <w:r w:rsidR="00CB3CF6">
        <w:rPr>
          <w:rFonts w:asciiTheme="majorBidi" w:hAnsiTheme="majorBidi" w:cstheme="majorBidi"/>
          <w:sz w:val="24"/>
          <w:szCs w:val="24"/>
        </w:rPr>
        <w:t xml:space="preserve">Malaysia (Ibrahim and </w:t>
      </w:r>
      <w:r w:rsidR="004A2943">
        <w:rPr>
          <w:rFonts w:asciiTheme="majorBidi" w:hAnsiTheme="majorBidi" w:cstheme="majorBidi"/>
          <w:sz w:val="24"/>
          <w:szCs w:val="24"/>
        </w:rPr>
        <w:t xml:space="preserve">Aziz, 2003; </w:t>
      </w:r>
      <w:proofErr w:type="spellStart"/>
      <w:r w:rsidR="004A2943">
        <w:rPr>
          <w:rFonts w:asciiTheme="majorBidi" w:hAnsiTheme="majorBidi" w:cstheme="majorBidi"/>
          <w:sz w:val="24"/>
          <w:szCs w:val="24"/>
        </w:rPr>
        <w:t>Khil</w:t>
      </w:r>
      <w:proofErr w:type="spellEnd"/>
      <w:r w:rsidR="004A2943">
        <w:rPr>
          <w:rFonts w:asciiTheme="majorBidi" w:hAnsiTheme="majorBidi" w:cstheme="majorBidi"/>
          <w:sz w:val="24"/>
          <w:szCs w:val="24"/>
        </w:rPr>
        <w:t xml:space="preserve"> </w:t>
      </w:r>
      <w:r w:rsidR="00CB3CF6">
        <w:rPr>
          <w:rFonts w:asciiTheme="majorBidi" w:hAnsiTheme="majorBidi" w:cstheme="majorBidi"/>
          <w:sz w:val="24"/>
          <w:szCs w:val="24"/>
        </w:rPr>
        <w:t xml:space="preserve">and </w:t>
      </w:r>
      <w:r w:rsidR="004A2943">
        <w:rPr>
          <w:rFonts w:asciiTheme="majorBidi" w:hAnsiTheme="majorBidi" w:cstheme="majorBidi"/>
          <w:sz w:val="24"/>
          <w:szCs w:val="24"/>
        </w:rPr>
        <w:t>Lee, 2000). ∆L</w:t>
      </w:r>
      <w:r w:rsidR="00297A51">
        <w:rPr>
          <w:rFonts w:asciiTheme="majorBidi" w:hAnsiTheme="majorBidi" w:cstheme="majorBidi"/>
          <w:sz w:val="24"/>
          <w:szCs w:val="24"/>
        </w:rPr>
        <w:t xml:space="preserve">IR is negatively related to </w:t>
      </w:r>
      <w:r w:rsidR="004A2943">
        <w:rPr>
          <w:rFonts w:asciiTheme="majorBidi" w:hAnsiTheme="majorBidi" w:cstheme="majorBidi"/>
          <w:sz w:val="24"/>
          <w:szCs w:val="24"/>
        </w:rPr>
        <w:t xml:space="preserve">LKLCI. The increase of deposit interest rates </w:t>
      </w:r>
      <w:r w:rsidR="00BD3FC5">
        <w:rPr>
          <w:rFonts w:asciiTheme="majorBidi" w:hAnsiTheme="majorBidi" w:cstheme="majorBidi"/>
          <w:sz w:val="24"/>
          <w:szCs w:val="24"/>
        </w:rPr>
        <w:t>decrease</w:t>
      </w:r>
      <w:r w:rsidR="00297A51">
        <w:rPr>
          <w:rFonts w:asciiTheme="majorBidi" w:hAnsiTheme="majorBidi" w:cstheme="majorBidi"/>
          <w:sz w:val="24"/>
          <w:szCs w:val="24"/>
        </w:rPr>
        <w:t>s</w:t>
      </w:r>
      <w:r w:rsidR="00BD3FC5">
        <w:rPr>
          <w:rFonts w:asciiTheme="majorBidi" w:hAnsiTheme="majorBidi" w:cstheme="majorBidi"/>
          <w:sz w:val="24"/>
          <w:szCs w:val="24"/>
        </w:rPr>
        <w:t xml:space="preserve"> money supply</w:t>
      </w:r>
      <w:r w:rsidR="00297A51">
        <w:rPr>
          <w:rFonts w:asciiTheme="majorBidi" w:hAnsiTheme="majorBidi" w:cstheme="majorBidi"/>
          <w:sz w:val="24"/>
          <w:szCs w:val="24"/>
        </w:rPr>
        <w:t>,</w:t>
      </w:r>
      <w:r w:rsidR="00BD3FC5">
        <w:rPr>
          <w:rFonts w:asciiTheme="majorBidi" w:hAnsiTheme="majorBidi" w:cstheme="majorBidi"/>
          <w:sz w:val="24"/>
          <w:szCs w:val="24"/>
        </w:rPr>
        <w:t xml:space="preserve"> which in turn decreases stock prices an</w:t>
      </w:r>
      <w:r w:rsidR="00297A51">
        <w:rPr>
          <w:rFonts w:asciiTheme="majorBidi" w:hAnsiTheme="majorBidi" w:cstheme="majorBidi"/>
          <w:sz w:val="24"/>
          <w:szCs w:val="24"/>
        </w:rPr>
        <w:t xml:space="preserve">d vice versa. These results confirmed </w:t>
      </w:r>
      <w:proofErr w:type="spellStart"/>
      <w:r w:rsidR="004A2943" w:rsidRPr="00E05192">
        <w:rPr>
          <w:rFonts w:asciiTheme="majorBidi" w:hAnsiTheme="majorBidi" w:cstheme="majorBidi"/>
          <w:sz w:val="24"/>
          <w:szCs w:val="24"/>
        </w:rPr>
        <w:t>Fama</w:t>
      </w:r>
      <w:r w:rsidR="00297A51">
        <w:rPr>
          <w:rFonts w:asciiTheme="majorBidi" w:hAnsiTheme="majorBidi" w:cstheme="majorBidi"/>
          <w:sz w:val="24"/>
          <w:szCs w:val="24"/>
        </w:rPr>
        <w:t>’s</w:t>
      </w:r>
      <w:proofErr w:type="spellEnd"/>
      <w:r w:rsidR="004A2943" w:rsidRPr="00E05192">
        <w:rPr>
          <w:rFonts w:asciiTheme="majorBidi" w:hAnsiTheme="majorBidi" w:cstheme="majorBidi"/>
          <w:sz w:val="24"/>
          <w:szCs w:val="24"/>
        </w:rPr>
        <w:t xml:space="preserve"> (1981) </w:t>
      </w:r>
      <w:r w:rsidR="00BD3FC5">
        <w:rPr>
          <w:rFonts w:asciiTheme="majorBidi" w:hAnsiTheme="majorBidi" w:cstheme="majorBidi"/>
          <w:sz w:val="24"/>
          <w:szCs w:val="24"/>
        </w:rPr>
        <w:t>hypothesis</w:t>
      </w:r>
      <w:r w:rsidR="00297A51">
        <w:rPr>
          <w:rFonts w:asciiTheme="majorBidi" w:hAnsiTheme="majorBidi" w:cstheme="majorBidi"/>
          <w:sz w:val="24"/>
          <w:szCs w:val="24"/>
        </w:rPr>
        <w:t xml:space="preserve">, which </w:t>
      </w:r>
      <w:r w:rsidR="00BD3FC5">
        <w:rPr>
          <w:rFonts w:asciiTheme="majorBidi" w:hAnsiTheme="majorBidi" w:cstheme="majorBidi"/>
          <w:sz w:val="24"/>
          <w:szCs w:val="24"/>
        </w:rPr>
        <w:t xml:space="preserve">implied </w:t>
      </w:r>
      <w:r w:rsidR="004A2943">
        <w:rPr>
          <w:rFonts w:asciiTheme="majorBidi" w:hAnsiTheme="majorBidi" w:cstheme="majorBidi"/>
          <w:sz w:val="24"/>
          <w:szCs w:val="24"/>
        </w:rPr>
        <w:t>a negative relationship between stock prices and interest rates.</w:t>
      </w:r>
    </w:p>
    <w:p w:rsidR="00356BDA" w:rsidRDefault="00356BDA" w:rsidP="003D29DA">
      <w:pPr>
        <w:tabs>
          <w:tab w:val="left" w:pos="1677"/>
          <w:tab w:val="left" w:pos="3702"/>
        </w:tabs>
        <w:spacing w:after="0" w:line="240" w:lineRule="auto"/>
        <w:jc w:val="both"/>
        <w:rPr>
          <w:rFonts w:asciiTheme="majorBidi" w:hAnsiTheme="majorBidi" w:cstheme="majorBidi"/>
          <w:sz w:val="24"/>
          <w:szCs w:val="24"/>
        </w:rPr>
      </w:pPr>
    </w:p>
    <w:p w:rsidR="00AD508F" w:rsidRDefault="00251FC9" w:rsidP="005975DF">
      <w:pPr>
        <w:tabs>
          <w:tab w:val="left" w:pos="1677"/>
          <w:tab w:val="left" w:pos="3702"/>
        </w:tabs>
        <w:spacing w:after="0" w:line="240" w:lineRule="auto"/>
        <w:jc w:val="both"/>
        <w:rPr>
          <w:rFonts w:asciiTheme="majorBidi" w:hAnsiTheme="majorBidi" w:cstheme="majorBidi"/>
          <w:sz w:val="24"/>
          <w:szCs w:val="24"/>
        </w:rPr>
      </w:pPr>
      <w:r>
        <w:rPr>
          <w:rFonts w:asciiTheme="majorBidi" w:hAnsiTheme="majorBidi" w:cstheme="majorBidi"/>
          <w:sz w:val="24"/>
          <w:szCs w:val="24"/>
        </w:rPr>
        <w:t>In addition</w:t>
      </w:r>
      <w:r w:rsidR="00AD1AA9">
        <w:rPr>
          <w:rFonts w:asciiTheme="majorBidi" w:hAnsiTheme="majorBidi" w:cstheme="majorBidi"/>
          <w:sz w:val="24"/>
          <w:szCs w:val="24"/>
        </w:rPr>
        <w:t xml:space="preserve">, Table 5 shows that </w:t>
      </w:r>
      <w:r w:rsidR="005A1F0A">
        <w:rPr>
          <w:rFonts w:asciiTheme="majorBidi" w:hAnsiTheme="majorBidi" w:cstheme="majorBidi"/>
          <w:sz w:val="24"/>
          <w:szCs w:val="24"/>
        </w:rPr>
        <w:t>∆LM3 is</w:t>
      </w:r>
      <w:r>
        <w:rPr>
          <w:rFonts w:asciiTheme="majorBidi" w:hAnsiTheme="majorBidi" w:cstheme="majorBidi"/>
          <w:sz w:val="24"/>
          <w:szCs w:val="24"/>
        </w:rPr>
        <w:t xml:space="preserve"> positively associated with </w:t>
      </w:r>
      <w:r w:rsidR="005A1F0A">
        <w:rPr>
          <w:rFonts w:asciiTheme="majorBidi" w:hAnsiTheme="majorBidi" w:cstheme="majorBidi"/>
          <w:sz w:val="24"/>
          <w:szCs w:val="24"/>
        </w:rPr>
        <w:t xml:space="preserve">LKLCI. </w:t>
      </w:r>
      <w:r w:rsidR="00874BCC">
        <w:rPr>
          <w:rFonts w:asciiTheme="majorBidi" w:hAnsiTheme="majorBidi" w:cstheme="majorBidi"/>
          <w:sz w:val="24"/>
          <w:szCs w:val="24"/>
        </w:rPr>
        <w:t>Money</w:t>
      </w:r>
      <w:r>
        <w:rPr>
          <w:rFonts w:asciiTheme="majorBidi" w:hAnsiTheme="majorBidi" w:cstheme="majorBidi"/>
          <w:sz w:val="24"/>
          <w:szCs w:val="24"/>
        </w:rPr>
        <w:t xml:space="preserve"> supply has a double-edged effect </w:t>
      </w:r>
      <w:r w:rsidR="005A1F0A">
        <w:rPr>
          <w:rFonts w:asciiTheme="majorBidi" w:hAnsiTheme="majorBidi" w:cstheme="majorBidi"/>
          <w:sz w:val="24"/>
          <w:szCs w:val="24"/>
        </w:rPr>
        <w:t xml:space="preserve">on stock prices. The increase of money supply </w:t>
      </w:r>
      <w:r w:rsidR="00AF100E">
        <w:rPr>
          <w:rFonts w:asciiTheme="majorBidi" w:hAnsiTheme="majorBidi" w:cstheme="majorBidi"/>
          <w:sz w:val="24"/>
          <w:szCs w:val="24"/>
        </w:rPr>
        <w:t>leads</w:t>
      </w:r>
      <w:r w:rsidR="00874BCC">
        <w:rPr>
          <w:rFonts w:asciiTheme="majorBidi" w:hAnsiTheme="majorBidi" w:cstheme="majorBidi"/>
          <w:sz w:val="24"/>
          <w:szCs w:val="24"/>
        </w:rPr>
        <w:t xml:space="preserve"> to increase</w:t>
      </w:r>
      <w:r w:rsidR="00005FE6">
        <w:rPr>
          <w:rFonts w:asciiTheme="majorBidi" w:hAnsiTheme="majorBidi" w:cstheme="majorBidi"/>
          <w:sz w:val="24"/>
          <w:szCs w:val="24"/>
        </w:rPr>
        <w:t>d</w:t>
      </w:r>
      <w:r w:rsidR="00874BCC">
        <w:rPr>
          <w:rFonts w:asciiTheme="majorBidi" w:hAnsiTheme="majorBidi" w:cstheme="majorBidi"/>
          <w:sz w:val="24"/>
          <w:szCs w:val="24"/>
        </w:rPr>
        <w:t xml:space="preserve"> purchasing power that in turn increases stock prices. </w:t>
      </w:r>
      <w:r w:rsidR="004E71E0">
        <w:rPr>
          <w:rFonts w:asciiTheme="majorBidi" w:hAnsiTheme="majorBidi" w:cstheme="majorBidi"/>
          <w:sz w:val="24"/>
          <w:szCs w:val="24"/>
        </w:rPr>
        <w:t>Moreover</w:t>
      </w:r>
      <w:r w:rsidR="00AF100E">
        <w:rPr>
          <w:rFonts w:asciiTheme="majorBidi" w:hAnsiTheme="majorBidi" w:cstheme="majorBidi"/>
          <w:sz w:val="24"/>
          <w:szCs w:val="24"/>
        </w:rPr>
        <w:t xml:space="preserve">, </w:t>
      </w:r>
      <w:r w:rsidR="00C936DE">
        <w:rPr>
          <w:rFonts w:asciiTheme="majorBidi" w:hAnsiTheme="majorBidi" w:cstheme="majorBidi"/>
          <w:sz w:val="24"/>
          <w:szCs w:val="24"/>
        </w:rPr>
        <w:t xml:space="preserve">Cheung and Ng (1998) and </w:t>
      </w:r>
      <w:proofErr w:type="spellStart"/>
      <w:r w:rsidR="00C936DE">
        <w:rPr>
          <w:rFonts w:asciiTheme="majorBidi" w:hAnsiTheme="majorBidi" w:cstheme="majorBidi"/>
          <w:sz w:val="24"/>
          <w:szCs w:val="24"/>
        </w:rPr>
        <w:t>Dhakal</w:t>
      </w:r>
      <w:proofErr w:type="spellEnd"/>
      <w:r w:rsidR="00C936DE">
        <w:rPr>
          <w:rFonts w:asciiTheme="majorBidi" w:hAnsiTheme="majorBidi" w:cstheme="majorBidi"/>
          <w:sz w:val="24"/>
          <w:szCs w:val="24"/>
        </w:rPr>
        <w:t xml:space="preserve"> et al. (1993) </w:t>
      </w:r>
      <w:r w:rsidR="00174149">
        <w:rPr>
          <w:rFonts w:asciiTheme="majorBidi" w:hAnsiTheme="majorBidi" w:cstheme="majorBidi"/>
          <w:sz w:val="24"/>
          <w:szCs w:val="24"/>
        </w:rPr>
        <w:t xml:space="preserve">argued </w:t>
      </w:r>
      <w:r w:rsidR="00C936DE">
        <w:rPr>
          <w:rFonts w:asciiTheme="majorBidi" w:hAnsiTheme="majorBidi" w:cstheme="majorBidi"/>
          <w:sz w:val="24"/>
          <w:szCs w:val="24"/>
        </w:rPr>
        <w:t xml:space="preserve">that </w:t>
      </w:r>
      <w:r w:rsidR="00AF100E">
        <w:rPr>
          <w:rFonts w:asciiTheme="majorBidi" w:hAnsiTheme="majorBidi" w:cstheme="majorBidi"/>
          <w:sz w:val="24"/>
          <w:szCs w:val="24"/>
        </w:rPr>
        <w:t xml:space="preserve">the acceleration of money supply in the economy increases </w:t>
      </w:r>
      <w:r w:rsidR="00874BCC">
        <w:rPr>
          <w:rFonts w:asciiTheme="majorBidi" w:hAnsiTheme="majorBidi" w:cstheme="majorBidi"/>
          <w:sz w:val="24"/>
          <w:szCs w:val="24"/>
        </w:rPr>
        <w:t>share price</w:t>
      </w:r>
      <w:r w:rsidR="00C936DE">
        <w:rPr>
          <w:rFonts w:asciiTheme="majorBidi" w:hAnsiTheme="majorBidi" w:cstheme="majorBidi"/>
          <w:sz w:val="24"/>
          <w:szCs w:val="24"/>
        </w:rPr>
        <w:t>s through portfolio adjustments</w:t>
      </w:r>
      <w:r w:rsidR="00874BCC">
        <w:rPr>
          <w:rFonts w:asciiTheme="majorBidi" w:hAnsiTheme="majorBidi" w:cstheme="majorBidi"/>
          <w:sz w:val="24"/>
          <w:szCs w:val="24"/>
        </w:rPr>
        <w:t>.</w:t>
      </w:r>
      <w:r w:rsidR="00AF100E">
        <w:rPr>
          <w:rFonts w:asciiTheme="majorBidi" w:hAnsiTheme="majorBidi" w:cstheme="majorBidi"/>
          <w:sz w:val="24"/>
          <w:szCs w:val="24"/>
        </w:rPr>
        <w:t xml:space="preserve"> However, </w:t>
      </w:r>
      <w:r w:rsidR="00DF4651">
        <w:rPr>
          <w:rFonts w:asciiTheme="majorBidi" w:hAnsiTheme="majorBidi" w:cstheme="majorBidi"/>
          <w:sz w:val="24"/>
          <w:szCs w:val="24"/>
        </w:rPr>
        <w:t>if the increase in money supply is uncertain, then it might generate high inflation rates</w:t>
      </w:r>
      <w:r w:rsidR="00005FE6">
        <w:rPr>
          <w:rFonts w:asciiTheme="majorBidi" w:hAnsiTheme="majorBidi" w:cstheme="majorBidi"/>
          <w:sz w:val="24"/>
          <w:szCs w:val="24"/>
        </w:rPr>
        <w:t>,</w:t>
      </w:r>
      <w:r w:rsidR="00DF4651">
        <w:rPr>
          <w:rFonts w:asciiTheme="majorBidi" w:hAnsiTheme="majorBidi" w:cstheme="majorBidi"/>
          <w:sz w:val="24"/>
          <w:szCs w:val="24"/>
        </w:rPr>
        <w:t xml:space="preserve"> which in turn decrease stock prices.</w:t>
      </w:r>
      <w:r w:rsidR="00AC0FC3">
        <w:rPr>
          <w:rFonts w:asciiTheme="majorBidi" w:hAnsiTheme="majorBidi" w:cstheme="majorBidi"/>
          <w:sz w:val="24"/>
          <w:szCs w:val="24"/>
        </w:rPr>
        <w:t xml:space="preserve"> </w:t>
      </w:r>
      <w:r w:rsidR="009E14F2">
        <w:rPr>
          <w:rFonts w:asciiTheme="majorBidi" w:hAnsiTheme="majorBidi" w:cstheme="majorBidi"/>
          <w:sz w:val="24"/>
          <w:szCs w:val="24"/>
        </w:rPr>
        <w:t xml:space="preserve">The </w:t>
      </w:r>
      <w:r w:rsidR="00AD1AA9">
        <w:rPr>
          <w:rFonts w:asciiTheme="majorBidi" w:hAnsiTheme="majorBidi" w:cstheme="majorBidi"/>
          <w:sz w:val="24"/>
          <w:szCs w:val="24"/>
        </w:rPr>
        <w:t xml:space="preserve">results </w:t>
      </w:r>
      <w:r w:rsidR="009E14F2">
        <w:rPr>
          <w:rFonts w:asciiTheme="majorBidi" w:hAnsiTheme="majorBidi" w:cstheme="majorBidi"/>
          <w:sz w:val="24"/>
          <w:szCs w:val="24"/>
        </w:rPr>
        <w:t xml:space="preserve">are consistent with </w:t>
      </w:r>
      <w:r w:rsidR="00AD1AA9" w:rsidRPr="00E05192">
        <w:rPr>
          <w:rFonts w:asciiTheme="majorBidi" w:hAnsiTheme="majorBidi" w:cstheme="majorBidi"/>
          <w:sz w:val="24"/>
          <w:szCs w:val="24"/>
        </w:rPr>
        <w:t>Freidman an</w:t>
      </w:r>
      <w:r w:rsidR="009E14F2">
        <w:rPr>
          <w:rFonts w:asciiTheme="majorBidi" w:hAnsiTheme="majorBidi" w:cstheme="majorBidi"/>
          <w:sz w:val="24"/>
          <w:szCs w:val="24"/>
        </w:rPr>
        <w:t xml:space="preserve">d </w:t>
      </w:r>
      <w:proofErr w:type="spellStart"/>
      <w:r w:rsidR="009E14F2">
        <w:rPr>
          <w:rFonts w:asciiTheme="majorBidi" w:hAnsiTheme="majorBidi" w:cstheme="majorBidi"/>
          <w:sz w:val="24"/>
          <w:szCs w:val="24"/>
        </w:rPr>
        <w:t>Schwart</w:t>
      </w:r>
      <w:r w:rsidR="00005FE6">
        <w:rPr>
          <w:rFonts w:asciiTheme="majorBidi" w:hAnsiTheme="majorBidi" w:cstheme="majorBidi"/>
          <w:sz w:val="24"/>
          <w:szCs w:val="24"/>
        </w:rPr>
        <w:t>’s</w:t>
      </w:r>
      <w:proofErr w:type="spellEnd"/>
      <w:r w:rsidR="009E14F2">
        <w:rPr>
          <w:rFonts w:asciiTheme="majorBidi" w:hAnsiTheme="majorBidi" w:cstheme="majorBidi"/>
          <w:sz w:val="24"/>
          <w:szCs w:val="24"/>
        </w:rPr>
        <w:t xml:space="preserve"> (1963) argument </w:t>
      </w:r>
      <w:r w:rsidR="00AD1AA9">
        <w:rPr>
          <w:rFonts w:asciiTheme="majorBidi" w:hAnsiTheme="majorBidi" w:cstheme="majorBidi"/>
          <w:sz w:val="24"/>
          <w:szCs w:val="24"/>
        </w:rPr>
        <w:t xml:space="preserve">that money supply </w:t>
      </w:r>
      <w:r w:rsidR="00005FE6">
        <w:rPr>
          <w:rFonts w:asciiTheme="majorBidi" w:hAnsiTheme="majorBidi" w:cstheme="majorBidi"/>
          <w:sz w:val="24"/>
          <w:szCs w:val="24"/>
        </w:rPr>
        <w:t xml:space="preserve">positively </w:t>
      </w:r>
      <w:r w:rsidR="00AD1AA9" w:rsidRPr="00E05192">
        <w:rPr>
          <w:rFonts w:asciiTheme="majorBidi" w:hAnsiTheme="majorBidi" w:cstheme="majorBidi"/>
          <w:sz w:val="24"/>
          <w:szCs w:val="24"/>
        </w:rPr>
        <w:t>influences economic cycles</w:t>
      </w:r>
      <w:r w:rsidR="00005FE6">
        <w:rPr>
          <w:rFonts w:asciiTheme="majorBidi" w:hAnsiTheme="majorBidi" w:cstheme="majorBidi"/>
          <w:sz w:val="24"/>
          <w:szCs w:val="24"/>
        </w:rPr>
        <w:t xml:space="preserve">, </w:t>
      </w:r>
      <w:r w:rsidR="009E14F2">
        <w:rPr>
          <w:rFonts w:asciiTheme="majorBidi" w:hAnsiTheme="majorBidi" w:cstheme="majorBidi"/>
          <w:sz w:val="24"/>
          <w:szCs w:val="24"/>
        </w:rPr>
        <w:t xml:space="preserve">which in turn increases share prices. Furthermore, </w:t>
      </w:r>
      <w:r w:rsidR="00BE5BC6">
        <w:rPr>
          <w:rFonts w:asciiTheme="majorBidi" w:hAnsiTheme="majorBidi" w:cstheme="majorBidi"/>
          <w:sz w:val="24"/>
          <w:szCs w:val="24"/>
        </w:rPr>
        <w:t xml:space="preserve">the paper results are consistent with results </w:t>
      </w:r>
      <w:r w:rsidR="00005FE6">
        <w:rPr>
          <w:rFonts w:asciiTheme="majorBidi" w:hAnsiTheme="majorBidi" w:cstheme="majorBidi"/>
          <w:sz w:val="24"/>
          <w:szCs w:val="24"/>
        </w:rPr>
        <w:t xml:space="preserve">obtained for Japan (Mukherjee and </w:t>
      </w:r>
      <w:r w:rsidR="00BE5BC6">
        <w:rPr>
          <w:rFonts w:asciiTheme="majorBidi" w:hAnsiTheme="majorBidi" w:cstheme="majorBidi"/>
          <w:sz w:val="24"/>
          <w:szCs w:val="24"/>
        </w:rPr>
        <w:t>Naka, 1995</w:t>
      </w:r>
      <w:r w:rsidR="00DD5721">
        <w:rPr>
          <w:rFonts w:asciiTheme="majorBidi" w:hAnsiTheme="majorBidi" w:cstheme="majorBidi"/>
          <w:sz w:val="24"/>
          <w:szCs w:val="24"/>
        </w:rPr>
        <w:t xml:space="preserve">), and </w:t>
      </w:r>
      <w:r w:rsidR="00005FE6">
        <w:rPr>
          <w:rFonts w:asciiTheme="majorBidi" w:hAnsiTheme="majorBidi" w:cstheme="majorBidi"/>
          <w:sz w:val="24"/>
          <w:szCs w:val="24"/>
        </w:rPr>
        <w:t>Singapore (</w:t>
      </w:r>
      <w:proofErr w:type="spellStart"/>
      <w:r w:rsidR="00005FE6">
        <w:rPr>
          <w:rFonts w:asciiTheme="majorBidi" w:hAnsiTheme="majorBidi" w:cstheme="majorBidi"/>
          <w:sz w:val="24"/>
          <w:szCs w:val="24"/>
        </w:rPr>
        <w:t>Maysami</w:t>
      </w:r>
      <w:proofErr w:type="spellEnd"/>
      <w:r w:rsidR="00005FE6">
        <w:rPr>
          <w:rFonts w:asciiTheme="majorBidi" w:hAnsiTheme="majorBidi" w:cstheme="majorBidi"/>
          <w:sz w:val="24"/>
          <w:szCs w:val="24"/>
        </w:rPr>
        <w:t xml:space="preserve"> and </w:t>
      </w:r>
      <w:proofErr w:type="spellStart"/>
      <w:r w:rsidR="00BE5BC6">
        <w:rPr>
          <w:rFonts w:asciiTheme="majorBidi" w:hAnsiTheme="majorBidi" w:cstheme="majorBidi"/>
          <w:sz w:val="24"/>
          <w:szCs w:val="24"/>
        </w:rPr>
        <w:t>Koh</w:t>
      </w:r>
      <w:proofErr w:type="spellEnd"/>
      <w:r w:rsidR="00BE5BC6">
        <w:rPr>
          <w:rFonts w:asciiTheme="majorBidi" w:hAnsiTheme="majorBidi" w:cstheme="majorBidi"/>
          <w:sz w:val="24"/>
          <w:szCs w:val="24"/>
        </w:rPr>
        <w:t xml:space="preserve">, 2000). In contrast, the paper findings are not similar to the results </w:t>
      </w:r>
      <w:r w:rsidR="00DD5721">
        <w:rPr>
          <w:rFonts w:asciiTheme="majorBidi" w:hAnsiTheme="majorBidi" w:cstheme="majorBidi"/>
          <w:sz w:val="24"/>
          <w:szCs w:val="24"/>
        </w:rPr>
        <w:t>obtained for the US</w:t>
      </w:r>
      <w:r w:rsidR="00BE5BC6">
        <w:rPr>
          <w:rFonts w:asciiTheme="majorBidi" w:hAnsiTheme="majorBidi" w:cstheme="majorBidi"/>
          <w:sz w:val="24"/>
          <w:szCs w:val="24"/>
        </w:rPr>
        <w:t xml:space="preserve"> (</w:t>
      </w:r>
      <w:proofErr w:type="spellStart"/>
      <w:r w:rsidR="00BE5BC6">
        <w:rPr>
          <w:rFonts w:asciiTheme="majorBidi" w:hAnsiTheme="majorBidi" w:cstheme="majorBidi"/>
          <w:sz w:val="24"/>
          <w:szCs w:val="24"/>
        </w:rPr>
        <w:t>Fama</w:t>
      </w:r>
      <w:proofErr w:type="spellEnd"/>
      <w:r w:rsidR="00BE5BC6">
        <w:rPr>
          <w:rFonts w:asciiTheme="majorBidi" w:hAnsiTheme="majorBidi" w:cstheme="majorBidi"/>
          <w:sz w:val="24"/>
          <w:szCs w:val="24"/>
        </w:rPr>
        <w:t xml:space="preserve">, </w:t>
      </w:r>
      <w:r w:rsidR="00BE5BC6" w:rsidRPr="00E05192">
        <w:rPr>
          <w:rFonts w:asciiTheme="majorBidi" w:hAnsiTheme="majorBidi" w:cstheme="majorBidi"/>
          <w:sz w:val="24"/>
          <w:szCs w:val="24"/>
        </w:rPr>
        <w:t>1981)</w:t>
      </w:r>
      <w:r w:rsidR="00DD5721">
        <w:rPr>
          <w:rFonts w:asciiTheme="majorBidi" w:hAnsiTheme="majorBidi" w:cstheme="majorBidi"/>
          <w:sz w:val="24"/>
          <w:szCs w:val="24"/>
        </w:rPr>
        <w:t xml:space="preserve">, or </w:t>
      </w:r>
      <w:r w:rsidR="00005FE6">
        <w:rPr>
          <w:rFonts w:asciiTheme="majorBidi" w:hAnsiTheme="majorBidi" w:cstheme="majorBidi"/>
          <w:sz w:val="24"/>
          <w:szCs w:val="24"/>
        </w:rPr>
        <w:t xml:space="preserve">Malaysia (Ibrahim and </w:t>
      </w:r>
      <w:r w:rsidR="00BE5BC6">
        <w:rPr>
          <w:rFonts w:asciiTheme="majorBidi" w:hAnsiTheme="majorBidi" w:cstheme="majorBidi"/>
          <w:sz w:val="24"/>
          <w:szCs w:val="24"/>
        </w:rPr>
        <w:t>Aziz, 2003).</w:t>
      </w:r>
      <w:r w:rsidR="00864C70">
        <w:rPr>
          <w:rFonts w:asciiTheme="majorBidi" w:hAnsiTheme="majorBidi" w:cstheme="majorBidi"/>
          <w:sz w:val="24"/>
          <w:szCs w:val="24"/>
        </w:rPr>
        <w:t xml:space="preserve"> ∆LG</w:t>
      </w:r>
      <w:r w:rsidR="00DD5721">
        <w:rPr>
          <w:rFonts w:asciiTheme="majorBidi" w:hAnsiTheme="majorBidi" w:cstheme="majorBidi"/>
          <w:sz w:val="24"/>
          <w:szCs w:val="24"/>
        </w:rPr>
        <w:t xml:space="preserve">DP is positively related to </w:t>
      </w:r>
      <w:r w:rsidR="00864C70">
        <w:rPr>
          <w:rFonts w:asciiTheme="majorBidi" w:hAnsiTheme="majorBidi" w:cstheme="majorBidi"/>
          <w:sz w:val="24"/>
          <w:szCs w:val="24"/>
        </w:rPr>
        <w:t>LKLCI.</w:t>
      </w:r>
      <w:r w:rsidR="00DD5721">
        <w:rPr>
          <w:rFonts w:asciiTheme="majorBidi" w:hAnsiTheme="majorBidi" w:cstheme="majorBidi"/>
          <w:sz w:val="24"/>
          <w:szCs w:val="24"/>
        </w:rPr>
        <w:t xml:space="preserve"> These </w:t>
      </w:r>
      <w:r w:rsidR="00405F9F">
        <w:rPr>
          <w:rFonts w:asciiTheme="majorBidi" w:hAnsiTheme="majorBidi" w:cstheme="majorBidi"/>
          <w:sz w:val="24"/>
          <w:szCs w:val="24"/>
        </w:rPr>
        <w:t>findings are similar to th</w:t>
      </w:r>
      <w:r w:rsidR="00DD5721">
        <w:rPr>
          <w:rFonts w:asciiTheme="majorBidi" w:hAnsiTheme="majorBidi" w:cstheme="majorBidi"/>
          <w:sz w:val="24"/>
          <w:szCs w:val="24"/>
        </w:rPr>
        <w:t xml:space="preserve">e findings obtained for the US </w:t>
      </w:r>
      <w:r w:rsidR="00405F9F">
        <w:rPr>
          <w:rFonts w:asciiTheme="majorBidi" w:hAnsiTheme="majorBidi" w:cstheme="majorBidi"/>
          <w:sz w:val="24"/>
          <w:szCs w:val="24"/>
        </w:rPr>
        <w:t>(</w:t>
      </w:r>
      <w:proofErr w:type="spellStart"/>
      <w:r w:rsidR="00405F9F">
        <w:rPr>
          <w:rFonts w:asciiTheme="majorBidi" w:hAnsiTheme="majorBidi" w:cstheme="majorBidi"/>
          <w:sz w:val="24"/>
          <w:szCs w:val="24"/>
        </w:rPr>
        <w:t>Fama</w:t>
      </w:r>
      <w:proofErr w:type="spellEnd"/>
      <w:r w:rsidR="00405F9F">
        <w:rPr>
          <w:rFonts w:asciiTheme="majorBidi" w:hAnsiTheme="majorBidi" w:cstheme="majorBidi"/>
          <w:sz w:val="24"/>
          <w:szCs w:val="24"/>
        </w:rPr>
        <w:t>, 1990</w:t>
      </w:r>
      <w:r w:rsidR="00005FE6">
        <w:rPr>
          <w:rFonts w:asciiTheme="majorBidi" w:hAnsiTheme="majorBidi" w:cstheme="majorBidi"/>
          <w:sz w:val="24"/>
          <w:szCs w:val="24"/>
        </w:rPr>
        <w:t xml:space="preserve">; </w:t>
      </w:r>
      <w:proofErr w:type="spellStart"/>
      <w:r w:rsidR="00005FE6">
        <w:rPr>
          <w:rFonts w:asciiTheme="majorBidi" w:hAnsiTheme="majorBidi" w:cstheme="majorBidi"/>
          <w:sz w:val="24"/>
          <w:szCs w:val="24"/>
        </w:rPr>
        <w:t>Geske</w:t>
      </w:r>
      <w:proofErr w:type="spellEnd"/>
      <w:r w:rsidR="00005FE6">
        <w:rPr>
          <w:rFonts w:asciiTheme="majorBidi" w:hAnsiTheme="majorBidi" w:cstheme="majorBidi"/>
          <w:sz w:val="24"/>
          <w:szCs w:val="24"/>
        </w:rPr>
        <w:t xml:space="preserve"> and </w:t>
      </w:r>
      <w:r w:rsidR="00F23470">
        <w:rPr>
          <w:rFonts w:asciiTheme="majorBidi" w:hAnsiTheme="majorBidi" w:cstheme="majorBidi"/>
          <w:sz w:val="24"/>
          <w:szCs w:val="24"/>
        </w:rPr>
        <w:t>Roll, 1983</w:t>
      </w:r>
      <w:r w:rsidR="00005FE6">
        <w:rPr>
          <w:rFonts w:asciiTheme="majorBidi" w:hAnsiTheme="majorBidi" w:cstheme="majorBidi"/>
          <w:sz w:val="24"/>
          <w:szCs w:val="24"/>
        </w:rPr>
        <w:t xml:space="preserve">), South Korea (Kwon and </w:t>
      </w:r>
      <w:r w:rsidR="00405F9F">
        <w:rPr>
          <w:rFonts w:asciiTheme="majorBidi" w:hAnsiTheme="majorBidi" w:cstheme="majorBidi"/>
          <w:sz w:val="24"/>
          <w:szCs w:val="24"/>
        </w:rPr>
        <w:t>Shin, 1999), and Malaysia (</w:t>
      </w:r>
      <w:r w:rsidR="00005FE6">
        <w:rPr>
          <w:rFonts w:asciiTheme="majorBidi" w:hAnsiTheme="majorBidi" w:cstheme="majorBidi"/>
          <w:sz w:val="24"/>
          <w:szCs w:val="24"/>
        </w:rPr>
        <w:t xml:space="preserve">Ibrahim and </w:t>
      </w:r>
      <w:r w:rsidR="00F23470">
        <w:rPr>
          <w:rFonts w:asciiTheme="majorBidi" w:hAnsiTheme="majorBidi" w:cstheme="majorBidi"/>
          <w:sz w:val="24"/>
          <w:szCs w:val="24"/>
        </w:rPr>
        <w:t>Aziz, 2003).</w:t>
      </w:r>
      <w:r w:rsidR="0019293D">
        <w:rPr>
          <w:rFonts w:asciiTheme="majorBidi" w:hAnsiTheme="majorBidi" w:cstheme="majorBidi"/>
          <w:sz w:val="24"/>
          <w:szCs w:val="24"/>
        </w:rPr>
        <w:t xml:space="preserve"> The increase of output produced by the firms induces their cash flows, profits, and share prices.</w:t>
      </w:r>
    </w:p>
    <w:p w:rsidR="005975DF" w:rsidRPr="005975DF" w:rsidRDefault="005975DF" w:rsidP="005975DF">
      <w:pPr>
        <w:tabs>
          <w:tab w:val="left" w:pos="1677"/>
          <w:tab w:val="left" w:pos="3702"/>
        </w:tabs>
        <w:spacing w:after="0" w:line="240" w:lineRule="auto"/>
        <w:jc w:val="both"/>
        <w:rPr>
          <w:rFonts w:asciiTheme="majorBidi" w:hAnsiTheme="majorBidi" w:cstheme="majorBidi"/>
          <w:sz w:val="24"/>
          <w:szCs w:val="24"/>
        </w:rPr>
      </w:pPr>
    </w:p>
    <w:p w:rsidR="004E71E0" w:rsidRDefault="00293730" w:rsidP="003D29D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5. Concluding Remarks</w:t>
      </w:r>
    </w:p>
    <w:p w:rsidR="003448CB" w:rsidRDefault="006C6A25" w:rsidP="003D29DA">
      <w:pPr>
        <w:pStyle w:val="ListParagraph"/>
        <w:spacing w:after="0" w:line="240" w:lineRule="auto"/>
        <w:ind w:left="0"/>
        <w:jc w:val="both"/>
        <w:rPr>
          <w:rFonts w:asciiTheme="majorBidi" w:hAnsiTheme="majorBidi" w:cstheme="majorBidi"/>
          <w:sz w:val="24"/>
          <w:szCs w:val="24"/>
        </w:rPr>
      </w:pPr>
      <w:r>
        <w:rPr>
          <w:rFonts w:ascii="Times New Roman" w:hAnsi="Times New Roman" w:cs="Times New Roman"/>
          <w:sz w:val="24"/>
          <w:szCs w:val="24"/>
        </w:rPr>
        <w:t xml:space="preserve">The current paper investigated the long-term relationships and </w:t>
      </w:r>
      <w:r w:rsidR="004E71E0">
        <w:rPr>
          <w:rFonts w:ascii="Times New Roman" w:hAnsi="Times New Roman" w:cs="Times New Roman"/>
          <w:sz w:val="24"/>
          <w:szCs w:val="24"/>
        </w:rPr>
        <w:t>dynamic interactions between the Malaysian capital market and four macroeconomic variables</w:t>
      </w:r>
      <w:r>
        <w:rPr>
          <w:rFonts w:ascii="Times New Roman" w:hAnsi="Times New Roman" w:cs="Times New Roman"/>
          <w:sz w:val="24"/>
          <w:szCs w:val="24"/>
        </w:rPr>
        <w:t xml:space="preserve">: </w:t>
      </w:r>
      <w:r w:rsidR="004E71E0">
        <w:rPr>
          <w:rFonts w:ascii="Times New Roman" w:hAnsi="Times New Roman" w:cs="Times New Roman"/>
          <w:sz w:val="24"/>
          <w:szCs w:val="24"/>
        </w:rPr>
        <w:t>inflation rates, interest rates, money supply</w:t>
      </w:r>
      <w:r>
        <w:rPr>
          <w:rFonts w:ascii="Times New Roman" w:hAnsi="Times New Roman" w:cs="Times New Roman"/>
          <w:sz w:val="24"/>
          <w:szCs w:val="24"/>
        </w:rPr>
        <w:t xml:space="preserve">, and GDP. The analysis focused </w:t>
      </w:r>
      <w:r w:rsidR="004E71E0">
        <w:rPr>
          <w:rFonts w:ascii="Times New Roman" w:hAnsi="Times New Roman" w:cs="Times New Roman"/>
          <w:sz w:val="24"/>
          <w:szCs w:val="24"/>
        </w:rPr>
        <w:t>on</w:t>
      </w:r>
      <w:r w:rsidR="00D55297">
        <w:rPr>
          <w:rFonts w:ascii="Times New Roman" w:hAnsi="Times New Roman" w:cs="Times New Roman"/>
          <w:sz w:val="24"/>
          <w:szCs w:val="24"/>
        </w:rPr>
        <w:t xml:space="preserve"> testing the homoscedastic co-integration relationships on the residuals from the selected variables regression. In addition, thi</w:t>
      </w:r>
      <w:r>
        <w:rPr>
          <w:rFonts w:ascii="Times New Roman" w:hAnsi="Times New Roman" w:cs="Times New Roman"/>
          <w:sz w:val="24"/>
          <w:szCs w:val="24"/>
        </w:rPr>
        <w:t xml:space="preserve">s paper employed </w:t>
      </w:r>
      <w:r w:rsidR="00D55297">
        <w:rPr>
          <w:rFonts w:asciiTheme="majorBidi" w:hAnsiTheme="majorBidi" w:cstheme="majorBidi"/>
          <w:sz w:val="24"/>
          <w:szCs w:val="24"/>
        </w:rPr>
        <w:t>Elliott</w:t>
      </w:r>
      <w:r w:rsidR="00627992">
        <w:rPr>
          <w:rFonts w:asciiTheme="majorBidi" w:hAnsiTheme="majorBidi" w:cstheme="majorBidi"/>
          <w:sz w:val="24"/>
          <w:szCs w:val="24"/>
        </w:rPr>
        <w:t>, Rothenberg, and Stock</w:t>
      </w:r>
      <w:r>
        <w:rPr>
          <w:rFonts w:asciiTheme="majorBidi" w:hAnsiTheme="majorBidi" w:cstheme="majorBidi"/>
          <w:sz w:val="24"/>
          <w:szCs w:val="24"/>
        </w:rPr>
        <w:t>’s</w:t>
      </w:r>
      <w:r w:rsidR="00627992">
        <w:rPr>
          <w:rFonts w:asciiTheme="majorBidi" w:hAnsiTheme="majorBidi" w:cstheme="majorBidi"/>
          <w:sz w:val="24"/>
          <w:szCs w:val="24"/>
        </w:rPr>
        <w:t xml:space="preserve"> </w:t>
      </w:r>
      <w:proofErr w:type="spellStart"/>
      <w:r>
        <w:rPr>
          <w:rFonts w:asciiTheme="majorBidi" w:hAnsiTheme="majorBidi" w:cstheme="majorBidi"/>
          <w:sz w:val="24"/>
          <w:szCs w:val="24"/>
        </w:rPr>
        <w:t>stationarity</w:t>
      </w:r>
      <w:proofErr w:type="spellEnd"/>
      <w:r>
        <w:rPr>
          <w:rFonts w:asciiTheme="majorBidi" w:hAnsiTheme="majorBidi" w:cstheme="majorBidi"/>
          <w:sz w:val="24"/>
          <w:szCs w:val="24"/>
        </w:rPr>
        <w:t xml:space="preserve"> test to determine </w:t>
      </w:r>
      <w:r w:rsidR="00D55297">
        <w:rPr>
          <w:rFonts w:asciiTheme="majorBidi" w:hAnsiTheme="majorBidi" w:cstheme="majorBidi"/>
          <w:sz w:val="24"/>
          <w:szCs w:val="24"/>
        </w:rPr>
        <w:t xml:space="preserve">if the variables are stationary at </w:t>
      </w:r>
      <w:proofErr w:type="gramStart"/>
      <w:r w:rsidR="00D55297" w:rsidRPr="00D55297">
        <w:rPr>
          <w:rFonts w:asciiTheme="majorBidi" w:hAnsiTheme="majorBidi" w:cstheme="majorBidi"/>
          <w:i/>
          <w:iCs/>
          <w:sz w:val="24"/>
          <w:szCs w:val="24"/>
        </w:rPr>
        <w:t>I(</w:t>
      </w:r>
      <w:proofErr w:type="gramEnd"/>
      <w:r w:rsidR="00D55297" w:rsidRPr="00D55297">
        <w:rPr>
          <w:rFonts w:asciiTheme="majorBidi" w:hAnsiTheme="majorBidi" w:cstheme="majorBidi"/>
          <w:i/>
          <w:iCs/>
          <w:sz w:val="24"/>
          <w:szCs w:val="24"/>
        </w:rPr>
        <w:t>1)</w:t>
      </w:r>
      <w:r>
        <w:rPr>
          <w:rFonts w:asciiTheme="majorBidi" w:hAnsiTheme="majorBidi" w:cstheme="majorBidi"/>
          <w:sz w:val="24"/>
          <w:szCs w:val="24"/>
        </w:rPr>
        <w:t xml:space="preserve">. Using </w:t>
      </w:r>
      <w:r w:rsidR="001E33C6">
        <w:rPr>
          <w:rFonts w:asciiTheme="majorBidi" w:hAnsiTheme="majorBidi" w:cstheme="majorBidi"/>
          <w:sz w:val="24"/>
          <w:szCs w:val="24"/>
        </w:rPr>
        <w:t>VECM</w:t>
      </w:r>
      <w:r w:rsidR="00D55297">
        <w:rPr>
          <w:rFonts w:asciiTheme="majorBidi" w:hAnsiTheme="majorBidi" w:cstheme="majorBidi"/>
          <w:sz w:val="24"/>
          <w:szCs w:val="24"/>
        </w:rPr>
        <w:t xml:space="preserve">, </w:t>
      </w:r>
      <w:r>
        <w:rPr>
          <w:rFonts w:asciiTheme="majorBidi" w:hAnsiTheme="majorBidi" w:cstheme="majorBidi"/>
          <w:sz w:val="24"/>
          <w:szCs w:val="24"/>
        </w:rPr>
        <w:t xml:space="preserve">long-term relationships and </w:t>
      </w:r>
      <w:r w:rsidR="00D55297">
        <w:rPr>
          <w:rFonts w:asciiTheme="majorBidi" w:hAnsiTheme="majorBidi" w:cstheme="majorBidi"/>
          <w:sz w:val="24"/>
          <w:szCs w:val="24"/>
        </w:rPr>
        <w:t>dynamic associations between the Malaysian capital market and macroeconomic variables</w:t>
      </w:r>
      <w:r>
        <w:rPr>
          <w:rFonts w:asciiTheme="majorBidi" w:hAnsiTheme="majorBidi" w:cstheme="majorBidi"/>
          <w:sz w:val="24"/>
          <w:szCs w:val="24"/>
        </w:rPr>
        <w:t xml:space="preserve"> were computed</w:t>
      </w:r>
      <w:r w:rsidR="00D55297">
        <w:rPr>
          <w:rFonts w:asciiTheme="majorBidi" w:hAnsiTheme="majorBidi" w:cstheme="majorBidi"/>
          <w:sz w:val="24"/>
          <w:szCs w:val="24"/>
        </w:rPr>
        <w:t>.</w:t>
      </w:r>
    </w:p>
    <w:p w:rsidR="003448CB" w:rsidRDefault="003448CB" w:rsidP="003D29DA">
      <w:pPr>
        <w:pStyle w:val="ListParagraph"/>
        <w:spacing w:after="0" w:line="240" w:lineRule="auto"/>
        <w:ind w:left="0"/>
        <w:jc w:val="both"/>
        <w:rPr>
          <w:rFonts w:asciiTheme="majorBidi" w:hAnsiTheme="majorBidi" w:cstheme="majorBidi"/>
          <w:sz w:val="24"/>
          <w:szCs w:val="24"/>
        </w:rPr>
      </w:pPr>
    </w:p>
    <w:p w:rsidR="00921854" w:rsidRDefault="003D590A" w:rsidP="003D29DA">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The paper’s findings suggest </w:t>
      </w:r>
      <w:r w:rsidR="003448CB">
        <w:rPr>
          <w:rFonts w:asciiTheme="majorBidi" w:hAnsiTheme="majorBidi" w:cstheme="majorBidi"/>
          <w:sz w:val="24"/>
          <w:szCs w:val="24"/>
        </w:rPr>
        <w:t xml:space="preserve">several implications </w:t>
      </w:r>
      <w:r>
        <w:rPr>
          <w:rFonts w:asciiTheme="majorBidi" w:hAnsiTheme="majorBidi" w:cstheme="majorBidi"/>
          <w:sz w:val="24"/>
          <w:szCs w:val="24"/>
        </w:rPr>
        <w:t xml:space="preserve">related to </w:t>
      </w:r>
      <w:r w:rsidR="003448CB">
        <w:rPr>
          <w:rFonts w:asciiTheme="majorBidi" w:hAnsiTheme="majorBidi" w:cstheme="majorBidi"/>
          <w:sz w:val="24"/>
          <w:szCs w:val="24"/>
        </w:rPr>
        <w:t>monetary transmissions, market efficiency, and the dynamic interactions between macroeconomic variables and the Malaysian capital market.</w:t>
      </w:r>
      <w:r w:rsidR="00C67966">
        <w:rPr>
          <w:rFonts w:asciiTheme="majorBidi" w:hAnsiTheme="majorBidi" w:cstheme="majorBidi"/>
          <w:sz w:val="24"/>
          <w:szCs w:val="24"/>
        </w:rPr>
        <w:t xml:space="preserve"> The presence of six co-integrating vectors </w:t>
      </w:r>
      <w:r>
        <w:rPr>
          <w:rFonts w:asciiTheme="majorBidi" w:hAnsiTheme="majorBidi" w:cstheme="majorBidi"/>
          <w:sz w:val="24"/>
          <w:szCs w:val="24"/>
        </w:rPr>
        <w:t xml:space="preserve">indicates long-term </w:t>
      </w:r>
      <w:r w:rsidR="00C67966">
        <w:rPr>
          <w:rFonts w:asciiTheme="majorBidi" w:hAnsiTheme="majorBidi" w:cstheme="majorBidi"/>
          <w:sz w:val="24"/>
          <w:szCs w:val="24"/>
        </w:rPr>
        <w:t>predictability of the Malaysian capital market in relation to the macroeconomic variables. Thus, the Malaysian stock market is connected with its economic indicators.</w:t>
      </w:r>
      <w:r w:rsidR="00087C02">
        <w:rPr>
          <w:rFonts w:asciiTheme="majorBidi" w:hAnsiTheme="majorBidi" w:cstheme="majorBidi"/>
          <w:sz w:val="24"/>
          <w:szCs w:val="24"/>
        </w:rPr>
        <w:t xml:space="preserve"> </w:t>
      </w:r>
      <w:r w:rsidR="008E4BBE">
        <w:rPr>
          <w:rFonts w:asciiTheme="majorBidi" w:hAnsiTheme="majorBidi" w:cstheme="majorBidi"/>
          <w:sz w:val="24"/>
          <w:szCs w:val="24"/>
        </w:rPr>
        <w:t xml:space="preserve">The selected macroeconomic variables are positively and negatively associated with the Malaysian stock market. Inflation and interest rates are negatively related to the Malaysian capital market while M3 and GDP are positively associated with the Malaysian stock market. The responses </w:t>
      </w:r>
      <w:r w:rsidR="008E4BBE">
        <w:rPr>
          <w:rFonts w:asciiTheme="majorBidi" w:hAnsiTheme="majorBidi" w:cstheme="majorBidi"/>
          <w:sz w:val="24"/>
          <w:szCs w:val="24"/>
        </w:rPr>
        <w:lastRenderedPageBreak/>
        <w:t xml:space="preserve">of the Malaysian capital market to the changes in macroeconomic variables imply evidence of </w:t>
      </w:r>
      <w:r w:rsidR="00AC385F">
        <w:rPr>
          <w:rFonts w:asciiTheme="majorBidi" w:hAnsiTheme="majorBidi" w:cstheme="majorBidi"/>
          <w:sz w:val="24"/>
          <w:szCs w:val="24"/>
        </w:rPr>
        <w:t xml:space="preserve">the weak </w:t>
      </w:r>
      <w:r w:rsidR="000C494E">
        <w:rPr>
          <w:rFonts w:asciiTheme="majorBidi" w:hAnsiTheme="majorBidi" w:cstheme="majorBidi"/>
          <w:sz w:val="24"/>
          <w:szCs w:val="24"/>
        </w:rPr>
        <w:t xml:space="preserve">form of market </w:t>
      </w:r>
      <w:r w:rsidR="008E4BBE">
        <w:rPr>
          <w:rFonts w:asciiTheme="majorBidi" w:hAnsiTheme="majorBidi" w:cstheme="majorBidi"/>
          <w:sz w:val="24"/>
          <w:szCs w:val="24"/>
        </w:rPr>
        <w:t xml:space="preserve">efficiency. </w:t>
      </w:r>
      <w:r w:rsidR="00265A45">
        <w:rPr>
          <w:rFonts w:asciiTheme="majorBidi" w:hAnsiTheme="majorBidi" w:cstheme="majorBidi"/>
          <w:sz w:val="24"/>
          <w:szCs w:val="24"/>
        </w:rPr>
        <w:t xml:space="preserve">The Malaysian capital market index has a one unit root </w:t>
      </w:r>
      <w:r w:rsidR="006715EB">
        <w:rPr>
          <w:rFonts w:asciiTheme="majorBidi" w:hAnsiTheme="majorBidi" w:cstheme="majorBidi"/>
          <w:sz w:val="24"/>
          <w:szCs w:val="24"/>
        </w:rPr>
        <w:t>(</w:t>
      </w:r>
      <w:r w:rsidR="00265A45">
        <w:rPr>
          <w:rFonts w:asciiTheme="majorBidi" w:hAnsiTheme="majorBidi" w:cstheme="majorBidi"/>
          <w:sz w:val="24"/>
          <w:szCs w:val="24"/>
        </w:rPr>
        <w:t xml:space="preserve">i.e., stationary at </w:t>
      </w:r>
      <w:proofErr w:type="gramStart"/>
      <w:r w:rsidR="00265A45" w:rsidRPr="00265A45">
        <w:rPr>
          <w:rFonts w:asciiTheme="majorBidi" w:hAnsiTheme="majorBidi" w:cstheme="majorBidi"/>
          <w:i/>
          <w:iCs/>
          <w:sz w:val="24"/>
          <w:szCs w:val="24"/>
        </w:rPr>
        <w:t>I(</w:t>
      </w:r>
      <w:proofErr w:type="gramEnd"/>
      <w:r w:rsidR="00265A45" w:rsidRPr="00265A45">
        <w:rPr>
          <w:rFonts w:asciiTheme="majorBidi" w:hAnsiTheme="majorBidi" w:cstheme="majorBidi"/>
          <w:i/>
          <w:iCs/>
          <w:sz w:val="24"/>
          <w:szCs w:val="24"/>
        </w:rPr>
        <w:t>1)</w:t>
      </w:r>
      <w:r w:rsidR="006715EB" w:rsidRPr="006715EB">
        <w:rPr>
          <w:rFonts w:asciiTheme="majorBidi" w:hAnsiTheme="majorBidi" w:cstheme="majorBidi"/>
          <w:sz w:val="24"/>
          <w:szCs w:val="24"/>
        </w:rPr>
        <w:t>)</w:t>
      </w:r>
      <w:r w:rsidR="00265A45">
        <w:rPr>
          <w:rFonts w:asciiTheme="majorBidi" w:hAnsiTheme="majorBidi" w:cstheme="majorBidi"/>
          <w:sz w:val="24"/>
          <w:szCs w:val="24"/>
        </w:rPr>
        <w:t>, whic</w:t>
      </w:r>
      <w:r w:rsidR="006715EB">
        <w:rPr>
          <w:rFonts w:asciiTheme="majorBidi" w:hAnsiTheme="majorBidi" w:cstheme="majorBidi"/>
          <w:sz w:val="24"/>
          <w:szCs w:val="24"/>
        </w:rPr>
        <w:t xml:space="preserve">h implies that KLCI changes </w:t>
      </w:r>
      <w:r w:rsidR="00265A45">
        <w:rPr>
          <w:rFonts w:asciiTheme="majorBidi" w:hAnsiTheme="majorBidi" w:cstheme="majorBidi"/>
          <w:sz w:val="24"/>
          <w:szCs w:val="24"/>
        </w:rPr>
        <w:t xml:space="preserve">randomly. This result is consistent with the weak form of market </w:t>
      </w:r>
      <w:r w:rsidR="006715EB">
        <w:rPr>
          <w:rFonts w:asciiTheme="majorBidi" w:hAnsiTheme="majorBidi" w:cstheme="majorBidi"/>
          <w:sz w:val="24"/>
          <w:szCs w:val="24"/>
        </w:rPr>
        <w:t>efficiency (</w:t>
      </w:r>
      <w:r w:rsidR="007B66D9">
        <w:rPr>
          <w:rFonts w:asciiTheme="majorBidi" w:hAnsiTheme="majorBidi" w:cstheme="majorBidi"/>
          <w:sz w:val="24"/>
          <w:szCs w:val="24"/>
        </w:rPr>
        <w:t>S</w:t>
      </w:r>
      <w:r w:rsidR="006715EB">
        <w:rPr>
          <w:rFonts w:asciiTheme="majorBidi" w:hAnsiTheme="majorBidi" w:cstheme="majorBidi"/>
          <w:sz w:val="24"/>
          <w:szCs w:val="24"/>
        </w:rPr>
        <w:t xml:space="preserve">ee, Chaudhuri and Smiles, 2004; </w:t>
      </w:r>
      <w:proofErr w:type="spellStart"/>
      <w:r w:rsidR="006715EB">
        <w:rPr>
          <w:rFonts w:asciiTheme="majorBidi" w:hAnsiTheme="majorBidi" w:cstheme="majorBidi"/>
          <w:sz w:val="24"/>
          <w:szCs w:val="24"/>
        </w:rPr>
        <w:t>Hatemi</w:t>
      </w:r>
      <w:proofErr w:type="spellEnd"/>
      <w:r w:rsidR="006715EB">
        <w:rPr>
          <w:rFonts w:asciiTheme="majorBidi" w:hAnsiTheme="majorBidi" w:cstheme="majorBidi"/>
          <w:sz w:val="24"/>
          <w:szCs w:val="24"/>
        </w:rPr>
        <w:t xml:space="preserve">-J and </w:t>
      </w:r>
      <w:r w:rsidR="00AC385F">
        <w:rPr>
          <w:rFonts w:asciiTheme="majorBidi" w:hAnsiTheme="majorBidi" w:cstheme="majorBidi"/>
          <w:sz w:val="24"/>
          <w:szCs w:val="24"/>
        </w:rPr>
        <w:t>Morgan, 2009</w:t>
      </w:r>
      <w:r w:rsidR="006C50B4">
        <w:rPr>
          <w:rFonts w:asciiTheme="majorBidi" w:hAnsiTheme="majorBidi" w:cstheme="majorBidi"/>
          <w:sz w:val="24"/>
          <w:szCs w:val="24"/>
        </w:rPr>
        <w:t>)</w:t>
      </w:r>
      <w:r w:rsidR="00AC385F">
        <w:rPr>
          <w:rFonts w:asciiTheme="majorBidi" w:hAnsiTheme="majorBidi" w:cstheme="majorBidi"/>
          <w:sz w:val="24"/>
          <w:szCs w:val="24"/>
        </w:rPr>
        <w:t>.</w:t>
      </w:r>
    </w:p>
    <w:p w:rsidR="003D29DA" w:rsidRDefault="003D29DA" w:rsidP="003D29DA">
      <w:pPr>
        <w:pStyle w:val="ListParagraph"/>
        <w:spacing w:after="0" w:line="240" w:lineRule="auto"/>
        <w:ind w:left="0"/>
        <w:jc w:val="both"/>
        <w:rPr>
          <w:rFonts w:asciiTheme="majorBidi" w:hAnsiTheme="majorBidi" w:cstheme="majorBidi"/>
          <w:sz w:val="24"/>
          <w:szCs w:val="24"/>
        </w:rPr>
      </w:pPr>
    </w:p>
    <w:p w:rsidR="001E33C6" w:rsidRDefault="00921854" w:rsidP="003D29DA">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The associations between the Malaysian capital market and macroeconomic variables provide several policy implications. The paper’s findings raise some questions on the implementations of monetary policies to achieve the stability of the financial system in Malaysia. Stock prices in Malaysia seem to increase over time as interest and infl</w:t>
      </w:r>
      <w:r w:rsidR="008763BB">
        <w:rPr>
          <w:rFonts w:asciiTheme="majorBidi" w:hAnsiTheme="majorBidi" w:cstheme="majorBidi"/>
          <w:sz w:val="24"/>
          <w:szCs w:val="24"/>
        </w:rPr>
        <w:t xml:space="preserve">ation rates decreases while </w:t>
      </w:r>
      <w:r>
        <w:rPr>
          <w:rFonts w:asciiTheme="majorBidi" w:hAnsiTheme="majorBidi" w:cstheme="majorBidi"/>
          <w:sz w:val="24"/>
          <w:szCs w:val="24"/>
        </w:rPr>
        <w:t>M3 and GDP increases.</w:t>
      </w:r>
      <w:r w:rsidR="008763BB">
        <w:rPr>
          <w:rFonts w:asciiTheme="majorBidi" w:hAnsiTheme="majorBidi" w:cstheme="majorBidi"/>
          <w:sz w:val="24"/>
          <w:szCs w:val="24"/>
        </w:rPr>
        <w:t xml:space="preserve"> </w:t>
      </w:r>
      <w:r w:rsidR="00684CB7">
        <w:rPr>
          <w:rFonts w:asciiTheme="majorBidi" w:hAnsiTheme="majorBidi" w:cstheme="majorBidi"/>
          <w:sz w:val="24"/>
          <w:szCs w:val="24"/>
        </w:rPr>
        <w:t xml:space="preserve">Malaysia’s central bank has to </w:t>
      </w:r>
      <w:r w:rsidR="001E33C6">
        <w:rPr>
          <w:rFonts w:asciiTheme="majorBidi" w:hAnsiTheme="majorBidi" w:cstheme="majorBidi"/>
          <w:sz w:val="24"/>
          <w:szCs w:val="24"/>
        </w:rPr>
        <w:t>balance the amount of M3 in the Malaysian economy</w:t>
      </w:r>
      <w:r w:rsidR="008763BB">
        <w:rPr>
          <w:rFonts w:asciiTheme="majorBidi" w:hAnsiTheme="majorBidi" w:cstheme="majorBidi"/>
          <w:sz w:val="24"/>
          <w:szCs w:val="24"/>
        </w:rPr>
        <w:t>,</w:t>
      </w:r>
      <w:r w:rsidR="001E33C6">
        <w:rPr>
          <w:rFonts w:asciiTheme="majorBidi" w:hAnsiTheme="majorBidi" w:cstheme="majorBidi"/>
          <w:sz w:val="24"/>
          <w:szCs w:val="24"/>
        </w:rPr>
        <w:t xml:space="preserve"> which increases inflation rates. The increases of inflation rates lead to the instability of the financial system in Malaysia. </w:t>
      </w:r>
    </w:p>
    <w:p w:rsidR="001E33C6" w:rsidRDefault="001E33C6" w:rsidP="003D29DA">
      <w:pPr>
        <w:pStyle w:val="ListParagraph"/>
        <w:spacing w:after="0" w:line="240" w:lineRule="auto"/>
        <w:ind w:left="0"/>
        <w:jc w:val="both"/>
        <w:rPr>
          <w:rFonts w:asciiTheme="majorBidi" w:hAnsiTheme="majorBidi" w:cstheme="majorBidi"/>
          <w:sz w:val="24"/>
          <w:szCs w:val="24"/>
        </w:rPr>
      </w:pPr>
    </w:p>
    <w:p w:rsidR="004E71E0" w:rsidRDefault="007103EB" w:rsidP="003D29DA">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 xml:space="preserve">Using the </w:t>
      </w:r>
      <w:r w:rsidR="001E33C6">
        <w:rPr>
          <w:rFonts w:asciiTheme="majorBidi" w:hAnsiTheme="majorBidi" w:cstheme="majorBidi"/>
          <w:sz w:val="24"/>
          <w:szCs w:val="24"/>
        </w:rPr>
        <w:t xml:space="preserve">VECM analysis, three dummy variables were included to capture the effects of </w:t>
      </w:r>
      <w:r>
        <w:rPr>
          <w:rFonts w:asciiTheme="majorBidi" w:hAnsiTheme="majorBidi" w:cstheme="majorBidi"/>
          <w:sz w:val="24"/>
          <w:szCs w:val="24"/>
        </w:rPr>
        <w:t>the 1997−</w:t>
      </w:r>
      <w:r w:rsidR="001E33C6">
        <w:rPr>
          <w:rFonts w:asciiTheme="majorBidi" w:hAnsiTheme="majorBidi" w:cstheme="majorBidi"/>
          <w:sz w:val="24"/>
          <w:szCs w:val="24"/>
        </w:rPr>
        <w:t xml:space="preserve">1998 Asian financial, </w:t>
      </w:r>
      <w:r>
        <w:rPr>
          <w:rFonts w:asciiTheme="majorBidi" w:hAnsiTheme="majorBidi" w:cstheme="majorBidi"/>
          <w:sz w:val="24"/>
          <w:szCs w:val="24"/>
        </w:rPr>
        <w:t>2008−</w:t>
      </w:r>
      <w:r w:rsidR="0057384B">
        <w:rPr>
          <w:rFonts w:asciiTheme="majorBidi" w:hAnsiTheme="majorBidi" w:cstheme="majorBidi"/>
          <w:sz w:val="24"/>
          <w:szCs w:val="24"/>
        </w:rPr>
        <w:t xml:space="preserve">2009 </w:t>
      </w:r>
      <w:r w:rsidR="001E33C6">
        <w:rPr>
          <w:rFonts w:asciiTheme="majorBidi" w:hAnsiTheme="majorBidi" w:cstheme="majorBidi"/>
          <w:sz w:val="24"/>
          <w:szCs w:val="24"/>
        </w:rPr>
        <w:t xml:space="preserve">global financial, and the </w:t>
      </w:r>
      <w:r>
        <w:rPr>
          <w:rFonts w:asciiTheme="majorBidi" w:hAnsiTheme="majorBidi" w:cstheme="majorBidi"/>
          <w:sz w:val="24"/>
          <w:szCs w:val="24"/>
        </w:rPr>
        <w:t>1984−</w:t>
      </w:r>
      <w:r w:rsidR="0057384B">
        <w:rPr>
          <w:rFonts w:asciiTheme="majorBidi" w:hAnsiTheme="majorBidi" w:cstheme="majorBidi"/>
          <w:sz w:val="24"/>
          <w:szCs w:val="24"/>
        </w:rPr>
        <w:t xml:space="preserve">1985 </w:t>
      </w:r>
      <w:r w:rsidR="001E33C6">
        <w:rPr>
          <w:rFonts w:asciiTheme="majorBidi" w:hAnsiTheme="majorBidi" w:cstheme="majorBidi"/>
          <w:sz w:val="24"/>
          <w:szCs w:val="24"/>
        </w:rPr>
        <w:t xml:space="preserve">commodities crises. </w:t>
      </w:r>
      <w:r w:rsidR="0057384B">
        <w:rPr>
          <w:rFonts w:asciiTheme="majorBidi" w:hAnsiTheme="majorBidi" w:cstheme="majorBidi"/>
          <w:sz w:val="24"/>
          <w:szCs w:val="24"/>
        </w:rPr>
        <w:t xml:space="preserve">It </w:t>
      </w:r>
      <w:r>
        <w:rPr>
          <w:rFonts w:asciiTheme="majorBidi" w:hAnsiTheme="majorBidi" w:cstheme="majorBidi"/>
          <w:sz w:val="24"/>
          <w:szCs w:val="24"/>
        </w:rPr>
        <w:t xml:space="preserve">is worth mentioning that these </w:t>
      </w:r>
      <w:r w:rsidR="0057384B">
        <w:rPr>
          <w:rFonts w:asciiTheme="majorBidi" w:hAnsiTheme="majorBidi" w:cstheme="majorBidi"/>
          <w:sz w:val="24"/>
          <w:szCs w:val="24"/>
        </w:rPr>
        <w:t>crises exerted short-term irreg</w:t>
      </w:r>
      <w:r>
        <w:rPr>
          <w:rFonts w:asciiTheme="majorBidi" w:hAnsiTheme="majorBidi" w:cstheme="majorBidi"/>
          <w:sz w:val="24"/>
          <w:szCs w:val="24"/>
        </w:rPr>
        <w:t xml:space="preserve">ularities </w:t>
      </w:r>
      <w:r w:rsidR="0057384B">
        <w:rPr>
          <w:rFonts w:asciiTheme="majorBidi" w:hAnsiTheme="majorBidi" w:cstheme="majorBidi"/>
          <w:sz w:val="24"/>
          <w:szCs w:val="24"/>
        </w:rPr>
        <w:t>in the associations between macroeconomic variables and the Malaysian stock market.</w:t>
      </w:r>
      <w:r w:rsidR="00D5088C">
        <w:rPr>
          <w:rFonts w:asciiTheme="majorBidi" w:hAnsiTheme="majorBidi" w:cstheme="majorBidi"/>
          <w:sz w:val="24"/>
          <w:szCs w:val="24"/>
        </w:rPr>
        <w:t xml:space="preserve"> Thus, </w:t>
      </w:r>
      <w:r w:rsidR="00FA5C79">
        <w:rPr>
          <w:rFonts w:asciiTheme="majorBidi" w:hAnsiTheme="majorBidi" w:cstheme="majorBidi"/>
          <w:sz w:val="24"/>
          <w:szCs w:val="24"/>
        </w:rPr>
        <w:t>a large sample of time series data is</w:t>
      </w:r>
      <w:r w:rsidR="00D5088C">
        <w:rPr>
          <w:rFonts w:asciiTheme="majorBidi" w:hAnsiTheme="majorBidi" w:cstheme="majorBidi"/>
          <w:sz w:val="24"/>
          <w:szCs w:val="24"/>
        </w:rPr>
        <w:t xml:space="preserve"> needed to av</w:t>
      </w:r>
      <w:r>
        <w:rPr>
          <w:rFonts w:asciiTheme="majorBidi" w:hAnsiTheme="majorBidi" w:cstheme="majorBidi"/>
          <w:sz w:val="24"/>
          <w:szCs w:val="24"/>
        </w:rPr>
        <w:t xml:space="preserve">oid </w:t>
      </w:r>
      <w:r w:rsidR="00FA5C79">
        <w:rPr>
          <w:rFonts w:asciiTheme="majorBidi" w:hAnsiTheme="majorBidi" w:cstheme="majorBidi"/>
          <w:sz w:val="24"/>
          <w:szCs w:val="24"/>
        </w:rPr>
        <w:t xml:space="preserve">short-term irregularity </w:t>
      </w:r>
      <w:r>
        <w:rPr>
          <w:rFonts w:asciiTheme="majorBidi" w:hAnsiTheme="majorBidi" w:cstheme="majorBidi"/>
          <w:sz w:val="24"/>
          <w:szCs w:val="24"/>
        </w:rPr>
        <w:t xml:space="preserve">in </w:t>
      </w:r>
      <w:r w:rsidR="00FA5C79">
        <w:rPr>
          <w:rFonts w:asciiTheme="majorBidi" w:hAnsiTheme="majorBidi" w:cstheme="majorBidi"/>
          <w:sz w:val="24"/>
          <w:szCs w:val="24"/>
        </w:rPr>
        <w:t>future research.</w:t>
      </w:r>
    </w:p>
    <w:p w:rsidR="00917741" w:rsidRDefault="00917741" w:rsidP="00B04DE8">
      <w:pPr>
        <w:pStyle w:val="ListParagraph"/>
        <w:spacing w:after="0" w:line="480" w:lineRule="auto"/>
        <w:ind w:left="0"/>
        <w:jc w:val="both"/>
        <w:rPr>
          <w:rFonts w:asciiTheme="majorBidi" w:hAnsiTheme="majorBidi" w:cstheme="majorBidi"/>
          <w:sz w:val="24"/>
          <w:szCs w:val="24"/>
        </w:rPr>
      </w:pPr>
    </w:p>
    <w:p w:rsidR="00085140" w:rsidRPr="007B66D9" w:rsidRDefault="00D5088C" w:rsidP="003D29DA">
      <w:pPr>
        <w:spacing w:after="0" w:line="240" w:lineRule="auto"/>
        <w:rPr>
          <w:rFonts w:asciiTheme="majorBidi" w:hAnsiTheme="majorBidi" w:cstheme="majorBidi"/>
          <w:b/>
          <w:bCs/>
          <w:sz w:val="24"/>
          <w:szCs w:val="24"/>
          <w:lang w:val="en-US"/>
        </w:rPr>
      </w:pPr>
      <w:r w:rsidRPr="00512463">
        <w:rPr>
          <w:rFonts w:asciiTheme="majorBidi" w:hAnsiTheme="majorBidi" w:cstheme="majorBidi"/>
          <w:b/>
          <w:bCs/>
          <w:sz w:val="24"/>
          <w:szCs w:val="24"/>
          <w:lang w:val="en-US"/>
        </w:rPr>
        <w:t>References</w:t>
      </w:r>
    </w:p>
    <w:p w:rsidR="00BB417E" w:rsidRPr="00BB417E" w:rsidRDefault="00BB417E" w:rsidP="003D29DA">
      <w:pPr>
        <w:suppressLineNumbers/>
        <w:tabs>
          <w:tab w:val="left" w:pos="9360"/>
        </w:tabs>
        <w:spacing w:after="0" w:line="240" w:lineRule="auto"/>
        <w:ind w:left="1134" w:hanging="1134"/>
        <w:jc w:val="both"/>
        <w:outlineLvl w:val="2"/>
        <w:rPr>
          <w:rFonts w:ascii="Times New Roman" w:hAnsi="Times New Roman" w:cs="Times New Roman"/>
          <w:sz w:val="24"/>
          <w:szCs w:val="24"/>
        </w:rPr>
      </w:pPr>
      <w:proofErr w:type="spellStart"/>
      <w:r w:rsidRPr="00BB417E">
        <w:rPr>
          <w:rFonts w:ascii="Times New Roman" w:hAnsi="Times New Roman" w:cs="Times New Roman"/>
          <w:sz w:val="24"/>
          <w:szCs w:val="24"/>
        </w:rPr>
        <w:t>Abugri</w:t>
      </w:r>
      <w:proofErr w:type="spellEnd"/>
      <w:r w:rsidRPr="00BB417E">
        <w:rPr>
          <w:rFonts w:ascii="Times New Roman" w:hAnsi="Times New Roman" w:cs="Times New Roman"/>
          <w:sz w:val="24"/>
          <w:szCs w:val="24"/>
        </w:rPr>
        <w:t xml:space="preserve">, B.A., 2008. Empirical relationship between macroeconomic volatility and stock returns: Evidence from Latin American markets. </w:t>
      </w:r>
      <w:proofErr w:type="gramStart"/>
      <w:r w:rsidRPr="00BB417E">
        <w:rPr>
          <w:rFonts w:ascii="Times New Roman" w:hAnsi="Times New Roman" w:cs="Times New Roman"/>
          <w:sz w:val="24"/>
          <w:szCs w:val="24"/>
        </w:rPr>
        <w:t>International Review of Financial Analysis.</w:t>
      </w:r>
      <w:proofErr w:type="gramEnd"/>
      <w:r w:rsidRPr="00BB417E">
        <w:rPr>
          <w:rFonts w:ascii="Times New Roman" w:hAnsi="Times New Roman" w:cs="Times New Roman"/>
          <w:sz w:val="24"/>
          <w:szCs w:val="24"/>
        </w:rPr>
        <w:t xml:space="preserve"> 17, 396-410.</w:t>
      </w:r>
    </w:p>
    <w:p w:rsidR="00BB417E" w:rsidRPr="00BB417E" w:rsidRDefault="00BB417E" w:rsidP="003D29DA">
      <w:pPr>
        <w:spacing w:after="0" w:line="240" w:lineRule="auto"/>
        <w:ind w:left="1134" w:hanging="1134"/>
        <w:jc w:val="both"/>
        <w:rPr>
          <w:rFonts w:ascii="Times New Roman" w:hAnsi="Times New Roman" w:cs="Times New Roman"/>
          <w:sz w:val="24"/>
          <w:szCs w:val="24"/>
          <w:u w:val="single"/>
        </w:rPr>
      </w:pPr>
      <w:r w:rsidRPr="00BB417E">
        <w:rPr>
          <w:rFonts w:ascii="Times New Roman" w:hAnsi="Times New Roman" w:cs="Times New Roman"/>
          <w:sz w:val="24"/>
          <w:szCs w:val="24"/>
        </w:rPr>
        <w:t xml:space="preserve">Bank Negara Malaysia., 2013. Monthly statistical bulletin, retrieved from: </w:t>
      </w:r>
      <w:hyperlink r:id="rId14" w:history="1">
        <w:r w:rsidRPr="00BB417E">
          <w:rPr>
            <w:rStyle w:val="Hyperlink"/>
            <w:rFonts w:ascii="Times New Roman" w:hAnsi="Times New Roman" w:cs="Times New Roman"/>
            <w:color w:val="auto"/>
            <w:sz w:val="24"/>
            <w:szCs w:val="24"/>
          </w:rPr>
          <w:t>http://www.bnm.gov.my/index.php?ch=en_publication_catalogue&amp;pg=en_publication_msb&amp;mth=1&amp;yr=2013&amp;lang=en</w:t>
        </w:r>
      </w:hyperlink>
      <w:r w:rsidRPr="00BB417E">
        <w:rPr>
          <w:rStyle w:val="Hyperlink"/>
          <w:rFonts w:ascii="Times New Roman" w:hAnsi="Times New Roman" w:cs="Times New Roman"/>
          <w:color w:val="auto"/>
          <w:sz w:val="24"/>
          <w:szCs w:val="24"/>
        </w:rPr>
        <w:t>.</w:t>
      </w:r>
    </w:p>
    <w:p w:rsidR="00BB417E" w:rsidRPr="00BB417E" w:rsidRDefault="00BB417E" w:rsidP="00BB417E">
      <w:pPr>
        <w:autoSpaceDE w:val="0"/>
        <w:autoSpaceDN w:val="0"/>
        <w:adjustRightInd w:val="0"/>
        <w:spacing w:after="0" w:line="240" w:lineRule="auto"/>
        <w:ind w:left="1134" w:hanging="1134"/>
        <w:jc w:val="both"/>
        <w:rPr>
          <w:rFonts w:ascii="Times New Roman" w:eastAsia="Times New Roman" w:hAnsi="Times New Roman" w:cs="Times New Roman"/>
          <w:sz w:val="24"/>
          <w:szCs w:val="24"/>
          <w:lang w:val="en-US"/>
        </w:rPr>
      </w:pPr>
      <w:proofErr w:type="spellStart"/>
      <w:r w:rsidRPr="00BB417E">
        <w:rPr>
          <w:rFonts w:ascii="Times New Roman" w:eastAsia="Times New Roman" w:hAnsi="Times New Roman" w:cs="Times New Roman"/>
          <w:sz w:val="24"/>
          <w:szCs w:val="24"/>
          <w:lang w:val="en-US"/>
        </w:rPr>
        <w:t>Bekhet</w:t>
      </w:r>
      <w:proofErr w:type="spellEnd"/>
      <w:r w:rsidRPr="00BB417E">
        <w:rPr>
          <w:rFonts w:ascii="Times New Roman" w:eastAsia="Times New Roman" w:hAnsi="Times New Roman" w:cs="Times New Roman"/>
          <w:sz w:val="24"/>
          <w:szCs w:val="24"/>
          <w:lang w:val="en-US"/>
        </w:rPr>
        <w:t xml:space="preserve">, H. A., </w:t>
      </w:r>
      <w:proofErr w:type="spellStart"/>
      <w:r w:rsidRPr="00BB417E">
        <w:rPr>
          <w:rFonts w:ascii="Times New Roman" w:eastAsia="Times New Roman" w:hAnsi="Times New Roman" w:cs="Times New Roman"/>
          <w:sz w:val="24"/>
          <w:szCs w:val="24"/>
          <w:lang w:val="en-US"/>
        </w:rPr>
        <w:t>Mugableh</w:t>
      </w:r>
      <w:proofErr w:type="spellEnd"/>
      <w:r w:rsidRPr="00BB417E">
        <w:rPr>
          <w:rFonts w:ascii="Times New Roman" w:eastAsia="Times New Roman" w:hAnsi="Times New Roman" w:cs="Times New Roman"/>
          <w:sz w:val="24"/>
          <w:szCs w:val="24"/>
          <w:lang w:val="en-US"/>
        </w:rPr>
        <w:t>, M. I. (2012). Investigating Equilibrium Relationships between Macroeconomic Variables and Malaysian Stock Market Index through Bounds Tests Approach. International Journal of Economics and Finance, 4</w:t>
      </w:r>
      <w:r>
        <w:rPr>
          <w:rFonts w:ascii="Times New Roman" w:eastAsia="Times New Roman" w:hAnsi="Times New Roman" w:cs="Times New Roman"/>
          <w:sz w:val="24"/>
          <w:szCs w:val="24"/>
          <w:lang w:val="en-US"/>
        </w:rPr>
        <w:t xml:space="preserve">(10), </w:t>
      </w:r>
      <w:r w:rsidRPr="00BB417E">
        <w:rPr>
          <w:rFonts w:ascii="Times New Roman" w:eastAsia="Times New Roman" w:hAnsi="Times New Roman" w:cs="Times New Roman"/>
          <w:sz w:val="24"/>
          <w:szCs w:val="24"/>
          <w:lang w:val="en-US"/>
        </w:rPr>
        <w:t>69-81.</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Bjornland</w:t>
      </w:r>
      <w:proofErr w:type="spellEnd"/>
      <w:r w:rsidRPr="00BB417E">
        <w:rPr>
          <w:rFonts w:ascii="Times New Roman" w:hAnsi="Times New Roman" w:cs="Times New Roman"/>
          <w:sz w:val="24"/>
          <w:szCs w:val="24"/>
        </w:rPr>
        <w:t xml:space="preserve">, H.C., </w:t>
      </w:r>
      <w:proofErr w:type="spellStart"/>
      <w:r w:rsidRPr="00BB417E">
        <w:rPr>
          <w:rFonts w:ascii="Times New Roman" w:hAnsi="Times New Roman" w:cs="Times New Roman"/>
          <w:sz w:val="24"/>
          <w:szCs w:val="24"/>
        </w:rPr>
        <w:t>Leimtemo</w:t>
      </w:r>
      <w:proofErr w:type="spellEnd"/>
      <w:r w:rsidRPr="00BB417E">
        <w:rPr>
          <w:rFonts w:ascii="Times New Roman" w:hAnsi="Times New Roman" w:cs="Times New Roman"/>
          <w:sz w:val="24"/>
          <w:szCs w:val="24"/>
        </w:rPr>
        <w:t xml:space="preserve">, K., 2009. </w:t>
      </w:r>
      <w:proofErr w:type="gramStart"/>
      <w:r w:rsidRPr="00BB417E">
        <w:rPr>
          <w:rFonts w:ascii="Times New Roman" w:hAnsi="Times New Roman" w:cs="Times New Roman"/>
          <w:sz w:val="24"/>
          <w:szCs w:val="24"/>
        </w:rPr>
        <w:t>Identifying the interdependence between US monetary policy and the stock market</w:t>
      </w:r>
      <w:r w:rsidRPr="00BB417E">
        <w:rPr>
          <w:rFonts w:ascii="Times New Roman" w:hAnsi="Times New Roman" w:cs="Times New Roman"/>
          <w:i/>
          <w:iCs/>
          <w:sz w:val="24"/>
          <w:szCs w:val="24"/>
        </w:rPr>
        <w:t>.</w:t>
      </w:r>
      <w:proofErr w:type="gramEnd"/>
      <w:r w:rsidRPr="00BB417E">
        <w:rPr>
          <w:rFonts w:ascii="Times New Roman" w:hAnsi="Times New Roman" w:cs="Times New Roman"/>
          <w:i/>
          <w:iCs/>
          <w:sz w:val="24"/>
          <w:szCs w:val="24"/>
        </w:rPr>
        <w:t xml:space="preserve"> </w:t>
      </w:r>
      <w:proofErr w:type="gramStart"/>
      <w:r w:rsidRPr="00BB417E">
        <w:rPr>
          <w:rFonts w:ascii="Times New Roman" w:hAnsi="Times New Roman" w:cs="Times New Roman"/>
          <w:sz w:val="24"/>
          <w:szCs w:val="24"/>
        </w:rPr>
        <w:t>Journal of Monetary Economics.</w:t>
      </w:r>
      <w:proofErr w:type="gramEnd"/>
      <w:r w:rsidRPr="00BB417E">
        <w:rPr>
          <w:rFonts w:ascii="Times New Roman" w:hAnsi="Times New Roman" w:cs="Times New Roman"/>
          <w:sz w:val="24"/>
          <w:szCs w:val="24"/>
        </w:rPr>
        <w:t xml:space="preserve"> 56, 275-282.</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Black, A., Fraser, P., </w:t>
      </w:r>
      <w:proofErr w:type="spellStart"/>
      <w:r w:rsidRPr="00BB417E">
        <w:rPr>
          <w:rFonts w:ascii="Times New Roman" w:hAnsi="Times New Roman" w:cs="Times New Roman"/>
          <w:sz w:val="24"/>
          <w:szCs w:val="24"/>
        </w:rPr>
        <w:t>Groenewold</w:t>
      </w:r>
      <w:proofErr w:type="spellEnd"/>
      <w:r w:rsidRPr="00BB417E">
        <w:rPr>
          <w:rFonts w:ascii="Times New Roman" w:hAnsi="Times New Roman" w:cs="Times New Roman"/>
          <w:sz w:val="24"/>
          <w:szCs w:val="24"/>
        </w:rPr>
        <w:t xml:space="preserve">, N., 2003. </w:t>
      </w:r>
      <w:proofErr w:type="gramStart"/>
      <w:r w:rsidRPr="00BB417E">
        <w:rPr>
          <w:rFonts w:ascii="Times New Roman" w:hAnsi="Times New Roman" w:cs="Times New Roman"/>
          <w:sz w:val="24"/>
          <w:szCs w:val="24"/>
        </w:rPr>
        <w:t>U.S. Stock prices and macroeconomic fundamentals.</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International Review of Economics and Finance.</w:t>
      </w:r>
      <w:proofErr w:type="gramEnd"/>
      <w:r w:rsidRPr="00BB417E">
        <w:rPr>
          <w:rFonts w:ascii="Times New Roman" w:hAnsi="Times New Roman" w:cs="Times New Roman"/>
          <w:sz w:val="24"/>
          <w:szCs w:val="24"/>
        </w:rPr>
        <w:t xml:space="preserve"> 12, 345-367.</w:t>
      </w:r>
    </w:p>
    <w:p w:rsidR="00BB417E" w:rsidRPr="00BB417E" w:rsidRDefault="00BB417E" w:rsidP="003D29DA">
      <w:pPr>
        <w:tabs>
          <w:tab w:val="left" w:pos="567"/>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Brooks, C., 2008</w:t>
      </w:r>
      <w:r w:rsidRPr="00BB417E">
        <w:rPr>
          <w:rFonts w:ascii="Times New Roman" w:hAnsi="Times New Roman" w:cs="Times New Roman"/>
          <w:i/>
          <w:iCs/>
          <w:sz w:val="24"/>
          <w:szCs w:val="24"/>
        </w:rPr>
        <w:t xml:space="preserve">. </w:t>
      </w:r>
      <w:proofErr w:type="gramStart"/>
      <w:r w:rsidRPr="00BB417E">
        <w:rPr>
          <w:rFonts w:ascii="Times New Roman" w:hAnsi="Times New Roman" w:cs="Times New Roman"/>
          <w:sz w:val="24"/>
          <w:szCs w:val="24"/>
        </w:rPr>
        <w:t>Introductory econometrics for finance</w:t>
      </w:r>
      <w:r w:rsidRPr="00BB417E">
        <w:rPr>
          <w:rFonts w:ascii="Times New Roman" w:hAnsi="Times New Roman" w:cs="Times New Roman"/>
          <w:i/>
          <w:iCs/>
          <w:sz w:val="24"/>
          <w:szCs w:val="24"/>
        </w:rPr>
        <w:t>.</w:t>
      </w:r>
      <w:proofErr w:type="gramEnd"/>
      <w:r w:rsidRPr="00BB417E">
        <w:rPr>
          <w:rFonts w:ascii="Times New Roman" w:hAnsi="Times New Roman" w:cs="Times New Roman"/>
          <w:i/>
          <w:iCs/>
          <w:sz w:val="24"/>
          <w:szCs w:val="24"/>
        </w:rPr>
        <w:t xml:space="preserve"> </w:t>
      </w:r>
      <w:r w:rsidRPr="00BB417E">
        <w:rPr>
          <w:rFonts w:ascii="Times New Roman" w:hAnsi="Times New Roman" w:cs="Times New Roman"/>
          <w:sz w:val="24"/>
          <w:szCs w:val="24"/>
        </w:rPr>
        <w:t xml:space="preserve">Cambridge: Cambridge University Press. </w:t>
      </w:r>
    </w:p>
    <w:p w:rsidR="00BB417E" w:rsidRPr="00BB417E" w:rsidRDefault="00BB417E" w:rsidP="003D29DA">
      <w:pPr>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Bursa </w:t>
      </w:r>
      <w:proofErr w:type="gramStart"/>
      <w:r w:rsidRPr="00BB417E">
        <w:rPr>
          <w:rFonts w:ascii="Times New Roman" w:hAnsi="Times New Roman" w:cs="Times New Roman"/>
          <w:sz w:val="24"/>
          <w:szCs w:val="24"/>
        </w:rPr>
        <w:t>Malaysia.,</w:t>
      </w:r>
      <w:proofErr w:type="gramEnd"/>
      <w:r w:rsidRPr="00BB417E">
        <w:rPr>
          <w:rFonts w:ascii="Times New Roman" w:hAnsi="Times New Roman" w:cs="Times New Roman"/>
          <w:sz w:val="24"/>
          <w:szCs w:val="24"/>
        </w:rPr>
        <w:t xml:space="preserve"> 2013. Kuala Lumpur composite index time series data, retrieved from: </w:t>
      </w:r>
      <w:hyperlink r:id="rId15" w:anchor="/?filter=BS02" w:history="1">
        <w:r w:rsidRPr="00BB417E">
          <w:rPr>
            <w:rStyle w:val="Hyperlink"/>
            <w:rFonts w:ascii="Times New Roman" w:hAnsi="Times New Roman" w:cs="Times New Roman"/>
            <w:color w:val="auto"/>
            <w:sz w:val="24"/>
            <w:szCs w:val="24"/>
          </w:rPr>
          <w:t>http://www.bursamalaysia.com/market/securities/equities/prices/#/?filter=BS02</w:t>
        </w:r>
      </w:hyperlink>
      <w:r w:rsidRPr="00BB417E">
        <w:rPr>
          <w:rStyle w:val="Hyperlink"/>
          <w:rFonts w:ascii="Times New Roman" w:hAnsi="Times New Roman" w:cs="Times New Roman"/>
          <w:color w:val="auto"/>
          <w:sz w:val="24"/>
          <w:szCs w:val="24"/>
        </w:rPr>
        <w:t>.</w:t>
      </w:r>
    </w:p>
    <w:p w:rsidR="00BB417E" w:rsidRPr="00BB417E" w:rsidRDefault="00BB417E" w:rsidP="003D29DA">
      <w:pPr>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Chaudhuri, K., Smiles, S., 2004. Stock market and aggregate economic activity: evidence from Australia. </w:t>
      </w:r>
      <w:proofErr w:type="gramStart"/>
      <w:r w:rsidRPr="00BB417E">
        <w:rPr>
          <w:rFonts w:ascii="Times New Roman" w:hAnsi="Times New Roman" w:cs="Times New Roman"/>
          <w:sz w:val="24"/>
          <w:szCs w:val="24"/>
        </w:rPr>
        <w:t>Applied Financial Economics.</w:t>
      </w:r>
      <w:proofErr w:type="gramEnd"/>
      <w:r w:rsidRPr="00BB417E">
        <w:rPr>
          <w:rFonts w:ascii="Times New Roman" w:hAnsi="Times New Roman" w:cs="Times New Roman"/>
          <w:sz w:val="24"/>
          <w:szCs w:val="24"/>
        </w:rPr>
        <w:t xml:space="preserve"> 14(2), 121-129.</w:t>
      </w:r>
    </w:p>
    <w:p w:rsidR="00BB417E" w:rsidRPr="00BB417E" w:rsidRDefault="00BB417E" w:rsidP="003D29DA">
      <w:pPr>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Cheung, Y., Ng, L.K., 1998. </w:t>
      </w:r>
      <w:proofErr w:type="gramStart"/>
      <w:r w:rsidRPr="00BB417E">
        <w:rPr>
          <w:rFonts w:ascii="Times New Roman" w:hAnsi="Times New Roman" w:cs="Times New Roman"/>
          <w:sz w:val="24"/>
          <w:szCs w:val="24"/>
        </w:rPr>
        <w:t>International evidence on the stock market and aggregate economic activity.</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Journal of Empirical Finance.</w:t>
      </w:r>
      <w:proofErr w:type="gramEnd"/>
      <w:r w:rsidRPr="00BB417E">
        <w:rPr>
          <w:rFonts w:ascii="Times New Roman" w:hAnsi="Times New Roman" w:cs="Times New Roman"/>
          <w:sz w:val="24"/>
          <w:szCs w:val="24"/>
        </w:rPr>
        <w:t xml:space="preserve"> 5, 281-296.</w:t>
      </w:r>
    </w:p>
    <w:p w:rsidR="00BB417E" w:rsidRPr="00BB417E" w:rsidRDefault="00BB417E" w:rsidP="003D29DA">
      <w:pPr>
        <w:spacing w:after="0" w:line="240" w:lineRule="auto"/>
        <w:ind w:left="1134" w:hanging="1134"/>
        <w:jc w:val="both"/>
        <w:rPr>
          <w:rFonts w:ascii="Times New Roman" w:hAnsi="Times New Roman" w:cs="Times New Roman"/>
          <w:sz w:val="24"/>
          <w:szCs w:val="24"/>
        </w:rPr>
      </w:pPr>
      <w:proofErr w:type="spellStart"/>
      <w:proofErr w:type="gramStart"/>
      <w:r w:rsidRPr="00BB417E">
        <w:rPr>
          <w:rFonts w:ascii="Times New Roman" w:hAnsi="Times New Roman" w:cs="Times New Roman"/>
          <w:sz w:val="24"/>
          <w:szCs w:val="24"/>
        </w:rPr>
        <w:t>Dhakal</w:t>
      </w:r>
      <w:proofErr w:type="spellEnd"/>
      <w:r w:rsidRPr="00BB417E">
        <w:rPr>
          <w:rFonts w:ascii="Times New Roman" w:hAnsi="Times New Roman" w:cs="Times New Roman"/>
          <w:sz w:val="24"/>
          <w:szCs w:val="24"/>
        </w:rPr>
        <w:t xml:space="preserve">, D., </w:t>
      </w:r>
      <w:proofErr w:type="spellStart"/>
      <w:r w:rsidRPr="00BB417E">
        <w:rPr>
          <w:rFonts w:ascii="Times New Roman" w:hAnsi="Times New Roman" w:cs="Times New Roman"/>
          <w:sz w:val="24"/>
          <w:szCs w:val="24"/>
        </w:rPr>
        <w:t>Kandil</w:t>
      </w:r>
      <w:proofErr w:type="spellEnd"/>
      <w:r w:rsidRPr="00BB417E">
        <w:rPr>
          <w:rFonts w:ascii="Times New Roman" w:hAnsi="Times New Roman" w:cs="Times New Roman"/>
          <w:sz w:val="24"/>
          <w:szCs w:val="24"/>
        </w:rPr>
        <w:t>, M., Sharma, S.C., 1993.</w:t>
      </w:r>
      <w:proofErr w:type="gramEnd"/>
      <w:r w:rsidRPr="00BB417E">
        <w:rPr>
          <w:rFonts w:ascii="Times New Roman" w:hAnsi="Times New Roman" w:cs="Times New Roman"/>
          <w:sz w:val="24"/>
          <w:szCs w:val="24"/>
        </w:rPr>
        <w:t xml:space="preserve"> Causality between the money supply and share prices: a VAR investigation. </w:t>
      </w:r>
      <w:proofErr w:type="gramStart"/>
      <w:r w:rsidRPr="00BB417E">
        <w:rPr>
          <w:rFonts w:ascii="Times New Roman" w:hAnsi="Times New Roman" w:cs="Times New Roman"/>
          <w:sz w:val="24"/>
          <w:szCs w:val="24"/>
        </w:rPr>
        <w:t>Quarterly Journal of Business and Economics.</w:t>
      </w:r>
      <w:proofErr w:type="gramEnd"/>
      <w:r w:rsidRPr="00BB417E">
        <w:rPr>
          <w:rFonts w:ascii="Times New Roman" w:hAnsi="Times New Roman" w:cs="Times New Roman"/>
          <w:sz w:val="24"/>
          <w:szCs w:val="24"/>
        </w:rPr>
        <w:t xml:space="preserve"> 32(3), 52-74.</w:t>
      </w:r>
    </w:p>
    <w:p w:rsidR="00BB417E" w:rsidRPr="00BB417E" w:rsidRDefault="00BB417E" w:rsidP="003D29DA">
      <w:pPr>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Elliott, G., Rothenberg, T.J., Stock, J.H., 1996. Efficient tests for an autoregressive unit root. </w:t>
      </w:r>
      <w:proofErr w:type="spellStart"/>
      <w:proofErr w:type="gramStart"/>
      <w:r w:rsidRPr="00BB417E">
        <w:rPr>
          <w:rFonts w:ascii="Times New Roman" w:hAnsi="Times New Roman" w:cs="Times New Roman"/>
          <w:i/>
          <w:iCs/>
          <w:sz w:val="24"/>
          <w:szCs w:val="24"/>
        </w:rPr>
        <w:t>Econometrica</w:t>
      </w:r>
      <w:proofErr w:type="spellEnd"/>
      <w:r w:rsidRPr="00BB417E">
        <w:rPr>
          <w:rFonts w:ascii="Times New Roman" w:hAnsi="Times New Roman" w:cs="Times New Roman"/>
          <w:sz w:val="24"/>
          <w:szCs w:val="24"/>
        </w:rPr>
        <w:t>.</w:t>
      </w:r>
      <w:proofErr w:type="gramEnd"/>
      <w:r w:rsidRPr="00BB417E">
        <w:rPr>
          <w:rFonts w:ascii="Times New Roman" w:hAnsi="Times New Roman" w:cs="Times New Roman"/>
          <w:sz w:val="24"/>
          <w:szCs w:val="24"/>
        </w:rPr>
        <w:t xml:space="preserve"> 64(4), 813-836.</w:t>
      </w:r>
    </w:p>
    <w:p w:rsidR="00BB417E" w:rsidRPr="00BB417E" w:rsidRDefault="00BB417E" w:rsidP="003D29DA">
      <w:pPr>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Engle, R.F., 1982. </w:t>
      </w:r>
      <w:proofErr w:type="gramStart"/>
      <w:r w:rsidRPr="00BB417E">
        <w:rPr>
          <w:rFonts w:ascii="Times New Roman" w:hAnsi="Times New Roman" w:cs="Times New Roman"/>
          <w:sz w:val="24"/>
          <w:szCs w:val="24"/>
        </w:rPr>
        <w:t>Autoregressive conditional Heteroscedasticity with estimates of the variance of United Kingdom inflation.</w:t>
      </w:r>
      <w:proofErr w:type="gramEnd"/>
      <w:r w:rsidRPr="00BB417E">
        <w:rPr>
          <w:rFonts w:ascii="Times New Roman" w:hAnsi="Times New Roman" w:cs="Times New Roman"/>
          <w:sz w:val="24"/>
          <w:szCs w:val="24"/>
        </w:rPr>
        <w:t xml:space="preserve"> </w:t>
      </w:r>
      <w:proofErr w:type="spellStart"/>
      <w:proofErr w:type="gramStart"/>
      <w:r w:rsidRPr="00BB417E">
        <w:rPr>
          <w:rFonts w:ascii="Times New Roman" w:hAnsi="Times New Roman" w:cs="Times New Roman"/>
          <w:sz w:val="24"/>
          <w:szCs w:val="24"/>
        </w:rPr>
        <w:t>Econometrica</w:t>
      </w:r>
      <w:proofErr w:type="spellEnd"/>
      <w:r w:rsidRPr="00BB417E">
        <w:rPr>
          <w:rFonts w:ascii="Times New Roman" w:hAnsi="Times New Roman" w:cs="Times New Roman"/>
          <w:sz w:val="24"/>
          <w:szCs w:val="24"/>
        </w:rPr>
        <w:t>.</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50(4), 987-1007.</w:t>
      </w:r>
      <w:proofErr w:type="gramEnd"/>
    </w:p>
    <w:p w:rsidR="00BB417E" w:rsidRPr="00BB417E" w:rsidRDefault="00BB417E" w:rsidP="003D29DA">
      <w:pPr>
        <w:tabs>
          <w:tab w:val="left" w:pos="567"/>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lastRenderedPageBreak/>
        <w:t xml:space="preserve">Engle, R.F., Granger, C.W.J., 1987. Co-integration and error correction: Representation estimation and testing. </w:t>
      </w:r>
      <w:proofErr w:type="spellStart"/>
      <w:proofErr w:type="gramStart"/>
      <w:r w:rsidRPr="00BB417E">
        <w:rPr>
          <w:rFonts w:ascii="Times New Roman" w:hAnsi="Times New Roman" w:cs="Times New Roman"/>
          <w:sz w:val="24"/>
          <w:szCs w:val="24"/>
        </w:rPr>
        <w:t>Econometrica</w:t>
      </w:r>
      <w:proofErr w:type="spellEnd"/>
      <w:r w:rsidRPr="00BB417E">
        <w:rPr>
          <w:rFonts w:ascii="Times New Roman" w:hAnsi="Times New Roman" w:cs="Times New Roman"/>
          <w:sz w:val="24"/>
          <w:szCs w:val="24"/>
        </w:rPr>
        <w:t>.</w:t>
      </w:r>
      <w:proofErr w:type="gramEnd"/>
      <w:r w:rsidRPr="00BB417E">
        <w:rPr>
          <w:rFonts w:ascii="Times New Roman" w:hAnsi="Times New Roman" w:cs="Times New Roman"/>
          <w:sz w:val="24"/>
          <w:szCs w:val="24"/>
        </w:rPr>
        <w:t xml:space="preserve"> 55(2),</w:t>
      </w:r>
      <w:r w:rsidRPr="00BB417E">
        <w:rPr>
          <w:rFonts w:ascii="Times New Roman" w:hAnsi="Times New Roman" w:cs="Times New Roman"/>
          <w:b/>
          <w:bCs/>
          <w:sz w:val="24"/>
          <w:szCs w:val="24"/>
        </w:rPr>
        <w:t xml:space="preserve"> </w:t>
      </w:r>
      <w:r w:rsidRPr="00BB417E">
        <w:rPr>
          <w:rFonts w:ascii="Times New Roman" w:hAnsi="Times New Roman" w:cs="Times New Roman"/>
          <w:sz w:val="24"/>
          <w:szCs w:val="24"/>
        </w:rPr>
        <w:t>251-276.</w:t>
      </w:r>
    </w:p>
    <w:p w:rsidR="00BB417E" w:rsidRPr="00BB417E" w:rsidRDefault="00BB417E" w:rsidP="003D29DA">
      <w:pPr>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Fama</w:t>
      </w:r>
      <w:proofErr w:type="spellEnd"/>
      <w:r w:rsidRPr="00BB417E">
        <w:rPr>
          <w:rFonts w:ascii="Times New Roman" w:hAnsi="Times New Roman" w:cs="Times New Roman"/>
          <w:sz w:val="24"/>
          <w:szCs w:val="24"/>
        </w:rPr>
        <w:t xml:space="preserve">, E.F., 1970. Efficient capital markets: A review of theory and empirical work. </w:t>
      </w:r>
      <w:proofErr w:type="gramStart"/>
      <w:r w:rsidRPr="00BB417E">
        <w:rPr>
          <w:rFonts w:ascii="Times New Roman" w:hAnsi="Times New Roman" w:cs="Times New Roman"/>
          <w:sz w:val="24"/>
          <w:szCs w:val="24"/>
        </w:rPr>
        <w:t>Journal of Finance.</w:t>
      </w:r>
      <w:proofErr w:type="gramEnd"/>
      <w:r w:rsidRPr="00BB417E">
        <w:rPr>
          <w:rFonts w:ascii="Times New Roman" w:hAnsi="Times New Roman" w:cs="Times New Roman"/>
          <w:sz w:val="24"/>
          <w:szCs w:val="24"/>
        </w:rPr>
        <w:t xml:space="preserve"> 25(2), 383-417.</w:t>
      </w:r>
    </w:p>
    <w:p w:rsidR="00BB417E" w:rsidRPr="00BB417E" w:rsidRDefault="00BB417E" w:rsidP="003D29DA">
      <w:pPr>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Fama</w:t>
      </w:r>
      <w:proofErr w:type="spellEnd"/>
      <w:r w:rsidRPr="00BB417E">
        <w:rPr>
          <w:rFonts w:ascii="Times New Roman" w:hAnsi="Times New Roman" w:cs="Times New Roman"/>
          <w:sz w:val="24"/>
          <w:szCs w:val="24"/>
        </w:rPr>
        <w:t xml:space="preserve">, E.F., 1981. Stock returns, real activity, inflation, and money supply. </w:t>
      </w:r>
      <w:proofErr w:type="gramStart"/>
      <w:r w:rsidRPr="00BB417E">
        <w:rPr>
          <w:rFonts w:ascii="Times New Roman" w:hAnsi="Times New Roman" w:cs="Times New Roman"/>
          <w:sz w:val="24"/>
          <w:szCs w:val="24"/>
        </w:rPr>
        <w:t>The American Economic Review.</w:t>
      </w:r>
      <w:proofErr w:type="gramEnd"/>
      <w:r w:rsidRPr="00BB417E">
        <w:rPr>
          <w:rFonts w:ascii="Times New Roman" w:hAnsi="Times New Roman" w:cs="Times New Roman"/>
          <w:sz w:val="24"/>
          <w:szCs w:val="24"/>
        </w:rPr>
        <w:t xml:space="preserve"> 71(4), 545-565.</w:t>
      </w:r>
    </w:p>
    <w:p w:rsidR="00BB417E" w:rsidRPr="00BB417E" w:rsidRDefault="00BB417E" w:rsidP="003D29DA">
      <w:pPr>
        <w:tabs>
          <w:tab w:val="left" w:pos="567"/>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Fama</w:t>
      </w:r>
      <w:proofErr w:type="spellEnd"/>
      <w:r w:rsidRPr="00BB417E">
        <w:rPr>
          <w:rFonts w:ascii="Times New Roman" w:hAnsi="Times New Roman" w:cs="Times New Roman"/>
          <w:sz w:val="24"/>
          <w:szCs w:val="24"/>
        </w:rPr>
        <w:t>, E.F., 1990. Stock returns, expected returns, and real activity.</w:t>
      </w:r>
      <w:r w:rsidRPr="00BB417E">
        <w:rPr>
          <w:rFonts w:ascii="Times New Roman" w:hAnsi="Times New Roman" w:cs="Times New Roman"/>
          <w:i/>
          <w:iCs/>
          <w:sz w:val="24"/>
          <w:szCs w:val="24"/>
        </w:rPr>
        <w:t xml:space="preserve"> </w:t>
      </w:r>
      <w:proofErr w:type="gramStart"/>
      <w:r w:rsidRPr="00BB417E">
        <w:rPr>
          <w:rFonts w:ascii="Times New Roman" w:hAnsi="Times New Roman" w:cs="Times New Roman"/>
          <w:sz w:val="24"/>
          <w:szCs w:val="24"/>
        </w:rPr>
        <w:t>Journal of Finance.</w:t>
      </w:r>
      <w:proofErr w:type="gramEnd"/>
      <w:r w:rsidRPr="00BB417E">
        <w:rPr>
          <w:rFonts w:ascii="Times New Roman" w:hAnsi="Times New Roman" w:cs="Times New Roman"/>
          <w:sz w:val="24"/>
          <w:szCs w:val="24"/>
        </w:rPr>
        <w:t xml:space="preserve"> 45(4), 1089-1108.</w:t>
      </w:r>
    </w:p>
    <w:p w:rsidR="00BB417E" w:rsidRPr="00BB417E" w:rsidRDefault="00BB417E" w:rsidP="003D29DA">
      <w:pPr>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Fama</w:t>
      </w:r>
      <w:proofErr w:type="spellEnd"/>
      <w:r w:rsidRPr="00BB417E">
        <w:rPr>
          <w:rFonts w:ascii="Times New Roman" w:hAnsi="Times New Roman" w:cs="Times New Roman"/>
          <w:sz w:val="24"/>
          <w:szCs w:val="24"/>
        </w:rPr>
        <w:t xml:space="preserve">, E.F., Gibbons, A.M., 1982. </w:t>
      </w:r>
      <w:proofErr w:type="gramStart"/>
      <w:r w:rsidRPr="00BB417E">
        <w:rPr>
          <w:rFonts w:ascii="Times New Roman" w:hAnsi="Times New Roman" w:cs="Times New Roman"/>
          <w:sz w:val="24"/>
          <w:szCs w:val="24"/>
        </w:rPr>
        <w:t>Inflation, real returns and capital investment.</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Journal of Monetary Economics.</w:t>
      </w:r>
      <w:proofErr w:type="gramEnd"/>
      <w:r w:rsidRPr="00BB417E">
        <w:rPr>
          <w:rFonts w:ascii="Times New Roman" w:hAnsi="Times New Roman" w:cs="Times New Roman"/>
          <w:sz w:val="24"/>
          <w:szCs w:val="24"/>
        </w:rPr>
        <w:t xml:space="preserve"> 9(3), 297-323.</w:t>
      </w:r>
    </w:p>
    <w:p w:rsidR="00BB417E" w:rsidRPr="00BB417E" w:rsidRDefault="00BB417E" w:rsidP="003D29DA">
      <w:pPr>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Fama</w:t>
      </w:r>
      <w:proofErr w:type="spellEnd"/>
      <w:r w:rsidRPr="00BB417E">
        <w:rPr>
          <w:rFonts w:ascii="Times New Roman" w:hAnsi="Times New Roman" w:cs="Times New Roman"/>
          <w:sz w:val="24"/>
          <w:szCs w:val="24"/>
        </w:rPr>
        <w:t xml:space="preserve">, E.F., </w:t>
      </w:r>
      <w:proofErr w:type="spellStart"/>
      <w:r w:rsidRPr="00BB417E">
        <w:rPr>
          <w:rFonts w:ascii="Times New Roman" w:hAnsi="Times New Roman" w:cs="Times New Roman"/>
          <w:sz w:val="24"/>
          <w:szCs w:val="24"/>
        </w:rPr>
        <w:t>Schwert</w:t>
      </w:r>
      <w:proofErr w:type="spellEnd"/>
      <w:r w:rsidRPr="00BB417E">
        <w:rPr>
          <w:rFonts w:ascii="Times New Roman" w:hAnsi="Times New Roman" w:cs="Times New Roman"/>
          <w:sz w:val="24"/>
          <w:szCs w:val="24"/>
        </w:rPr>
        <w:t xml:space="preserve">, G.W., 1977. Asset returns and inflation. </w:t>
      </w:r>
      <w:proofErr w:type="gramStart"/>
      <w:r w:rsidRPr="00BB417E">
        <w:rPr>
          <w:rFonts w:ascii="Times New Roman" w:hAnsi="Times New Roman" w:cs="Times New Roman"/>
          <w:sz w:val="24"/>
          <w:szCs w:val="24"/>
        </w:rPr>
        <w:t>Journal of Financial Economics.</w:t>
      </w:r>
      <w:proofErr w:type="gramEnd"/>
      <w:r w:rsidRPr="00BB417E">
        <w:rPr>
          <w:rFonts w:ascii="Times New Roman" w:hAnsi="Times New Roman" w:cs="Times New Roman"/>
          <w:sz w:val="24"/>
          <w:szCs w:val="24"/>
        </w:rPr>
        <w:t xml:space="preserve"> 5, 115-146.</w:t>
      </w:r>
    </w:p>
    <w:p w:rsidR="00BB417E" w:rsidRPr="00BB417E" w:rsidRDefault="00BB417E" w:rsidP="003D29DA">
      <w:pPr>
        <w:tabs>
          <w:tab w:val="left" w:pos="90"/>
          <w:tab w:val="left" w:pos="9360"/>
        </w:tabs>
        <w:spacing w:after="0" w:line="240" w:lineRule="auto"/>
        <w:ind w:left="1134" w:hanging="1134"/>
        <w:jc w:val="both"/>
        <w:rPr>
          <w:rFonts w:ascii="Times New Roman" w:hAnsi="Times New Roman" w:cs="Times New Roman"/>
          <w:i/>
          <w:iCs/>
          <w:sz w:val="24"/>
          <w:szCs w:val="24"/>
        </w:rPr>
      </w:pPr>
      <w:proofErr w:type="gramStart"/>
      <w:r w:rsidRPr="00BB417E">
        <w:rPr>
          <w:rFonts w:ascii="Times New Roman" w:hAnsi="Times New Roman" w:cs="Times New Roman"/>
          <w:sz w:val="24"/>
          <w:szCs w:val="24"/>
        </w:rPr>
        <w:t>Friedman, M., Schwartz, A.J., 1975.</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Money and business cycles.</w:t>
      </w:r>
      <w:proofErr w:type="gramEnd"/>
      <w:r w:rsidRPr="00BB417E">
        <w:rPr>
          <w:rFonts w:ascii="Times New Roman" w:hAnsi="Times New Roman" w:cs="Times New Roman"/>
          <w:sz w:val="24"/>
          <w:szCs w:val="24"/>
        </w:rPr>
        <w:t xml:space="preserve"> National bureau committee for economic research, chapter pages in book (pp. 32-78), retrieved from: </w:t>
      </w:r>
      <w:hyperlink r:id="rId16" w:history="1">
        <w:r w:rsidRPr="00BB417E">
          <w:rPr>
            <w:rStyle w:val="Hyperlink"/>
            <w:rFonts w:ascii="Times New Roman" w:hAnsi="Times New Roman" w:cs="Times New Roman"/>
            <w:i/>
            <w:iCs/>
            <w:color w:val="auto"/>
            <w:sz w:val="24"/>
            <w:szCs w:val="24"/>
          </w:rPr>
          <w:t>http://www.nber.org/chapters/c6639.pdf</w:t>
        </w:r>
      </w:hyperlink>
      <w:r w:rsidRPr="00BB417E">
        <w:rPr>
          <w:rStyle w:val="Hyperlink"/>
          <w:rFonts w:ascii="Times New Roman" w:hAnsi="Times New Roman" w:cs="Times New Roman"/>
          <w:i/>
          <w:iCs/>
          <w:color w:val="auto"/>
          <w:sz w:val="24"/>
          <w:szCs w:val="24"/>
        </w:rPr>
        <w:t>.</w:t>
      </w:r>
    </w:p>
    <w:p w:rsidR="00BB417E" w:rsidRPr="00BB417E" w:rsidRDefault="00BB417E" w:rsidP="003D29DA">
      <w:pPr>
        <w:tabs>
          <w:tab w:val="left" w:pos="90"/>
          <w:tab w:val="left" w:pos="9360"/>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Geske</w:t>
      </w:r>
      <w:proofErr w:type="spellEnd"/>
      <w:r w:rsidRPr="00BB417E">
        <w:rPr>
          <w:rFonts w:ascii="Times New Roman" w:hAnsi="Times New Roman" w:cs="Times New Roman"/>
          <w:sz w:val="24"/>
          <w:szCs w:val="24"/>
        </w:rPr>
        <w:t xml:space="preserve">, R., Roll, R., 1983. </w:t>
      </w:r>
      <w:proofErr w:type="gramStart"/>
      <w:r w:rsidRPr="00BB417E">
        <w:rPr>
          <w:rFonts w:ascii="Times New Roman" w:hAnsi="Times New Roman" w:cs="Times New Roman"/>
          <w:sz w:val="24"/>
          <w:szCs w:val="24"/>
        </w:rPr>
        <w:t>The fiscal and monetary linkage between stock returns and inflation.</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The Journal of Finance.</w:t>
      </w:r>
      <w:proofErr w:type="gramEnd"/>
      <w:r w:rsidRPr="00BB417E">
        <w:rPr>
          <w:rFonts w:ascii="Times New Roman" w:hAnsi="Times New Roman" w:cs="Times New Roman"/>
          <w:sz w:val="24"/>
          <w:szCs w:val="24"/>
        </w:rPr>
        <w:t xml:space="preserve"> 38(1), 1-33.</w:t>
      </w:r>
    </w:p>
    <w:p w:rsidR="00BB417E" w:rsidRPr="00BB417E" w:rsidRDefault="00BB417E" w:rsidP="003D29DA">
      <w:pPr>
        <w:tabs>
          <w:tab w:val="left" w:pos="90"/>
          <w:tab w:val="left" w:pos="567"/>
          <w:tab w:val="left" w:pos="9360"/>
        </w:tabs>
        <w:spacing w:after="0" w:line="240" w:lineRule="auto"/>
        <w:ind w:left="1134" w:hanging="1134"/>
        <w:jc w:val="both"/>
        <w:rPr>
          <w:rFonts w:ascii="Times New Roman" w:hAnsi="Times New Roman" w:cs="Times New Roman"/>
          <w:sz w:val="24"/>
          <w:szCs w:val="24"/>
        </w:rPr>
      </w:pPr>
      <w:proofErr w:type="spellStart"/>
      <w:proofErr w:type="gramStart"/>
      <w:r w:rsidRPr="00BB417E">
        <w:rPr>
          <w:rFonts w:ascii="Times New Roman" w:hAnsi="Times New Roman" w:cs="Times New Roman"/>
          <w:sz w:val="24"/>
          <w:szCs w:val="24"/>
        </w:rPr>
        <w:t>Hatemi</w:t>
      </w:r>
      <w:proofErr w:type="spellEnd"/>
      <w:r w:rsidRPr="00BB417E">
        <w:rPr>
          <w:rFonts w:ascii="Times New Roman" w:hAnsi="Times New Roman" w:cs="Times New Roman"/>
          <w:sz w:val="24"/>
          <w:szCs w:val="24"/>
        </w:rPr>
        <w:t>-J, A., Morgan, B., 2009.</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An empirical analysis of the international efficiency of Australian equity markets.</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Journal of Economic Studies.</w:t>
      </w:r>
      <w:proofErr w:type="gramEnd"/>
      <w:r w:rsidRPr="00BB417E">
        <w:rPr>
          <w:rFonts w:ascii="Times New Roman" w:hAnsi="Times New Roman" w:cs="Times New Roman"/>
          <w:sz w:val="24"/>
          <w:szCs w:val="24"/>
        </w:rPr>
        <w:t xml:space="preserve"> 36(5), 437-445.</w:t>
      </w:r>
    </w:p>
    <w:p w:rsidR="00BB417E" w:rsidRPr="00BB417E" w:rsidRDefault="00BB417E" w:rsidP="003D29DA">
      <w:pPr>
        <w:tabs>
          <w:tab w:val="left" w:pos="360"/>
          <w:tab w:val="left" w:pos="54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Ibrahim, M. H., 1999. Macroeconomic variables and stock prices in Malaysia: an empirical analysis. </w:t>
      </w:r>
      <w:proofErr w:type="gramStart"/>
      <w:r w:rsidRPr="00BB417E">
        <w:rPr>
          <w:rFonts w:ascii="Times New Roman" w:hAnsi="Times New Roman" w:cs="Times New Roman"/>
          <w:sz w:val="24"/>
          <w:szCs w:val="24"/>
        </w:rPr>
        <w:t>Asian Economic Journal.</w:t>
      </w:r>
      <w:proofErr w:type="gramEnd"/>
      <w:r w:rsidRPr="00BB417E">
        <w:rPr>
          <w:rFonts w:ascii="Times New Roman" w:hAnsi="Times New Roman" w:cs="Times New Roman"/>
          <w:sz w:val="24"/>
          <w:szCs w:val="24"/>
        </w:rPr>
        <w:t xml:space="preserve"> 13(2), 219-231.</w:t>
      </w:r>
    </w:p>
    <w:p w:rsidR="00BB417E" w:rsidRPr="00BB417E" w:rsidRDefault="00BB417E" w:rsidP="003D29DA">
      <w:pPr>
        <w:tabs>
          <w:tab w:val="left" w:pos="54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Ibrahim, M. H., Aziz, H., 2003. Macroeconomic variables and the Malaysian equity market: A view through rolling subsamples. </w:t>
      </w:r>
      <w:proofErr w:type="gramStart"/>
      <w:r w:rsidRPr="00BB417E">
        <w:rPr>
          <w:rFonts w:ascii="Times New Roman" w:hAnsi="Times New Roman" w:cs="Times New Roman"/>
          <w:sz w:val="24"/>
          <w:szCs w:val="24"/>
        </w:rPr>
        <w:t>Journal of Economic Studies.</w:t>
      </w:r>
      <w:proofErr w:type="gramEnd"/>
      <w:r w:rsidRPr="00BB417E">
        <w:rPr>
          <w:rFonts w:ascii="Times New Roman" w:hAnsi="Times New Roman" w:cs="Times New Roman"/>
          <w:sz w:val="24"/>
          <w:szCs w:val="24"/>
        </w:rPr>
        <w:t xml:space="preserve"> 30(1), 6-27.</w:t>
      </w:r>
    </w:p>
    <w:p w:rsidR="00BB417E" w:rsidRPr="00BB417E" w:rsidRDefault="00BB417E" w:rsidP="003D29DA">
      <w:pPr>
        <w:tabs>
          <w:tab w:val="left" w:pos="567"/>
        </w:tabs>
        <w:spacing w:after="0" w:line="240" w:lineRule="auto"/>
        <w:ind w:left="1134" w:hanging="1134"/>
        <w:jc w:val="both"/>
        <w:rPr>
          <w:rFonts w:ascii="Times New Roman" w:hAnsi="Times New Roman" w:cs="Times New Roman"/>
          <w:sz w:val="24"/>
          <w:szCs w:val="24"/>
        </w:rPr>
      </w:pPr>
      <w:proofErr w:type="gramStart"/>
      <w:r w:rsidRPr="00BB417E">
        <w:rPr>
          <w:rFonts w:ascii="Times New Roman" w:hAnsi="Times New Roman" w:cs="Times New Roman"/>
          <w:sz w:val="24"/>
          <w:szCs w:val="24"/>
        </w:rPr>
        <w:t xml:space="preserve">Johansen, S., </w:t>
      </w:r>
      <w:proofErr w:type="spellStart"/>
      <w:r w:rsidRPr="00BB417E">
        <w:rPr>
          <w:rFonts w:ascii="Times New Roman" w:hAnsi="Times New Roman" w:cs="Times New Roman"/>
          <w:sz w:val="24"/>
          <w:szCs w:val="24"/>
        </w:rPr>
        <w:t>Juselius</w:t>
      </w:r>
      <w:proofErr w:type="spellEnd"/>
      <w:r w:rsidRPr="00BB417E">
        <w:rPr>
          <w:rFonts w:ascii="Times New Roman" w:hAnsi="Times New Roman" w:cs="Times New Roman"/>
          <w:sz w:val="24"/>
          <w:szCs w:val="24"/>
        </w:rPr>
        <w:t>, K., 1990.</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Maximum likelihood estimation and inference on co-integration-with applications to the demand for money.</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Oxford Bulletin of Economics and Statistics.</w:t>
      </w:r>
      <w:proofErr w:type="gramEnd"/>
      <w:r w:rsidRPr="00BB417E">
        <w:rPr>
          <w:rFonts w:ascii="Times New Roman" w:hAnsi="Times New Roman" w:cs="Times New Roman"/>
          <w:sz w:val="24"/>
          <w:szCs w:val="24"/>
        </w:rPr>
        <w:t xml:space="preserve"> 52, 169-210.</w:t>
      </w:r>
    </w:p>
    <w:p w:rsidR="00BB417E" w:rsidRPr="00BB417E" w:rsidRDefault="00BB417E" w:rsidP="003D29DA">
      <w:pPr>
        <w:tabs>
          <w:tab w:val="left" w:pos="567"/>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Khil</w:t>
      </w:r>
      <w:proofErr w:type="spellEnd"/>
      <w:r w:rsidRPr="00BB417E">
        <w:rPr>
          <w:rFonts w:ascii="Times New Roman" w:hAnsi="Times New Roman" w:cs="Times New Roman"/>
          <w:sz w:val="24"/>
          <w:szCs w:val="24"/>
        </w:rPr>
        <w:t xml:space="preserve">, J., Lee, B.S., 2000. Are common stocks a good hedge against inflation? </w:t>
      </w:r>
      <w:proofErr w:type="gramStart"/>
      <w:r w:rsidRPr="00BB417E">
        <w:rPr>
          <w:rFonts w:ascii="Times New Roman" w:hAnsi="Times New Roman" w:cs="Times New Roman"/>
          <w:sz w:val="24"/>
          <w:szCs w:val="24"/>
        </w:rPr>
        <w:t>Evidence from the Pacific-rim countries.</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Pacific-Basin Finance Journal.</w:t>
      </w:r>
      <w:proofErr w:type="gramEnd"/>
      <w:r w:rsidRPr="00BB417E">
        <w:rPr>
          <w:rFonts w:ascii="Times New Roman" w:hAnsi="Times New Roman" w:cs="Times New Roman"/>
          <w:sz w:val="24"/>
          <w:szCs w:val="24"/>
        </w:rPr>
        <w:t xml:space="preserve"> 8(3-4), 457-482.</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Kizys</w:t>
      </w:r>
      <w:proofErr w:type="spellEnd"/>
      <w:r w:rsidRPr="00BB417E">
        <w:rPr>
          <w:rFonts w:ascii="Times New Roman" w:hAnsi="Times New Roman" w:cs="Times New Roman"/>
          <w:sz w:val="24"/>
          <w:szCs w:val="24"/>
        </w:rPr>
        <w:t xml:space="preserve">, R., </w:t>
      </w:r>
      <w:proofErr w:type="spellStart"/>
      <w:r w:rsidRPr="00BB417E">
        <w:rPr>
          <w:rFonts w:ascii="Times New Roman" w:hAnsi="Times New Roman" w:cs="Times New Roman"/>
          <w:sz w:val="24"/>
          <w:szCs w:val="24"/>
        </w:rPr>
        <w:t>Pierdzioch</w:t>
      </w:r>
      <w:proofErr w:type="spellEnd"/>
      <w:r w:rsidRPr="00BB417E">
        <w:rPr>
          <w:rFonts w:ascii="Times New Roman" w:hAnsi="Times New Roman" w:cs="Times New Roman"/>
          <w:sz w:val="24"/>
          <w:szCs w:val="24"/>
        </w:rPr>
        <w:t xml:space="preserve">, C., 2009. </w:t>
      </w:r>
      <w:proofErr w:type="gramStart"/>
      <w:r w:rsidRPr="00BB417E">
        <w:rPr>
          <w:rFonts w:ascii="Times New Roman" w:hAnsi="Times New Roman" w:cs="Times New Roman"/>
          <w:sz w:val="24"/>
          <w:szCs w:val="24"/>
        </w:rPr>
        <w:t>Changes in the international co-movement of stock returns and asymmetric macroeconomic shocks.</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Journal of International Financial Markets, Institutions and Money.</w:t>
      </w:r>
      <w:proofErr w:type="gramEnd"/>
      <w:r w:rsidRPr="00BB417E">
        <w:rPr>
          <w:rFonts w:ascii="Times New Roman" w:hAnsi="Times New Roman" w:cs="Times New Roman"/>
          <w:sz w:val="24"/>
          <w:szCs w:val="24"/>
        </w:rPr>
        <w:t xml:space="preserve"> 19, 289-305.</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Kwon, C.S., Shin, T.S., 1999. </w:t>
      </w:r>
      <w:proofErr w:type="spellStart"/>
      <w:proofErr w:type="gramStart"/>
      <w:r w:rsidRPr="00BB417E">
        <w:rPr>
          <w:rFonts w:ascii="Times New Roman" w:hAnsi="Times New Roman" w:cs="Times New Roman"/>
          <w:sz w:val="24"/>
          <w:szCs w:val="24"/>
        </w:rPr>
        <w:t>Cointegration</w:t>
      </w:r>
      <w:proofErr w:type="spellEnd"/>
      <w:r w:rsidRPr="00BB417E">
        <w:rPr>
          <w:rFonts w:ascii="Times New Roman" w:hAnsi="Times New Roman" w:cs="Times New Roman"/>
          <w:sz w:val="24"/>
          <w:szCs w:val="24"/>
        </w:rPr>
        <w:t xml:space="preserve"> and causality between macroeconomic variables and stock market returns.</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Global Finance Journal.</w:t>
      </w:r>
      <w:proofErr w:type="gramEnd"/>
      <w:r w:rsidRPr="00BB417E">
        <w:rPr>
          <w:rFonts w:ascii="Times New Roman" w:hAnsi="Times New Roman" w:cs="Times New Roman"/>
          <w:b/>
          <w:bCs/>
          <w:sz w:val="24"/>
          <w:szCs w:val="24"/>
        </w:rPr>
        <w:t xml:space="preserve"> </w:t>
      </w:r>
      <w:r w:rsidRPr="00BB417E">
        <w:rPr>
          <w:rFonts w:ascii="Times New Roman" w:hAnsi="Times New Roman" w:cs="Times New Roman"/>
          <w:sz w:val="24"/>
          <w:szCs w:val="24"/>
        </w:rPr>
        <w:t>10(1), 71-81.</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Laopodis</w:t>
      </w:r>
      <w:proofErr w:type="spellEnd"/>
      <w:r w:rsidRPr="00BB417E">
        <w:rPr>
          <w:rFonts w:ascii="Times New Roman" w:hAnsi="Times New Roman" w:cs="Times New Roman"/>
          <w:sz w:val="24"/>
          <w:szCs w:val="24"/>
        </w:rPr>
        <w:t xml:space="preserve">, N., 2006. Dynamic interactions among the stock market, federal funds rate, inflation, and economic activity. </w:t>
      </w:r>
      <w:proofErr w:type="gramStart"/>
      <w:r w:rsidRPr="00BB417E">
        <w:rPr>
          <w:rFonts w:ascii="Times New Roman" w:hAnsi="Times New Roman" w:cs="Times New Roman"/>
          <w:sz w:val="24"/>
          <w:szCs w:val="24"/>
        </w:rPr>
        <w:t>The Financial Review.</w:t>
      </w:r>
      <w:proofErr w:type="gramEnd"/>
      <w:r w:rsidRPr="00BB417E">
        <w:rPr>
          <w:rFonts w:ascii="Times New Roman" w:hAnsi="Times New Roman" w:cs="Times New Roman"/>
          <w:sz w:val="24"/>
          <w:szCs w:val="24"/>
        </w:rPr>
        <w:t xml:space="preserve"> 41, 513-545.</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Mackinnon, J.G., </w:t>
      </w:r>
      <w:proofErr w:type="spellStart"/>
      <w:r w:rsidRPr="00BB417E">
        <w:rPr>
          <w:rFonts w:ascii="Times New Roman" w:hAnsi="Times New Roman" w:cs="Times New Roman"/>
          <w:sz w:val="24"/>
          <w:szCs w:val="24"/>
        </w:rPr>
        <w:t>Haug</w:t>
      </w:r>
      <w:proofErr w:type="spellEnd"/>
      <w:r w:rsidRPr="00BB417E">
        <w:rPr>
          <w:rFonts w:ascii="Times New Roman" w:hAnsi="Times New Roman" w:cs="Times New Roman"/>
          <w:sz w:val="24"/>
          <w:szCs w:val="24"/>
        </w:rPr>
        <w:t xml:space="preserve">, A.A., </w:t>
      </w:r>
      <w:proofErr w:type="spellStart"/>
      <w:r w:rsidRPr="00BB417E">
        <w:rPr>
          <w:rFonts w:ascii="Times New Roman" w:hAnsi="Times New Roman" w:cs="Times New Roman"/>
          <w:sz w:val="24"/>
          <w:szCs w:val="24"/>
        </w:rPr>
        <w:t>Michelis</w:t>
      </w:r>
      <w:proofErr w:type="spellEnd"/>
      <w:r w:rsidRPr="00BB417E">
        <w:rPr>
          <w:rFonts w:ascii="Times New Roman" w:hAnsi="Times New Roman" w:cs="Times New Roman"/>
          <w:sz w:val="24"/>
          <w:szCs w:val="24"/>
        </w:rPr>
        <w:t xml:space="preserve">, L., 1999. Numerical distribution functions of likelihood ratio tests for </w:t>
      </w:r>
      <w:proofErr w:type="spellStart"/>
      <w:r w:rsidRPr="00BB417E">
        <w:rPr>
          <w:rFonts w:ascii="Times New Roman" w:hAnsi="Times New Roman" w:cs="Times New Roman"/>
          <w:sz w:val="24"/>
          <w:szCs w:val="24"/>
        </w:rPr>
        <w:t>cointegration</w:t>
      </w:r>
      <w:proofErr w:type="spell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Journal of Applied Econometrics.</w:t>
      </w:r>
      <w:proofErr w:type="gramEnd"/>
      <w:r w:rsidRPr="00BB417E">
        <w:rPr>
          <w:rFonts w:ascii="Times New Roman" w:hAnsi="Times New Roman" w:cs="Times New Roman"/>
          <w:sz w:val="24"/>
          <w:szCs w:val="24"/>
        </w:rPr>
        <w:t xml:space="preserve"> 14(5), 563-577.</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Maysami</w:t>
      </w:r>
      <w:proofErr w:type="spellEnd"/>
      <w:r w:rsidRPr="00BB417E">
        <w:rPr>
          <w:rFonts w:ascii="Times New Roman" w:hAnsi="Times New Roman" w:cs="Times New Roman"/>
          <w:sz w:val="24"/>
          <w:szCs w:val="24"/>
        </w:rPr>
        <w:t xml:space="preserve">, R.C., </w:t>
      </w:r>
      <w:proofErr w:type="spellStart"/>
      <w:r w:rsidRPr="00BB417E">
        <w:rPr>
          <w:rFonts w:ascii="Times New Roman" w:hAnsi="Times New Roman" w:cs="Times New Roman"/>
          <w:sz w:val="24"/>
          <w:szCs w:val="24"/>
        </w:rPr>
        <w:t>Koh</w:t>
      </w:r>
      <w:proofErr w:type="spellEnd"/>
      <w:r w:rsidRPr="00BB417E">
        <w:rPr>
          <w:rFonts w:ascii="Times New Roman" w:hAnsi="Times New Roman" w:cs="Times New Roman"/>
          <w:sz w:val="24"/>
          <w:szCs w:val="24"/>
        </w:rPr>
        <w:t xml:space="preserve">, T.S., 2000. </w:t>
      </w:r>
      <w:proofErr w:type="gramStart"/>
      <w:r w:rsidRPr="00BB417E">
        <w:rPr>
          <w:rFonts w:ascii="Times New Roman" w:hAnsi="Times New Roman" w:cs="Times New Roman"/>
          <w:sz w:val="24"/>
          <w:szCs w:val="24"/>
        </w:rPr>
        <w:t>A vector error correction model of the Singapore stock market.</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International Review of Economics and Finance.</w:t>
      </w:r>
      <w:proofErr w:type="gramEnd"/>
      <w:r w:rsidRPr="00BB417E">
        <w:rPr>
          <w:rFonts w:ascii="Times New Roman" w:hAnsi="Times New Roman" w:cs="Times New Roman"/>
          <w:sz w:val="24"/>
          <w:szCs w:val="24"/>
        </w:rPr>
        <w:t xml:space="preserve"> 9(1), 79-96.</w:t>
      </w:r>
    </w:p>
    <w:p w:rsidR="00BB417E" w:rsidRPr="00BB417E" w:rsidRDefault="00BB417E" w:rsidP="003D29DA">
      <w:pPr>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Mukherjee, K., Naka, A., 1995. Dynamic relations between macroeconomic variables and the Japanese stock market: an application of a vector error correction model. </w:t>
      </w:r>
      <w:proofErr w:type="gramStart"/>
      <w:r w:rsidRPr="00BB417E">
        <w:rPr>
          <w:rFonts w:ascii="Times New Roman" w:hAnsi="Times New Roman" w:cs="Times New Roman"/>
          <w:sz w:val="24"/>
          <w:szCs w:val="24"/>
        </w:rPr>
        <w:t>Journal of Financial Research.</w:t>
      </w:r>
      <w:proofErr w:type="gramEnd"/>
      <w:r w:rsidRPr="00BB417E">
        <w:rPr>
          <w:rFonts w:ascii="Times New Roman" w:hAnsi="Times New Roman" w:cs="Times New Roman"/>
          <w:sz w:val="24"/>
          <w:szCs w:val="24"/>
        </w:rPr>
        <w:t xml:space="preserve"> 18, 223-237.</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Mundell</w:t>
      </w:r>
      <w:proofErr w:type="spellEnd"/>
      <w:r w:rsidRPr="00BB417E">
        <w:rPr>
          <w:rFonts w:ascii="Times New Roman" w:hAnsi="Times New Roman" w:cs="Times New Roman"/>
          <w:sz w:val="24"/>
          <w:szCs w:val="24"/>
        </w:rPr>
        <w:t xml:space="preserve">, R., 1963. </w:t>
      </w:r>
      <w:proofErr w:type="gramStart"/>
      <w:r w:rsidRPr="00BB417E">
        <w:rPr>
          <w:rFonts w:ascii="Times New Roman" w:hAnsi="Times New Roman" w:cs="Times New Roman"/>
          <w:sz w:val="24"/>
          <w:szCs w:val="24"/>
        </w:rPr>
        <w:t>Inflation and real interest.</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Journal of Political Economy.</w:t>
      </w:r>
      <w:proofErr w:type="gramEnd"/>
      <w:r w:rsidRPr="00BB417E">
        <w:rPr>
          <w:rFonts w:ascii="Times New Roman" w:hAnsi="Times New Roman" w:cs="Times New Roman"/>
          <w:sz w:val="24"/>
          <w:szCs w:val="24"/>
        </w:rPr>
        <w:t xml:space="preserve"> 71(3), 280-283.</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spellStart"/>
      <w:proofErr w:type="gramStart"/>
      <w:r w:rsidRPr="00BB417E">
        <w:rPr>
          <w:rFonts w:ascii="Times New Roman" w:hAnsi="Times New Roman" w:cs="Times New Roman"/>
          <w:sz w:val="24"/>
          <w:szCs w:val="24"/>
        </w:rPr>
        <w:t>Muradoglu</w:t>
      </w:r>
      <w:proofErr w:type="spellEnd"/>
      <w:r w:rsidRPr="00BB417E">
        <w:rPr>
          <w:rFonts w:ascii="Times New Roman" w:hAnsi="Times New Roman" w:cs="Times New Roman"/>
          <w:sz w:val="24"/>
          <w:szCs w:val="24"/>
        </w:rPr>
        <w:t xml:space="preserve">, G., </w:t>
      </w:r>
      <w:proofErr w:type="spellStart"/>
      <w:r w:rsidRPr="00BB417E">
        <w:rPr>
          <w:rFonts w:ascii="Times New Roman" w:hAnsi="Times New Roman" w:cs="Times New Roman"/>
          <w:sz w:val="24"/>
          <w:szCs w:val="24"/>
        </w:rPr>
        <w:t>Metin</w:t>
      </w:r>
      <w:proofErr w:type="spellEnd"/>
      <w:r w:rsidRPr="00BB417E">
        <w:rPr>
          <w:rFonts w:ascii="Times New Roman" w:hAnsi="Times New Roman" w:cs="Times New Roman"/>
          <w:sz w:val="24"/>
          <w:szCs w:val="24"/>
        </w:rPr>
        <w:t xml:space="preserve">, K., </w:t>
      </w:r>
      <w:proofErr w:type="spellStart"/>
      <w:r w:rsidRPr="00BB417E">
        <w:rPr>
          <w:rFonts w:ascii="Times New Roman" w:hAnsi="Times New Roman" w:cs="Times New Roman"/>
          <w:sz w:val="24"/>
          <w:szCs w:val="24"/>
        </w:rPr>
        <w:t>Argac</w:t>
      </w:r>
      <w:proofErr w:type="spellEnd"/>
      <w:r w:rsidRPr="00BB417E">
        <w:rPr>
          <w:rFonts w:ascii="Times New Roman" w:hAnsi="Times New Roman" w:cs="Times New Roman"/>
          <w:sz w:val="24"/>
          <w:szCs w:val="24"/>
        </w:rPr>
        <w:t>, R., 2001.</w:t>
      </w:r>
      <w:proofErr w:type="gramEnd"/>
      <w:r w:rsidRPr="00BB417E">
        <w:rPr>
          <w:rFonts w:ascii="Times New Roman" w:hAnsi="Times New Roman" w:cs="Times New Roman"/>
          <w:sz w:val="24"/>
          <w:szCs w:val="24"/>
        </w:rPr>
        <w:t xml:space="preserve"> Is there a long run relationship between stock returns and monetary variables: Evidence from an emerging </w:t>
      </w:r>
      <w:proofErr w:type="gramStart"/>
      <w:r w:rsidRPr="00BB417E">
        <w:rPr>
          <w:rFonts w:ascii="Times New Roman" w:hAnsi="Times New Roman" w:cs="Times New Roman"/>
          <w:sz w:val="24"/>
          <w:szCs w:val="24"/>
        </w:rPr>
        <w:t>market.</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Applied Financial Economics.</w:t>
      </w:r>
      <w:proofErr w:type="gramEnd"/>
      <w:r w:rsidRPr="00BB417E">
        <w:rPr>
          <w:rFonts w:ascii="Times New Roman" w:hAnsi="Times New Roman" w:cs="Times New Roman"/>
          <w:sz w:val="24"/>
          <w:szCs w:val="24"/>
        </w:rPr>
        <w:t xml:space="preserve"> 11, 641-649.</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Nasseh</w:t>
      </w:r>
      <w:proofErr w:type="spellEnd"/>
      <w:r w:rsidRPr="00BB417E">
        <w:rPr>
          <w:rFonts w:ascii="Times New Roman" w:hAnsi="Times New Roman" w:cs="Times New Roman"/>
          <w:sz w:val="24"/>
          <w:szCs w:val="24"/>
        </w:rPr>
        <w:t xml:space="preserve">, A., Strauss, J., 2000. Stock prices and domestic and international macroeconomic activity: a co-integration approach. </w:t>
      </w:r>
      <w:proofErr w:type="gramStart"/>
      <w:r w:rsidRPr="00BB417E">
        <w:rPr>
          <w:rFonts w:ascii="Times New Roman" w:hAnsi="Times New Roman" w:cs="Times New Roman"/>
          <w:sz w:val="24"/>
          <w:szCs w:val="24"/>
        </w:rPr>
        <w:t>The Quarterly Review of Economics and Finance.</w:t>
      </w:r>
      <w:proofErr w:type="gramEnd"/>
      <w:r w:rsidRPr="00BB417E">
        <w:rPr>
          <w:rFonts w:ascii="Times New Roman" w:hAnsi="Times New Roman" w:cs="Times New Roman"/>
          <w:sz w:val="24"/>
          <w:szCs w:val="24"/>
        </w:rPr>
        <w:t xml:space="preserve"> 40, 229-245.</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gramStart"/>
      <w:r w:rsidRPr="00BB417E">
        <w:rPr>
          <w:rFonts w:ascii="Times New Roman" w:hAnsi="Times New Roman" w:cs="Times New Roman"/>
          <w:sz w:val="24"/>
          <w:szCs w:val="24"/>
        </w:rPr>
        <w:lastRenderedPageBreak/>
        <w:t>Pal, K., Mittal, R., 2011.</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Impact of macroeconomic indicators on Indian capital markets.</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Journal of Risk Finance.</w:t>
      </w:r>
      <w:proofErr w:type="gramEnd"/>
      <w:r w:rsidRPr="00BB417E">
        <w:rPr>
          <w:rFonts w:ascii="Times New Roman" w:hAnsi="Times New Roman" w:cs="Times New Roman"/>
          <w:sz w:val="24"/>
          <w:szCs w:val="24"/>
        </w:rPr>
        <w:t xml:space="preserve"> 12(2), 84-97.</w:t>
      </w:r>
    </w:p>
    <w:p w:rsidR="00BB417E" w:rsidRPr="00BB417E" w:rsidRDefault="00BB417E" w:rsidP="003D29DA">
      <w:pPr>
        <w:tabs>
          <w:tab w:val="left" w:pos="567"/>
        </w:tabs>
        <w:spacing w:after="0" w:line="240" w:lineRule="auto"/>
        <w:ind w:left="1134" w:hanging="1134"/>
        <w:jc w:val="both"/>
        <w:rPr>
          <w:rFonts w:ascii="Times New Roman" w:hAnsi="Times New Roman" w:cs="Times New Roman"/>
          <w:sz w:val="24"/>
          <w:szCs w:val="24"/>
        </w:rPr>
      </w:pPr>
      <w:proofErr w:type="spellStart"/>
      <w:r w:rsidRPr="00BB417E">
        <w:rPr>
          <w:rFonts w:ascii="Times New Roman" w:hAnsi="Times New Roman" w:cs="Times New Roman"/>
          <w:sz w:val="24"/>
          <w:szCs w:val="24"/>
        </w:rPr>
        <w:t>Pesaran</w:t>
      </w:r>
      <w:proofErr w:type="spellEnd"/>
      <w:r w:rsidRPr="00BB417E">
        <w:rPr>
          <w:rFonts w:ascii="Times New Roman" w:hAnsi="Times New Roman" w:cs="Times New Roman"/>
          <w:sz w:val="24"/>
          <w:szCs w:val="24"/>
        </w:rPr>
        <w:t xml:space="preserve">, M.H., Shin, Y., Smith, R.J., 2001. Bounds testing approach to the analysis of level relationships. </w:t>
      </w:r>
      <w:proofErr w:type="gramStart"/>
      <w:r w:rsidRPr="00BB417E">
        <w:rPr>
          <w:rFonts w:ascii="Times New Roman" w:hAnsi="Times New Roman" w:cs="Times New Roman"/>
          <w:sz w:val="24"/>
          <w:szCs w:val="24"/>
        </w:rPr>
        <w:t>Journal of Applied Econometrics.</w:t>
      </w:r>
      <w:proofErr w:type="gramEnd"/>
      <w:r w:rsidRPr="00BB417E">
        <w:rPr>
          <w:rFonts w:ascii="Times New Roman" w:hAnsi="Times New Roman" w:cs="Times New Roman"/>
          <w:sz w:val="24"/>
          <w:szCs w:val="24"/>
        </w:rPr>
        <w:t xml:space="preserve"> 16, 289-326.</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proofErr w:type="spellStart"/>
      <w:proofErr w:type="gramStart"/>
      <w:r w:rsidRPr="00BB417E">
        <w:rPr>
          <w:rFonts w:ascii="Times New Roman" w:hAnsi="Times New Roman" w:cs="Times New Roman"/>
          <w:sz w:val="24"/>
          <w:szCs w:val="24"/>
        </w:rPr>
        <w:t>Ratanapakorn</w:t>
      </w:r>
      <w:proofErr w:type="spellEnd"/>
      <w:r w:rsidRPr="00BB417E">
        <w:rPr>
          <w:rFonts w:ascii="Times New Roman" w:hAnsi="Times New Roman" w:cs="Times New Roman"/>
          <w:sz w:val="24"/>
          <w:szCs w:val="24"/>
        </w:rPr>
        <w:t>, O., Sharma, S.C., 2007.</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Dynamic analysis between the US stock returns and the macroeconomic variables.</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Applied Financial Economics.</w:t>
      </w:r>
      <w:proofErr w:type="gramEnd"/>
      <w:r w:rsidRPr="00BB417E">
        <w:rPr>
          <w:rFonts w:ascii="Times New Roman" w:hAnsi="Times New Roman" w:cs="Times New Roman"/>
          <w:sz w:val="24"/>
          <w:szCs w:val="24"/>
        </w:rPr>
        <w:t xml:space="preserve"> 17(5), 369-377.</w:t>
      </w:r>
    </w:p>
    <w:p w:rsidR="00BB417E" w:rsidRPr="00BB417E" w:rsidRDefault="00BB417E" w:rsidP="003D29DA">
      <w:pPr>
        <w:tabs>
          <w:tab w:val="left" w:pos="936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Tobin, J., 1969. </w:t>
      </w:r>
      <w:proofErr w:type="gramStart"/>
      <w:r w:rsidRPr="00BB417E">
        <w:rPr>
          <w:rFonts w:ascii="Times New Roman" w:hAnsi="Times New Roman" w:cs="Times New Roman"/>
          <w:sz w:val="24"/>
          <w:szCs w:val="24"/>
        </w:rPr>
        <w:t>A general equilibrium approach to monetary theory.</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Journal of Money, Credit and Banking.</w:t>
      </w:r>
      <w:proofErr w:type="gramEnd"/>
      <w:r w:rsidRPr="00BB417E">
        <w:rPr>
          <w:rFonts w:ascii="Times New Roman" w:hAnsi="Times New Roman" w:cs="Times New Roman"/>
          <w:sz w:val="24"/>
          <w:szCs w:val="24"/>
        </w:rPr>
        <w:t xml:space="preserve"> 1, 15-29.</w:t>
      </w:r>
    </w:p>
    <w:p w:rsidR="00BB417E" w:rsidRPr="00BB417E" w:rsidRDefault="00BB417E" w:rsidP="003D29DA">
      <w:pPr>
        <w:pStyle w:val="ListParagraph"/>
        <w:tabs>
          <w:tab w:val="left" w:pos="-540"/>
        </w:tabs>
        <w:spacing w:after="0" w:line="240" w:lineRule="auto"/>
        <w:ind w:left="1134" w:hanging="1134"/>
        <w:jc w:val="both"/>
        <w:rPr>
          <w:rFonts w:ascii="Times New Roman" w:hAnsi="Times New Roman" w:cs="Times New Roman"/>
          <w:b/>
          <w:bCs/>
          <w:sz w:val="24"/>
          <w:szCs w:val="24"/>
        </w:rPr>
      </w:pPr>
      <w:proofErr w:type="spellStart"/>
      <w:r w:rsidRPr="00BB417E">
        <w:rPr>
          <w:rStyle w:val="Strong"/>
          <w:rFonts w:ascii="Times New Roman" w:hAnsi="Times New Roman" w:cs="Times New Roman"/>
          <w:b w:val="0"/>
          <w:bCs w:val="0"/>
          <w:sz w:val="24"/>
          <w:szCs w:val="24"/>
        </w:rPr>
        <w:t>Vrugt</w:t>
      </w:r>
      <w:proofErr w:type="spellEnd"/>
      <w:r w:rsidRPr="00BB417E">
        <w:rPr>
          <w:rStyle w:val="Strong"/>
          <w:rFonts w:ascii="Times New Roman" w:hAnsi="Times New Roman" w:cs="Times New Roman"/>
          <w:b w:val="0"/>
          <w:bCs w:val="0"/>
          <w:sz w:val="24"/>
          <w:szCs w:val="24"/>
        </w:rPr>
        <w:t xml:space="preserve">, E.B., 2009. U.S. and Japanese macroeconomic news and stock market volatility in Asia-Pacific. </w:t>
      </w:r>
      <w:proofErr w:type="gramStart"/>
      <w:r w:rsidRPr="00BB417E">
        <w:rPr>
          <w:rStyle w:val="Strong"/>
          <w:rFonts w:ascii="Times New Roman" w:hAnsi="Times New Roman" w:cs="Times New Roman"/>
          <w:b w:val="0"/>
          <w:bCs w:val="0"/>
          <w:sz w:val="24"/>
          <w:szCs w:val="24"/>
        </w:rPr>
        <w:t>Pacific-Basin Finance Journal.</w:t>
      </w:r>
      <w:proofErr w:type="gramEnd"/>
      <w:r w:rsidRPr="00BB417E">
        <w:rPr>
          <w:rStyle w:val="Strong"/>
          <w:rFonts w:ascii="Times New Roman" w:hAnsi="Times New Roman" w:cs="Times New Roman"/>
          <w:b w:val="0"/>
          <w:bCs w:val="0"/>
          <w:sz w:val="24"/>
          <w:szCs w:val="24"/>
        </w:rPr>
        <w:t xml:space="preserve"> 17(5), 611-627.</w:t>
      </w:r>
    </w:p>
    <w:p w:rsidR="00BB417E" w:rsidRPr="00BB417E" w:rsidRDefault="00BB417E" w:rsidP="00BB417E">
      <w:pPr>
        <w:tabs>
          <w:tab w:val="left" w:pos="936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Wong, W.K., Khan, H., Du, J., 2006. Do money and interest rates matter for stock prices? </w:t>
      </w:r>
      <w:proofErr w:type="gramStart"/>
      <w:r w:rsidRPr="00BB417E">
        <w:rPr>
          <w:rFonts w:ascii="Times New Roman" w:hAnsi="Times New Roman" w:cs="Times New Roman"/>
          <w:sz w:val="24"/>
          <w:szCs w:val="24"/>
        </w:rPr>
        <w:t>An econometric study of Singapore and USA.</w:t>
      </w:r>
      <w:proofErr w:type="gramEnd"/>
      <w:r w:rsidRPr="00BB417E">
        <w:rPr>
          <w:rFonts w:ascii="Times New Roman" w:hAnsi="Times New Roman" w:cs="Times New Roman"/>
          <w:sz w:val="24"/>
          <w:szCs w:val="24"/>
        </w:rPr>
        <w:t xml:space="preserve"> </w:t>
      </w:r>
      <w:proofErr w:type="gramStart"/>
      <w:r w:rsidRPr="00BB417E">
        <w:rPr>
          <w:rFonts w:ascii="Times New Roman" w:hAnsi="Times New Roman" w:cs="Times New Roman"/>
          <w:sz w:val="24"/>
          <w:szCs w:val="24"/>
        </w:rPr>
        <w:t>The Singapore Economic Review.</w:t>
      </w:r>
      <w:proofErr w:type="gramEnd"/>
      <w:r w:rsidRPr="00BB417E">
        <w:rPr>
          <w:rFonts w:ascii="Times New Roman" w:hAnsi="Times New Roman" w:cs="Times New Roman"/>
          <w:sz w:val="24"/>
          <w:szCs w:val="24"/>
        </w:rPr>
        <w:t xml:space="preserve"> 51(1), 31-51.</w:t>
      </w:r>
    </w:p>
    <w:p w:rsidR="00BB417E" w:rsidRPr="00BB417E" w:rsidRDefault="00BB417E" w:rsidP="00BB417E">
      <w:pPr>
        <w:tabs>
          <w:tab w:val="left" w:pos="936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World </w:t>
      </w:r>
      <w:proofErr w:type="gramStart"/>
      <w:r w:rsidRPr="00BB417E">
        <w:rPr>
          <w:rFonts w:ascii="Times New Roman" w:hAnsi="Times New Roman" w:cs="Times New Roman"/>
          <w:sz w:val="24"/>
          <w:szCs w:val="24"/>
        </w:rPr>
        <w:t>Bank.,</w:t>
      </w:r>
      <w:proofErr w:type="gramEnd"/>
      <w:r w:rsidRPr="00BB417E">
        <w:rPr>
          <w:rFonts w:ascii="Times New Roman" w:hAnsi="Times New Roman" w:cs="Times New Roman"/>
          <w:sz w:val="24"/>
          <w:szCs w:val="24"/>
        </w:rPr>
        <w:t xml:space="preserve"> 2013. Development indicators databases, retrieved from: </w:t>
      </w:r>
      <w:hyperlink r:id="rId17" w:history="1">
        <w:r w:rsidRPr="00BB417E">
          <w:rPr>
            <w:rStyle w:val="Hyperlink"/>
            <w:rFonts w:ascii="Times New Roman" w:hAnsi="Times New Roman" w:cs="Times New Roman"/>
            <w:color w:val="auto"/>
            <w:sz w:val="24"/>
            <w:szCs w:val="24"/>
          </w:rPr>
          <w:t>http://data.worldbank.org/country/malaysia</w:t>
        </w:r>
      </w:hyperlink>
      <w:r w:rsidRPr="00BB417E">
        <w:rPr>
          <w:rStyle w:val="Hyperlink"/>
          <w:rFonts w:ascii="Times New Roman" w:hAnsi="Times New Roman" w:cs="Times New Roman"/>
          <w:color w:val="auto"/>
          <w:sz w:val="24"/>
          <w:szCs w:val="24"/>
        </w:rPr>
        <w:t>.</w:t>
      </w:r>
    </w:p>
    <w:p w:rsidR="00BB417E" w:rsidRPr="00BB417E" w:rsidRDefault="00BB417E" w:rsidP="00D078F7">
      <w:pPr>
        <w:tabs>
          <w:tab w:val="left" w:pos="9360"/>
        </w:tabs>
        <w:spacing w:after="0" w:line="240" w:lineRule="auto"/>
        <w:ind w:left="1134" w:hanging="1134"/>
        <w:jc w:val="both"/>
        <w:rPr>
          <w:rFonts w:ascii="Times New Roman" w:hAnsi="Times New Roman" w:cs="Times New Roman"/>
          <w:sz w:val="24"/>
          <w:szCs w:val="24"/>
        </w:rPr>
      </w:pPr>
      <w:r w:rsidRPr="00BB417E">
        <w:rPr>
          <w:rFonts w:ascii="Times New Roman" w:hAnsi="Times New Roman" w:cs="Times New Roman"/>
          <w:sz w:val="24"/>
          <w:szCs w:val="24"/>
        </w:rPr>
        <w:t xml:space="preserve">World Federation of </w:t>
      </w:r>
      <w:proofErr w:type="gramStart"/>
      <w:r w:rsidRPr="00BB417E">
        <w:rPr>
          <w:rFonts w:ascii="Times New Roman" w:hAnsi="Times New Roman" w:cs="Times New Roman"/>
          <w:sz w:val="24"/>
          <w:szCs w:val="24"/>
        </w:rPr>
        <w:t>Exchange.,</w:t>
      </w:r>
      <w:proofErr w:type="gramEnd"/>
      <w:r w:rsidRPr="00BB417E">
        <w:rPr>
          <w:rFonts w:ascii="Times New Roman" w:hAnsi="Times New Roman" w:cs="Times New Roman"/>
          <w:sz w:val="24"/>
          <w:szCs w:val="24"/>
        </w:rPr>
        <w:t xml:space="preserve"> 201</w:t>
      </w:r>
      <w:r w:rsidR="00D078F7">
        <w:rPr>
          <w:rFonts w:ascii="Times New Roman" w:hAnsi="Times New Roman" w:cs="Times New Roman"/>
          <w:sz w:val="24"/>
          <w:szCs w:val="24"/>
        </w:rPr>
        <w:t>5</w:t>
      </w:r>
      <w:r w:rsidRPr="00BB417E">
        <w:rPr>
          <w:rFonts w:ascii="Times New Roman" w:hAnsi="Times New Roman" w:cs="Times New Roman"/>
          <w:sz w:val="24"/>
          <w:szCs w:val="24"/>
        </w:rPr>
        <w:t xml:space="preserve">. Annual query tool, retrieved from: </w:t>
      </w:r>
      <w:hyperlink r:id="rId18" w:history="1">
        <w:r w:rsidRPr="00BB417E">
          <w:rPr>
            <w:rStyle w:val="Hyperlink"/>
            <w:rFonts w:ascii="Times New Roman" w:hAnsi="Times New Roman" w:cs="Times New Roman"/>
            <w:color w:val="auto"/>
            <w:sz w:val="24"/>
            <w:szCs w:val="24"/>
          </w:rPr>
          <w:t>http://www.world-exchanges.org/statistics/annual-query-tool</w:t>
        </w:r>
      </w:hyperlink>
      <w:r w:rsidRPr="00BB417E">
        <w:rPr>
          <w:rStyle w:val="Hyperlink"/>
          <w:rFonts w:ascii="Times New Roman" w:hAnsi="Times New Roman" w:cs="Times New Roman"/>
          <w:color w:val="auto"/>
          <w:sz w:val="24"/>
          <w:szCs w:val="24"/>
        </w:rPr>
        <w:t>.</w:t>
      </w:r>
    </w:p>
    <w:p w:rsidR="00482842" w:rsidRDefault="00482842" w:rsidP="00AD508F">
      <w:pPr>
        <w:spacing w:after="0" w:line="240" w:lineRule="auto"/>
        <w:rPr>
          <w:rFonts w:asciiTheme="majorBidi" w:hAnsiTheme="majorBidi" w:cstheme="majorBidi"/>
          <w:sz w:val="24"/>
          <w:szCs w:val="24"/>
        </w:rPr>
      </w:pPr>
    </w:p>
    <w:sectPr w:rsidR="0048284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FF" w:rsidRDefault="00910EFF" w:rsidP="003E66C6">
      <w:pPr>
        <w:spacing w:after="0" w:line="240" w:lineRule="auto"/>
      </w:pPr>
      <w:r>
        <w:separator/>
      </w:r>
    </w:p>
  </w:endnote>
  <w:endnote w:type="continuationSeparator" w:id="0">
    <w:p w:rsidR="00910EFF" w:rsidRDefault="00910EFF" w:rsidP="003E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97486"/>
      <w:docPartObj>
        <w:docPartGallery w:val="Page Numbers (Bottom of Page)"/>
        <w:docPartUnique/>
      </w:docPartObj>
    </w:sdtPr>
    <w:sdtEndPr>
      <w:rPr>
        <w:noProof/>
      </w:rPr>
    </w:sdtEndPr>
    <w:sdtContent>
      <w:p w:rsidR="007832F7" w:rsidRDefault="007832F7">
        <w:pPr>
          <w:pStyle w:val="Footer"/>
          <w:jc w:val="center"/>
        </w:pPr>
        <w:r>
          <w:fldChar w:fldCharType="begin"/>
        </w:r>
        <w:r>
          <w:instrText xml:space="preserve"> PAGE   \* MERGEFORMAT </w:instrText>
        </w:r>
        <w:r>
          <w:fldChar w:fldCharType="separate"/>
        </w:r>
        <w:r w:rsidR="00FD496F">
          <w:rPr>
            <w:noProof/>
          </w:rPr>
          <w:t>1</w:t>
        </w:r>
        <w:r>
          <w:rPr>
            <w:noProof/>
          </w:rPr>
          <w:fldChar w:fldCharType="end"/>
        </w:r>
      </w:p>
    </w:sdtContent>
  </w:sdt>
  <w:p w:rsidR="005121F0" w:rsidRDefault="0051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FF" w:rsidRDefault="00910EFF" w:rsidP="003E66C6">
      <w:pPr>
        <w:spacing w:after="0" w:line="240" w:lineRule="auto"/>
      </w:pPr>
      <w:r>
        <w:separator/>
      </w:r>
    </w:p>
  </w:footnote>
  <w:footnote w:type="continuationSeparator" w:id="0">
    <w:p w:rsidR="00910EFF" w:rsidRDefault="00910EFF" w:rsidP="003E6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E7"/>
    <w:rsid w:val="00005FE6"/>
    <w:rsid w:val="00013654"/>
    <w:rsid w:val="00015615"/>
    <w:rsid w:val="000169DF"/>
    <w:rsid w:val="000235E3"/>
    <w:rsid w:val="00025F7E"/>
    <w:rsid w:val="000276AC"/>
    <w:rsid w:val="000333E4"/>
    <w:rsid w:val="00047E95"/>
    <w:rsid w:val="00050B47"/>
    <w:rsid w:val="00052FFD"/>
    <w:rsid w:val="00053F4B"/>
    <w:rsid w:val="00061056"/>
    <w:rsid w:val="00062E8B"/>
    <w:rsid w:val="00070CE2"/>
    <w:rsid w:val="00082F0C"/>
    <w:rsid w:val="00085140"/>
    <w:rsid w:val="00087C02"/>
    <w:rsid w:val="000918A2"/>
    <w:rsid w:val="000A6DB0"/>
    <w:rsid w:val="000B431D"/>
    <w:rsid w:val="000B512A"/>
    <w:rsid w:val="000B6F4D"/>
    <w:rsid w:val="000C1BA2"/>
    <w:rsid w:val="000C2B49"/>
    <w:rsid w:val="000C3240"/>
    <w:rsid w:val="000C4819"/>
    <w:rsid w:val="000C494E"/>
    <w:rsid w:val="000C4D08"/>
    <w:rsid w:val="000D0223"/>
    <w:rsid w:val="000D3881"/>
    <w:rsid w:val="000D6EDE"/>
    <w:rsid w:val="000D7363"/>
    <w:rsid w:val="000E1796"/>
    <w:rsid w:val="000E4E21"/>
    <w:rsid w:val="000F0AE1"/>
    <w:rsid w:val="000F23CD"/>
    <w:rsid w:val="000F465E"/>
    <w:rsid w:val="000F724D"/>
    <w:rsid w:val="000F7527"/>
    <w:rsid w:val="001131D3"/>
    <w:rsid w:val="00116241"/>
    <w:rsid w:val="00121F65"/>
    <w:rsid w:val="00124464"/>
    <w:rsid w:val="001246C8"/>
    <w:rsid w:val="00141B9E"/>
    <w:rsid w:val="00142DA2"/>
    <w:rsid w:val="00143B94"/>
    <w:rsid w:val="0014431D"/>
    <w:rsid w:val="0014647E"/>
    <w:rsid w:val="00154806"/>
    <w:rsid w:val="0015558D"/>
    <w:rsid w:val="00160080"/>
    <w:rsid w:val="00165519"/>
    <w:rsid w:val="00174149"/>
    <w:rsid w:val="00175DAA"/>
    <w:rsid w:val="00182A23"/>
    <w:rsid w:val="0019293D"/>
    <w:rsid w:val="00195263"/>
    <w:rsid w:val="00196A29"/>
    <w:rsid w:val="001A0817"/>
    <w:rsid w:val="001A237B"/>
    <w:rsid w:val="001A37A6"/>
    <w:rsid w:val="001A3D39"/>
    <w:rsid w:val="001A5C05"/>
    <w:rsid w:val="001B3D90"/>
    <w:rsid w:val="001B58F1"/>
    <w:rsid w:val="001B6D65"/>
    <w:rsid w:val="001B7A8B"/>
    <w:rsid w:val="001B7BCE"/>
    <w:rsid w:val="001D2587"/>
    <w:rsid w:val="001D7BCB"/>
    <w:rsid w:val="001D7E15"/>
    <w:rsid w:val="001E33C6"/>
    <w:rsid w:val="001E4A01"/>
    <w:rsid w:val="001F0106"/>
    <w:rsid w:val="0020717B"/>
    <w:rsid w:val="0022066C"/>
    <w:rsid w:val="00221543"/>
    <w:rsid w:val="002235C9"/>
    <w:rsid w:val="00227FDB"/>
    <w:rsid w:val="002354EB"/>
    <w:rsid w:val="00235E80"/>
    <w:rsid w:val="00247317"/>
    <w:rsid w:val="00251FC9"/>
    <w:rsid w:val="00253F15"/>
    <w:rsid w:val="0026013D"/>
    <w:rsid w:val="00260D77"/>
    <w:rsid w:val="00263400"/>
    <w:rsid w:val="002650AC"/>
    <w:rsid w:val="00265577"/>
    <w:rsid w:val="00265A45"/>
    <w:rsid w:val="002673AF"/>
    <w:rsid w:val="00271C13"/>
    <w:rsid w:val="00274C73"/>
    <w:rsid w:val="00277C56"/>
    <w:rsid w:val="002931FC"/>
    <w:rsid w:val="00293730"/>
    <w:rsid w:val="00297A51"/>
    <w:rsid w:val="002C7250"/>
    <w:rsid w:val="002C73D8"/>
    <w:rsid w:val="002D118E"/>
    <w:rsid w:val="002E37A2"/>
    <w:rsid w:val="002E5716"/>
    <w:rsid w:val="003025FF"/>
    <w:rsid w:val="00303594"/>
    <w:rsid w:val="0030389F"/>
    <w:rsid w:val="00304121"/>
    <w:rsid w:val="00305B72"/>
    <w:rsid w:val="00313964"/>
    <w:rsid w:val="0031565E"/>
    <w:rsid w:val="00316EC4"/>
    <w:rsid w:val="00323A4E"/>
    <w:rsid w:val="00336B4A"/>
    <w:rsid w:val="003448CB"/>
    <w:rsid w:val="0035205F"/>
    <w:rsid w:val="00356BDA"/>
    <w:rsid w:val="003614FE"/>
    <w:rsid w:val="0036375B"/>
    <w:rsid w:val="00367C99"/>
    <w:rsid w:val="00374EDB"/>
    <w:rsid w:val="0037635A"/>
    <w:rsid w:val="00383141"/>
    <w:rsid w:val="00385BC5"/>
    <w:rsid w:val="00391AC3"/>
    <w:rsid w:val="00396322"/>
    <w:rsid w:val="00397074"/>
    <w:rsid w:val="003A533E"/>
    <w:rsid w:val="003A6977"/>
    <w:rsid w:val="003B5338"/>
    <w:rsid w:val="003B618D"/>
    <w:rsid w:val="003C07D0"/>
    <w:rsid w:val="003D29DA"/>
    <w:rsid w:val="003D590A"/>
    <w:rsid w:val="003E4422"/>
    <w:rsid w:val="003E4813"/>
    <w:rsid w:val="003E66C6"/>
    <w:rsid w:val="003E6F49"/>
    <w:rsid w:val="003E7DF4"/>
    <w:rsid w:val="003F08B6"/>
    <w:rsid w:val="003F3774"/>
    <w:rsid w:val="003F5074"/>
    <w:rsid w:val="003F661F"/>
    <w:rsid w:val="00402E99"/>
    <w:rsid w:val="00405F9F"/>
    <w:rsid w:val="00426465"/>
    <w:rsid w:val="00431829"/>
    <w:rsid w:val="00433681"/>
    <w:rsid w:val="00441698"/>
    <w:rsid w:val="00441B28"/>
    <w:rsid w:val="00442235"/>
    <w:rsid w:val="00451603"/>
    <w:rsid w:val="00454C29"/>
    <w:rsid w:val="0046316E"/>
    <w:rsid w:val="004643E5"/>
    <w:rsid w:val="00473F6F"/>
    <w:rsid w:val="00474844"/>
    <w:rsid w:val="00476291"/>
    <w:rsid w:val="0048265E"/>
    <w:rsid w:val="00482842"/>
    <w:rsid w:val="0048302F"/>
    <w:rsid w:val="00484131"/>
    <w:rsid w:val="004875DB"/>
    <w:rsid w:val="004A1FBB"/>
    <w:rsid w:val="004A2943"/>
    <w:rsid w:val="004A5E5B"/>
    <w:rsid w:val="004A69EE"/>
    <w:rsid w:val="004B3C94"/>
    <w:rsid w:val="004B3EF0"/>
    <w:rsid w:val="004C0F24"/>
    <w:rsid w:val="004C14CB"/>
    <w:rsid w:val="004C4370"/>
    <w:rsid w:val="004E1B87"/>
    <w:rsid w:val="004E6ACD"/>
    <w:rsid w:val="004E71E0"/>
    <w:rsid w:val="004F514A"/>
    <w:rsid w:val="004F5B05"/>
    <w:rsid w:val="005121F0"/>
    <w:rsid w:val="00512463"/>
    <w:rsid w:val="00513ACD"/>
    <w:rsid w:val="00516BA2"/>
    <w:rsid w:val="00520D04"/>
    <w:rsid w:val="00520E41"/>
    <w:rsid w:val="00537126"/>
    <w:rsid w:val="0054534C"/>
    <w:rsid w:val="00550624"/>
    <w:rsid w:val="00552AD7"/>
    <w:rsid w:val="0055364A"/>
    <w:rsid w:val="00554987"/>
    <w:rsid w:val="00560D35"/>
    <w:rsid w:val="005610E6"/>
    <w:rsid w:val="005620A0"/>
    <w:rsid w:val="0056226E"/>
    <w:rsid w:val="00564D2F"/>
    <w:rsid w:val="00570774"/>
    <w:rsid w:val="0057384B"/>
    <w:rsid w:val="0057480D"/>
    <w:rsid w:val="005903A6"/>
    <w:rsid w:val="00591B91"/>
    <w:rsid w:val="0059395E"/>
    <w:rsid w:val="0059542B"/>
    <w:rsid w:val="005969C6"/>
    <w:rsid w:val="005975DF"/>
    <w:rsid w:val="005A1F0A"/>
    <w:rsid w:val="005A26B3"/>
    <w:rsid w:val="005A600D"/>
    <w:rsid w:val="005A73C3"/>
    <w:rsid w:val="005B339E"/>
    <w:rsid w:val="005B3507"/>
    <w:rsid w:val="005C60C5"/>
    <w:rsid w:val="005D5132"/>
    <w:rsid w:val="005E5F36"/>
    <w:rsid w:val="005F21B3"/>
    <w:rsid w:val="005F4F69"/>
    <w:rsid w:val="005F5348"/>
    <w:rsid w:val="00601844"/>
    <w:rsid w:val="00614949"/>
    <w:rsid w:val="00623A45"/>
    <w:rsid w:val="00627992"/>
    <w:rsid w:val="00632703"/>
    <w:rsid w:val="00632AAF"/>
    <w:rsid w:val="0063609E"/>
    <w:rsid w:val="00637FA6"/>
    <w:rsid w:val="00644C32"/>
    <w:rsid w:val="0064561A"/>
    <w:rsid w:val="00646330"/>
    <w:rsid w:val="00647381"/>
    <w:rsid w:val="00654E84"/>
    <w:rsid w:val="006564CE"/>
    <w:rsid w:val="00657C62"/>
    <w:rsid w:val="00661C53"/>
    <w:rsid w:val="00662B72"/>
    <w:rsid w:val="00663591"/>
    <w:rsid w:val="00665735"/>
    <w:rsid w:val="006715EB"/>
    <w:rsid w:val="006749E7"/>
    <w:rsid w:val="00676ACA"/>
    <w:rsid w:val="00677AD6"/>
    <w:rsid w:val="00680F8D"/>
    <w:rsid w:val="00681126"/>
    <w:rsid w:val="00684CB7"/>
    <w:rsid w:val="006903C4"/>
    <w:rsid w:val="00691051"/>
    <w:rsid w:val="00692ABA"/>
    <w:rsid w:val="006C22F0"/>
    <w:rsid w:val="006C42B5"/>
    <w:rsid w:val="006C50B4"/>
    <w:rsid w:val="006C5297"/>
    <w:rsid w:val="006C5645"/>
    <w:rsid w:val="006C6A25"/>
    <w:rsid w:val="006C761C"/>
    <w:rsid w:val="006D7F23"/>
    <w:rsid w:val="006E1245"/>
    <w:rsid w:val="006F690F"/>
    <w:rsid w:val="0070084B"/>
    <w:rsid w:val="00704E92"/>
    <w:rsid w:val="00707497"/>
    <w:rsid w:val="007103EB"/>
    <w:rsid w:val="0072352F"/>
    <w:rsid w:val="007255E2"/>
    <w:rsid w:val="007259B4"/>
    <w:rsid w:val="00726369"/>
    <w:rsid w:val="007413AB"/>
    <w:rsid w:val="00741C43"/>
    <w:rsid w:val="00760AEC"/>
    <w:rsid w:val="0076342A"/>
    <w:rsid w:val="00765355"/>
    <w:rsid w:val="00765CA6"/>
    <w:rsid w:val="007717A1"/>
    <w:rsid w:val="0077643F"/>
    <w:rsid w:val="00780F99"/>
    <w:rsid w:val="0078185B"/>
    <w:rsid w:val="007832F7"/>
    <w:rsid w:val="0078351F"/>
    <w:rsid w:val="007842E8"/>
    <w:rsid w:val="00784364"/>
    <w:rsid w:val="00784D40"/>
    <w:rsid w:val="007938CD"/>
    <w:rsid w:val="007A2AA6"/>
    <w:rsid w:val="007A6DC4"/>
    <w:rsid w:val="007B1896"/>
    <w:rsid w:val="007B2DBE"/>
    <w:rsid w:val="007B66D9"/>
    <w:rsid w:val="007B716B"/>
    <w:rsid w:val="007C0AAA"/>
    <w:rsid w:val="007C4FD0"/>
    <w:rsid w:val="007C5A54"/>
    <w:rsid w:val="007C6B7C"/>
    <w:rsid w:val="007C7D72"/>
    <w:rsid w:val="007D2208"/>
    <w:rsid w:val="007D753E"/>
    <w:rsid w:val="007E530F"/>
    <w:rsid w:val="007E56E3"/>
    <w:rsid w:val="007F2FFC"/>
    <w:rsid w:val="00805286"/>
    <w:rsid w:val="00806025"/>
    <w:rsid w:val="00811A3A"/>
    <w:rsid w:val="00812C81"/>
    <w:rsid w:val="008163E1"/>
    <w:rsid w:val="008248E5"/>
    <w:rsid w:val="008268D9"/>
    <w:rsid w:val="00827FA7"/>
    <w:rsid w:val="008303C8"/>
    <w:rsid w:val="00832165"/>
    <w:rsid w:val="00835C9F"/>
    <w:rsid w:val="00837EE0"/>
    <w:rsid w:val="008429CA"/>
    <w:rsid w:val="0084612D"/>
    <w:rsid w:val="00864C70"/>
    <w:rsid w:val="0086776D"/>
    <w:rsid w:val="00874BCC"/>
    <w:rsid w:val="008763BB"/>
    <w:rsid w:val="008775DE"/>
    <w:rsid w:val="00880D85"/>
    <w:rsid w:val="00884F19"/>
    <w:rsid w:val="008871EF"/>
    <w:rsid w:val="00891583"/>
    <w:rsid w:val="00895AFA"/>
    <w:rsid w:val="008979A5"/>
    <w:rsid w:val="008A1C12"/>
    <w:rsid w:val="008A1DF6"/>
    <w:rsid w:val="008A5A71"/>
    <w:rsid w:val="008B1D95"/>
    <w:rsid w:val="008B7502"/>
    <w:rsid w:val="008C248B"/>
    <w:rsid w:val="008C24CA"/>
    <w:rsid w:val="008C5E99"/>
    <w:rsid w:val="008C718F"/>
    <w:rsid w:val="008D06C9"/>
    <w:rsid w:val="008D2B51"/>
    <w:rsid w:val="008D73AB"/>
    <w:rsid w:val="008E03AA"/>
    <w:rsid w:val="008E103D"/>
    <w:rsid w:val="008E3CED"/>
    <w:rsid w:val="008E4BBE"/>
    <w:rsid w:val="008E515E"/>
    <w:rsid w:val="008E5F98"/>
    <w:rsid w:val="008F22E7"/>
    <w:rsid w:val="008F3AA7"/>
    <w:rsid w:val="009037E7"/>
    <w:rsid w:val="009101D6"/>
    <w:rsid w:val="00910EFF"/>
    <w:rsid w:val="00917741"/>
    <w:rsid w:val="00917F6B"/>
    <w:rsid w:val="00921854"/>
    <w:rsid w:val="009308C5"/>
    <w:rsid w:val="009315D4"/>
    <w:rsid w:val="00932621"/>
    <w:rsid w:val="00933D4A"/>
    <w:rsid w:val="0093721B"/>
    <w:rsid w:val="00942606"/>
    <w:rsid w:val="009501A9"/>
    <w:rsid w:val="00951DFE"/>
    <w:rsid w:val="00955C70"/>
    <w:rsid w:val="00962BBA"/>
    <w:rsid w:val="00963FEA"/>
    <w:rsid w:val="00972F8E"/>
    <w:rsid w:val="009746CA"/>
    <w:rsid w:val="00976432"/>
    <w:rsid w:val="00980F67"/>
    <w:rsid w:val="00983695"/>
    <w:rsid w:val="00983722"/>
    <w:rsid w:val="00986BF4"/>
    <w:rsid w:val="00996BB0"/>
    <w:rsid w:val="009A1495"/>
    <w:rsid w:val="009A25A6"/>
    <w:rsid w:val="009A2D02"/>
    <w:rsid w:val="009A535B"/>
    <w:rsid w:val="009A7130"/>
    <w:rsid w:val="009B4D0E"/>
    <w:rsid w:val="009D4225"/>
    <w:rsid w:val="009D67FB"/>
    <w:rsid w:val="009D6EF2"/>
    <w:rsid w:val="009E14F2"/>
    <w:rsid w:val="009E2F9A"/>
    <w:rsid w:val="009E3A19"/>
    <w:rsid w:val="009E5902"/>
    <w:rsid w:val="009F0D2D"/>
    <w:rsid w:val="00A0028D"/>
    <w:rsid w:val="00A011FB"/>
    <w:rsid w:val="00A03D68"/>
    <w:rsid w:val="00A04F2A"/>
    <w:rsid w:val="00A1228F"/>
    <w:rsid w:val="00A12A19"/>
    <w:rsid w:val="00A152DD"/>
    <w:rsid w:val="00A24BB3"/>
    <w:rsid w:val="00A35391"/>
    <w:rsid w:val="00A35E95"/>
    <w:rsid w:val="00A366BD"/>
    <w:rsid w:val="00A44104"/>
    <w:rsid w:val="00A525C7"/>
    <w:rsid w:val="00A604CE"/>
    <w:rsid w:val="00A62D8E"/>
    <w:rsid w:val="00A67250"/>
    <w:rsid w:val="00A72DEE"/>
    <w:rsid w:val="00A84228"/>
    <w:rsid w:val="00A9314C"/>
    <w:rsid w:val="00A93FBA"/>
    <w:rsid w:val="00AA036F"/>
    <w:rsid w:val="00AA1825"/>
    <w:rsid w:val="00AA5AD4"/>
    <w:rsid w:val="00AA6607"/>
    <w:rsid w:val="00AA7BC0"/>
    <w:rsid w:val="00AB2D48"/>
    <w:rsid w:val="00AB3951"/>
    <w:rsid w:val="00AB5E4C"/>
    <w:rsid w:val="00AC0FC3"/>
    <w:rsid w:val="00AC1A15"/>
    <w:rsid w:val="00AC3477"/>
    <w:rsid w:val="00AC385F"/>
    <w:rsid w:val="00AD11C0"/>
    <w:rsid w:val="00AD1AA9"/>
    <w:rsid w:val="00AD508F"/>
    <w:rsid w:val="00AE08CB"/>
    <w:rsid w:val="00AE76EB"/>
    <w:rsid w:val="00AF100E"/>
    <w:rsid w:val="00AF1327"/>
    <w:rsid w:val="00AF32CF"/>
    <w:rsid w:val="00AF3326"/>
    <w:rsid w:val="00AF4DE6"/>
    <w:rsid w:val="00B0037F"/>
    <w:rsid w:val="00B04DE8"/>
    <w:rsid w:val="00B06B70"/>
    <w:rsid w:val="00B230BE"/>
    <w:rsid w:val="00B236C9"/>
    <w:rsid w:val="00B30BC1"/>
    <w:rsid w:val="00B319DF"/>
    <w:rsid w:val="00B31DBA"/>
    <w:rsid w:val="00B41EF9"/>
    <w:rsid w:val="00B44F5E"/>
    <w:rsid w:val="00B5062C"/>
    <w:rsid w:val="00B53CDE"/>
    <w:rsid w:val="00B554F8"/>
    <w:rsid w:val="00B622D2"/>
    <w:rsid w:val="00B64449"/>
    <w:rsid w:val="00B6552A"/>
    <w:rsid w:val="00B66C2B"/>
    <w:rsid w:val="00B71877"/>
    <w:rsid w:val="00B738C9"/>
    <w:rsid w:val="00B754A1"/>
    <w:rsid w:val="00B817B4"/>
    <w:rsid w:val="00B8347F"/>
    <w:rsid w:val="00B83B43"/>
    <w:rsid w:val="00B8452C"/>
    <w:rsid w:val="00B87090"/>
    <w:rsid w:val="00BA0615"/>
    <w:rsid w:val="00BA1915"/>
    <w:rsid w:val="00BA2001"/>
    <w:rsid w:val="00BA7C77"/>
    <w:rsid w:val="00BB23B3"/>
    <w:rsid w:val="00BB2BDF"/>
    <w:rsid w:val="00BB417E"/>
    <w:rsid w:val="00BB589B"/>
    <w:rsid w:val="00BC1C89"/>
    <w:rsid w:val="00BC36E1"/>
    <w:rsid w:val="00BD22D6"/>
    <w:rsid w:val="00BD3FC5"/>
    <w:rsid w:val="00BE02A0"/>
    <w:rsid w:val="00BE191D"/>
    <w:rsid w:val="00BE560E"/>
    <w:rsid w:val="00BE5BC6"/>
    <w:rsid w:val="00BF0EB1"/>
    <w:rsid w:val="00BF1071"/>
    <w:rsid w:val="00BF670B"/>
    <w:rsid w:val="00BF7BE2"/>
    <w:rsid w:val="00C05AB3"/>
    <w:rsid w:val="00C0631A"/>
    <w:rsid w:val="00C13C3A"/>
    <w:rsid w:val="00C151E9"/>
    <w:rsid w:val="00C2110A"/>
    <w:rsid w:val="00C25052"/>
    <w:rsid w:val="00C47B27"/>
    <w:rsid w:val="00C50931"/>
    <w:rsid w:val="00C52D6F"/>
    <w:rsid w:val="00C6212D"/>
    <w:rsid w:val="00C67966"/>
    <w:rsid w:val="00C72EAF"/>
    <w:rsid w:val="00C73725"/>
    <w:rsid w:val="00C802AF"/>
    <w:rsid w:val="00C824A9"/>
    <w:rsid w:val="00C82C25"/>
    <w:rsid w:val="00C8789D"/>
    <w:rsid w:val="00C9003E"/>
    <w:rsid w:val="00C91A40"/>
    <w:rsid w:val="00C936DE"/>
    <w:rsid w:val="00C9536C"/>
    <w:rsid w:val="00CA04FA"/>
    <w:rsid w:val="00CA0C0A"/>
    <w:rsid w:val="00CA25AE"/>
    <w:rsid w:val="00CA63A3"/>
    <w:rsid w:val="00CB088D"/>
    <w:rsid w:val="00CB08F5"/>
    <w:rsid w:val="00CB14E5"/>
    <w:rsid w:val="00CB3474"/>
    <w:rsid w:val="00CB3CF6"/>
    <w:rsid w:val="00CB5DA9"/>
    <w:rsid w:val="00CB66E4"/>
    <w:rsid w:val="00CB6ACE"/>
    <w:rsid w:val="00CC0AAF"/>
    <w:rsid w:val="00CC3E47"/>
    <w:rsid w:val="00CC44DB"/>
    <w:rsid w:val="00CD0D75"/>
    <w:rsid w:val="00CE09D3"/>
    <w:rsid w:val="00CE1EBB"/>
    <w:rsid w:val="00CE5826"/>
    <w:rsid w:val="00CE7982"/>
    <w:rsid w:val="00D02615"/>
    <w:rsid w:val="00D02780"/>
    <w:rsid w:val="00D05C68"/>
    <w:rsid w:val="00D078F7"/>
    <w:rsid w:val="00D22D8B"/>
    <w:rsid w:val="00D23207"/>
    <w:rsid w:val="00D25687"/>
    <w:rsid w:val="00D3464B"/>
    <w:rsid w:val="00D37BE2"/>
    <w:rsid w:val="00D40453"/>
    <w:rsid w:val="00D41789"/>
    <w:rsid w:val="00D4184F"/>
    <w:rsid w:val="00D444C2"/>
    <w:rsid w:val="00D50630"/>
    <w:rsid w:val="00D5088C"/>
    <w:rsid w:val="00D54EB5"/>
    <w:rsid w:val="00D55297"/>
    <w:rsid w:val="00D56049"/>
    <w:rsid w:val="00D6535A"/>
    <w:rsid w:val="00D66B1A"/>
    <w:rsid w:val="00D67E5B"/>
    <w:rsid w:val="00D73D96"/>
    <w:rsid w:val="00D74A3D"/>
    <w:rsid w:val="00D837EC"/>
    <w:rsid w:val="00D87F26"/>
    <w:rsid w:val="00D9393A"/>
    <w:rsid w:val="00DA4605"/>
    <w:rsid w:val="00DA7F42"/>
    <w:rsid w:val="00DB4A50"/>
    <w:rsid w:val="00DC1D9D"/>
    <w:rsid w:val="00DC2BDD"/>
    <w:rsid w:val="00DC311D"/>
    <w:rsid w:val="00DC628C"/>
    <w:rsid w:val="00DD07B3"/>
    <w:rsid w:val="00DD17CE"/>
    <w:rsid w:val="00DD5721"/>
    <w:rsid w:val="00DE3515"/>
    <w:rsid w:val="00DF452E"/>
    <w:rsid w:val="00DF4651"/>
    <w:rsid w:val="00E002C1"/>
    <w:rsid w:val="00E12643"/>
    <w:rsid w:val="00E30044"/>
    <w:rsid w:val="00E334FF"/>
    <w:rsid w:val="00E42020"/>
    <w:rsid w:val="00E43B5D"/>
    <w:rsid w:val="00E43C8B"/>
    <w:rsid w:val="00E44B0E"/>
    <w:rsid w:val="00E53A0E"/>
    <w:rsid w:val="00E545BA"/>
    <w:rsid w:val="00E607BF"/>
    <w:rsid w:val="00E655E8"/>
    <w:rsid w:val="00E6638A"/>
    <w:rsid w:val="00E67598"/>
    <w:rsid w:val="00E73D18"/>
    <w:rsid w:val="00E74E6A"/>
    <w:rsid w:val="00E80E8F"/>
    <w:rsid w:val="00E81928"/>
    <w:rsid w:val="00E82692"/>
    <w:rsid w:val="00E87C3A"/>
    <w:rsid w:val="00E91A06"/>
    <w:rsid w:val="00E923A3"/>
    <w:rsid w:val="00E93F03"/>
    <w:rsid w:val="00EA090E"/>
    <w:rsid w:val="00EA1156"/>
    <w:rsid w:val="00EB2740"/>
    <w:rsid w:val="00EC10C7"/>
    <w:rsid w:val="00EC1B0A"/>
    <w:rsid w:val="00EC25B6"/>
    <w:rsid w:val="00EC7B06"/>
    <w:rsid w:val="00EE01D8"/>
    <w:rsid w:val="00EE152E"/>
    <w:rsid w:val="00EE4065"/>
    <w:rsid w:val="00EF79F4"/>
    <w:rsid w:val="00F04AD5"/>
    <w:rsid w:val="00F06252"/>
    <w:rsid w:val="00F073D9"/>
    <w:rsid w:val="00F161F2"/>
    <w:rsid w:val="00F23470"/>
    <w:rsid w:val="00F30286"/>
    <w:rsid w:val="00F315B4"/>
    <w:rsid w:val="00F37798"/>
    <w:rsid w:val="00F41344"/>
    <w:rsid w:val="00F438B4"/>
    <w:rsid w:val="00F4750E"/>
    <w:rsid w:val="00F520BB"/>
    <w:rsid w:val="00F54D1F"/>
    <w:rsid w:val="00F554A0"/>
    <w:rsid w:val="00F6292D"/>
    <w:rsid w:val="00F63190"/>
    <w:rsid w:val="00F76D10"/>
    <w:rsid w:val="00F82362"/>
    <w:rsid w:val="00FA4ECB"/>
    <w:rsid w:val="00FA5C79"/>
    <w:rsid w:val="00FA64A4"/>
    <w:rsid w:val="00FB7A12"/>
    <w:rsid w:val="00FC73C4"/>
    <w:rsid w:val="00FD496F"/>
    <w:rsid w:val="00FD4F00"/>
    <w:rsid w:val="00FE090E"/>
    <w:rsid w:val="00FE4371"/>
    <w:rsid w:val="00FF0B38"/>
    <w:rsid w:val="00FF27C0"/>
    <w:rsid w:val="00FF28FF"/>
    <w:rsid w:val="00FF3118"/>
    <w:rsid w:val="00FF35A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6C6"/>
  </w:style>
  <w:style w:type="paragraph" w:styleId="Footer">
    <w:name w:val="footer"/>
    <w:basedOn w:val="Normal"/>
    <w:link w:val="FooterChar"/>
    <w:uiPriority w:val="99"/>
    <w:unhideWhenUsed/>
    <w:rsid w:val="003E6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6C6"/>
  </w:style>
  <w:style w:type="paragraph" w:styleId="ListParagraph">
    <w:name w:val="List Paragraph"/>
    <w:basedOn w:val="Normal"/>
    <w:uiPriority w:val="34"/>
    <w:qFormat/>
    <w:rsid w:val="008268D9"/>
    <w:pPr>
      <w:ind w:left="720"/>
      <w:contextualSpacing/>
    </w:pPr>
    <w:rPr>
      <w:rFonts w:eastAsiaTheme="minorEastAsia"/>
      <w:lang w:val="en-US"/>
    </w:rPr>
  </w:style>
  <w:style w:type="character" w:styleId="Hyperlink">
    <w:name w:val="Hyperlink"/>
    <w:basedOn w:val="DefaultParagraphFont"/>
    <w:uiPriority w:val="99"/>
    <w:unhideWhenUsed/>
    <w:rsid w:val="00AA6607"/>
    <w:rPr>
      <w:color w:val="0000FF" w:themeColor="hyperlink"/>
      <w:u w:val="single"/>
    </w:rPr>
  </w:style>
  <w:style w:type="character" w:styleId="Strong">
    <w:name w:val="Strong"/>
    <w:basedOn w:val="DefaultParagraphFont"/>
    <w:uiPriority w:val="22"/>
    <w:qFormat/>
    <w:rsid w:val="00CE1EBB"/>
    <w:rPr>
      <w:b/>
      <w:bCs/>
    </w:rPr>
  </w:style>
  <w:style w:type="character" w:styleId="CommentReference">
    <w:name w:val="annotation reference"/>
    <w:basedOn w:val="DefaultParagraphFont"/>
    <w:uiPriority w:val="99"/>
    <w:semiHidden/>
    <w:unhideWhenUsed/>
    <w:rsid w:val="009A2D02"/>
    <w:rPr>
      <w:sz w:val="16"/>
      <w:szCs w:val="16"/>
    </w:rPr>
  </w:style>
  <w:style w:type="paragraph" w:styleId="CommentText">
    <w:name w:val="annotation text"/>
    <w:basedOn w:val="Normal"/>
    <w:link w:val="CommentTextChar"/>
    <w:uiPriority w:val="99"/>
    <w:semiHidden/>
    <w:unhideWhenUsed/>
    <w:rsid w:val="009A2D02"/>
    <w:pPr>
      <w:spacing w:line="240" w:lineRule="auto"/>
    </w:pPr>
    <w:rPr>
      <w:sz w:val="20"/>
      <w:szCs w:val="20"/>
    </w:rPr>
  </w:style>
  <w:style w:type="character" w:customStyle="1" w:styleId="CommentTextChar">
    <w:name w:val="Comment Text Char"/>
    <w:basedOn w:val="DefaultParagraphFont"/>
    <w:link w:val="CommentText"/>
    <w:uiPriority w:val="99"/>
    <w:semiHidden/>
    <w:rsid w:val="009A2D02"/>
    <w:rPr>
      <w:sz w:val="20"/>
      <w:szCs w:val="20"/>
    </w:rPr>
  </w:style>
  <w:style w:type="paragraph" w:styleId="CommentSubject">
    <w:name w:val="annotation subject"/>
    <w:basedOn w:val="CommentText"/>
    <w:next w:val="CommentText"/>
    <w:link w:val="CommentSubjectChar"/>
    <w:uiPriority w:val="99"/>
    <w:semiHidden/>
    <w:unhideWhenUsed/>
    <w:rsid w:val="009A2D02"/>
    <w:rPr>
      <w:b/>
      <w:bCs/>
    </w:rPr>
  </w:style>
  <w:style w:type="character" w:customStyle="1" w:styleId="CommentSubjectChar">
    <w:name w:val="Comment Subject Char"/>
    <w:basedOn w:val="CommentTextChar"/>
    <w:link w:val="CommentSubject"/>
    <w:uiPriority w:val="99"/>
    <w:semiHidden/>
    <w:rsid w:val="009A2D02"/>
    <w:rPr>
      <w:b/>
      <w:bCs/>
      <w:sz w:val="20"/>
      <w:szCs w:val="20"/>
    </w:rPr>
  </w:style>
  <w:style w:type="paragraph" w:styleId="BalloonText">
    <w:name w:val="Balloon Text"/>
    <w:basedOn w:val="Normal"/>
    <w:link w:val="BalloonTextChar"/>
    <w:uiPriority w:val="99"/>
    <w:semiHidden/>
    <w:unhideWhenUsed/>
    <w:rsid w:val="009A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D02"/>
    <w:rPr>
      <w:rFonts w:ascii="Tahoma" w:hAnsi="Tahoma" w:cs="Tahoma"/>
      <w:sz w:val="16"/>
      <w:szCs w:val="16"/>
    </w:rPr>
  </w:style>
  <w:style w:type="paragraph" w:styleId="EndnoteText">
    <w:name w:val="endnote text"/>
    <w:basedOn w:val="Normal"/>
    <w:link w:val="EndnoteTextChar"/>
    <w:uiPriority w:val="99"/>
    <w:semiHidden/>
    <w:unhideWhenUsed/>
    <w:rsid w:val="00F629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92D"/>
    <w:rPr>
      <w:sz w:val="20"/>
      <w:szCs w:val="20"/>
    </w:rPr>
  </w:style>
  <w:style w:type="character" w:styleId="EndnoteReference">
    <w:name w:val="endnote reference"/>
    <w:basedOn w:val="DefaultParagraphFont"/>
    <w:uiPriority w:val="99"/>
    <w:semiHidden/>
    <w:unhideWhenUsed/>
    <w:rsid w:val="00F6292D"/>
    <w:rPr>
      <w:vertAlign w:val="superscript"/>
    </w:rPr>
  </w:style>
  <w:style w:type="paragraph" w:styleId="FootnoteText">
    <w:name w:val="footnote text"/>
    <w:basedOn w:val="Normal"/>
    <w:link w:val="FootnoteTextChar"/>
    <w:uiPriority w:val="99"/>
    <w:semiHidden/>
    <w:unhideWhenUsed/>
    <w:rsid w:val="00F62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92D"/>
    <w:rPr>
      <w:sz w:val="20"/>
      <w:szCs w:val="20"/>
    </w:rPr>
  </w:style>
  <w:style w:type="character" w:styleId="FootnoteReference">
    <w:name w:val="footnote reference"/>
    <w:basedOn w:val="DefaultParagraphFont"/>
    <w:uiPriority w:val="99"/>
    <w:semiHidden/>
    <w:unhideWhenUsed/>
    <w:rsid w:val="00F629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6C6"/>
  </w:style>
  <w:style w:type="paragraph" w:styleId="Footer">
    <w:name w:val="footer"/>
    <w:basedOn w:val="Normal"/>
    <w:link w:val="FooterChar"/>
    <w:uiPriority w:val="99"/>
    <w:unhideWhenUsed/>
    <w:rsid w:val="003E6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6C6"/>
  </w:style>
  <w:style w:type="paragraph" w:styleId="ListParagraph">
    <w:name w:val="List Paragraph"/>
    <w:basedOn w:val="Normal"/>
    <w:uiPriority w:val="34"/>
    <w:qFormat/>
    <w:rsid w:val="008268D9"/>
    <w:pPr>
      <w:ind w:left="720"/>
      <w:contextualSpacing/>
    </w:pPr>
    <w:rPr>
      <w:rFonts w:eastAsiaTheme="minorEastAsia"/>
      <w:lang w:val="en-US"/>
    </w:rPr>
  </w:style>
  <w:style w:type="character" w:styleId="Hyperlink">
    <w:name w:val="Hyperlink"/>
    <w:basedOn w:val="DefaultParagraphFont"/>
    <w:uiPriority w:val="99"/>
    <w:unhideWhenUsed/>
    <w:rsid w:val="00AA6607"/>
    <w:rPr>
      <w:color w:val="0000FF" w:themeColor="hyperlink"/>
      <w:u w:val="single"/>
    </w:rPr>
  </w:style>
  <w:style w:type="character" w:styleId="Strong">
    <w:name w:val="Strong"/>
    <w:basedOn w:val="DefaultParagraphFont"/>
    <w:uiPriority w:val="22"/>
    <w:qFormat/>
    <w:rsid w:val="00CE1EBB"/>
    <w:rPr>
      <w:b/>
      <w:bCs/>
    </w:rPr>
  </w:style>
  <w:style w:type="character" w:styleId="CommentReference">
    <w:name w:val="annotation reference"/>
    <w:basedOn w:val="DefaultParagraphFont"/>
    <w:uiPriority w:val="99"/>
    <w:semiHidden/>
    <w:unhideWhenUsed/>
    <w:rsid w:val="009A2D02"/>
    <w:rPr>
      <w:sz w:val="16"/>
      <w:szCs w:val="16"/>
    </w:rPr>
  </w:style>
  <w:style w:type="paragraph" w:styleId="CommentText">
    <w:name w:val="annotation text"/>
    <w:basedOn w:val="Normal"/>
    <w:link w:val="CommentTextChar"/>
    <w:uiPriority w:val="99"/>
    <w:semiHidden/>
    <w:unhideWhenUsed/>
    <w:rsid w:val="009A2D02"/>
    <w:pPr>
      <w:spacing w:line="240" w:lineRule="auto"/>
    </w:pPr>
    <w:rPr>
      <w:sz w:val="20"/>
      <w:szCs w:val="20"/>
    </w:rPr>
  </w:style>
  <w:style w:type="character" w:customStyle="1" w:styleId="CommentTextChar">
    <w:name w:val="Comment Text Char"/>
    <w:basedOn w:val="DefaultParagraphFont"/>
    <w:link w:val="CommentText"/>
    <w:uiPriority w:val="99"/>
    <w:semiHidden/>
    <w:rsid w:val="009A2D02"/>
    <w:rPr>
      <w:sz w:val="20"/>
      <w:szCs w:val="20"/>
    </w:rPr>
  </w:style>
  <w:style w:type="paragraph" w:styleId="CommentSubject">
    <w:name w:val="annotation subject"/>
    <w:basedOn w:val="CommentText"/>
    <w:next w:val="CommentText"/>
    <w:link w:val="CommentSubjectChar"/>
    <w:uiPriority w:val="99"/>
    <w:semiHidden/>
    <w:unhideWhenUsed/>
    <w:rsid w:val="009A2D02"/>
    <w:rPr>
      <w:b/>
      <w:bCs/>
    </w:rPr>
  </w:style>
  <w:style w:type="character" w:customStyle="1" w:styleId="CommentSubjectChar">
    <w:name w:val="Comment Subject Char"/>
    <w:basedOn w:val="CommentTextChar"/>
    <w:link w:val="CommentSubject"/>
    <w:uiPriority w:val="99"/>
    <w:semiHidden/>
    <w:rsid w:val="009A2D02"/>
    <w:rPr>
      <w:b/>
      <w:bCs/>
      <w:sz w:val="20"/>
      <w:szCs w:val="20"/>
    </w:rPr>
  </w:style>
  <w:style w:type="paragraph" w:styleId="BalloonText">
    <w:name w:val="Balloon Text"/>
    <w:basedOn w:val="Normal"/>
    <w:link w:val="BalloonTextChar"/>
    <w:uiPriority w:val="99"/>
    <w:semiHidden/>
    <w:unhideWhenUsed/>
    <w:rsid w:val="009A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D02"/>
    <w:rPr>
      <w:rFonts w:ascii="Tahoma" w:hAnsi="Tahoma" w:cs="Tahoma"/>
      <w:sz w:val="16"/>
      <w:szCs w:val="16"/>
    </w:rPr>
  </w:style>
  <w:style w:type="paragraph" w:styleId="EndnoteText">
    <w:name w:val="endnote text"/>
    <w:basedOn w:val="Normal"/>
    <w:link w:val="EndnoteTextChar"/>
    <w:uiPriority w:val="99"/>
    <w:semiHidden/>
    <w:unhideWhenUsed/>
    <w:rsid w:val="00F629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92D"/>
    <w:rPr>
      <w:sz w:val="20"/>
      <w:szCs w:val="20"/>
    </w:rPr>
  </w:style>
  <w:style w:type="character" w:styleId="EndnoteReference">
    <w:name w:val="endnote reference"/>
    <w:basedOn w:val="DefaultParagraphFont"/>
    <w:uiPriority w:val="99"/>
    <w:semiHidden/>
    <w:unhideWhenUsed/>
    <w:rsid w:val="00F6292D"/>
    <w:rPr>
      <w:vertAlign w:val="superscript"/>
    </w:rPr>
  </w:style>
  <w:style w:type="paragraph" w:styleId="FootnoteText">
    <w:name w:val="footnote text"/>
    <w:basedOn w:val="Normal"/>
    <w:link w:val="FootnoteTextChar"/>
    <w:uiPriority w:val="99"/>
    <w:semiHidden/>
    <w:unhideWhenUsed/>
    <w:rsid w:val="00F62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92D"/>
    <w:rPr>
      <w:sz w:val="20"/>
      <w:szCs w:val="20"/>
    </w:rPr>
  </w:style>
  <w:style w:type="character" w:styleId="FootnoteReference">
    <w:name w:val="footnote reference"/>
    <w:basedOn w:val="DefaultParagraphFont"/>
    <w:uiPriority w:val="99"/>
    <w:semiHidden/>
    <w:unhideWhenUsed/>
    <w:rsid w:val="00F62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ableh83@yahoo.com" TargetMode="External"/><Relationship Id="rId13" Type="http://schemas.openxmlformats.org/officeDocument/2006/relationships/oleObject" Target="embeddings/oleObject2.bin"/><Relationship Id="rId18" Type="http://schemas.openxmlformats.org/officeDocument/2006/relationships/hyperlink" Target="http://www.world-exchanges.org/statistics/annual-query-too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data.worldbank.org/country/malaysia" TargetMode="External"/><Relationship Id="rId2" Type="http://schemas.openxmlformats.org/officeDocument/2006/relationships/styles" Target="styles.xml"/><Relationship Id="rId16" Type="http://schemas.openxmlformats.org/officeDocument/2006/relationships/hyperlink" Target="http://www.nber.org/chapters/c663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bursamalaysia.com/market/securities/equities/prices/"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gableh83@gmail.com" TargetMode="External"/><Relationship Id="rId14" Type="http://schemas.openxmlformats.org/officeDocument/2006/relationships/hyperlink" Target="http://www.bnm.gov.my/index.php?ch=en_publication_catalogue&amp;pg=en_publication_msb&amp;mth=1&amp;yr=2013&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FD1D-B9C4-463F-8F6B-24A0E597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2</cp:revision>
  <dcterms:created xsi:type="dcterms:W3CDTF">2016-09-13T01:40:00Z</dcterms:created>
  <dcterms:modified xsi:type="dcterms:W3CDTF">2016-09-13T01:40:00Z</dcterms:modified>
</cp:coreProperties>
</file>