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7AC23" w14:textId="113B7B72" w:rsidR="00414AD6" w:rsidRDefault="007776D6" w:rsidP="00414AD6">
      <w:pPr>
        <w:pStyle w:val="a6"/>
        <w:spacing w:line="240" w:lineRule="auto"/>
        <w:rPr>
          <w:rFonts w:ascii="Times New Roman" w:hAnsi="Times New Roman"/>
          <w:color w:val="000000"/>
          <w:sz w:val="36"/>
          <w:szCs w:val="36"/>
          <w:lang w:val="bg-BG"/>
        </w:rPr>
      </w:pPr>
      <w:r>
        <w:rPr>
          <w:rFonts w:ascii="Times New Roman" w:hAnsi="Times New Roman"/>
          <w:color w:val="000000"/>
          <w:sz w:val="36"/>
          <w:szCs w:val="36"/>
          <w:lang w:val="bg-BG"/>
        </w:rPr>
        <w:t xml:space="preserve"> </w:t>
      </w:r>
      <w:bookmarkStart w:id="0" w:name="OLE_LINK5"/>
      <w:r>
        <w:rPr>
          <w:rFonts w:ascii="Times New Roman" w:hAnsi="Times New Roman"/>
          <w:color w:val="000000"/>
          <w:sz w:val="36"/>
          <w:szCs w:val="36"/>
          <w:lang w:val="bg-BG"/>
        </w:rPr>
        <w:t xml:space="preserve"> </w:t>
      </w:r>
      <w:r w:rsidR="00F35BB1" w:rsidRPr="00F97476">
        <w:rPr>
          <w:rFonts w:ascii="Times New Roman" w:hAnsi="Times New Roman" w:hint="eastAsia"/>
          <w:color w:val="000000"/>
          <w:sz w:val="36"/>
          <w:szCs w:val="36"/>
          <w:lang w:val="bg-BG"/>
        </w:rPr>
        <w:t>A</w:t>
      </w:r>
      <w:r w:rsidR="00414AD6">
        <w:rPr>
          <w:rFonts w:ascii="Times New Roman" w:hAnsi="Times New Roman"/>
          <w:color w:val="000000"/>
          <w:sz w:val="36"/>
          <w:szCs w:val="36"/>
          <w:lang w:val="bg-BG"/>
        </w:rPr>
        <w:t>n</w:t>
      </w:r>
      <w:r w:rsidR="00F35BB1" w:rsidRPr="00F97476">
        <w:rPr>
          <w:rFonts w:ascii="Times New Roman" w:hAnsi="Times New Roman"/>
          <w:color w:val="000000"/>
          <w:sz w:val="36"/>
          <w:szCs w:val="36"/>
          <w:lang w:val="bg-BG"/>
        </w:rPr>
        <w:t xml:space="preserve"> </w:t>
      </w:r>
      <w:r w:rsidR="005B5050">
        <w:rPr>
          <w:rFonts w:ascii="Times New Roman" w:hAnsi="Times New Roman"/>
          <w:color w:val="000000"/>
          <w:sz w:val="36"/>
          <w:szCs w:val="36"/>
          <w:lang w:val="bg-BG"/>
        </w:rPr>
        <w:t>Heterogeneity</w:t>
      </w:r>
      <w:r w:rsidR="00F35BB1" w:rsidRPr="00F97476">
        <w:rPr>
          <w:rFonts w:ascii="Times New Roman" w:hAnsi="Times New Roman"/>
          <w:color w:val="000000"/>
          <w:sz w:val="36"/>
          <w:szCs w:val="36"/>
          <w:lang w:val="bg-BG"/>
        </w:rPr>
        <w:t xml:space="preserve"> </w:t>
      </w:r>
      <w:r w:rsidR="003337BB">
        <w:rPr>
          <w:rFonts w:ascii="Times New Roman" w:hAnsi="Times New Roman"/>
          <w:color w:val="000000"/>
          <w:sz w:val="36"/>
          <w:szCs w:val="36"/>
          <w:lang w:val="bg-BG"/>
        </w:rPr>
        <w:t xml:space="preserve">Analysis </w:t>
      </w:r>
      <w:r w:rsidR="005B5050">
        <w:rPr>
          <w:rFonts w:ascii="Times New Roman" w:hAnsi="Times New Roman"/>
          <w:color w:val="000000"/>
          <w:sz w:val="36"/>
          <w:szCs w:val="36"/>
          <w:lang w:val="bg-BG"/>
        </w:rPr>
        <w:t>on</w:t>
      </w:r>
      <w:r w:rsidR="00CE089F">
        <w:rPr>
          <w:rFonts w:ascii="Times New Roman" w:hAnsi="Times New Roman"/>
          <w:color w:val="000000"/>
          <w:sz w:val="36"/>
          <w:szCs w:val="36"/>
          <w:lang w:val="bg-BG"/>
        </w:rPr>
        <w:t xml:space="preserve"> </w:t>
      </w:r>
      <w:r w:rsidR="003337BB">
        <w:rPr>
          <w:rFonts w:ascii="Times New Roman" w:hAnsi="Times New Roman"/>
          <w:color w:val="000000"/>
          <w:sz w:val="36"/>
          <w:szCs w:val="36"/>
          <w:lang w:val="bg-BG"/>
        </w:rPr>
        <w:t>SPV</w:t>
      </w:r>
      <w:r w:rsidR="003337BB">
        <w:rPr>
          <w:rFonts w:ascii="Times New Roman" w:hAnsi="Times New Roman"/>
          <w:color w:val="000000"/>
          <w:sz w:val="36"/>
          <w:szCs w:val="36"/>
          <w:lang w:val="bg-BG"/>
        </w:rPr>
        <w:t xml:space="preserve"> </w:t>
      </w:r>
      <w:r w:rsidR="003337BB">
        <w:rPr>
          <w:rFonts w:ascii="Times New Roman" w:hAnsi="Times New Roman"/>
          <w:color w:val="000000"/>
          <w:sz w:val="36"/>
          <w:szCs w:val="36"/>
          <w:lang w:val="bg-BG"/>
        </w:rPr>
        <w:t>Investment</w:t>
      </w:r>
      <w:r w:rsidR="003337BB">
        <w:rPr>
          <w:rFonts w:ascii="Times New Roman" w:hAnsi="Times New Roman"/>
          <w:color w:val="000000"/>
          <w:sz w:val="36"/>
          <w:szCs w:val="36"/>
          <w:lang w:val="bg-BG"/>
        </w:rPr>
        <w:t xml:space="preserve"> of </w:t>
      </w:r>
      <w:r w:rsidR="00305361">
        <w:rPr>
          <w:rFonts w:ascii="Times New Roman" w:hAnsi="Times New Roman"/>
          <w:color w:val="000000"/>
          <w:sz w:val="36"/>
          <w:szCs w:val="36"/>
          <w:lang w:val="bg-BG"/>
        </w:rPr>
        <w:t xml:space="preserve">Chinese Banks </w:t>
      </w:r>
    </w:p>
    <w:bookmarkEnd w:id="0"/>
    <w:p w14:paraId="4E0FC97D" w14:textId="77777777" w:rsidR="00414AD6" w:rsidRDefault="00414AD6" w:rsidP="00414AD6">
      <w:pPr>
        <w:pStyle w:val="a6"/>
        <w:spacing w:line="240" w:lineRule="auto"/>
        <w:rPr>
          <w:rFonts w:ascii="Times New Roman" w:hAnsi="Times New Roman"/>
          <w:color w:val="000000"/>
          <w:sz w:val="36"/>
          <w:szCs w:val="36"/>
          <w:lang w:val="bg-BG"/>
        </w:rPr>
      </w:pPr>
    </w:p>
    <w:p w14:paraId="4AC24855" w14:textId="358DB946" w:rsidR="00E04EBA" w:rsidRPr="00F97476" w:rsidRDefault="00E04EBA" w:rsidP="00414AD6">
      <w:pPr>
        <w:pStyle w:val="a6"/>
        <w:spacing w:line="240" w:lineRule="auto"/>
        <w:rPr>
          <w:rFonts w:ascii="Times New Roman" w:hAnsi="Times New Roman"/>
          <w:color w:val="000000"/>
          <w:sz w:val="36"/>
          <w:szCs w:val="36"/>
          <w:lang w:val="bg-BG"/>
        </w:rPr>
      </w:pPr>
    </w:p>
    <w:p w14:paraId="1A5DD26D" w14:textId="77777777" w:rsidR="00F97476" w:rsidRPr="00327AAA" w:rsidRDefault="00F97476" w:rsidP="00F35BB1">
      <w:pPr>
        <w:jc w:val="center"/>
        <w:rPr>
          <w:rFonts w:ascii="Times New Roman" w:hAnsi="Times New Roman" w:cs="Times New Roman"/>
          <w:b/>
          <w:color w:val="000000"/>
          <w:kern w:val="0"/>
          <w:sz w:val="24"/>
          <w:szCs w:val="24"/>
        </w:rPr>
      </w:pPr>
    </w:p>
    <w:p w14:paraId="1C5E6881" w14:textId="4F900374" w:rsidR="00F35BB1" w:rsidRDefault="005B5050" w:rsidP="00F35BB1">
      <w:pPr>
        <w:jc w:val="center"/>
        <w:rPr>
          <w:rFonts w:ascii="Times New Roman" w:eastAsia="PMingLiU" w:hAnsi="Times New Roman" w:cs="Times New Roman"/>
          <w:b/>
          <w:color w:val="000000"/>
          <w:kern w:val="0"/>
          <w:sz w:val="24"/>
          <w:szCs w:val="24"/>
          <w:lang w:eastAsia="zh-TW"/>
        </w:rPr>
      </w:pPr>
      <w:r>
        <w:rPr>
          <w:rFonts w:ascii="Times New Roman" w:eastAsia="PMingLiU" w:hAnsi="Times New Roman" w:cs="Times New Roman"/>
          <w:b/>
          <w:color w:val="000000"/>
          <w:kern w:val="0"/>
          <w:sz w:val="24"/>
          <w:szCs w:val="24"/>
          <w:lang w:eastAsia="zh-TW"/>
        </w:rPr>
        <w:t>Hui</w:t>
      </w:r>
      <w:r w:rsidR="00F35BB1" w:rsidRPr="00F97476">
        <w:rPr>
          <w:rFonts w:ascii="Times New Roman" w:eastAsia="PMingLiU" w:hAnsi="Times New Roman" w:cs="Times New Roman"/>
          <w:b/>
          <w:color w:val="000000"/>
          <w:kern w:val="0"/>
          <w:sz w:val="24"/>
          <w:szCs w:val="24"/>
          <w:lang w:eastAsia="zh-TW"/>
        </w:rPr>
        <w:t xml:space="preserve"> </w:t>
      </w:r>
      <w:r>
        <w:rPr>
          <w:rFonts w:ascii="Times New Roman" w:eastAsia="PMingLiU" w:hAnsi="Times New Roman" w:cs="Times New Roman"/>
          <w:b/>
          <w:color w:val="000000"/>
          <w:kern w:val="0"/>
          <w:sz w:val="24"/>
          <w:szCs w:val="24"/>
          <w:lang w:eastAsia="zh-TW"/>
        </w:rPr>
        <w:t>DENG</w:t>
      </w:r>
      <w:r w:rsidR="00F97476">
        <w:rPr>
          <w:rStyle w:val="a5"/>
          <w:rFonts w:ascii="Times New Roman" w:eastAsia="PMingLiU" w:hAnsi="Times New Roman" w:cs="Times New Roman"/>
          <w:b/>
          <w:color w:val="000000"/>
          <w:kern w:val="0"/>
          <w:sz w:val="24"/>
          <w:szCs w:val="24"/>
          <w:lang w:eastAsia="zh-TW"/>
        </w:rPr>
        <w:footnoteReference w:id="1"/>
      </w:r>
      <w:r w:rsidR="003061BC">
        <w:rPr>
          <w:rFonts w:ascii="Times New Roman" w:eastAsia="PMingLiU" w:hAnsi="Times New Roman" w:cs="Times New Roman"/>
          <w:b/>
          <w:color w:val="000000"/>
          <w:kern w:val="0"/>
          <w:sz w:val="24"/>
          <w:szCs w:val="24"/>
          <w:lang w:eastAsia="zh-TW"/>
        </w:rPr>
        <w:t>, Yu LU</w:t>
      </w:r>
      <w:r w:rsidR="003061BC">
        <w:rPr>
          <w:rStyle w:val="a5"/>
          <w:rFonts w:ascii="Times New Roman" w:eastAsia="PMingLiU" w:hAnsi="Times New Roman" w:cs="Times New Roman"/>
          <w:b/>
          <w:color w:val="000000"/>
          <w:kern w:val="0"/>
          <w:sz w:val="24"/>
          <w:szCs w:val="24"/>
          <w:lang w:eastAsia="zh-TW"/>
        </w:rPr>
        <w:footnoteReference w:id="2"/>
      </w:r>
    </w:p>
    <w:p w14:paraId="6CDBEC96" w14:textId="77777777" w:rsidR="00F97476" w:rsidRDefault="00F97476" w:rsidP="00F35BB1">
      <w:pPr>
        <w:jc w:val="center"/>
        <w:rPr>
          <w:rFonts w:ascii="Times New Roman" w:eastAsia="PMingLiU" w:hAnsi="Times New Roman" w:cs="Times New Roman"/>
          <w:b/>
          <w:color w:val="000000"/>
          <w:kern w:val="0"/>
          <w:sz w:val="24"/>
          <w:szCs w:val="24"/>
          <w:lang w:eastAsia="zh-TW"/>
        </w:rPr>
      </w:pPr>
    </w:p>
    <w:p w14:paraId="4C101A85" w14:textId="77777777" w:rsidR="00F97476" w:rsidRDefault="00F97476" w:rsidP="00F35BB1">
      <w:pPr>
        <w:jc w:val="center"/>
        <w:rPr>
          <w:rFonts w:ascii="Times New Roman" w:eastAsia="PMingLiU" w:hAnsi="Times New Roman" w:cs="Times New Roman"/>
          <w:b/>
          <w:color w:val="000000"/>
          <w:kern w:val="0"/>
          <w:sz w:val="24"/>
          <w:szCs w:val="24"/>
          <w:lang w:eastAsia="zh-TW"/>
        </w:rPr>
      </w:pPr>
    </w:p>
    <w:p w14:paraId="20D64D0A" w14:textId="77777777" w:rsidR="00F97476" w:rsidRPr="00A76F46" w:rsidRDefault="00F97476" w:rsidP="006F6633">
      <w:pPr>
        <w:widowControl/>
        <w:autoSpaceDE w:val="0"/>
        <w:autoSpaceDN w:val="0"/>
        <w:adjustRightInd w:val="0"/>
        <w:jc w:val="center"/>
        <w:textAlignment w:val="bottom"/>
        <w:rPr>
          <w:rFonts w:ascii="Times New Roman" w:eastAsia="PMingLiU" w:hAnsi="Times New Roman" w:cs="Times New Roman"/>
          <w:b/>
          <w:color w:val="000000"/>
          <w:kern w:val="0"/>
          <w:sz w:val="26"/>
          <w:szCs w:val="26"/>
          <w:lang w:eastAsia="zh-TW"/>
        </w:rPr>
      </w:pPr>
      <w:r w:rsidRPr="00A76F46">
        <w:rPr>
          <w:rFonts w:ascii="Times New Roman" w:eastAsia="PMingLiU" w:hAnsi="Times New Roman" w:cs="Times New Roman" w:hint="eastAsia"/>
          <w:b/>
          <w:color w:val="000000"/>
          <w:kern w:val="0"/>
          <w:sz w:val="26"/>
          <w:szCs w:val="26"/>
          <w:lang w:eastAsia="zh-TW"/>
        </w:rPr>
        <w:t>A</w:t>
      </w:r>
      <w:r w:rsidRPr="00A76F46">
        <w:rPr>
          <w:rFonts w:ascii="Times New Roman" w:eastAsia="PMingLiU" w:hAnsi="Times New Roman" w:cs="Times New Roman"/>
          <w:b/>
          <w:color w:val="000000"/>
          <w:kern w:val="0"/>
          <w:sz w:val="26"/>
          <w:szCs w:val="26"/>
          <w:lang w:eastAsia="zh-TW"/>
        </w:rPr>
        <w:t>bstract</w:t>
      </w:r>
    </w:p>
    <w:p w14:paraId="5856419D" w14:textId="77777777" w:rsidR="00A76F46" w:rsidRDefault="00A76F46" w:rsidP="00F35BB1">
      <w:pPr>
        <w:jc w:val="center"/>
        <w:rPr>
          <w:rFonts w:ascii="Times New Roman" w:hAnsi="Times New Roman" w:cs="Times New Roman"/>
          <w:b/>
          <w:color w:val="000000"/>
          <w:kern w:val="0"/>
          <w:sz w:val="24"/>
          <w:szCs w:val="24"/>
        </w:rPr>
      </w:pPr>
    </w:p>
    <w:p w14:paraId="001FFABB" w14:textId="12E6F416" w:rsidR="00A76F46" w:rsidRPr="008208EF" w:rsidRDefault="00440DBA" w:rsidP="00A640A1">
      <w:pPr>
        <w:rPr>
          <w:rFonts w:ascii="Times New Roman" w:hAnsi="Times New Roman" w:cs="Times New Roman"/>
          <w:bCs/>
          <w:color w:val="000000"/>
          <w:kern w:val="0"/>
          <w:sz w:val="24"/>
          <w:szCs w:val="24"/>
        </w:rPr>
      </w:pPr>
      <w:r>
        <w:rPr>
          <w:rFonts w:ascii="Times New Roman" w:hAnsi="Times New Roman" w:cs="Times New Roman"/>
          <w:bCs/>
          <w:color w:val="000000"/>
          <w:kern w:val="0"/>
          <w:sz w:val="24"/>
          <w:szCs w:val="24"/>
        </w:rPr>
        <w:t>In t</w:t>
      </w:r>
      <w:r w:rsidR="008208EF" w:rsidRPr="008208EF">
        <w:rPr>
          <w:rFonts w:ascii="Times New Roman" w:hAnsi="Times New Roman" w:cs="Times New Roman"/>
          <w:bCs/>
          <w:color w:val="000000"/>
          <w:kern w:val="0"/>
          <w:sz w:val="24"/>
          <w:szCs w:val="24"/>
        </w:rPr>
        <w:t>his paper</w:t>
      </w:r>
      <w:r>
        <w:rPr>
          <w:rFonts w:ascii="Times New Roman" w:hAnsi="Times New Roman" w:cs="Times New Roman"/>
          <w:bCs/>
          <w:color w:val="000000"/>
          <w:kern w:val="0"/>
          <w:sz w:val="24"/>
          <w:szCs w:val="24"/>
        </w:rPr>
        <w:t xml:space="preserve">, we </w:t>
      </w:r>
      <w:r w:rsidR="00B953DA">
        <w:rPr>
          <w:rFonts w:ascii="Times New Roman" w:hAnsi="Times New Roman" w:cs="Times New Roman"/>
          <w:bCs/>
          <w:color w:val="000000"/>
          <w:kern w:val="0"/>
          <w:sz w:val="24"/>
          <w:szCs w:val="24"/>
        </w:rPr>
        <w:t xml:space="preserve">study </w:t>
      </w:r>
      <w:r w:rsidR="006536C0">
        <w:rPr>
          <w:rFonts w:ascii="Times New Roman" w:hAnsi="Times New Roman" w:cs="Times New Roman"/>
          <w:bCs/>
          <w:color w:val="000000"/>
          <w:kern w:val="0"/>
          <w:sz w:val="24"/>
          <w:szCs w:val="24"/>
        </w:rPr>
        <w:t>different</w:t>
      </w:r>
      <w:r w:rsidR="00B953DA">
        <w:rPr>
          <w:rFonts w:ascii="Times New Roman" w:hAnsi="Times New Roman" w:cs="Times New Roman"/>
          <w:bCs/>
          <w:color w:val="000000"/>
          <w:kern w:val="0"/>
          <w:sz w:val="24"/>
          <w:szCs w:val="24"/>
        </w:rPr>
        <w:t xml:space="preserve"> </w:t>
      </w:r>
      <w:r w:rsidR="003337BB">
        <w:rPr>
          <w:rFonts w:ascii="Times New Roman" w:hAnsi="Times New Roman" w:cs="Times New Roman"/>
          <w:bCs/>
          <w:color w:val="000000"/>
          <w:kern w:val="0"/>
          <w:sz w:val="24"/>
          <w:szCs w:val="24"/>
        </w:rPr>
        <w:t>impact</w:t>
      </w:r>
      <w:r w:rsidR="002F1D63">
        <w:rPr>
          <w:rFonts w:ascii="Times New Roman" w:hAnsi="Times New Roman" w:cs="Times New Roman"/>
          <w:bCs/>
          <w:color w:val="000000"/>
          <w:kern w:val="0"/>
          <w:sz w:val="24"/>
          <w:szCs w:val="24"/>
        </w:rPr>
        <w:t>s</w:t>
      </w:r>
      <w:r w:rsidR="00B953DA">
        <w:rPr>
          <w:rFonts w:ascii="Times New Roman" w:hAnsi="Times New Roman" w:cs="Times New Roman"/>
          <w:bCs/>
          <w:color w:val="000000"/>
          <w:kern w:val="0"/>
          <w:sz w:val="24"/>
          <w:szCs w:val="24"/>
        </w:rPr>
        <w:t xml:space="preserve"> on </w:t>
      </w:r>
      <w:r w:rsidR="006536C0">
        <w:rPr>
          <w:rFonts w:ascii="Times New Roman" w:hAnsi="Times New Roman" w:cs="Times New Roman"/>
          <w:bCs/>
          <w:color w:val="000000"/>
          <w:kern w:val="0"/>
          <w:sz w:val="24"/>
          <w:szCs w:val="24"/>
        </w:rPr>
        <w:t>Chinese banks’</w:t>
      </w:r>
      <w:r w:rsidR="00B953DA">
        <w:rPr>
          <w:rFonts w:ascii="Times New Roman" w:hAnsi="Times New Roman" w:cs="Times New Roman"/>
          <w:bCs/>
          <w:color w:val="000000"/>
          <w:kern w:val="0"/>
          <w:sz w:val="24"/>
          <w:szCs w:val="24"/>
        </w:rPr>
        <w:t xml:space="preserve"> SPV (Special Purpose Vehicle)</w:t>
      </w:r>
      <w:r>
        <w:rPr>
          <w:rFonts w:ascii="Times New Roman" w:hAnsi="Times New Roman" w:cs="Times New Roman"/>
          <w:bCs/>
          <w:color w:val="000000"/>
          <w:kern w:val="0"/>
          <w:sz w:val="24"/>
          <w:szCs w:val="24"/>
        </w:rPr>
        <w:t xml:space="preserve"> </w:t>
      </w:r>
      <w:r w:rsidR="00B953DA">
        <w:rPr>
          <w:rFonts w:ascii="Times New Roman" w:hAnsi="Times New Roman" w:cs="Times New Roman"/>
          <w:bCs/>
          <w:color w:val="000000"/>
          <w:kern w:val="0"/>
          <w:sz w:val="24"/>
          <w:szCs w:val="24"/>
        </w:rPr>
        <w:t xml:space="preserve">investment </w:t>
      </w:r>
      <w:r w:rsidR="00EC55FC">
        <w:rPr>
          <w:rFonts w:ascii="Times New Roman" w:hAnsi="Times New Roman" w:cs="Times New Roman"/>
          <w:bCs/>
          <w:color w:val="000000"/>
          <w:kern w:val="0"/>
          <w:sz w:val="24"/>
          <w:szCs w:val="24"/>
        </w:rPr>
        <w:t>of</w:t>
      </w:r>
      <w:r w:rsidR="00B953DA">
        <w:rPr>
          <w:rFonts w:ascii="Times New Roman" w:hAnsi="Times New Roman" w:cs="Times New Roman"/>
          <w:bCs/>
          <w:color w:val="000000"/>
          <w:kern w:val="0"/>
          <w:sz w:val="24"/>
          <w:szCs w:val="24"/>
        </w:rPr>
        <w:t xml:space="preserve"> different </w:t>
      </w:r>
      <w:r w:rsidR="00EC45E7">
        <w:rPr>
          <w:rFonts w:ascii="Times New Roman" w:hAnsi="Times New Roman" w:cs="Times New Roman"/>
          <w:bCs/>
          <w:color w:val="000000"/>
          <w:kern w:val="0"/>
          <w:sz w:val="24"/>
          <w:szCs w:val="24"/>
        </w:rPr>
        <w:t xml:space="preserve">impact </w:t>
      </w:r>
      <w:r w:rsidR="00B953DA">
        <w:rPr>
          <w:rFonts w:ascii="Times New Roman" w:hAnsi="Times New Roman" w:cs="Times New Roman"/>
          <w:bCs/>
          <w:color w:val="000000"/>
          <w:kern w:val="0"/>
          <w:sz w:val="24"/>
          <w:szCs w:val="24"/>
        </w:rPr>
        <w:t xml:space="preserve">factors. We employ GMM </w:t>
      </w:r>
      <w:r w:rsidR="00E337CA">
        <w:rPr>
          <w:rFonts w:ascii="Times New Roman" w:hAnsi="Times New Roman" w:cs="Times New Roman"/>
          <w:bCs/>
          <w:color w:val="000000"/>
          <w:kern w:val="0"/>
          <w:sz w:val="24"/>
          <w:szCs w:val="24"/>
        </w:rPr>
        <w:t>method</w:t>
      </w:r>
      <w:r w:rsidR="00B953DA">
        <w:rPr>
          <w:rFonts w:ascii="Times New Roman" w:hAnsi="Times New Roman" w:cs="Times New Roman"/>
          <w:bCs/>
          <w:color w:val="000000"/>
          <w:kern w:val="0"/>
          <w:sz w:val="24"/>
          <w:szCs w:val="24"/>
        </w:rPr>
        <w:t xml:space="preserve"> to </w:t>
      </w:r>
      <w:r w:rsidR="00760CC1">
        <w:rPr>
          <w:rFonts w:ascii="Times New Roman" w:hAnsi="Times New Roman" w:cs="Times New Roman"/>
          <w:bCs/>
          <w:color w:val="000000"/>
          <w:kern w:val="0"/>
          <w:sz w:val="24"/>
          <w:szCs w:val="24"/>
        </w:rPr>
        <w:t>estimate different impact</w:t>
      </w:r>
      <w:r w:rsidR="001D194F">
        <w:rPr>
          <w:rFonts w:ascii="Times New Roman" w:hAnsi="Times New Roman" w:cs="Times New Roman"/>
          <w:bCs/>
          <w:color w:val="000000"/>
          <w:kern w:val="0"/>
          <w:sz w:val="24"/>
          <w:szCs w:val="24"/>
        </w:rPr>
        <w:t>s of above factors</w:t>
      </w:r>
      <w:r w:rsidR="00760CC1">
        <w:rPr>
          <w:rFonts w:ascii="Times New Roman" w:hAnsi="Times New Roman" w:cs="Times New Roman"/>
          <w:bCs/>
          <w:color w:val="000000"/>
          <w:kern w:val="0"/>
          <w:sz w:val="24"/>
          <w:szCs w:val="24"/>
        </w:rPr>
        <w:t xml:space="preserve"> </w:t>
      </w:r>
      <w:r w:rsidR="00B953DA">
        <w:rPr>
          <w:rFonts w:ascii="Times New Roman" w:hAnsi="Times New Roman" w:cs="Times New Roman"/>
          <w:bCs/>
          <w:color w:val="000000"/>
          <w:kern w:val="0"/>
          <w:sz w:val="24"/>
          <w:szCs w:val="24"/>
        </w:rPr>
        <w:t xml:space="preserve">by making use of </w:t>
      </w:r>
      <w:r w:rsidR="00760CC1">
        <w:rPr>
          <w:rFonts w:ascii="Times New Roman" w:hAnsi="Times New Roman" w:cs="Times New Roman"/>
          <w:bCs/>
          <w:color w:val="000000"/>
          <w:kern w:val="0"/>
          <w:sz w:val="24"/>
          <w:szCs w:val="24"/>
        </w:rPr>
        <w:t xml:space="preserve">a panel data </w:t>
      </w:r>
      <w:r w:rsidR="001D194F">
        <w:rPr>
          <w:rFonts w:ascii="Times New Roman" w:hAnsi="Times New Roman" w:cs="Times New Roman"/>
          <w:bCs/>
          <w:color w:val="000000"/>
          <w:kern w:val="0"/>
          <w:sz w:val="24"/>
          <w:szCs w:val="24"/>
        </w:rPr>
        <w:t xml:space="preserve">of </w:t>
      </w:r>
      <w:r w:rsidR="00760CC1">
        <w:rPr>
          <w:rFonts w:ascii="Times New Roman" w:hAnsi="Times New Roman" w:cs="Times New Roman"/>
          <w:bCs/>
          <w:color w:val="000000"/>
          <w:kern w:val="0"/>
          <w:sz w:val="24"/>
          <w:szCs w:val="24"/>
        </w:rPr>
        <w:t>113 Chinese banks</w:t>
      </w:r>
      <w:r w:rsidR="00AF124C">
        <w:rPr>
          <w:rFonts w:ascii="Times New Roman" w:hAnsi="Times New Roman" w:cs="Times New Roman"/>
          <w:bCs/>
          <w:color w:val="000000"/>
          <w:kern w:val="0"/>
          <w:sz w:val="24"/>
          <w:szCs w:val="24"/>
        </w:rPr>
        <w:t>’</w:t>
      </w:r>
      <w:r w:rsidR="006536C0">
        <w:rPr>
          <w:rFonts w:ascii="Times New Roman" w:hAnsi="Times New Roman" w:cs="Times New Roman"/>
          <w:bCs/>
          <w:color w:val="000000"/>
          <w:kern w:val="0"/>
          <w:sz w:val="24"/>
          <w:szCs w:val="24"/>
        </w:rPr>
        <w:t xml:space="preserve"> SPV investment</w:t>
      </w:r>
      <w:r w:rsidR="00AF124C">
        <w:rPr>
          <w:rFonts w:ascii="Times New Roman" w:hAnsi="Times New Roman" w:cs="Times New Roman"/>
          <w:bCs/>
          <w:color w:val="000000"/>
          <w:kern w:val="0"/>
          <w:sz w:val="24"/>
          <w:szCs w:val="24"/>
        </w:rPr>
        <w:t xml:space="preserve"> in 7 years</w:t>
      </w:r>
      <w:r w:rsidR="002F1D63">
        <w:rPr>
          <w:rFonts w:ascii="Times New Roman" w:hAnsi="Times New Roman" w:cs="Times New Roman"/>
          <w:bCs/>
          <w:color w:val="000000"/>
          <w:kern w:val="0"/>
          <w:sz w:val="24"/>
          <w:szCs w:val="24"/>
        </w:rPr>
        <w:t xml:space="preserve">. Our sample </w:t>
      </w:r>
      <w:r w:rsidR="00305361">
        <w:rPr>
          <w:rFonts w:ascii="Times New Roman" w:hAnsi="Times New Roman" w:cs="Times New Roman" w:hint="eastAsia"/>
          <w:bCs/>
          <w:color w:val="000000"/>
          <w:kern w:val="0"/>
          <w:sz w:val="24"/>
          <w:szCs w:val="24"/>
        </w:rPr>
        <w:t>consists</w:t>
      </w:r>
      <w:r w:rsidR="00305361">
        <w:rPr>
          <w:rFonts w:ascii="Times New Roman" w:hAnsi="Times New Roman" w:cs="Times New Roman"/>
          <w:bCs/>
          <w:color w:val="000000"/>
          <w:kern w:val="0"/>
          <w:sz w:val="24"/>
          <w:szCs w:val="24"/>
        </w:rPr>
        <w:t xml:space="preserve"> of</w:t>
      </w:r>
      <w:r w:rsidR="002F1D63">
        <w:rPr>
          <w:rFonts w:ascii="Times New Roman" w:hAnsi="Times New Roman" w:cs="Times New Roman"/>
          <w:bCs/>
          <w:color w:val="000000"/>
          <w:kern w:val="0"/>
          <w:sz w:val="24"/>
          <w:szCs w:val="24"/>
        </w:rPr>
        <w:t xml:space="preserve"> </w:t>
      </w:r>
      <w:r w:rsidR="006A0029">
        <w:rPr>
          <w:rFonts w:ascii="Times New Roman" w:hAnsi="Times New Roman" w:cs="Times New Roman"/>
          <w:bCs/>
          <w:color w:val="000000"/>
          <w:kern w:val="0"/>
          <w:sz w:val="24"/>
          <w:szCs w:val="24"/>
        </w:rPr>
        <w:t xml:space="preserve">5 </w:t>
      </w:r>
      <w:r w:rsidR="001D194F">
        <w:rPr>
          <w:rFonts w:ascii="Times New Roman" w:hAnsi="Times New Roman" w:cs="Times New Roman"/>
          <w:bCs/>
          <w:color w:val="000000"/>
          <w:kern w:val="0"/>
          <w:sz w:val="24"/>
          <w:szCs w:val="24"/>
        </w:rPr>
        <w:t>large</w:t>
      </w:r>
      <w:r w:rsidR="006A0029">
        <w:rPr>
          <w:rFonts w:ascii="Times New Roman" w:hAnsi="Times New Roman" w:cs="Times New Roman"/>
          <w:bCs/>
          <w:color w:val="000000"/>
          <w:kern w:val="0"/>
          <w:sz w:val="24"/>
          <w:szCs w:val="24"/>
        </w:rPr>
        <w:t xml:space="preserve"> commercial</w:t>
      </w:r>
      <w:r w:rsidR="001D194F">
        <w:rPr>
          <w:rFonts w:ascii="Times New Roman" w:hAnsi="Times New Roman" w:cs="Times New Roman"/>
          <w:bCs/>
          <w:color w:val="000000"/>
          <w:kern w:val="0"/>
          <w:sz w:val="24"/>
          <w:szCs w:val="24"/>
        </w:rPr>
        <w:t xml:space="preserve"> bank</w:t>
      </w:r>
      <w:r w:rsidR="006A0029">
        <w:rPr>
          <w:rFonts w:ascii="Times New Roman" w:hAnsi="Times New Roman" w:cs="Times New Roman"/>
          <w:bCs/>
          <w:color w:val="000000"/>
          <w:kern w:val="0"/>
          <w:sz w:val="24"/>
          <w:szCs w:val="24"/>
        </w:rPr>
        <w:t>s</w:t>
      </w:r>
      <w:r w:rsidR="00E11D11">
        <w:rPr>
          <w:rFonts w:ascii="Times New Roman" w:hAnsi="Times New Roman" w:cs="Times New Roman"/>
          <w:bCs/>
          <w:color w:val="000000"/>
          <w:kern w:val="0"/>
          <w:sz w:val="24"/>
          <w:szCs w:val="24"/>
        </w:rPr>
        <w:t xml:space="preserve"> (LCBs)</w:t>
      </w:r>
      <w:r w:rsidR="001D194F">
        <w:rPr>
          <w:rFonts w:ascii="Times New Roman" w:hAnsi="Times New Roman" w:cs="Times New Roman"/>
          <w:bCs/>
          <w:color w:val="000000"/>
          <w:kern w:val="0"/>
          <w:sz w:val="24"/>
          <w:szCs w:val="24"/>
        </w:rPr>
        <w:t xml:space="preserve">, </w:t>
      </w:r>
      <w:bookmarkStart w:id="1" w:name="_Hlk38295717"/>
      <w:r w:rsidR="006A0029">
        <w:rPr>
          <w:rFonts w:ascii="Times New Roman" w:hAnsi="Times New Roman" w:cs="Times New Roman"/>
          <w:bCs/>
          <w:color w:val="000000"/>
          <w:kern w:val="0"/>
          <w:sz w:val="24"/>
          <w:szCs w:val="24"/>
        </w:rPr>
        <w:t>8</w:t>
      </w:r>
      <w:r w:rsidR="002F1D63">
        <w:rPr>
          <w:rFonts w:ascii="Times New Roman" w:hAnsi="Times New Roman" w:cs="Times New Roman"/>
          <w:bCs/>
          <w:color w:val="000000"/>
          <w:kern w:val="0"/>
          <w:sz w:val="24"/>
          <w:szCs w:val="24"/>
        </w:rPr>
        <w:t xml:space="preserve"> </w:t>
      </w:r>
      <w:bookmarkStart w:id="2" w:name="_Hlk37360299"/>
      <w:r w:rsidR="006A0029">
        <w:rPr>
          <w:rFonts w:ascii="Times New Roman" w:hAnsi="Times New Roman" w:cs="Times New Roman"/>
          <w:bCs/>
          <w:color w:val="000000"/>
          <w:kern w:val="0"/>
          <w:sz w:val="24"/>
          <w:szCs w:val="24"/>
        </w:rPr>
        <w:t xml:space="preserve">national </w:t>
      </w:r>
      <w:r w:rsidR="001D194F">
        <w:rPr>
          <w:rFonts w:ascii="Times New Roman" w:hAnsi="Times New Roman" w:cs="Times New Roman"/>
          <w:bCs/>
          <w:color w:val="000000"/>
          <w:kern w:val="0"/>
          <w:sz w:val="24"/>
          <w:szCs w:val="24"/>
        </w:rPr>
        <w:t>joint-stock commercial bank</w:t>
      </w:r>
      <w:r w:rsidR="00BB33BB">
        <w:rPr>
          <w:rFonts w:ascii="Times New Roman" w:hAnsi="Times New Roman" w:cs="Times New Roman"/>
          <w:bCs/>
          <w:color w:val="000000"/>
          <w:kern w:val="0"/>
          <w:sz w:val="24"/>
          <w:szCs w:val="24"/>
        </w:rPr>
        <w:t>s</w:t>
      </w:r>
      <w:bookmarkEnd w:id="1"/>
      <w:bookmarkEnd w:id="2"/>
      <w:r w:rsidR="00E11D11">
        <w:rPr>
          <w:rFonts w:ascii="Times New Roman" w:hAnsi="Times New Roman" w:cs="Times New Roman"/>
          <w:bCs/>
          <w:color w:val="000000"/>
          <w:kern w:val="0"/>
          <w:sz w:val="24"/>
          <w:szCs w:val="24"/>
        </w:rPr>
        <w:t xml:space="preserve"> (NJSCBs)</w:t>
      </w:r>
      <w:r w:rsidR="001D194F">
        <w:rPr>
          <w:rFonts w:ascii="Times New Roman" w:hAnsi="Times New Roman" w:cs="Times New Roman"/>
          <w:bCs/>
          <w:color w:val="000000"/>
          <w:kern w:val="0"/>
          <w:sz w:val="24"/>
          <w:szCs w:val="24"/>
        </w:rPr>
        <w:t xml:space="preserve">, </w:t>
      </w:r>
      <w:bookmarkStart w:id="3" w:name="_Hlk37360711"/>
      <w:r w:rsidR="006A0029">
        <w:rPr>
          <w:rFonts w:ascii="Times New Roman" w:hAnsi="Times New Roman" w:cs="Times New Roman"/>
          <w:bCs/>
          <w:color w:val="000000"/>
          <w:kern w:val="0"/>
          <w:sz w:val="24"/>
          <w:szCs w:val="24"/>
        </w:rPr>
        <w:t>45</w:t>
      </w:r>
      <w:r w:rsidR="002F1D63">
        <w:rPr>
          <w:rFonts w:ascii="Times New Roman" w:hAnsi="Times New Roman" w:cs="Times New Roman"/>
          <w:bCs/>
          <w:color w:val="000000"/>
          <w:kern w:val="0"/>
          <w:sz w:val="24"/>
          <w:szCs w:val="24"/>
        </w:rPr>
        <w:t xml:space="preserve"> </w:t>
      </w:r>
      <w:r w:rsidR="006A0029">
        <w:rPr>
          <w:rFonts w:ascii="Times New Roman" w:hAnsi="Times New Roman" w:cs="Times New Roman"/>
          <w:bCs/>
          <w:color w:val="000000"/>
          <w:kern w:val="0"/>
          <w:sz w:val="24"/>
          <w:szCs w:val="24"/>
        </w:rPr>
        <w:t>city</w:t>
      </w:r>
      <w:r w:rsidR="001D194F">
        <w:rPr>
          <w:rFonts w:ascii="Times New Roman" w:hAnsi="Times New Roman" w:cs="Times New Roman"/>
          <w:bCs/>
          <w:color w:val="000000"/>
          <w:kern w:val="0"/>
          <w:sz w:val="24"/>
          <w:szCs w:val="24"/>
        </w:rPr>
        <w:t xml:space="preserve"> commercial banks </w:t>
      </w:r>
      <w:r w:rsidR="00E11D11">
        <w:rPr>
          <w:rFonts w:ascii="Times New Roman" w:hAnsi="Times New Roman" w:cs="Times New Roman"/>
          <w:bCs/>
          <w:color w:val="000000"/>
          <w:kern w:val="0"/>
          <w:sz w:val="24"/>
          <w:szCs w:val="24"/>
        </w:rPr>
        <w:t xml:space="preserve">(CCBs) </w:t>
      </w:r>
      <w:r w:rsidR="001D194F">
        <w:rPr>
          <w:rFonts w:ascii="Times New Roman" w:hAnsi="Times New Roman" w:cs="Times New Roman"/>
          <w:bCs/>
          <w:color w:val="000000"/>
          <w:kern w:val="0"/>
          <w:sz w:val="24"/>
          <w:szCs w:val="24"/>
        </w:rPr>
        <w:t>and</w:t>
      </w:r>
      <w:r w:rsidR="006A0029">
        <w:rPr>
          <w:rFonts w:ascii="Times New Roman" w:hAnsi="Times New Roman" w:cs="Times New Roman"/>
          <w:bCs/>
          <w:color w:val="000000"/>
          <w:kern w:val="0"/>
          <w:sz w:val="24"/>
          <w:szCs w:val="24"/>
        </w:rPr>
        <w:t xml:space="preserve"> 55</w:t>
      </w:r>
      <w:r w:rsidR="002F1D63">
        <w:rPr>
          <w:rFonts w:ascii="Times New Roman" w:hAnsi="Times New Roman" w:cs="Times New Roman"/>
          <w:bCs/>
          <w:color w:val="000000"/>
          <w:kern w:val="0"/>
          <w:sz w:val="24"/>
          <w:szCs w:val="24"/>
        </w:rPr>
        <w:t xml:space="preserve"> </w:t>
      </w:r>
      <w:r w:rsidR="001D194F">
        <w:rPr>
          <w:rFonts w:ascii="Times New Roman" w:hAnsi="Times New Roman" w:cs="Times New Roman"/>
          <w:bCs/>
          <w:color w:val="000000"/>
          <w:kern w:val="0"/>
          <w:sz w:val="24"/>
          <w:szCs w:val="24"/>
        </w:rPr>
        <w:t>rural commercial banks</w:t>
      </w:r>
      <w:bookmarkEnd w:id="3"/>
      <w:r w:rsidR="00E11D11">
        <w:rPr>
          <w:rFonts w:ascii="Times New Roman" w:hAnsi="Times New Roman" w:cs="Times New Roman"/>
          <w:bCs/>
          <w:color w:val="000000"/>
          <w:kern w:val="0"/>
          <w:sz w:val="24"/>
          <w:szCs w:val="24"/>
        </w:rPr>
        <w:t xml:space="preserve"> (RCBs)</w:t>
      </w:r>
      <w:r w:rsidR="001D194F">
        <w:rPr>
          <w:rFonts w:ascii="Times New Roman" w:hAnsi="Times New Roman" w:cs="Times New Roman"/>
          <w:bCs/>
          <w:color w:val="000000"/>
          <w:kern w:val="0"/>
          <w:sz w:val="24"/>
          <w:szCs w:val="24"/>
        </w:rPr>
        <w:t>.</w:t>
      </w:r>
      <w:r w:rsidR="006536C0">
        <w:rPr>
          <w:rFonts w:ascii="Times New Roman" w:hAnsi="Times New Roman" w:cs="Times New Roman"/>
          <w:bCs/>
          <w:color w:val="000000"/>
          <w:kern w:val="0"/>
          <w:sz w:val="24"/>
          <w:szCs w:val="24"/>
        </w:rPr>
        <w:t xml:space="preserve"> The heterogeneity analysis on different type of banks</w:t>
      </w:r>
      <w:r w:rsidR="002F1D63">
        <w:rPr>
          <w:rFonts w:ascii="Times New Roman" w:hAnsi="Times New Roman" w:cs="Times New Roman"/>
          <w:bCs/>
          <w:color w:val="000000"/>
          <w:kern w:val="0"/>
          <w:sz w:val="24"/>
          <w:szCs w:val="24"/>
        </w:rPr>
        <w:t xml:space="preserve"> shows</w:t>
      </w:r>
      <w:r w:rsidR="006536C0">
        <w:rPr>
          <w:rFonts w:ascii="Times New Roman" w:hAnsi="Times New Roman" w:cs="Times New Roman"/>
          <w:bCs/>
          <w:color w:val="000000"/>
          <w:kern w:val="0"/>
          <w:sz w:val="24"/>
          <w:szCs w:val="24"/>
        </w:rPr>
        <w:t xml:space="preserve"> that</w:t>
      </w:r>
      <w:r w:rsidR="00E11D11">
        <w:rPr>
          <w:rFonts w:ascii="Times New Roman" w:hAnsi="Times New Roman" w:cs="Times New Roman"/>
          <w:bCs/>
          <w:color w:val="000000"/>
          <w:kern w:val="0"/>
          <w:sz w:val="24"/>
          <w:szCs w:val="24"/>
        </w:rPr>
        <w:t xml:space="preserve">: </w:t>
      </w:r>
      <w:r w:rsidR="00DE12E7">
        <w:rPr>
          <w:rFonts w:ascii="Times New Roman" w:hAnsi="Times New Roman" w:cs="Times New Roman"/>
          <w:bCs/>
          <w:color w:val="000000"/>
          <w:kern w:val="0"/>
          <w:sz w:val="24"/>
          <w:szCs w:val="24"/>
        </w:rPr>
        <w:t xml:space="preserve">RCBs and </w:t>
      </w:r>
      <w:r w:rsidR="00B02206">
        <w:rPr>
          <w:rFonts w:ascii="Times New Roman" w:hAnsi="Times New Roman" w:cs="Times New Roman"/>
          <w:bCs/>
          <w:color w:val="000000"/>
          <w:kern w:val="0"/>
          <w:sz w:val="24"/>
          <w:szCs w:val="24"/>
        </w:rPr>
        <w:t>L</w:t>
      </w:r>
      <w:r w:rsidR="00DE12E7">
        <w:rPr>
          <w:rFonts w:ascii="Times New Roman" w:hAnsi="Times New Roman" w:cs="Times New Roman"/>
          <w:bCs/>
          <w:color w:val="000000"/>
          <w:kern w:val="0"/>
          <w:sz w:val="24"/>
          <w:szCs w:val="24"/>
        </w:rPr>
        <w:t>CBs</w:t>
      </w:r>
      <w:r w:rsidR="00DE12E7">
        <w:rPr>
          <w:rFonts w:ascii="Times New Roman" w:hAnsi="Times New Roman" w:cs="Times New Roman"/>
          <w:bCs/>
          <w:color w:val="000000"/>
          <w:kern w:val="0"/>
          <w:sz w:val="24"/>
          <w:szCs w:val="24"/>
        </w:rPr>
        <w:t xml:space="preserve"> are inclined to circumvent capital requirement by </w:t>
      </w:r>
      <w:r w:rsidR="00E11D11">
        <w:rPr>
          <w:rFonts w:ascii="Times New Roman" w:hAnsi="Times New Roman" w:cs="Times New Roman"/>
          <w:bCs/>
          <w:color w:val="000000"/>
          <w:kern w:val="0"/>
          <w:sz w:val="24"/>
          <w:szCs w:val="24"/>
        </w:rPr>
        <w:t xml:space="preserve">SPV investment </w:t>
      </w:r>
      <w:r w:rsidR="00703620">
        <w:rPr>
          <w:rFonts w:ascii="Times New Roman" w:hAnsi="Times New Roman" w:cs="Times New Roman"/>
          <w:bCs/>
          <w:color w:val="000000"/>
          <w:kern w:val="0"/>
          <w:sz w:val="24"/>
          <w:szCs w:val="24"/>
        </w:rPr>
        <w:t xml:space="preserve">but </w:t>
      </w:r>
      <w:r w:rsidR="00E11D11">
        <w:rPr>
          <w:rFonts w:ascii="Times New Roman" w:hAnsi="Times New Roman" w:cs="Times New Roman"/>
          <w:bCs/>
          <w:color w:val="000000"/>
          <w:kern w:val="0"/>
          <w:sz w:val="24"/>
          <w:szCs w:val="24"/>
        </w:rPr>
        <w:t>NJSCBs and CCBs</w:t>
      </w:r>
      <w:r w:rsidR="00703620">
        <w:rPr>
          <w:rFonts w:ascii="Times New Roman" w:hAnsi="Times New Roman" w:cs="Times New Roman"/>
          <w:bCs/>
          <w:color w:val="000000"/>
          <w:kern w:val="0"/>
          <w:sz w:val="24"/>
          <w:szCs w:val="24"/>
        </w:rPr>
        <w:t xml:space="preserve"> are not</w:t>
      </w:r>
      <w:r w:rsidR="00B633C3">
        <w:rPr>
          <w:rFonts w:ascii="Times New Roman" w:hAnsi="Times New Roman" w:cs="Times New Roman"/>
          <w:bCs/>
          <w:color w:val="000000"/>
          <w:kern w:val="0"/>
          <w:sz w:val="24"/>
          <w:szCs w:val="24"/>
        </w:rPr>
        <w:t xml:space="preserve">. </w:t>
      </w:r>
      <w:r w:rsidR="00C55830">
        <w:rPr>
          <w:rFonts w:ascii="Times New Roman" w:hAnsi="Times New Roman" w:cs="Times New Roman"/>
          <w:bCs/>
          <w:color w:val="000000"/>
          <w:kern w:val="0"/>
          <w:sz w:val="24"/>
          <w:szCs w:val="24"/>
        </w:rPr>
        <w:t>The credit risk transfer is an</w:t>
      </w:r>
      <w:r w:rsidR="00703620">
        <w:rPr>
          <w:rFonts w:ascii="Times New Roman" w:hAnsi="Times New Roman" w:cs="Times New Roman"/>
          <w:bCs/>
          <w:color w:val="000000"/>
          <w:kern w:val="0"/>
          <w:sz w:val="24"/>
          <w:szCs w:val="24"/>
        </w:rPr>
        <w:t>other</w:t>
      </w:r>
      <w:r w:rsidR="00C55830">
        <w:rPr>
          <w:rFonts w:ascii="Times New Roman" w:hAnsi="Times New Roman" w:cs="Times New Roman"/>
          <w:bCs/>
          <w:color w:val="000000"/>
          <w:kern w:val="0"/>
          <w:sz w:val="24"/>
          <w:szCs w:val="24"/>
        </w:rPr>
        <w:t xml:space="preserve"> important incentive for all types of banks to make SPV investment.</w:t>
      </w:r>
      <w:r w:rsidR="00E11D11">
        <w:rPr>
          <w:rFonts w:ascii="Times New Roman" w:hAnsi="Times New Roman" w:cs="Times New Roman"/>
          <w:bCs/>
          <w:color w:val="000000"/>
          <w:kern w:val="0"/>
          <w:sz w:val="24"/>
          <w:szCs w:val="24"/>
        </w:rPr>
        <w:t xml:space="preserve"> </w:t>
      </w:r>
      <w:r w:rsidR="004A398B">
        <w:rPr>
          <w:rFonts w:ascii="Times New Roman" w:hAnsi="Times New Roman" w:cs="Times New Roman"/>
          <w:bCs/>
          <w:color w:val="000000"/>
          <w:kern w:val="0"/>
          <w:sz w:val="24"/>
          <w:szCs w:val="24"/>
        </w:rPr>
        <w:t xml:space="preserve">NJSCBs and CCBs </w:t>
      </w:r>
      <w:r w:rsidR="00CE2294">
        <w:rPr>
          <w:rFonts w:ascii="Times New Roman" w:hAnsi="Times New Roman" w:cs="Times New Roman"/>
          <w:bCs/>
          <w:color w:val="000000"/>
          <w:kern w:val="0"/>
          <w:sz w:val="24"/>
          <w:szCs w:val="24"/>
        </w:rPr>
        <w:t xml:space="preserve">may </w:t>
      </w:r>
      <w:r w:rsidR="004A398B">
        <w:rPr>
          <w:rFonts w:ascii="Times New Roman" w:hAnsi="Times New Roman" w:cs="Times New Roman"/>
          <w:bCs/>
          <w:color w:val="000000"/>
          <w:kern w:val="0"/>
          <w:sz w:val="24"/>
          <w:szCs w:val="24"/>
        </w:rPr>
        <w:t xml:space="preserve">count on the profit by the SPV investment in the case of narrowing net interest margin while LCBs and RCBs do not care about it. </w:t>
      </w:r>
      <w:r w:rsidR="00EC45E7">
        <w:rPr>
          <w:rFonts w:ascii="Times New Roman" w:hAnsi="Times New Roman" w:cs="Times New Roman"/>
          <w:bCs/>
          <w:color w:val="000000"/>
          <w:kern w:val="0"/>
          <w:sz w:val="24"/>
          <w:szCs w:val="24"/>
        </w:rPr>
        <w:t xml:space="preserve">The deposits and interbank liabilities are the main funding resources to invest SPV for all types of banks despite that LCBs and </w:t>
      </w:r>
      <w:r w:rsidR="00EC45E7">
        <w:rPr>
          <w:rFonts w:ascii="Times New Roman" w:eastAsia="PMingLiU" w:hAnsi="Times New Roman" w:cs="Times New Roman"/>
          <w:kern w:val="0"/>
          <w:sz w:val="24"/>
          <w:szCs w:val="24"/>
          <w:lang w:eastAsia="zh-TW"/>
        </w:rPr>
        <w:t xml:space="preserve">NJSCBs also use the central bank liabilities as additional funding. The </w:t>
      </w:r>
      <w:r w:rsidR="003E65BD">
        <w:rPr>
          <w:rFonts w:ascii="Times New Roman" w:eastAsia="PMingLiU" w:hAnsi="Times New Roman" w:cs="Times New Roman"/>
          <w:kern w:val="0"/>
          <w:sz w:val="24"/>
          <w:szCs w:val="24"/>
          <w:lang w:eastAsia="zh-TW"/>
        </w:rPr>
        <w:t xml:space="preserve">impact of the </w:t>
      </w:r>
      <w:r w:rsidR="00EC45E7">
        <w:rPr>
          <w:rFonts w:ascii="Times New Roman" w:eastAsia="PMingLiU" w:hAnsi="Times New Roman" w:cs="Times New Roman"/>
          <w:kern w:val="0"/>
          <w:sz w:val="24"/>
          <w:szCs w:val="24"/>
          <w:lang w:eastAsia="zh-TW"/>
        </w:rPr>
        <w:t>limiting policy on SPV investment is weak, particularly for NJSCBs</w:t>
      </w:r>
      <w:r w:rsidR="00722559">
        <w:rPr>
          <w:rFonts w:ascii="Times New Roman" w:eastAsia="PMingLiU" w:hAnsi="Times New Roman" w:cs="Times New Roman"/>
          <w:kern w:val="0"/>
          <w:sz w:val="24"/>
          <w:szCs w:val="24"/>
          <w:lang w:eastAsia="zh-TW"/>
        </w:rPr>
        <w:t xml:space="preserve"> </w:t>
      </w:r>
      <w:r w:rsidR="004E2D2C">
        <w:rPr>
          <w:rFonts w:ascii="Times New Roman" w:eastAsia="PMingLiU" w:hAnsi="Times New Roman" w:cs="Times New Roman"/>
          <w:kern w:val="0"/>
          <w:sz w:val="24"/>
          <w:szCs w:val="24"/>
          <w:lang w:eastAsia="zh-TW"/>
        </w:rPr>
        <w:t>with</w:t>
      </w:r>
      <w:r w:rsidR="00722559">
        <w:rPr>
          <w:rFonts w:ascii="Times New Roman" w:eastAsia="PMingLiU" w:hAnsi="Times New Roman" w:cs="Times New Roman"/>
          <w:kern w:val="0"/>
          <w:sz w:val="24"/>
          <w:szCs w:val="24"/>
          <w:lang w:eastAsia="zh-TW"/>
        </w:rPr>
        <w:t xml:space="preserve"> </w:t>
      </w:r>
      <w:r w:rsidR="003E65BD">
        <w:rPr>
          <w:rFonts w:ascii="Times New Roman" w:eastAsia="PMingLiU" w:hAnsi="Times New Roman" w:cs="Times New Roman"/>
          <w:kern w:val="0"/>
          <w:sz w:val="24"/>
          <w:szCs w:val="24"/>
          <w:lang w:eastAsia="zh-TW"/>
        </w:rPr>
        <w:t>zero</w:t>
      </w:r>
      <w:r w:rsidR="004E2D2C">
        <w:rPr>
          <w:rFonts w:ascii="Times New Roman" w:eastAsia="PMingLiU" w:hAnsi="Times New Roman" w:cs="Times New Roman"/>
          <w:kern w:val="0"/>
          <w:sz w:val="24"/>
          <w:szCs w:val="24"/>
          <w:lang w:eastAsia="zh-TW"/>
        </w:rPr>
        <w:t xml:space="preserve"> effect</w:t>
      </w:r>
      <w:r w:rsidR="00EC45E7">
        <w:rPr>
          <w:rFonts w:ascii="Times New Roman" w:eastAsia="PMingLiU" w:hAnsi="Times New Roman" w:cs="Times New Roman"/>
          <w:kern w:val="0"/>
          <w:sz w:val="24"/>
          <w:szCs w:val="24"/>
          <w:lang w:eastAsia="zh-TW"/>
        </w:rPr>
        <w:t>.</w:t>
      </w:r>
    </w:p>
    <w:p w14:paraId="65E2917A" w14:textId="77777777" w:rsidR="008208EF" w:rsidRDefault="008208EF" w:rsidP="00A76F46">
      <w:pPr>
        <w:jc w:val="left"/>
        <w:rPr>
          <w:rFonts w:ascii="Times New Roman" w:hAnsi="Times New Roman" w:cs="Times New Roman"/>
          <w:b/>
          <w:color w:val="000000"/>
          <w:kern w:val="0"/>
          <w:sz w:val="24"/>
          <w:szCs w:val="24"/>
        </w:rPr>
      </w:pPr>
    </w:p>
    <w:p w14:paraId="3FF3E258" w14:textId="77777777" w:rsidR="008208EF" w:rsidRPr="008208EF" w:rsidRDefault="008208EF" w:rsidP="008208EF">
      <w:pPr>
        <w:adjustRightInd w:val="0"/>
        <w:spacing w:line="360" w:lineRule="auto"/>
        <w:ind w:left="1" w:hanging="1"/>
        <w:textAlignment w:val="baseline"/>
        <w:rPr>
          <w:rFonts w:ascii="Times New Roman" w:eastAsia="PMingLiU" w:hAnsi="Times New Roman" w:cs="Times New Roman"/>
          <w:b/>
          <w:color w:val="000000"/>
          <w:kern w:val="0"/>
          <w:sz w:val="24"/>
          <w:szCs w:val="24"/>
          <w:lang w:eastAsia="zh-TW"/>
        </w:rPr>
      </w:pPr>
      <w:r w:rsidRPr="008208EF">
        <w:rPr>
          <w:rFonts w:ascii="Times New Roman" w:eastAsia="PMingLiU" w:hAnsi="Times New Roman" w:cs="Times New Roman" w:hint="eastAsia"/>
          <w:b/>
          <w:color w:val="000000"/>
          <w:kern w:val="0"/>
          <w:sz w:val="24"/>
          <w:szCs w:val="24"/>
          <w:lang w:eastAsia="zh-TW"/>
        </w:rPr>
        <w:t>J</w:t>
      </w:r>
      <w:r w:rsidRPr="008208EF">
        <w:rPr>
          <w:rFonts w:ascii="Times New Roman" w:eastAsia="PMingLiU" w:hAnsi="Times New Roman" w:cs="Times New Roman"/>
          <w:b/>
          <w:color w:val="000000"/>
          <w:kern w:val="0"/>
          <w:sz w:val="24"/>
          <w:szCs w:val="24"/>
          <w:lang w:eastAsia="zh-TW"/>
        </w:rPr>
        <w:t>EL classification numbers:</w:t>
      </w:r>
    </w:p>
    <w:p w14:paraId="0A3F16D9" w14:textId="76B1CB40" w:rsidR="008208EF" w:rsidRDefault="008208EF" w:rsidP="008208EF">
      <w:pPr>
        <w:adjustRightInd w:val="0"/>
        <w:spacing w:line="360" w:lineRule="auto"/>
        <w:ind w:left="1" w:hanging="1"/>
        <w:textAlignment w:val="baseline"/>
        <w:rPr>
          <w:rFonts w:ascii="Times New Roman" w:eastAsia="PMingLiU" w:hAnsi="Times New Roman" w:cs="Times New Roman"/>
          <w:b/>
          <w:color w:val="000000"/>
          <w:kern w:val="0"/>
          <w:sz w:val="24"/>
          <w:szCs w:val="24"/>
          <w:lang w:eastAsia="zh-TW"/>
        </w:rPr>
      </w:pPr>
      <w:r w:rsidRPr="008208EF">
        <w:rPr>
          <w:rFonts w:ascii="Times New Roman" w:eastAsia="PMingLiU" w:hAnsi="Times New Roman" w:cs="Times New Roman" w:hint="eastAsia"/>
          <w:b/>
          <w:color w:val="000000"/>
          <w:kern w:val="0"/>
          <w:sz w:val="24"/>
          <w:szCs w:val="24"/>
          <w:lang w:eastAsia="zh-TW"/>
        </w:rPr>
        <w:t>K</w:t>
      </w:r>
      <w:r w:rsidRPr="008208EF">
        <w:rPr>
          <w:rFonts w:ascii="Times New Roman" w:eastAsia="PMingLiU" w:hAnsi="Times New Roman" w:cs="Times New Roman"/>
          <w:b/>
          <w:color w:val="000000"/>
          <w:kern w:val="0"/>
          <w:sz w:val="24"/>
          <w:szCs w:val="24"/>
          <w:lang w:eastAsia="zh-TW"/>
        </w:rPr>
        <w:t>eywords:</w:t>
      </w:r>
      <w:r w:rsidR="00D74A0F">
        <w:rPr>
          <w:rFonts w:ascii="Times New Roman" w:eastAsia="PMingLiU" w:hAnsi="Times New Roman" w:cs="Times New Roman"/>
          <w:b/>
          <w:color w:val="000000"/>
          <w:kern w:val="0"/>
          <w:sz w:val="24"/>
          <w:szCs w:val="24"/>
          <w:lang w:eastAsia="zh-TW"/>
        </w:rPr>
        <w:t xml:space="preserve"> </w:t>
      </w:r>
      <w:r w:rsidR="00305361">
        <w:rPr>
          <w:rFonts w:ascii="Times New Roman" w:eastAsia="PMingLiU" w:hAnsi="Times New Roman" w:cs="Times New Roman"/>
          <w:color w:val="000000"/>
          <w:kern w:val="0"/>
          <w:sz w:val="24"/>
          <w:szCs w:val="24"/>
          <w:lang w:eastAsia="zh-TW"/>
        </w:rPr>
        <w:t>Heterogeneity Analysis</w:t>
      </w:r>
      <w:r w:rsidR="00D74A0F" w:rsidRPr="00327AAA">
        <w:rPr>
          <w:rFonts w:ascii="Times New Roman" w:eastAsia="PMingLiU" w:hAnsi="Times New Roman" w:cs="Times New Roman"/>
          <w:color w:val="000000"/>
          <w:kern w:val="0"/>
          <w:sz w:val="24"/>
          <w:szCs w:val="24"/>
          <w:lang w:eastAsia="zh-TW"/>
        </w:rPr>
        <w:t xml:space="preserve">, </w:t>
      </w:r>
      <w:r w:rsidR="00305361">
        <w:rPr>
          <w:rFonts w:ascii="Times New Roman" w:eastAsia="PMingLiU" w:hAnsi="Times New Roman" w:cs="Times New Roman"/>
          <w:color w:val="000000"/>
          <w:kern w:val="0"/>
          <w:sz w:val="24"/>
          <w:szCs w:val="24"/>
          <w:lang w:eastAsia="zh-TW"/>
        </w:rPr>
        <w:t>Shadow Banking</w:t>
      </w:r>
      <w:r w:rsidR="00D74A0F" w:rsidRPr="00327AAA">
        <w:rPr>
          <w:rFonts w:ascii="Times New Roman" w:eastAsia="PMingLiU" w:hAnsi="Times New Roman" w:cs="Times New Roman"/>
          <w:color w:val="000000"/>
          <w:kern w:val="0"/>
          <w:sz w:val="24"/>
          <w:szCs w:val="24"/>
          <w:lang w:eastAsia="zh-TW"/>
        </w:rPr>
        <w:t xml:space="preserve">, </w:t>
      </w:r>
      <w:r w:rsidR="00305361">
        <w:rPr>
          <w:rFonts w:ascii="Times New Roman" w:eastAsia="PMingLiU" w:hAnsi="Times New Roman" w:cs="Times New Roman"/>
          <w:color w:val="000000"/>
          <w:kern w:val="0"/>
          <w:sz w:val="24"/>
          <w:szCs w:val="24"/>
          <w:lang w:eastAsia="zh-TW"/>
        </w:rPr>
        <w:t>GMM</w:t>
      </w:r>
      <w:r w:rsidR="009F5934" w:rsidRPr="00327AAA">
        <w:rPr>
          <w:rFonts w:ascii="Times New Roman" w:eastAsia="PMingLiU" w:hAnsi="Times New Roman" w:cs="Times New Roman"/>
          <w:color w:val="000000"/>
          <w:kern w:val="0"/>
          <w:sz w:val="24"/>
          <w:szCs w:val="24"/>
          <w:lang w:eastAsia="zh-TW"/>
        </w:rPr>
        <w:t xml:space="preserve">, </w:t>
      </w:r>
      <w:r w:rsidR="00305361">
        <w:rPr>
          <w:rFonts w:ascii="Times New Roman" w:eastAsia="PMingLiU" w:hAnsi="Times New Roman" w:cs="Times New Roman"/>
          <w:color w:val="000000"/>
          <w:kern w:val="0"/>
          <w:sz w:val="24"/>
          <w:szCs w:val="24"/>
          <w:lang w:eastAsia="zh-TW"/>
        </w:rPr>
        <w:t>SPV Investment</w:t>
      </w:r>
    </w:p>
    <w:p w14:paraId="315C443F" w14:textId="77777777" w:rsidR="00FC3DD1" w:rsidRDefault="00FC3DD1" w:rsidP="008208EF">
      <w:pPr>
        <w:adjustRightInd w:val="0"/>
        <w:spacing w:line="360" w:lineRule="auto"/>
        <w:ind w:left="1" w:hanging="1"/>
        <w:textAlignment w:val="baseline"/>
        <w:rPr>
          <w:rFonts w:ascii="Times New Roman" w:eastAsia="PMingLiU" w:hAnsi="Times New Roman" w:cs="Times New Roman"/>
          <w:b/>
          <w:color w:val="000000"/>
          <w:kern w:val="0"/>
          <w:sz w:val="24"/>
          <w:szCs w:val="24"/>
          <w:lang w:eastAsia="zh-TW"/>
        </w:rPr>
      </w:pPr>
    </w:p>
    <w:p w14:paraId="3BB2EE51" w14:textId="77777777" w:rsidR="00FC3DD1" w:rsidRDefault="00FC3DD1" w:rsidP="008208EF">
      <w:pPr>
        <w:adjustRightInd w:val="0"/>
        <w:spacing w:line="360" w:lineRule="auto"/>
        <w:ind w:left="1" w:hanging="1"/>
        <w:textAlignment w:val="baseline"/>
        <w:rPr>
          <w:rFonts w:ascii="Times New Roman" w:eastAsia="PMingLiU" w:hAnsi="Times New Roman" w:cs="Times New Roman"/>
          <w:b/>
          <w:color w:val="000000"/>
          <w:kern w:val="0"/>
          <w:sz w:val="24"/>
          <w:szCs w:val="24"/>
          <w:lang w:eastAsia="zh-TW"/>
        </w:rPr>
      </w:pPr>
    </w:p>
    <w:p w14:paraId="5A6D7390" w14:textId="77777777" w:rsidR="00FC3DD1" w:rsidRPr="00FC3DD1" w:rsidRDefault="00FC3DD1" w:rsidP="00FC3DD1">
      <w:pPr>
        <w:adjustRightInd w:val="0"/>
        <w:spacing w:line="360" w:lineRule="auto"/>
        <w:textAlignment w:val="baseline"/>
        <w:rPr>
          <w:rFonts w:ascii="Times New Roman" w:eastAsia="PMingLiU" w:hAnsi="Times New Roman" w:cs="Times New Roman"/>
          <w:b/>
          <w:kern w:val="0"/>
          <w:sz w:val="30"/>
          <w:szCs w:val="30"/>
          <w:lang w:eastAsia="zh-TW"/>
        </w:rPr>
      </w:pPr>
      <w:r w:rsidRPr="00FC3DD1">
        <w:rPr>
          <w:rFonts w:ascii="Times New Roman" w:eastAsia="PMingLiU" w:hAnsi="Times New Roman" w:cs="Times New Roman"/>
          <w:b/>
          <w:kern w:val="0"/>
          <w:sz w:val="30"/>
          <w:szCs w:val="30"/>
          <w:lang w:eastAsia="zh-TW"/>
        </w:rPr>
        <w:t>1</w:t>
      </w:r>
      <w:r w:rsidR="005966B4">
        <w:rPr>
          <w:rFonts w:ascii="Times New Roman" w:eastAsia="PMingLiU" w:hAnsi="Times New Roman" w:cs="Times New Roman" w:hint="eastAsia"/>
          <w:b/>
          <w:kern w:val="0"/>
          <w:sz w:val="30"/>
          <w:szCs w:val="30"/>
        </w:rPr>
        <w:t>.</w:t>
      </w:r>
      <w:r w:rsidRPr="00FC3DD1">
        <w:rPr>
          <w:rFonts w:ascii="Times New Roman" w:eastAsia="PMingLiU" w:hAnsi="Times New Roman" w:cs="Times New Roman"/>
          <w:b/>
          <w:kern w:val="0"/>
          <w:sz w:val="30"/>
          <w:szCs w:val="30"/>
          <w:lang w:eastAsia="zh-TW"/>
        </w:rPr>
        <w:t xml:space="preserve"> Introduction </w:t>
      </w:r>
    </w:p>
    <w:p w14:paraId="3540A218" w14:textId="61673B15" w:rsidR="003635AE" w:rsidRDefault="0066639D" w:rsidP="008208EF">
      <w:pPr>
        <w:adjustRightInd w:val="0"/>
        <w:spacing w:line="360" w:lineRule="auto"/>
        <w:ind w:left="1" w:hanging="1"/>
        <w:textAlignment w:val="baseline"/>
        <w:rPr>
          <w:rFonts w:ascii="Times New Roman" w:hAnsi="Times New Roman" w:cs="Times New Roman"/>
          <w:bCs/>
          <w:color w:val="000000"/>
          <w:kern w:val="0"/>
          <w:sz w:val="24"/>
          <w:szCs w:val="24"/>
        </w:rPr>
      </w:pPr>
      <w:r>
        <w:rPr>
          <w:rFonts w:ascii="Times New Roman" w:hAnsi="Times New Roman" w:cs="Times New Roman"/>
          <w:bCs/>
          <w:color w:val="000000"/>
          <w:kern w:val="0"/>
          <w:sz w:val="24"/>
          <w:szCs w:val="24"/>
        </w:rPr>
        <w:t xml:space="preserve">Special purpose vehicle (SPV) is usually set up by a sponsoring financial institution such as a commercial bank, an investment bank, a fund management company, </w:t>
      </w:r>
      <w:bookmarkStart w:id="4" w:name="OLE_LINK4"/>
      <w:r>
        <w:rPr>
          <w:rFonts w:ascii="Times New Roman" w:hAnsi="Times New Roman" w:cs="Times New Roman"/>
          <w:bCs/>
          <w:color w:val="000000"/>
          <w:kern w:val="0"/>
          <w:sz w:val="24"/>
          <w:szCs w:val="24"/>
        </w:rPr>
        <w:t>a trust company, or an insurance asset management company</w:t>
      </w:r>
      <w:bookmarkEnd w:id="4"/>
      <w:r w:rsidR="006727E3">
        <w:rPr>
          <w:rFonts w:ascii="Times New Roman" w:hAnsi="Times New Roman" w:cs="Times New Roman"/>
          <w:bCs/>
          <w:color w:val="000000"/>
          <w:kern w:val="0"/>
          <w:sz w:val="24"/>
          <w:szCs w:val="24"/>
        </w:rPr>
        <w:t>,</w:t>
      </w:r>
      <w:r>
        <w:rPr>
          <w:rFonts w:ascii="Times New Roman" w:hAnsi="Times New Roman" w:cs="Times New Roman"/>
          <w:bCs/>
          <w:color w:val="000000"/>
          <w:kern w:val="0"/>
          <w:sz w:val="24"/>
          <w:szCs w:val="24"/>
        </w:rPr>
        <w:t xml:space="preserve"> to purchase and hold financial </w:t>
      </w:r>
      <w:r>
        <w:rPr>
          <w:rFonts w:ascii="Times New Roman" w:hAnsi="Times New Roman" w:cs="Times New Roman"/>
          <w:bCs/>
          <w:color w:val="000000"/>
          <w:kern w:val="0"/>
          <w:sz w:val="24"/>
          <w:szCs w:val="24"/>
        </w:rPr>
        <w:lastRenderedPageBreak/>
        <w:t xml:space="preserve">assets from a variety of asset sellers. It </w:t>
      </w:r>
      <w:r w:rsidR="00287BA6">
        <w:rPr>
          <w:rFonts w:ascii="Times New Roman" w:hAnsi="Times New Roman" w:cs="Times New Roman"/>
          <w:bCs/>
          <w:color w:val="000000"/>
          <w:kern w:val="0"/>
          <w:sz w:val="24"/>
          <w:szCs w:val="24"/>
        </w:rPr>
        <w:t>has been gradually</w:t>
      </w:r>
      <w:r>
        <w:rPr>
          <w:rFonts w:ascii="Times New Roman" w:hAnsi="Times New Roman" w:cs="Times New Roman"/>
          <w:bCs/>
          <w:color w:val="000000"/>
          <w:kern w:val="0"/>
          <w:sz w:val="24"/>
          <w:szCs w:val="24"/>
        </w:rPr>
        <w:t xml:space="preserve"> </w:t>
      </w:r>
      <w:r w:rsidR="008D52F9">
        <w:rPr>
          <w:rFonts w:ascii="Times New Roman" w:hAnsi="Times New Roman" w:cs="Times New Roman"/>
          <w:bCs/>
          <w:color w:val="000000"/>
          <w:kern w:val="0"/>
          <w:sz w:val="24"/>
          <w:szCs w:val="24"/>
        </w:rPr>
        <w:t>the</w:t>
      </w:r>
      <w:r>
        <w:rPr>
          <w:rFonts w:ascii="Times New Roman" w:hAnsi="Times New Roman" w:cs="Times New Roman"/>
          <w:bCs/>
          <w:color w:val="000000"/>
          <w:kern w:val="0"/>
          <w:sz w:val="24"/>
          <w:szCs w:val="24"/>
        </w:rPr>
        <w:t xml:space="preserve"> most important form of shadow banking in China </w:t>
      </w:r>
      <w:r w:rsidR="00287BA6">
        <w:rPr>
          <w:rFonts w:ascii="Times New Roman" w:hAnsi="Times New Roman" w:cs="Times New Roman"/>
          <w:bCs/>
          <w:color w:val="000000"/>
          <w:kern w:val="0"/>
          <w:sz w:val="24"/>
          <w:szCs w:val="24"/>
        </w:rPr>
        <w:t>since</w:t>
      </w:r>
      <w:r>
        <w:rPr>
          <w:rFonts w:ascii="Times New Roman" w:hAnsi="Times New Roman" w:cs="Times New Roman"/>
          <w:bCs/>
          <w:color w:val="000000"/>
          <w:kern w:val="0"/>
          <w:sz w:val="24"/>
          <w:szCs w:val="24"/>
        </w:rPr>
        <w:t xml:space="preserve"> the last global financial crisis in 2008.</w:t>
      </w:r>
      <w:r w:rsidR="00B075D3">
        <w:rPr>
          <w:rFonts w:ascii="Times New Roman" w:hAnsi="Times New Roman" w:cs="Times New Roman"/>
          <w:bCs/>
          <w:color w:val="000000"/>
          <w:kern w:val="0"/>
          <w:sz w:val="24"/>
          <w:szCs w:val="24"/>
        </w:rPr>
        <w:t xml:space="preserve"> As a matter of fact, the </w:t>
      </w:r>
      <w:r w:rsidR="00C57E54">
        <w:rPr>
          <w:rFonts w:ascii="Times New Roman" w:hAnsi="Times New Roman" w:cs="Times New Roman"/>
          <w:bCs/>
          <w:color w:val="000000"/>
          <w:kern w:val="0"/>
          <w:sz w:val="24"/>
          <w:szCs w:val="24"/>
        </w:rPr>
        <w:t xml:space="preserve">SPV investment of Chinese banks </w:t>
      </w:r>
      <w:r w:rsidR="00654592">
        <w:rPr>
          <w:rFonts w:ascii="Times New Roman" w:hAnsi="Times New Roman" w:cs="Times New Roman"/>
          <w:bCs/>
          <w:color w:val="000000"/>
          <w:kern w:val="0"/>
          <w:sz w:val="24"/>
          <w:szCs w:val="24"/>
        </w:rPr>
        <w:t>has been expanded drastically</w:t>
      </w:r>
      <w:r w:rsidR="00C57E54">
        <w:rPr>
          <w:rFonts w:ascii="Times New Roman" w:hAnsi="Times New Roman" w:cs="Times New Roman"/>
          <w:bCs/>
          <w:color w:val="000000"/>
          <w:kern w:val="0"/>
          <w:sz w:val="24"/>
          <w:szCs w:val="24"/>
        </w:rPr>
        <w:t xml:space="preserve"> in last 10 years. By the end of 2019, the SPV investment of 13 Chinese listed banks</w:t>
      </w:r>
      <w:r w:rsidR="00E20DC4">
        <w:rPr>
          <w:rStyle w:val="a5"/>
          <w:rFonts w:ascii="Times New Roman" w:hAnsi="Times New Roman" w:cs="Times New Roman"/>
          <w:bCs/>
          <w:color w:val="000000"/>
          <w:kern w:val="0"/>
          <w:sz w:val="24"/>
          <w:szCs w:val="24"/>
        </w:rPr>
        <w:footnoteReference w:id="3"/>
      </w:r>
      <w:r w:rsidR="00C57E54">
        <w:rPr>
          <w:rFonts w:ascii="Times New Roman" w:hAnsi="Times New Roman" w:cs="Times New Roman"/>
          <w:bCs/>
          <w:color w:val="000000"/>
          <w:kern w:val="0"/>
          <w:sz w:val="24"/>
          <w:szCs w:val="24"/>
        </w:rPr>
        <w:t xml:space="preserve"> has been up to </w:t>
      </w:r>
      <w:r w:rsidR="00E20DC4">
        <w:rPr>
          <w:rFonts w:ascii="Times New Roman" w:hAnsi="Times New Roman" w:cs="Times New Roman"/>
          <w:bCs/>
          <w:color w:val="000000"/>
          <w:kern w:val="0"/>
          <w:sz w:val="24"/>
          <w:szCs w:val="24"/>
        </w:rPr>
        <w:t>6.6</w:t>
      </w:r>
      <w:r w:rsidR="00C57E54">
        <w:rPr>
          <w:rFonts w:ascii="Times New Roman" w:hAnsi="Times New Roman" w:cs="Times New Roman"/>
          <w:bCs/>
          <w:color w:val="000000"/>
          <w:kern w:val="0"/>
          <w:sz w:val="24"/>
          <w:szCs w:val="24"/>
        </w:rPr>
        <w:t xml:space="preserve"> trillion RMB, a growth of </w:t>
      </w:r>
      <w:r w:rsidR="00E20DC4">
        <w:rPr>
          <w:rFonts w:ascii="Times New Roman" w:hAnsi="Times New Roman" w:cs="Times New Roman" w:hint="eastAsia"/>
          <w:bCs/>
          <w:color w:val="000000"/>
          <w:kern w:val="0"/>
          <w:sz w:val="24"/>
          <w:szCs w:val="24"/>
        </w:rPr>
        <w:t>328.13</w:t>
      </w:r>
      <w:r w:rsidR="00C57E54">
        <w:rPr>
          <w:rFonts w:ascii="Times New Roman" w:hAnsi="Times New Roman" w:cs="Times New Roman"/>
          <w:bCs/>
          <w:color w:val="000000"/>
          <w:kern w:val="0"/>
          <w:sz w:val="24"/>
          <w:szCs w:val="24"/>
        </w:rPr>
        <w:t xml:space="preserve">% </w:t>
      </w:r>
      <w:r w:rsidR="008D52F9">
        <w:rPr>
          <w:rFonts w:ascii="Times New Roman" w:hAnsi="Times New Roman" w:cs="Times New Roman"/>
          <w:bCs/>
          <w:color w:val="000000"/>
          <w:kern w:val="0"/>
          <w:sz w:val="24"/>
          <w:szCs w:val="24"/>
        </w:rPr>
        <w:t>from</w:t>
      </w:r>
      <w:r w:rsidR="00C57E54">
        <w:rPr>
          <w:rFonts w:ascii="Times New Roman" w:hAnsi="Times New Roman" w:cs="Times New Roman"/>
          <w:bCs/>
          <w:color w:val="000000"/>
          <w:kern w:val="0"/>
          <w:sz w:val="24"/>
          <w:szCs w:val="24"/>
        </w:rPr>
        <w:t xml:space="preserve"> the beginning of 2013</w:t>
      </w:r>
      <w:r w:rsidR="008D52F9">
        <w:rPr>
          <w:rFonts w:ascii="Times New Roman" w:hAnsi="Times New Roman" w:cs="Times New Roman"/>
          <w:bCs/>
          <w:color w:val="000000"/>
          <w:kern w:val="0"/>
          <w:sz w:val="24"/>
          <w:szCs w:val="24"/>
        </w:rPr>
        <w:t xml:space="preserve">, </w:t>
      </w:r>
      <w:r w:rsidR="00E40F4E">
        <w:rPr>
          <w:rFonts w:ascii="Times New Roman" w:hAnsi="Times New Roman" w:cs="Times New Roman"/>
          <w:bCs/>
          <w:color w:val="000000"/>
          <w:kern w:val="0"/>
          <w:sz w:val="24"/>
          <w:szCs w:val="24"/>
        </w:rPr>
        <w:t>over</w:t>
      </w:r>
      <w:r w:rsidR="008D52F9">
        <w:rPr>
          <w:rFonts w:ascii="Times New Roman" w:hAnsi="Times New Roman" w:cs="Times New Roman"/>
          <w:bCs/>
          <w:color w:val="000000"/>
          <w:kern w:val="0"/>
          <w:sz w:val="24"/>
          <w:szCs w:val="24"/>
        </w:rPr>
        <w:t xml:space="preserve"> </w:t>
      </w:r>
      <w:r w:rsidR="00E20DC4">
        <w:rPr>
          <w:rFonts w:ascii="Times New Roman" w:hAnsi="Times New Roman" w:cs="Times New Roman" w:hint="eastAsia"/>
          <w:bCs/>
          <w:color w:val="000000"/>
          <w:kern w:val="0"/>
          <w:sz w:val="24"/>
          <w:szCs w:val="24"/>
        </w:rPr>
        <w:t>3</w:t>
      </w:r>
      <w:r w:rsidR="008D52F9">
        <w:rPr>
          <w:rFonts w:ascii="Times New Roman" w:hAnsi="Times New Roman" w:cs="Times New Roman"/>
          <w:bCs/>
          <w:color w:val="000000"/>
          <w:kern w:val="0"/>
          <w:sz w:val="24"/>
          <w:szCs w:val="24"/>
        </w:rPr>
        <w:t xml:space="preserve"> times of the growth of loans </w:t>
      </w:r>
      <w:r w:rsidR="00654592">
        <w:rPr>
          <w:rFonts w:ascii="Times New Roman" w:hAnsi="Times New Roman" w:cs="Times New Roman"/>
          <w:bCs/>
          <w:color w:val="000000"/>
          <w:kern w:val="0"/>
          <w:sz w:val="24"/>
          <w:szCs w:val="24"/>
        </w:rPr>
        <w:t>during</w:t>
      </w:r>
      <w:r w:rsidR="008D52F9">
        <w:rPr>
          <w:rFonts w:ascii="Times New Roman" w:hAnsi="Times New Roman" w:cs="Times New Roman"/>
          <w:bCs/>
          <w:color w:val="000000"/>
          <w:kern w:val="0"/>
          <w:sz w:val="24"/>
          <w:szCs w:val="24"/>
        </w:rPr>
        <w:t xml:space="preserve"> the same period</w:t>
      </w:r>
      <w:r w:rsidR="00C57E54">
        <w:rPr>
          <w:rFonts w:ascii="Times New Roman" w:hAnsi="Times New Roman" w:cs="Times New Roman"/>
          <w:bCs/>
          <w:color w:val="000000"/>
          <w:kern w:val="0"/>
          <w:sz w:val="24"/>
          <w:szCs w:val="24"/>
        </w:rPr>
        <w:t>.</w:t>
      </w:r>
    </w:p>
    <w:p w14:paraId="78FA76BA" w14:textId="772C3104" w:rsidR="00654592" w:rsidRDefault="00654592" w:rsidP="005030AF">
      <w:pPr>
        <w:adjustRightInd w:val="0"/>
        <w:spacing w:line="360" w:lineRule="auto"/>
        <w:ind w:left="1"/>
        <w:textAlignment w:val="baseline"/>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W</w:t>
      </w:r>
      <w:r>
        <w:rPr>
          <w:rFonts w:ascii="Times New Roman" w:hAnsi="Times New Roman" w:cs="Times New Roman"/>
          <w:bCs/>
          <w:color w:val="000000"/>
          <w:kern w:val="0"/>
          <w:sz w:val="24"/>
          <w:szCs w:val="24"/>
        </w:rPr>
        <w:t xml:space="preserve">hy </w:t>
      </w:r>
      <w:r w:rsidR="001443C3">
        <w:rPr>
          <w:rFonts w:ascii="Times New Roman" w:hAnsi="Times New Roman" w:cs="Times New Roman"/>
          <w:bCs/>
          <w:color w:val="000000"/>
          <w:kern w:val="0"/>
          <w:sz w:val="24"/>
          <w:szCs w:val="24"/>
        </w:rPr>
        <w:t>Chinese banks’</w:t>
      </w:r>
      <w:r>
        <w:rPr>
          <w:rFonts w:ascii="Times New Roman" w:hAnsi="Times New Roman" w:cs="Times New Roman"/>
          <w:bCs/>
          <w:color w:val="000000"/>
          <w:kern w:val="0"/>
          <w:sz w:val="24"/>
          <w:szCs w:val="24"/>
        </w:rPr>
        <w:t xml:space="preserve"> SPV investment is so huge and which factors, in what degree, </w:t>
      </w:r>
      <w:r w:rsidR="001443C3">
        <w:rPr>
          <w:rFonts w:ascii="Times New Roman" w:hAnsi="Times New Roman" w:cs="Times New Roman"/>
          <w:bCs/>
          <w:color w:val="000000"/>
          <w:kern w:val="0"/>
          <w:sz w:val="24"/>
          <w:szCs w:val="24"/>
        </w:rPr>
        <w:t>drive</w:t>
      </w:r>
      <w:r>
        <w:rPr>
          <w:rFonts w:ascii="Times New Roman" w:hAnsi="Times New Roman" w:cs="Times New Roman"/>
          <w:bCs/>
          <w:color w:val="000000"/>
          <w:kern w:val="0"/>
          <w:sz w:val="24"/>
          <w:szCs w:val="24"/>
        </w:rPr>
        <w:t xml:space="preserve"> them to make SPV investment? Nobody answer</w:t>
      </w:r>
      <w:r w:rsidR="001443C3">
        <w:rPr>
          <w:rFonts w:ascii="Times New Roman" w:hAnsi="Times New Roman" w:cs="Times New Roman"/>
          <w:bCs/>
          <w:color w:val="000000"/>
          <w:kern w:val="0"/>
          <w:sz w:val="24"/>
          <w:szCs w:val="24"/>
        </w:rPr>
        <w:t>s</w:t>
      </w:r>
      <w:r>
        <w:rPr>
          <w:rFonts w:ascii="Times New Roman" w:hAnsi="Times New Roman" w:cs="Times New Roman"/>
          <w:bCs/>
          <w:color w:val="000000"/>
          <w:kern w:val="0"/>
          <w:sz w:val="24"/>
          <w:szCs w:val="24"/>
        </w:rPr>
        <w:t xml:space="preserve"> this question, particularly for the latter part. </w:t>
      </w:r>
      <w:r w:rsidR="001443C3">
        <w:rPr>
          <w:rFonts w:ascii="Times New Roman" w:hAnsi="Times New Roman" w:cs="Times New Roman"/>
          <w:bCs/>
          <w:color w:val="000000"/>
          <w:kern w:val="0"/>
          <w:sz w:val="24"/>
          <w:szCs w:val="24"/>
        </w:rPr>
        <w:t xml:space="preserve">This paper aims to answer it. Firs of all, we review the development in terms of economy and finance in past 10 years in a historical view to speculate the reasons that Chinese banks have been allocated so much SPV assets in their balance sheet. Secondly, on the basis of reasons that we think drives banks to invest SPV, we </w:t>
      </w:r>
      <w:r w:rsidR="008E4213">
        <w:rPr>
          <w:rFonts w:ascii="Times New Roman" w:hAnsi="Times New Roman" w:cs="Times New Roman"/>
          <w:bCs/>
          <w:color w:val="000000"/>
          <w:kern w:val="0"/>
          <w:sz w:val="24"/>
          <w:szCs w:val="24"/>
        </w:rPr>
        <w:t>link</w:t>
      </w:r>
      <w:r w:rsidR="001443C3">
        <w:rPr>
          <w:rFonts w:ascii="Times New Roman" w:hAnsi="Times New Roman" w:cs="Times New Roman"/>
          <w:bCs/>
          <w:color w:val="000000"/>
          <w:kern w:val="0"/>
          <w:sz w:val="24"/>
          <w:szCs w:val="24"/>
        </w:rPr>
        <w:t xml:space="preserve"> them </w:t>
      </w:r>
      <w:r w:rsidR="008E4213">
        <w:rPr>
          <w:rFonts w:ascii="Times New Roman" w:hAnsi="Times New Roman" w:cs="Times New Roman"/>
          <w:bCs/>
          <w:color w:val="000000"/>
          <w:kern w:val="0"/>
          <w:sz w:val="24"/>
          <w:szCs w:val="24"/>
        </w:rPr>
        <w:t>to</w:t>
      </w:r>
      <w:r w:rsidR="001443C3">
        <w:rPr>
          <w:rFonts w:ascii="Times New Roman" w:hAnsi="Times New Roman" w:cs="Times New Roman"/>
          <w:bCs/>
          <w:color w:val="000000"/>
          <w:kern w:val="0"/>
          <w:sz w:val="24"/>
          <w:szCs w:val="24"/>
        </w:rPr>
        <w:t xml:space="preserve"> </w:t>
      </w:r>
      <w:r w:rsidR="008E4213">
        <w:rPr>
          <w:rFonts w:ascii="Times New Roman" w:hAnsi="Times New Roman" w:cs="Times New Roman"/>
          <w:bCs/>
          <w:color w:val="000000"/>
          <w:kern w:val="0"/>
          <w:sz w:val="24"/>
          <w:szCs w:val="24"/>
        </w:rPr>
        <w:t>concrete</w:t>
      </w:r>
      <w:r w:rsidR="001443C3">
        <w:rPr>
          <w:rFonts w:ascii="Times New Roman" w:hAnsi="Times New Roman" w:cs="Times New Roman"/>
          <w:bCs/>
          <w:color w:val="000000"/>
          <w:kern w:val="0"/>
          <w:sz w:val="24"/>
          <w:szCs w:val="24"/>
        </w:rPr>
        <w:t xml:space="preserve"> factors as</w:t>
      </w:r>
      <w:r w:rsidR="008E4213">
        <w:rPr>
          <w:rFonts w:ascii="Times New Roman" w:hAnsi="Times New Roman" w:cs="Times New Roman"/>
          <w:bCs/>
          <w:color w:val="000000"/>
          <w:kern w:val="0"/>
          <w:sz w:val="24"/>
          <w:szCs w:val="24"/>
        </w:rPr>
        <w:t xml:space="preserve"> the</w:t>
      </w:r>
      <w:r w:rsidR="001443C3">
        <w:rPr>
          <w:rFonts w:ascii="Times New Roman" w:hAnsi="Times New Roman" w:cs="Times New Roman"/>
          <w:bCs/>
          <w:color w:val="000000"/>
          <w:kern w:val="0"/>
          <w:sz w:val="24"/>
          <w:szCs w:val="24"/>
        </w:rPr>
        <w:t xml:space="preserve"> measurement </w:t>
      </w:r>
      <w:r w:rsidR="008E4213">
        <w:rPr>
          <w:rFonts w:ascii="Times New Roman" w:hAnsi="Times New Roman" w:cs="Times New Roman"/>
          <w:bCs/>
          <w:color w:val="000000"/>
          <w:kern w:val="0"/>
          <w:sz w:val="24"/>
          <w:szCs w:val="24"/>
        </w:rPr>
        <w:t>then</w:t>
      </w:r>
      <w:r w:rsidR="001443C3">
        <w:rPr>
          <w:rFonts w:ascii="Times New Roman" w:hAnsi="Times New Roman" w:cs="Times New Roman"/>
          <w:bCs/>
          <w:color w:val="000000"/>
          <w:kern w:val="0"/>
          <w:sz w:val="24"/>
          <w:szCs w:val="24"/>
        </w:rPr>
        <w:t xml:space="preserve"> propose corresponding hypothesi</w:t>
      </w:r>
      <w:r w:rsidR="008E4213">
        <w:rPr>
          <w:rFonts w:ascii="Times New Roman" w:hAnsi="Times New Roman" w:cs="Times New Roman"/>
          <w:bCs/>
          <w:color w:val="000000"/>
          <w:kern w:val="0"/>
          <w:sz w:val="24"/>
          <w:szCs w:val="24"/>
        </w:rPr>
        <w:t>s on these factors. Finally, we employ appropriate specification to test our hypothesis and assess the impacts of different factors.</w:t>
      </w:r>
    </w:p>
    <w:p w14:paraId="63CCEFCC" w14:textId="24B17235" w:rsidR="008B5F01" w:rsidRDefault="00D07E50" w:rsidP="005030AF">
      <w:pPr>
        <w:adjustRightInd w:val="0"/>
        <w:spacing w:line="360" w:lineRule="auto"/>
        <w:ind w:left="1"/>
        <w:textAlignment w:val="baseline"/>
        <w:rPr>
          <w:rFonts w:ascii="Times New Roman" w:hAnsi="Times New Roman" w:cs="Times New Roman"/>
          <w:bCs/>
          <w:color w:val="000000"/>
          <w:kern w:val="0"/>
          <w:sz w:val="24"/>
          <w:szCs w:val="24"/>
        </w:rPr>
      </w:pPr>
      <w:r>
        <w:rPr>
          <w:rFonts w:ascii="Times New Roman" w:hAnsi="Times New Roman" w:cs="Times New Roman"/>
          <w:bCs/>
          <w:color w:val="000000"/>
          <w:kern w:val="0"/>
          <w:sz w:val="24"/>
          <w:szCs w:val="24"/>
        </w:rPr>
        <w:t>In the sense of macroeconomy, the Chinese government has been implementing an easy monetary policy to cater for the financial tsunami in 2008, e.g. the well-known 4 trillion RMB stimulus package</w:t>
      </w:r>
      <w:r>
        <w:rPr>
          <w:rStyle w:val="a5"/>
          <w:rFonts w:ascii="Times New Roman" w:hAnsi="Times New Roman" w:cs="Times New Roman"/>
          <w:bCs/>
          <w:color w:val="000000"/>
          <w:kern w:val="0"/>
          <w:sz w:val="24"/>
          <w:szCs w:val="24"/>
        </w:rPr>
        <w:footnoteReference w:id="4"/>
      </w:r>
      <w:r>
        <w:rPr>
          <w:rFonts w:ascii="Times New Roman" w:hAnsi="Times New Roman" w:cs="Times New Roman"/>
          <w:bCs/>
          <w:color w:val="000000"/>
          <w:kern w:val="0"/>
          <w:sz w:val="24"/>
          <w:szCs w:val="24"/>
        </w:rPr>
        <w:t>. As a result, the asset volume of Chinese banks has been rapidly expanding, along with a thirsty demand for capital</w:t>
      </w:r>
      <w:r w:rsidR="00E957E2">
        <w:rPr>
          <w:rFonts w:ascii="Times New Roman" w:hAnsi="Times New Roman" w:cs="Times New Roman"/>
          <w:bCs/>
          <w:color w:val="000000"/>
          <w:kern w:val="0"/>
          <w:sz w:val="24"/>
          <w:szCs w:val="24"/>
        </w:rPr>
        <w:t>. Meanwhile, the central bank simultaneously imposes a vigorous limitation on the total loan size of all banks in order to make the inflation controllable. In this period, the regulatory authorities have been noticed the potential risk in the industry of real estate and local government financing vehicle (LGFV) and put forward requirements on loans to them</w:t>
      </w:r>
      <w:r w:rsidR="00E957E2">
        <w:rPr>
          <w:rStyle w:val="a5"/>
          <w:rFonts w:ascii="Times New Roman" w:hAnsi="Times New Roman" w:cs="Times New Roman"/>
          <w:bCs/>
          <w:color w:val="000000"/>
          <w:kern w:val="0"/>
          <w:sz w:val="24"/>
          <w:szCs w:val="24"/>
        </w:rPr>
        <w:footnoteReference w:id="5"/>
      </w:r>
      <w:r w:rsidR="00E957E2">
        <w:rPr>
          <w:rFonts w:ascii="Times New Roman" w:hAnsi="Times New Roman" w:cs="Times New Roman"/>
          <w:bCs/>
          <w:color w:val="000000"/>
          <w:kern w:val="0"/>
          <w:sz w:val="24"/>
          <w:szCs w:val="24"/>
        </w:rPr>
        <w:t xml:space="preserve">. </w:t>
      </w:r>
      <w:r w:rsidR="00DD187E">
        <w:rPr>
          <w:rFonts w:ascii="Times New Roman" w:hAnsi="Times New Roman" w:cs="Times New Roman"/>
          <w:bCs/>
          <w:color w:val="000000"/>
          <w:kern w:val="0"/>
          <w:sz w:val="24"/>
          <w:szCs w:val="24"/>
        </w:rPr>
        <w:t>The consequent story of the SPV investment of banks emerges. On one hand, banks have a lot of money seeking for assets. On the other hand, the real estate industry and the LGFV demand huge money to finance themselves</w:t>
      </w:r>
      <w:r w:rsidR="00DD187E">
        <w:rPr>
          <w:rStyle w:val="a5"/>
          <w:rFonts w:ascii="Times New Roman" w:hAnsi="Times New Roman" w:cs="Times New Roman"/>
          <w:bCs/>
          <w:color w:val="000000"/>
          <w:kern w:val="0"/>
          <w:sz w:val="24"/>
          <w:szCs w:val="24"/>
        </w:rPr>
        <w:footnoteReference w:id="6"/>
      </w:r>
      <w:r w:rsidR="00DD187E">
        <w:rPr>
          <w:rFonts w:ascii="Times New Roman" w:hAnsi="Times New Roman" w:cs="Times New Roman"/>
          <w:bCs/>
          <w:color w:val="000000"/>
          <w:kern w:val="0"/>
          <w:sz w:val="24"/>
          <w:szCs w:val="24"/>
        </w:rPr>
        <w:t xml:space="preserve">. The SPV plays the ideal role to bridge the supply </w:t>
      </w:r>
      <w:r w:rsidR="00DD187E">
        <w:rPr>
          <w:rFonts w:ascii="Times New Roman" w:hAnsi="Times New Roman" w:cs="Times New Roman"/>
          <w:bCs/>
          <w:color w:val="000000"/>
          <w:kern w:val="0"/>
          <w:sz w:val="24"/>
          <w:szCs w:val="24"/>
        </w:rPr>
        <w:lastRenderedPageBreak/>
        <w:t>side and the demand side of money. M</w:t>
      </w:r>
      <w:r w:rsidR="008B5F01">
        <w:rPr>
          <w:rFonts w:ascii="Times New Roman" w:hAnsi="Times New Roman" w:cs="Times New Roman"/>
          <w:bCs/>
          <w:color w:val="000000"/>
          <w:kern w:val="0"/>
          <w:sz w:val="24"/>
          <w:szCs w:val="24"/>
        </w:rPr>
        <w:t>eanwhile</w:t>
      </w:r>
      <w:r w:rsidR="00DD187E">
        <w:rPr>
          <w:rFonts w:ascii="Times New Roman" w:hAnsi="Times New Roman" w:cs="Times New Roman"/>
          <w:bCs/>
          <w:color w:val="000000"/>
          <w:kern w:val="0"/>
          <w:sz w:val="24"/>
          <w:szCs w:val="24"/>
        </w:rPr>
        <w:t xml:space="preserve">, the provision and capital requirements on SPV investment </w:t>
      </w:r>
      <w:r w:rsidR="00942B0C">
        <w:rPr>
          <w:rFonts w:ascii="Times New Roman" w:hAnsi="Times New Roman" w:cs="Times New Roman"/>
          <w:bCs/>
          <w:color w:val="000000"/>
          <w:kern w:val="0"/>
          <w:sz w:val="24"/>
          <w:szCs w:val="24"/>
        </w:rPr>
        <w:t>are much less than the ones of</w:t>
      </w:r>
      <w:r w:rsidR="0012382E">
        <w:rPr>
          <w:rFonts w:ascii="Times New Roman" w:hAnsi="Times New Roman" w:cs="Times New Roman"/>
          <w:bCs/>
          <w:color w:val="000000"/>
          <w:kern w:val="0"/>
          <w:sz w:val="24"/>
          <w:szCs w:val="24"/>
        </w:rPr>
        <w:t xml:space="preserve"> loans</w:t>
      </w:r>
      <w:r w:rsidR="00E957E2">
        <w:rPr>
          <w:rFonts w:ascii="Times New Roman" w:hAnsi="Times New Roman" w:cs="Times New Roman"/>
          <w:bCs/>
          <w:color w:val="000000"/>
          <w:kern w:val="0"/>
          <w:sz w:val="24"/>
          <w:szCs w:val="24"/>
        </w:rPr>
        <w:t xml:space="preserve"> </w:t>
      </w:r>
      <w:r w:rsidR="00942B0C">
        <w:rPr>
          <w:rFonts w:ascii="Times New Roman" w:hAnsi="Times New Roman" w:cs="Times New Roman"/>
          <w:bCs/>
          <w:color w:val="000000"/>
          <w:kern w:val="0"/>
          <w:sz w:val="24"/>
          <w:szCs w:val="24"/>
        </w:rPr>
        <w:t xml:space="preserve">according to the regulatory rules. The market players soon find out that the SPV is a good channel to bypass the regulatory constraint to take regulatory arbitrage. </w:t>
      </w:r>
      <w:r w:rsidR="008B5F01">
        <w:rPr>
          <w:rFonts w:ascii="Times New Roman" w:hAnsi="Times New Roman" w:cs="Times New Roman"/>
          <w:bCs/>
          <w:color w:val="000000"/>
          <w:kern w:val="0"/>
          <w:sz w:val="24"/>
          <w:szCs w:val="24"/>
        </w:rPr>
        <w:t xml:space="preserve">There is another channel effect of SPV which is used to nominally transfer the credit risk of loans when they are securitized and traded in the market. </w:t>
      </w:r>
      <w:r w:rsidR="00942B0C">
        <w:rPr>
          <w:rFonts w:ascii="Times New Roman" w:hAnsi="Times New Roman" w:cs="Times New Roman"/>
          <w:bCs/>
          <w:color w:val="000000"/>
          <w:kern w:val="0"/>
          <w:sz w:val="24"/>
          <w:szCs w:val="24"/>
        </w:rPr>
        <w:t xml:space="preserve">Finally, </w:t>
      </w:r>
      <w:r w:rsidR="00DD1DCD">
        <w:rPr>
          <w:rFonts w:ascii="Times New Roman" w:hAnsi="Times New Roman" w:cs="Times New Roman"/>
          <w:bCs/>
          <w:color w:val="000000"/>
          <w:kern w:val="0"/>
          <w:sz w:val="24"/>
          <w:szCs w:val="24"/>
        </w:rPr>
        <w:t>the SPV investment usually</w:t>
      </w:r>
      <w:r w:rsidR="008B5F01">
        <w:rPr>
          <w:rFonts w:ascii="Times New Roman" w:hAnsi="Times New Roman" w:cs="Times New Roman"/>
          <w:bCs/>
          <w:color w:val="000000"/>
          <w:kern w:val="0"/>
          <w:sz w:val="24"/>
          <w:szCs w:val="24"/>
        </w:rPr>
        <w:t xml:space="preserve"> </w:t>
      </w:r>
      <w:r w:rsidR="00DD1DCD">
        <w:rPr>
          <w:rFonts w:ascii="Times New Roman" w:hAnsi="Times New Roman" w:cs="Times New Roman"/>
          <w:bCs/>
          <w:color w:val="000000"/>
          <w:kern w:val="0"/>
          <w:sz w:val="24"/>
          <w:szCs w:val="24"/>
        </w:rPr>
        <w:t>looks like quite profitable, in contrast with traditional loan business as the clients are extremely thirsty for money, who is willing to provide payoffs with high return rate.</w:t>
      </w:r>
    </w:p>
    <w:p w14:paraId="77B3DC01" w14:textId="467727C1" w:rsidR="00CD6EE8" w:rsidRDefault="008B5F01" w:rsidP="005030AF">
      <w:pPr>
        <w:adjustRightInd w:val="0"/>
        <w:spacing w:line="360" w:lineRule="auto"/>
        <w:ind w:left="1"/>
        <w:textAlignment w:val="baseline"/>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F</w:t>
      </w:r>
      <w:r>
        <w:rPr>
          <w:rFonts w:ascii="Times New Roman" w:hAnsi="Times New Roman" w:cs="Times New Roman"/>
          <w:bCs/>
          <w:color w:val="000000"/>
          <w:kern w:val="0"/>
          <w:sz w:val="24"/>
          <w:szCs w:val="24"/>
        </w:rPr>
        <w:t xml:space="preserve">rom above analysis, we could summarize the impact factors influencing banks investment on SPV as follows. </w:t>
      </w:r>
      <w:r w:rsidR="004B3C43">
        <w:rPr>
          <w:rFonts w:ascii="Times New Roman" w:hAnsi="Times New Roman" w:cs="Times New Roman"/>
          <w:bCs/>
          <w:color w:val="000000"/>
          <w:kern w:val="0"/>
          <w:sz w:val="24"/>
          <w:szCs w:val="24"/>
        </w:rPr>
        <w:t xml:space="preserve">First of all, the </w:t>
      </w:r>
      <w:r>
        <w:rPr>
          <w:rFonts w:ascii="Times New Roman" w:hAnsi="Times New Roman" w:cs="Times New Roman"/>
          <w:bCs/>
          <w:color w:val="000000"/>
          <w:kern w:val="0"/>
          <w:sz w:val="24"/>
          <w:szCs w:val="24"/>
        </w:rPr>
        <w:t>regulatory constraint in terms of requirements on capital and asset quality, etc.</w:t>
      </w:r>
      <w:r w:rsidR="004B3C43">
        <w:rPr>
          <w:rFonts w:ascii="Times New Roman" w:hAnsi="Times New Roman" w:cs="Times New Roman"/>
          <w:bCs/>
          <w:color w:val="000000"/>
          <w:kern w:val="0"/>
          <w:sz w:val="24"/>
          <w:szCs w:val="24"/>
        </w:rPr>
        <w:t xml:space="preserve"> plays an important role in push banks to invest SPV. Secondly, seeking for more profit maybe also another factor that attract banks to carry out this business. The third one is about the funding resources such as deposit, interbank liabilities, as well as the central bank lending and so on. Finally, we should take the special policy such as various bans on SPV investment which have been put forward by authorities which has noticed the potential risk later on. </w:t>
      </w:r>
      <w:r w:rsidR="00F268FB">
        <w:rPr>
          <w:rFonts w:ascii="Times New Roman" w:hAnsi="Times New Roman" w:cs="Times New Roman"/>
          <w:bCs/>
          <w:color w:val="000000"/>
          <w:kern w:val="0"/>
          <w:sz w:val="24"/>
          <w:szCs w:val="24"/>
        </w:rPr>
        <w:t xml:space="preserve">We hypothesize that the regulatory arbitrage and profit-seeking are both important </w:t>
      </w:r>
      <w:r w:rsidR="0018788C">
        <w:rPr>
          <w:rFonts w:ascii="Times New Roman" w:hAnsi="Times New Roman" w:cs="Times New Roman"/>
          <w:bCs/>
          <w:color w:val="000000"/>
          <w:kern w:val="0"/>
          <w:sz w:val="24"/>
          <w:szCs w:val="24"/>
        </w:rPr>
        <w:t>motive</w:t>
      </w:r>
      <w:r w:rsidR="00F268FB">
        <w:rPr>
          <w:rFonts w:ascii="Times New Roman" w:hAnsi="Times New Roman" w:cs="Times New Roman"/>
          <w:bCs/>
          <w:color w:val="000000"/>
          <w:kern w:val="0"/>
          <w:sz w:val="24"/>
          <w:szCs w:val="24"/>
        </w:rPr>
        <w:t>s for banks to make SPV investment</w:t>
      </w:r>
      <w:r w:rsidR="00CD6EE8">
        <w:rPr>
          <w:rFonts w:ascii="Times New Roman" w:hAnsi="Times New Roman" w:cs="Times New Roman"/>
          <w:bCs/>
          <w:color w:val="000000"/>
          <w:kern w:val="0"/>
          <w:sz w:val="24"/>
          <w:szCs w:val="24"/>
        </w:rPr>
        <w:t>, and the main funding resources should be mainly from deposits and interbank liabilities, the limiting policy issued in 2017 possibly hindered the trend of SPV investment.</w:t>
      </w:r>
    </w:p>
    <w:p w14:paraId="021322B2" w14:textId="0F78EBDC" w:rsidR="00FC3DD1" w:rsidRDefault="00B64F73" w:rsidP="005030AF">
      <w:pPr>
        <w:adjustRightInd w:val="0"/>
        <w:spacing w:line="360" w:lineRule="auto"/>
        <w:ind w:left="1"/>
        <w:textAlignment w:val="baseline"/>
        <w:rPr>
          <w:rFonts w:ascii="Times New Roman" w:hAnsi="Times New Roman" w:cs="Times New Roman"/>
          <w:bCs/>
          <w:color w:val="000000"/>
          <w:kern w:val="0"/>
          <w:sz w:val="24"/>
          <w:szCs w:val="24"/>
        </w:rPr>
      </w:pPr>
      <w:r w:rsidRPr="00B64F73">
        <w:rPr>
          <w:rFonts w:ascii="Times New Roman" w:hAnsi="Times New Roman" w:cs="Times New Roman"/>
          <w:bCs/>
          <w:color w:val="000000"/>
          <w:kern w:val="0"/>
          <w:sz w:val="24"/>
          <w:szCs w:val="24"/>
        </w:rPr>
        <w:t>The remainder of th</w:t>
      </w:r>
      <w:r w:rsidR="003635AE">
        <w:rPr>
          <w:rFonts w:ascii="Times New Roman" w:hAnsi="Times New Roman" w:cs="Times New Roman"/>
          <w:bCs/>
          <w:color w:val="000000"/>
          <w:kern w:val="0"/>
          <w:sz w:val="24"/>
          <w:szCs w:val="24"/>
        </w:rPr>
        <w:t>is</w:t>
      </w:r>
      <w:r w:rsidRPr="00B64F73">
        <w:rPr>
          <w:rFonts w:ascii="Times New Roman" w:hAnsi="Times New Roman" w:cs="Times New Roman"/>
          <w:bCs/>
          <w:color w:val="000000"/>
          <w:kern w:val="0"/>
          <w:sz w:val="24"/>
          <w:szCs w:val="24"/>
        </w:rPr>
        <w:t xml:space="preserve"> paper is organized as follows. The next sec</w:t>
      </w:r>
      <w:r w:rsidR="00CE2C16">
        <w:rPr>
          <w:rFonts w:ascii="Times New Roman" w:hAnsi="Times New Roman" w:cs="Times New Roman"/>
          <w:bCs/>
          <w:color w:val="000000"/>
          <w:kern w:val="0"/>
          <w:sz w:val="24"/>
          <w:szCs w:val="24"/>
        </w:rPr>
        <w:t>tion</w:t>
      </w:r>
      <w:r w:rsidRPr="00B64F73">
        <w:rPr>
          <w:rFonts w:ascii="Times New Roman" w:hAnsi="Times New Roman" w:cs="Times New Roman"/>
          <w:bCs/>
          <w:color w:val="000000"/>
          <w:kern w:val="0"/>
          <w:sz w:val="24"/>
          <w:szCs w:val="24"/>
        </w:rPr>
        <w:t xml:space="preserve"> </w:t>
      </w:r>
      <w:r w:rsidR="00EC55FC">
        <w:rPr>
          <w:rFonts w:ascii="Times New Roman" w:hAnsi="Times New Roman" w:cs="Times New Roman"/>
          <w:bCs/>
          <w:color w:val="000000"/>
          <w:kern w:val="0"/>
          <w:sz w:val="24"/>
          <w:szCs w:val="24"/>
        </w:rPr>
        <w:t>introduce</w:t>
      </w:r>
      <w:r w:rsidRPr="00B64F73">
        <w:rPr>
          <w:rFonts w:ascii="Times New Roman" w:hAnsi="Times New Roman" w:cs="Times New Roman"/>
          <w:bCs/>
          <w:color w:val="000000"/>
          <w:kern w:val="0"/>
          <w:sz w:val="24"/>
          <w:szCs w:val="24"/>
        </w:rPr>
        <w:t>s a</w:t>
      </w:r>
      <w:r w:rsidR="00EC55FC">
        <w:rPr>
          <w:rFonts w:ascii="Times New Roman" w:hAnsi="Times New Roman" w:cs="Times New Roman"/>
          <w:bCs/>
          <w:color w:val="000000"/>
          <w:kern w:val="0"/>
          <w:sz w:val="24"/>
          <w:szCs w:val="24"/>
        </w:rPr>
        <w:t>n</w:t>
      </w:r>
      <w:r w:rsidRPr="00B64F73">
        <w:rPr>
          <w:rFonts w:ascii="Times New Roman" w:hAnsi="Times New Roman" w:cs="Times New Roman"/>
          <w:bCs/>
          <w:color w:val="000000"/>
          <w:kern w:val="0"/>
          <w:sz w:val="24"/>
          <w:szCs w:val="24"/>
        </w:rPr>
        <w:t xml:space="preserve"> </w:t>
      </w:r>
      <w:r w:rsidR="00EC55FC">
        <w:rPr>
          <w:rFonts w:ascii="Times New Roman" w:hAnsi="Times New Roman" w:cs="Times New Roman"/>
          <w:bCs/>
          <w:color w:val="000000"/>
          <w:kern w:val="0"/>
          <w:sz w:val="24"/>
          <w:szCs w:val="24"/>
        </w:rPr>
        <w:t>overview</w:t>
      </w:r>
      <w:r w:rsidRPr="00B64F73">
        <w:rPr>
          <w:rFonts w:ascii="Times New Roman" w:hAnsi="Times New Roman" w:cs="Times New Roman"/>
          <w:bCs/>
          <w:color w:val="000000"/>
          <w:kern w:val="0"/>
          <w:sz w:val="24"/>
          <w:szCs w:val="24"/>
        </w:rPr>
        <w:t xml:space="preserve"> of the related literature. Section </w:t>
      </w:r>
      <w:r w:rsidR="00CE0BBF">
        <w:rPr>
          <w:rFonts w:ascii="Times New Roman" w:hAnsi="Times New Roman" w:cs="Times New Roman" w:hint="eastAsia"/>
          <w:bCs/>
          <w:color w:val="000000"/>
          <w:kern w:val="0"/>
          <w:sz w:val="24"/>
          <w:szCs w:val="24"/>
        </w:rPr>
        <w:t>three</w:t>
      </w:r>
      <w:r w:rsidRPr="00B64F73">
        <w:rPr>
          <w:rFonts w:ascii="Times New Roman" w:hAnsi="Times New Roman" w:cs="Times New Roman"/>
          <w:bCs/>
          <w:color w:val="000000"/>
          <w:kern w:val="0"/>
          <w:sz w:val="24"/>
          <w:szCs w:val="24"/>
        </w:rPr>
        <w:t xml:space="preserve"> </w:t>
      </w:r>
      <w:r w:rsidR="00EC55FC">
        <w:rPr>
          <w:rFonts w:ascii="Times New Roman" w:hAnsi="Times New Roman" w:cs="Times New Roman"/>
          <w:bCs/>
          <w:color w:val="000000"/>
          <w:kern w:val="0"/>
          <w:sz w:val="24"/>
          <w:szCs w:val="24"/>
        </w:rPr>
        <w:t xml:space="preserve">contains the </w:t>
      </w:r>
      <w:r w:rsidR="003635AE">
        <w:rPr>
          <w:rFonts w:ascii="Times New Roman" w:hAnsi="Times New Roman" w:cs="Times New Roman"/>
          <w:bCs/>
          <w:color w:val="000000"/>
          <w:kern w:val="0"/>
          <w:sz w:val="24"/>
          <w:szCs w:val="24"/>
        </w:rPr>
        <w:t xml:space="preserve">model and </w:t>
      </w:r>
      <w:r w:rsidR="00EC55FC">
        <w:rPr>
          <w:rFonts w:ascii="Times New Roman" w:hAnsi="Times New Roman" w:cs="Times New Roman"/>
          <w:bCs/>
          <w:color w:val="000000"/>
          <w:kern w:val="0"/>
          <w:sz w:val="24"/>
          <w:szCs w:val="24"/>
        </w:rPr>
        <w:t>specification strategy</w:t>
      </w:r>
      <w:r w:rsidR="003635AE">
        <w:rPr>
          <w:rFonts w:ascii="Times New Roman" w:hAnsi="Times New Roman" w:cs="Times New Roman"/>
          <w:bCs/>
          <w:color w:val="000000"/>
          <w:kern w:val="0"/>
          <w:sz w:val="24"/>
          <w:szCs w:val="24"/>
        </w:rPr>
        <w:t xml:space="preserve">. Section four describes the data and reports </w:t>
      </w:r>
      <w:r w:rsidR="00EC55FC">
        <w:rPr>
          <w:rFonts w:ascii="Times New Roman" w:hAnsi="Times New Roman" w:cs="Times New Roman"/>
          <w:bCs/>
          <w:color w:val="000000"/>
          <w:kern w:val="0"/>
          <w:sz w:val="24"/>
          <w:szCs w:val="24"/>
        </w:rPr>
        <w:t>empirical results</w:t>
      </w:r>
      <w:r w:rsidR="00FA7495">
        <w:rPr>
          <w:rFonts w:ascii="Times New Roman" w:hAnsi="Times New Roman" w:cs="Times New Roman"/>
          <w:bCs/>
          <w:color w:val="000000"/>
          <w:kern w:val="0"/>
          <w:sz w:val="24"/>
          <w:szCs w:val="24"/>
        </w:rPr>
        <w:t xml:space="preserve">, as well as </w:t>
      </w:r>
      <w:r w:rsidR="003635AE">
        <w:rPr>
          <w:rFonts w:ascii="Times New Roman" w:hAnsi="Times New Roman" w:cs="Times New Roman"/>
          <w:bCs/>
          <w:color w:val="000000"/>
          <w:kern w:val="0"/>
          <w:sz w:val="24"/>
          <w:szCs w:val="24"/>
        </w:rPr>
        <w:t xml:space="preserve">discusses </w:t>
      </w:r>
      <w:r w:rsidR="00FA7495">
        <w:rPr>
          <w:rFonts w:ascii="Times New Roman" w:hAnsi="Times New Roman" w:cs="Times New Roman"/>
          <w:bCs/>
          <w:color w:val="000000"/>
          <w:kern w:val="0"/>
          <w:sz w:val="24"/>
          <w:szCs w:val="24"/>
        </w:rPr>
        <w:t>results</w:t>
      </w:r>
      <w:r w:rsidRPr="00B64F73">
        <w:rPr>
          <w:rFonts w:ascii="Times New Roman" w:hAnsi="Times New Roman" w:cs="Times New Roman"/>
          <w:bCs/>
          <w:color w:val="000000"/>
          <w:kern w:val="0"/>
          <w:sz w:val="24"/>
          <w:szCs w:val="24"/>
        </w:rPr>
        <w:t xml:space="preserve">. Section </w:t>
      </w:r>
      <w:r w:rsidR="00CE0BBF">
        <w:rPr>
          <w:rFonts w:ascii="Times New Roman" w:hAnsi="Times New Roman" w:cs="Times New Roman" w:hint="eastAsia"/>
          <w:bCs/>
          <w:color w:val="000000"/>
          <w:kern w:val="0"/>
          <w:sz w:val="24"/>
          <w:szCs w:val="24"/>
        </w:rPr>
        <w:t>f</w:t>
      </w:r>
      <w:r w:rsidR="003635AE">
        <w:rPr>
          <w:rFonts w:ascii="Times New Roman" w:hAnsi="Times New Roman" w:cs="Times New Roman"/>
          <w:bCs/>
          <w:color w:val="000000"/>
          <w:kern w:val="0"/>
          <w:sz w:val="24"/>
          <w:szCs w:val="24"/>
        </w:rPr>
        <w:t>ive</w:t>
      </w:r>
      <w:r w:rsidR="00FA7495">
        <w:rPr>
          <w:rFonts w:ascii="Times New Roman" w:hAnsi="Times New Roman" w:cs="Times New Roman"/>
          <w:bCs/>
          <w:color w:val="000000"/>
          <w:kern w:val="0"/>
          <w:sz w:val="24"/>
          <w:szCs w:val="24"/>
        </w:rPr>
        <w:t xml:space="preserve"> concludes this paper with some policy suggestions.</w:t>
      </w:r>
    </w:p>
    <w:p w14:paraId="502E6170" w14:textId="77777777" w:rsidR="005030AF" w:rsidRDefault="005030AF" w:rsidP="00915762">
      <w:pPr>
        <w:adjustRightInd w:val="0"/>
        <w:textAlignment w:val="baseline"/>
        <w:rPr>
          <w:rFonts w:ascii="Times New Roman" w:eastAsia="PMingLiU" w:hAnsi="Times New Roman" w:cs="Times New Roman"/>
          <w:b/>
          <w:kern w:val="0"/>
          <w:sz w:val="30"/>
          <w:szCs w:val="30"/>
          <w:lang w:eastAsia="zh-TW"/>
        </w:rPr>
      </w:pPr>
    </w:p>
    <w:p w14:paraId="6CD18A81" w14:textId="77534296" w:rsidR="00915762" w:rsidRDefault="00915762" w:rsidP="00915762">
      <w:pPr>
        <w:adjustRightInd w:val="0"/>
        <w:textAlignment w:val="baseline"/>
        <w:rPr>
          <w:rFonts w:ascii="Times New Roman" w:eastAsia="PMingLiU" w:hAnsi="Times New Roman" w:cs="Times New Roman"/>
          <w:b/>
          <w:kern w:val="0"/>
          <w:sz w:val="30"/>
          <w:szCs w:val="30"/>
          <w:lang w:eastAsia="zh-TW"/>
        </w:rPr>
      </w:pPr>
      <w:r w:rsidRPr="00915762">
        <w:rPr>
          <w:rFonts w:ascii="Times New Roman" w:eastAsia="PMingLiU" w:hAnsi="Times New Roman" w:cs="Times New Roman"/>
          <w:b/>
          <w:kern w:val="0"/>
          <w:sz w:val="30"/>
          <w:szCs w:val="30"/>
          <w:lang w:eastAsia="zh-TW"/>
        </w:rPr>
        <w:t>2</w:t>
      </w:r>
      <w:r w:rsidR="005966B4">
        <w:rPr>
          <w:rFonts w:ascii="Times New Roman" w:eastAsia="PMingLiU" w:hAnsi="Times New Roman" w:cs="Times New Roman" w:hint="eastAsia"/>
          <w:b/>
          <w:kern w:val="0"/>
          <w:sz w:val="30"/>
          <w:szCs w:val="30"/>
        </w:rPr>
        <w:t xml:space="preserve">. </w:t>
      </w:r>
      <w:r>
        <w:rPr>
          <w:rFonts w:ascii="Times New Roman" w:eastAsia="PMingLiU" w:hAnsi="Times New Roman" w:cs="Times New Roman"/>
          <w:b/>
          <w:kern w:val="0"/>
          <w:sz w:val="30"/>
          <w:szCs w:val="30"/>
          <w:lang w:eastAsia="zh-TW"/>
        </w:rPr>
        <w:t>L</w:t>
      </w:r>
      <w:r w:rsidRPr="00915762">
        <w:rPr>
          <w:rFonts w:ascii="Times New Roman" w:eastAsia="PMingLiU" w:hAnsi="Times New Roman" w:cs="Times New Roman" w:hint="eastAsia"/>
          <w:b/>
          <w:kern w:val="0"/>
          <w:sz w:val="30"/>
          <w:szCs w:val="30"/>
          <w:lang w:eastAsia="zh-TW"/>
        </w:rPr>
        <w:t>iterature</w:t>
      </w:r>
      <w:r>
        <w:rPr>
          <w:rFonts w:ascii="Times New Roman" w:eastAsia="PMingLiU" w:hAnsi="Times New Roman" w:cs="Times New Roman"/>
          <w:b/>
          <w:kern w:val="0"/>
          <w:sz w:val="30"/>
          <w:szCs w:val="30"/>
          <w:lang w:eastAsia="zh-TW"/>
        </w:rPr>
        <w:t xml:space="preserve"> Review</w:t>
      </w:r>
    </w:p>
    <w:p w14:paraId="63E919E4" w14:textId="4DA0573B" w:rsidR="00877735" w:rsidRDefault="00B27E13" w:rsidP="00345758">
      <w:pPr>
        <w:adjustRightInd w:val="0"/>
        <w:spacing w:line="360" w:lineRule="auto"/>
        <w:textAlignment w:val="baseline"/>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S</w:t>
      </w:r>
      <w:r>
        <w:rPr>
          <w:rFonts w:ascii="Times New Roman" w:hAnsi="Times New Roman" w:cs="Times New Roman"/>
          <w:bCs/>
          <w:color w:val="000000"/>
          <w:kern w:val="0"/>
          <w:sz w:val="24"/>
          <w:szCs w:val="24"/>
        </w:rPr>
        <w:t xml:space="preserve">ince the concept of “shadow banking” has been proposed by </w:t>
      </w:r>
      <w:r w:rsidR="003E1438">
        <w:rPr>
          <w:rFonts w:ascii="Times New Roman" w:hAnsi="Times New Roman" w:cs="Times New Roman"/>
          <w:bCs/>
          <w:color w:val="000000"/>
          <w:kern w:val="0"/>
          <w:sz w:val="24"/>
          <w:szCs w:val="24"/>
        </w:rPr>
        <w:t xml:space="preserve">Gary Cohn, </w:t>
      </w:r>
      <w:r>
        <w:rPr>
          <w:rFonts w:ascii="Times New Roman" w:hAnsi="Times New Roman" w:cs="Times New Roman"/>
          <w:bCs/>
          <w:color w:val="000000"/>
          <w:kern w:val="0"/>
          <w:sz w:val="24"/>
          <w:szCs w:val="24"/>
        </w:rPr>
        <w:t>the ex-president and COO</w:t>
      </w:r>
      <w:r w:rsidR="003E1438">
        <w:rPr>
          <w:rFonts w:ascii="Times New Roman" w:hAnsi="Times New Roman" w:cs="Times New Roman"/>
          <w:bCs/>
          <w:color w:val="000000"/>
          <w:kern w:val="0"/>
          <w:sz w:val="24"/>
          <w:szCs w:val="24"/>
        </w:rPr>
        <w:t xml:space="preserve"> of Goldman Sachs in Davos of 2011</w:t>
      </w:r>
      <w:r w:rsidR="003E1438">
        <w:rPr>
          <w:rStyle w:val="a5"/>
          <w:rFonts w:ascii="Times New Roman" w:hAnsi="Times New Roman" w:cs="Times New Roman"/>
          <w:bCs/>
          <w:color w:val="000000"/>
          <w:kern w:val="0"/>
          <w:sz w:val="24"/>
          <w:szCs w:val="24"/>
        </w:rPr>
        <w:footnoteReference w:id="7"/>
      </w:r>
      <w:r w:rsidR="003E1438">
        <w:rPr>
          <w:rFonts w:ascii="Times New Roman" w:hAnsi="Times New Roman" w:cs="Times New Roman"/>
          <w:bCs/>
          <w:color w:val="000000"/>
          <w:kern w:val="0"/>
          <w:sz w:val="24"/>
          <w:szCs w:val="24"/>
        </w:rPr>
        <w:t xml:space="preserve">, an extensive body of research </w:t>
      </w:r>
      <w:r w:rsidR="00657DC7">
        <w:rPr>
          <w:rFonts w:ascii="Times New Roman" w:hAnsi="Times New Roman" w:cs="Times New Roman"/>
          <w:bCs/>
          <w:color w:val="000000"/>
          <w:kern w:val="0"/>
          <w:sz w:val="24"/>
          <w:szCs w:val="24"/>
        </w:rPr>
        <w:lastRenderedPageBreak/>
        <w:t>has been concentrating on</w:t>
      </w:r>
      <w:r w:rsidR="003E1438">
        <w:rPr>
          <w:rFonts w:ascii="Times New Roman" w:hAnsi="Times New Roman" w:cs="Times New Roman"/>
          <w:bCs/>
          <w:color w:val="000000"/>
          <w:kern w:val="0"/>
          <w:sz w:val="24"/>
          <w:szCs w:val="24"/>
        </w:rPr>
        <w:t xml:space="preserve"> this field</w:t>
      </w:r>
      <w:r w:rsidR="0028575C">
        <w:rPr>
          <w:rStyle w:val="a5"/>
          <w:rFonts w:ascii="Times New Roman" w:hAnsi="Times New Roman" w:cs="Times New Roman"/>
          <w:bCs/>
          <w:color w:val="000000"/>
          <w:kern w:val="0"/>
          <w:sz w:val="24"/>
          <w:szCs w:val="24"/>
        </w:rPr>
        <w:footnoteReference w:id="8"/>
      </w:r>
      <w:r w:rsidR="003E1438">
        <w:rPr>
          <w:rFonts w:ascii="Times New Roman" w:hAnsi="Times New Roman" w:cs="Times New Roman"/>
          <w:bCs/>
          <w:color w:val="000000"/>
          <w:kern w:val="0"/>
          <w:sz w:val="24"/>
          <w:szCs w:val="24"/>
        </w:rPr>
        <w:t xml:space="preserve">. Daniel et al (2012) </w:t>
      </w:r>
      <w:r w:rsidR="004714C9">
        <w:rPr>
          <w:rFonts w:ascii="Times New Roman" w:hAnsi="Times New Roman" w:cs="Times New Roman"/>
          <w:bCs/>
          <w:color w:val="000000"/>
          <w:kern w:val="0"/>
          <w:sz w:val="24"/>
          <w:szCs w:val="24"/>
        </w:rPr>
        <w:t>discuss the benefits and concerns of shadow banking,</w:t>
      </w:r>
      <w:r w:rsidR="00C30D90">
        <w:rPr>
          <w:rFonts w:ascii="Times New Roman" w:hAnsi="Times New Roman" w:cs="Times New Roman"/>
          <w:bCs/>
          <w:color w:val="000000"/>
          <w:kern w:val="0"/>
          <w:sz w:val="24"/>
          <w:szCs w:val="24"/>
        </w:rPr>
        <w:t xml:space="preserve"> put forward some suggestions on regulatory reforms </w:t>
      </w:r>
      <w:r w:rsidR="004714C9">
        <w:rPr>
          <w:rFonts w:ascii="Times New Roman" w:hAnsi="Times New Roman" w:cs="Times New Roman"/>
          <w:bCs/>
          <w:color w:val="000000"/>
          <w:kern w:val="0"/>
          <w:sz w:val="24"/>
          <w:szCs w:val="24"/>
        </w:rPr>
        <w:t>of</w:t>
      </w:r>
      <w:r w:rsidR="00C30D90">
        <w:rPr>
          <w:rFonts w:ascii="Times New Roman" w:hAnsi="Times New Roman" w:cs="Times New Roman"/>
          <w:bCs/>
          <w:color w:val="000000"/>
          <w:kern w:val="0"/>
          <w:sz w:val="24"/>
          <w:szCs w:val="24"/>
        </w:rPr>
        <w:t xml:space="preserve"> </w:t>
      </w:r>
      <w:r w:rsidR="004714C9">
        <w:rPr>
          <w:rFonts w:ascii="Times New Roman" w:hAnsi="Times New Roman" w:cs="Times New Roman"/>
          <w:bCs/>
          <w:color w:val="000000"/>
          <w:kern w:val="0"/>
          <w:sz w:val="24"/>
          <w:szCs w:val="24"/>
        </w:rPr>
        <w:t>it as well</w:t>
      </w:r>
      <w:r w:rsidR="00C30D90">
        <w:rPr>
          <w:rFonts w:ascii="Times New Roman" w:hAnsi="Times New Roman" w:cs="Times New Roman"/>
          <w:bCs/>
          <w:color w:val="000000"/>
          <w:kern w:val="0"/>
          <w:sz w:val="24"/>
          <w:szCs w:val="24"/>
        </w:rPr>
        <w:t xml:space="preserve">. </w:t>
      </w:r>
      <w:r w:rsidR="00140CC9">
        <w:rPr>
          <w:rFonts w:ascii="Times New Roman" w:hAnsi="Times New Roman" w:cs="Times New Roman"/>
          <w:bCs/>
          <w:color w:val="000000"/>
          <w:kern w:val="0"/>
          <w:sz w:val="24"/>
          <w:szCs w:val="24"/>
        </w:rPr>
        <w:t xml:space="preserve">Sherpa (2013) </w:t>
      </w:r>
      <w:r w:rsidR="003E1438">
        <w:rPr>
          <w:rFonts w:ascii="Times New Roman" w:hAnsi="Times New Roman" w:cs="Times New Roman"/>
          <w:bCs/>
          <w:color w:val="000000"/>
          <w:kern w:val="0"/>
          <w:sz w:val="24"/>
          <w:szCs w:val="24"/>
        </w:rPr>
        <w:t xml:space="preserve">discuss the </w:t>
      </w:r>
      <w:r w:rsidR="00CC06E3">
        <w:rPr>
          <w:rFonts w:ascii="Times New Roman" w:hAnsi="Times New Roman" w:cs="Times New Roman"/>
          <w:bCs/>
          <w:color w:val="000000"/>
          <w:kern w:val="0"/>
          <w:sz w:val="24"/>
          <w:szCs w:val="24"/>
        </w:rPr>
        <w:t>causes and consequences</w:t>
      </w:r>
      <w:r w:rsidR="00ED2AE6">
        <w:rPr>
          <w:rFonts w:ascii="Times New Roman" w:hAnsi="Times New Roman" w:cs="Times New Roman"/>
          <w:bCs/>
          <w:color w:val="000000"/>
          <w:kern w:val="0"/>
          <w:sz w:val="24"/>
          <w:szCs w:val="24"/>
        </w:rPr>
        <w:t xml:space="preserve"> of shadow banking</w:t>
      </w:r>
      <w:r w:rsidR="00140CC9">
        <w:rPr>
          <w:rFonts w:ascii="Times New Roman" w:hAnsi="Times New Roman" w:cs="Times New Roman"/>
          <w:bCs/>
          <w:color w:val="000000"/>
          <w:kern w:val="0"/>
          <w:sz w:val="24"/>
          <w:szCs w:val="24"/>
        </w:rPr>
        <w:t xml:space="preserve"> in China and India,</w:t>
      </w:r>
      <w:r w:rsidR="00ED2AE6">
        <w:rPr>
          <w:rFonts w:ascii="Times New Roman" w:hAnsi="Times New Roman" w:cs="Times New Roman"/>
          <w:bCs/>
          <w:color w:val="000000"/>
          <w:kern w:val="0"/>
          <w:sz w:val="24"/>
          <w:szCs w:val="24"/>
        </w:rPr>
        <w:t xml:space="preserve"> </w:t>
      </w:r>
      <w:r w:rsidR="00C30D90">
        <w:rPr>
          <w:rFonts w:ascii="Times New Roman" w:hAnsi="Times New Roman" w:cs="Times New Roman"/>
          <w:bCs/>
          <w:color w:val="000000"/>
          <w:kern w:val="0"/>
          <w:sz w:val="24"/>
          <w:szCs w:val="24"/>
        </w:rPr>
        <w:t xml:space="preserve">arguing that the financial </w:t>
      </w:r>
      <w:r w:rsidR="003655AA">
        <w:rPr>
          <w:rFonts w:ascii="Times New Roman" w:hAnsi="Times New Roman" w:cs="Times New Roman"/>
          <w:bCs/>
          <w:color w:val="000000"/>
          <w:kern w:val="0"/>
          <w:sz w:val="24"/>
          <w:szCs w:val="24"/>
        </w:rPr>
        <w:t xml:space="preserve">liberalization and deregulation are both two important factors in the growth of shadow banking </w:t>
      </w:r>
      <w:r w:rsidR="004714C9">
        <w:rPr>
          <w:rFonts w:ascii="Times New Roman" w:hAnsi="Times New Roman" w:cs="Times New Roman"/>
          <w:bCs/>
          <w:color w:val="000000"/>
          <w:kern w:val="0"/>
          <w:sz w:val="24"/>
          <w:szCs w:val="24"/>
        </w:rPr>
        <w:t>institutions</w:t>
      </w:r>
      <w:r w:rsidR="00DF2BA1">
        <w:rPr>
          <w:rStyle w:val="a5"/>
          <w:rFonts w:ascii="Times New Roman" w:hAnsi="Times New Roman" w:cs="Times New Roman"/>
          <w:bCs/>
          <w:color w:val="000000"/>
          <w:kern w:val="0"/>
          <w:sz w:val="24"/>
          <w:szCs w:val="24"/>
        </w:rPr>
        <w:footnoteReference w:id="9"/>
      </w:r>
      <w:r w:rsidR="004714C9">
        <w:rPr>
          <w:rFonts w:ascii="Times New Roman" w:hAnsi="Times New Roman" w:cs="Times New Roman"/>
          <w:bCs/>
          <w:color w:val="000000"/>
          <w:kern w:val="0"/>
          <w:sz w:val="24"/>
          <w:szCs w:val="24"/>
        </w:rPr>
        <w:t>. In his view, strict regulation is indispensable even at the cost of lower economic growth. He also points out limiting policy is better than the Basel III to hinder the rapid growth of shadow banking.</w:t>
      </w:r>
      <w:r w:rsidR="003655AA">
        <w:rPr>
          <w:rFonts w:ascii="Times New Roman" w:hAnsi="Times New Roman" w:cs="Times New Roman"/>
          <w:bCs/>
          <w:color w:val="000000"/>
          <w:kern w:val="0"/>
          <w:sz w:val="24"/>
          <w:szCs w:val="24"/>
        </w:rPr>
        <w:t xml:space="preserve"> </w:t>
      </w:r>
      <w:proofErr w:type="spellStart"/>
      <w:r w:rsidR="00CB5179" w:rsidRPr="00CB5179">
        <w:rPr>
          <w:rFonts w:ascii="Times New Roman" w:hAnsi="Times New Roman" w:cs="Times New Roman"/>
          <w:bCs/>
          <w:color w:val="000000"/>
          <w:kern w:val="0"/>
          <w:sz w:val="24"/>
          <w:szCs w:val="24"/>
        </w:rPr>
        <w:t>Gennaioli</w:t>
      </w:r>
      <w:proofErr w:type="spellEnd"/>
      <w:r w:rsidR="00CB5179">
        <w:rPr>
          <w:rFonts w:ascii="Times New Roman" w:hAnsi="Times New Roman" w:cs="Times New Roman"/>
          <w:bCs/>
          <w:color w:val="000000"/>
          <w:kern w:val="0"/>
          <w:sz w:val="24"/>
          <w:szCs w:val="24"/>
        </w:rPr>
        <w:t xml:space="preserve"> et al (2013) construct a model</w:t>
      </w:r>
      <w:r w:rsidR="0000310E">
        <w:rPr>
          <w:rFonts w:ascii="Times New Roman" w:hAnsi="Times New Roman" w:cs="Times New Roman"/>
          <w:bCs/>
          <w:color w:val="000000"/>
          <w:kern w:val="0"/>
          <w:sz w:val="24"/>
          <w:szCs w:val="24"/>
        </w:rPr>
        <w:t xml:space="preserve"> of shadow banking, which describes the securitization without any risk transferred. They point out that the shadow banking system is easy to </w:t>
      </w:r>
      <w:r w:rsidR="00CC06E3">
        <w:rPr>
          <w:rFonts w:ascii="Times New Roman" w:hAnsi="Times New Roman" w:cs="Times New Roman"/>
          <w:bCs/>
          <w:color w:val="000000"/>
          <w:kern w:val="0"/>
          <w:sz w:val="24"/>
          <w:szCs w:val="24"/>
        </w:rPr>
        <w:t>fall in a crisis with liquidity shortage if investors neglect tail risks even</w:t>
      </w:r>
      <w:r w:rsidR="007F335F">
        <w:rPr>
          <w:rFonts w:ascii="Times New Roman" w:hAnsi="Times New Roman" w:cs="Times New Roman"/>
          <w:bCs/>
          <w:color w:val="000000"/>
          <w:kern w:val="0"/>
          <w:sz w:val="24"/>
          <w:szCs w:val="24"/>
        </w:rPr>
        <w:t xml:space="preserve"> </w:t>
      </w:r>
      <w:r w:rsidR="00CC06E3">
        <w:rPr>
          <w:rFonts w:ascii="Times New Roman" w:hAnsi="Times New Roman" w:cs="Times New Roman"/>
          <w:bCs/>
          <w:color w:val="000000"/>
          <w:kern w:val="0"/>
          <w:sz w:val="24"/>
          <w:szCs w:val="24"/>
        </w:rPr>
        <w:t>though it is stable under rational expectations.</w:t>
      </w:r>
      <w:r w:rsidR="007F335F">
        <w:rPr>
          <w:rFonts w:ascii="Times New Roman" w:hAnsi="Times New Roman" w:cs="Times New Roman"/>
          <w:bCs/>
          <w:color w:val="000000"/>
          <w:kern w:val="0"/>
          <w:sz w:val="24"/>
          <w:szCs w:val="24"/>
        </w:rPr>
        <w:t xml:space="preserve"> </w:t>
      </w:r>
      <w:r w:rsidR="007F335F" w:rsidRPr="007F335F">
        <w:rPr>
          <w:rFonts w:ascii="Times New Roman" w:hAnsi="Times New Roman" w:cs="Times New Roman"/>
          <w:bCs/>
          <w:color w:val="000000"/>
          <w:kern w:val="0"/>
          <w:sz w:val="24"/>
          <w:szCs w:val="24"/>
        </w:rPr>
        <w:t>Chernenko</w:t>
      </w:r>
      <w:r w:rsidR="007F335F">
        <w:rPr>
          <w:rFonts w:ascii="Times New Roman" w:hAnsi="Times New Roman" w:cs="Times New Roman"/>
          <w:bCs/>
          <w:color w:val="000000"/>
          <w:kern w:val="0"/>
          <w:sz w:val="24"/>
          <w:szCs w:val="24"/>
        </w:rPr>
        <w:t xml:space="preserve"> and </w:t>
      </w:r>
      <w:proofErr w:type="spellStart"/>
      <w:r w:rsidR="007F335F">
        <w:rPr>
          <w:rFonts w:ascii="Times New Roman" w:hAnsi="Times New Roman" w:cs="Times New Roman"/>
          <w:bCs/>
          <w:color w:val="000000"/>
          <w:kern w:val="0"/>
          <w:sz w:val="24"/>
          <w:szCs w:val="24"/>
        </w:rPr>
        <w:t>Sunderam</w:t>
      </w:r>
      <w:proofErr w:type="spellEnd"/>
      <w:r w:rsidR="007F335F">
        <w:rPr>
          <w:rFonts w:ascii="Times New Roman" w:hAnsi="Times New Roman" w:cs="Times New Roman"/>
          <w:bCs/>
          <w:color w:val="000000"/>
          <w:kern w:val="0"/>
          <w:sz w:val="24"/>
          <w:szCs w:val="24"/>
        </w:rPr>
        <w:t xml:space="preserve"> (2014) demonstrate the frictions in shadow banking lending</w:t>
      </w:r>
      <w:r w:rsidR="00FA327F">
        <w:rPr>
          <w:rFonts w:ascii="Times New Roman" w:hAnsi="Times New Roman" w:cs="Times New Roman"/>
          <w:bCs/>
          <w:color w:val="000000"/>
          <w:kern w:val="0"/>
          <w:sz w:val="24"/>
          <w:szCs w:val="24"/>
        </w:rPr>
        <w:t xml:space="preserve"> by study the lending behavior in money market mutual funds (MMMF). They find out the</w:t>
      </w:r>
      <w:r w:rsidR="007F335F">
        <w:rPr>
          <w:rFonts w:ascii="Times New Roman" w:hAnsi="Times New Roman" w:cs="Times New Roman"/>
          <w:bCs/>
          <w:color w:val="000000"/>
          <w:kern w:val="0"/>
          <w:sz w:val="24"/>
          <w:szCs w:val="24"/>
        </w:rPr>
        <w:t xml:space="preserve"> channel through which the risk-taking leads to the negative spillovers to good firms</w:t>
      </w:r>
      <w:r w:rsidR="00FA327F">
        <w:rPr>
          <w:rFonts w:ascii="Times New Roman" w:hAnsi="Times New Roman" w:cs="Times New Roman"/>
          <w:bCs/>
          <w:color w:val="000000"/>
          <w:kern w:val="0"/>
          <w:sz w:val="24"/>
          <w:szCs w:val="24"/>
        </w:rPr>
        <w:t xml:space="preserve">. Later on, </w:t>
      </w:r>
      <w:proofErr w:type="spellStart"/>
      <w:r w:rsidR="00FA327F">
        <w:rPr>
          <w:rFonts w:ascii="Times New Roman" w:hAnsi="Times New Roman" w:cs="Times New Roman"/>
          <w:bCs/>
          <w:color w:val="000000"/>
          <w:kern w:val="0"/>
          <w:sz w:val="24"/>
          <w:szCs w:val="24"/>
        </w:rPr>
        <w:t>Sunderam</w:t>
      </w:r>
      <w:proofErr w:type="spellEnd"/>
      <w:r w:rsidR="00FA327F">
        <w:rPr>
          <w:rFonts w:ascii="Times New Roman" w:hAnsi="Times New Roman" w:cs="Times New Roman"/>
          <w:bCs/>
          <w:color w:val="000000"/>
          <w:kern w:val="0"/>
          <w:sz w:val="24"/>
          <w:szCs w:val="24"/>
        </w:rPr>
        <w:t xml:space="preserve"> (2015) proceeds to study on the money creation effect of the shadow banking system, </w:t>
      </w:r>
      <w:r w:rsidR="00140CC9">
        <w:rPr>
          <w:rFonts w:ascii="Times New Roman" w:hAnsi="Times New Roman" w:cs="Times New Roman"/>
          <w:bCs/>
          <w:color w:val="000000"/>
          <w:kern w:val="0"/>
          <w:sz w:val="24"/>
          <w:szCs w:val="24"/>
        </w:rPr>
        <w:t>indicating that the money demand is an important cause in the growth of the shadow banking system.</w:t>
      </w:r>
      <w:r w:rsidR="007F335F">
        <w:rPr>
          <w:rFonts w:ascii="Times New Roman" w:hAnsi="Times New Roman" w:cs="Times New Roman"/>
          <w:bCs/>
          <w:color w:val="000000"/>
          <w:kern w:val="0"/>
          <w:sz w:val="24"/>
          <w:szCs w:val="24"/>
        </w:rPr>
        <w:t xml:space="preserve"> </w:t>
      </w:r>
      <w:proofErr w:type="spellStart"/>
      <w:r w:rsidR="007D7A9C">
        <w:rPr>
          <w:rFonts w:ascii="Times New Roman" w:hAnsi="Times New Roman" w:cs="Times New Roman"/>
          <w:bCs/>
          <w:color w:val="000000"/>
          <w:kern w:val="0"/>
          <w:sz w:val="24"/>
          <w:szCs w:val="24"/>
        </w:rPr>
        <w:t>Plantin</w:t>
      </w:r>
      <w:proofErr w:type="spellEnd"/>
      <w:r w:rsidR="007D7A9C">
        <w:rPr>
          <w:rFonts w:ascii="Times New Roman" w:hAnsi="Times New Roman" w:cs="Times New Roman"/>
          <w:bCs/>
          <w:color w:val="000000"/>
          <w:kern w:val="0"/>
          <w:sz w:val="24"/>
          <w:szCs w:val="24"/>
        </w:rPr>
        <w:t xml:space="preserve"> (2015) and </w:t>
      </w:r>
      <w:proofErr w:type="spellStart"/>
      <w:r w:rsidR="007D7A9C">
        <w:rPr>
          <w:rFonts w:ascii="Times New Roman" w:hAnsi="Times New Roman" w:cs="Times New Roman"/>
          <w:bCs/>
          <w:color w:val="000000"/>
          <w:kern w:val="0"/>
          <w:sz w:val="24"/>
          <w:szCs w:val="24"/>
        </w:rPr>
        <w:t>Koijen</w:t>
      </w:r>
      <w:proofErr w:type="spellEnd"/>
      <w:r w:rsidR="007D7A9C">
        <w:rPr>
          <w:rFonts w:ascii="Times New Roman" w:hAnsi="Times New Roman" w:cs="Times New Roman"/>
          <w:bCs/>
          <w:color w:val="000000"/>
          <w:kern w:val="0"/>
          <w:sz w:val="24"/>
          <w:szCs w:val="24"/>
        </w:rPr>
        <w:t xml:space="preserve"> and </w:t>
      </w:r>
      <w:proofErr w:type="spellStart"/>
      <w:r w:rsidR="007D7A9C">
        <w:rPr>
          <w:rFonts w:ascii="Times New Roman" w:hAnsi="Times New Roman" w:cs="Times New Roman"/>
          <w:bCs/>
          <w:color w:val="000000"/>
          <w:kern w:val="0"/>
          <w:sz w:val="24"/>
          <w:szCs w:val="24"/>
        </w:rPr>
        <w:t>Yogo</w:t>
      </w:r>
      <w:proofErr w:type="spellEnd"/>
      <w:r w:rsidR="007D7A9C">
        <w:rPr>
          <w:rFonts w:ascii="Times New Roman" w:hAnsi="Times New Roman" w:cs="Times New Roman"/>
          <w:bCs/>
          <w:color w:val="000000"/>
          <w:kern w:val="0"/>
          <w:sz w:val="24"/>
          <w:szCs w:val="24"/>
        </w:rPr>
        <w:t xml:space="preserve"> (2016) </w:t>
      </w:r>
      <w:r w:rsidR="00A91EB7">
        <w:rPr>
          <w:rFonts w:ascii="Times New Roman" w:hAnsi="Times New Roman" w:cs="Times New Roman"/>
          <w:bCs/>
          <w:color w:val="000000"/>
          <w:kern w:val="0"/>
          <w:sz w:val="24"/>
          <w:szCs w:val="24"/>
        </w:rPr>
        <w:t>find the similar</w:t>
      </w:r>
      <w:r w:rsidR="007D7A9C">
        <w:rPr>
          <w:rFonts w:ascii="Times New Roman" w:hAnsi="Times New Roman" w:cs="Times New Roman"/>
          <w:bCs/>
          <w:color w:val="000000"/>
          <w:kern w:val="0"/>
          <w:sz w:val="24"/>
          <w:szCs w:val="24"/>
        </w:rPr>
        <w:t xml:space="preserve"> the </w:t>
      </w:r>
      <w:r w:rsidR="00A91EB7">
        <w:rPr>
          <w:rFonts w:ascii="Times New Roman" w:hAnsi="Times New Roman" w:cs="Times New Roman"/>
          <w:bCs/>
          <w:color w:val="000000"/>
          <w:kern w:val="0"/>
          <w:sz w:val="24"/>
          <w:szCs w:val="24"/>
        </w:rPr>
        <w:t xml:space="preserve">relationship between the shadow finance and the capital requirements in the industry of banking and insurance. </w:t>
      </w:r>
      <w:proofErr w:type="spellStart"/>
      <w:r w:rsidR="00A91EB7">
        <w:rPr>
          <w:rFonts w:ascii="Times New Roman" w:hAnsi="Times New Roman" w:cs="Times New Roman"/>
          <w:bCs/>
          <w:color w:val="000000"/>
          <w:kern w:val="0"/>
          <w:sz w:val="24"/>
          <w:szCs w:val="24"/>
        </w:rPr>
        <w:t>Plantin</w:t>
      </w:r>
      <w:proofErr w:type="spellEnd"/>
      <w:r w:rsidR="00A91EB7">
        <w:rPr>
          <w:rFonts w:ascii="Times New Roman" w:hAnsi="Times New Roman" w:cs="Times New Roman"/>
          <w:bCs/>
          <w:color w:val="000000"/>
          <w:kern w:val="0"/>
          <w:sz w:val="24"/>
          <w:szCs w:val="24"/>
        </w:rPr>
        <w:t xml:space="preserve"> (2015) argues that the tightening capital requirements may lead to the increment of shadow banking activity and result in an overall larger risk. On the other hand, </w:t>
      </w:r>
      <w:proofErr w:type="spellStart"/>
      <w:r w:rsidR="00A91EB7">
        <w:rPr>
          <w:rFonts w:ascii="Times New Roman" w:hAnsi="Times New Roman" w:cs="Times New Roman"/>
          <w:bCs/>
          <w:color w:val="000000"/>
          <w:kern w:val="0"/>
          <w:sz w:val="24"/>
          <w:szCs w:val="24"/>
        </w:rPr>
        <w:t>Koijen</w:t>
      </w:r>
      <w:proofErr w:type="spellEnd"/>
      <w:r w:rsidR="00A91EB7">
        <w:rPr>
          <w:rFonts w:ascii="Times New Roman" w:hAnsi="Times New Roman" w:cs="Times New Roman"/>
          <w:bCs/>
          <w:color w:val="000000"/>
          <w:kern w:val="0"/>
          <w:sz w:val="24"/>
          <w:szCs w:val="24"/>
        </w:rPr>
        <w:t xml:space="preserve"> and </w:t>
      </w:r>
      <w:proofErr w:type="spellStart"/>
      <w:r w:rsidR="00A91EB7">
        <w:rPr>
          <w:rFonts w:ascii="Times New Roman" w:hAnsi="Times New Roman" w:cs="Times New Roman"/>
          <w:bCs/>
          <w:color w:val="000000"/>
          <w:kern w:val="0"/>
          <w:sz w:val="24"/>
          <w:szCs w:val="24"/>
        </w:rPr>
        <w:t>Yogo</w:t>
      </w:r>
      <w:proofErr w:type="spellEnd"/>
      <w:r w:rsidR="00A91EB7">
        <w:rPr>
          <w:rFonts w:ascii="Times New Roman" w:hAnsi="Times New Roman" w:cs="Times New Roman"/>
          <w:bCs/>
          <w:color w:val="000000"/>
          <w:kern w:val="0"/>
          <w:sz w:val="24"/>
          <w:szCs w:val="24"/>
        </w:rPr>
        <w:t xml:space="preserve"> (2016) model and quantify the</w:t>
      </w:r>
      <w:r w:rsidR="00557F89">
        <w:rPr>
          <w:rFonts w:ascii="Times New Roman" w:hAnsi="Times New Roman" w:cs="Times New Roman"/>
          <w:bCs/>
          <w:color w:val="000000"/>
          <w:kern w:val="0"/>
          <w:sz w:val="24"/>
          <w:szCs w:val="24"/>
        </w:rPr>
        <w:t xml:space="preserve"> effect of</w:t>
      </w:r>
      <w:r w:rsidR="00A91EB7">
        <w:rPr>
          <w:rFonts w:ascii="Times New Roman" w:hAnsi="Times New Roman" w:cs="Times New Roman"/>
          <w:bCs/>
          <w:color w:val="000000"/>
          <w:kern w:val="0"/>
          <w:sz w:val="24"/>
          <w:szCs w:val="24"/>
        </w:rPr>
        <w:t xml:space="preserve"> </w:t>
      </w:r>
      <w:r w:rsidR="00557F89">
        <w:rPr>
          <w:rFonts w:ascii="Times New Roman" w:hAnsi="Times New Roman" w:cs="Times New Roman"/>
          <w:bCs/>
          <w:color w:val="000000"/>
          <w:kern w:val="0"/>
          <w:sz w:val="24"/>
          <w:szCs w:val="24"/>
        </w:rPr>
        <w:t xml:space="preserve">the </w:t>
      </w:r>
      <w:r w:rsidR="00A91EB7">
        <w:rPr>
          <w:rFonts w:ascii="Times New Roman" w:hAnsi="Times New Roman" w:cs="Times New Roman"/>
          <w:bCs/>
          <w:color w:val="000000"/>
          <w:kern w:val="0"/>
          <w:sz w:val="24"/>
          <w:szCs w:val="24"/>
        </w:rPr>
        <w:t xml:space="preserve">risk-based capital reduction </w:t>
      </w:r>
      <w:r w:rsidR="00557F89">
        <w:rPr>
          <w:rFonts w:ascii="Times New Roman" w:hAnsi="Times New Roman" w:cs="Times New Roman"/>
          <w:bCs/>
          <w:color w:val="000000"/>
          <w:kern w:val="0"/>
          <w:sz w:val="24"/>
          <w:szCs w:val="24"/>
        </w:rPr>
        <w:t>and the expected loss increasing</w:t>
      </w:r>
      <w:r w:rsidR="00A91EB7">
        <w:rPr>
          <w:rFonts w:ascii="Times New Roman" w:hAnsi="Times New Roman" w:cs="Times New Roman"/>
          <w:bCs/>
          <w:color w:val="000000"/>
          <w:kern w:val="0"/>
          <w:sz w:val="24"/>
          <w:szCs w:val="24"/>
        </w:rPr>
        <w:t xml:space="preserve"> </w:t>
      </w:r>
      <w:r w:rsidR="00557F89">
        <w:rPr>
          <w:rFonts w:ascii="Times New Roman" w:hAnsi="Times New Roman" w:cs="Times New Roman"/>
          <w:bCs/>
          <w:color w:val="000000"/>
          <w:kern w:val="0"/>
          <w:sz w:val="24"/>
          <w:szCs w:val="24"/>
        </w:rPr>
        <w:t>brought by</w:t>
      </w:r>
      <w:r w:rsidR="00A91EB7">
        <w:rPr>
          <w:rFonts w:ascii="Times New Roman" w:hAnsi="Times New Roman" w:cs="Times New Roman"/>
          <w:bCs/>
          <w:color w:val="000000"/>
          <w:kern w:val="0"/>
          <w:sz w:val="24"/>
          <w:szCs w:val="24"/>
        </w:rPr>
        <w:t xml:space="preserve"> the shadow insurance</w:t>
      </w:r>
      <w:r w:rsidR="00557F89">
        <w:rPr>
          <w:rFonts w:ascii="Times New Roman" w:hAnsi="Times New Roman" w:cs="Times New Roman"/>
          <w:bCs/>
          <w:color w:val="000000"/>
          <w:kern w:val="0"/>
          <w:sz w:val="24"/>
          <w:szCs w:val="24"/>
        </w:rPr>
        <w:t>.</w:t>
      </w:r>
    </w:p>
    <w:p w14:paraId="69DB6F93" w14:textId="1450B598" w:rsidR="005030AF" w:rsidRDefault="00E67359" w:rsidP="005030AF">
      <w:pPr>
        <w:adjustRightInd w:val="0"/>
        <w:spacing w:line="360" w:lineRule="auto"/>
        <w:textAlignment w:val="baseline"/>
        <w:rPr>
          <w:rFonts w:ascii="Times New Roman" w:hAnsi="Times New Roman" w:cs="Times New Roman"/>
          <w:bCs/>
          <w:color w:val="000000"/>
          <w:kern w:val="0"/>
          <w:sz w:val="24"/>
          <w:szCs w:val="24"/>
        </w:rPr>
      </w:pPr>
      <w:r>
        <w:rPr>
          <w:rFonts w:ascii="Times New Roman" w:hAnsi="Times New Roman" w:cs="Times New Roman"/>
          <w:bCs/>
          <w:color w:val="000000"/>
          <w:kern w:val="0"/>
          <w:sz w:val="24"/>
          <w:szCs w:val="24"/>
        </w:rPr>
        <w:t xml:space="preserve">Diamond and </w:t>
      </w:r>
      <w:proofErr w:type="spellStart"/>
      <w:r>
        <w:rPr>
          <w:rFonts w:ascii="Times New Roman" w:hAnsi="Times New Roman" w:cs="Times New Roman"/>
          <w:bCs/>
          <w:color w:val="000000"/>
          <w:kern w:val="0"/>
          <w:sz w:val="24"/>
          <w:szCs w:val="24"/>
        </w:rPr>
        <w:t>Rajan</w:t>
      </w:r>
      <w:proofErr w:type="spellEnd"/>
      <w:r>
        <w:rPr>
          <w:rFonts w:ascii="Times New Roman" w:hAnsi="Times New Roman" w:cs="Times New Roman"/>
          <w:bCs/>
          <w:color w:val="000000"/>
          <w:kern w:val="0"/>
          <w:sz w:val="24"/>
          <w:szCs w:val="24"/>
        </w:rPr>
        <w:t xml:space="preserve"> (2000) have noticed the trend of the decline in bank capital since 1980s twenty years ago. They present a theory of bank capital and point out that the </w:t>
      </w:r>
      <w:r>
        <w:rPr>
          <w:rFonts w:ascii="Times New Roman" w:hAnsi="Times New Roman" w:cs="Times New Roman"/>
          <w:bCs/>
          <w:color w:val="000000"/>
          <w:kern w:val="0"/>
          <w:sz w:val="24"/>
          <w:szCs w:val="24"/>
        </w:rPr>
        <w:lastRenderedPageBreak/>
        <w:t xml:space="preserve">“optimal bank capital structure trades off effects on liquidity creation, costs of bank distress, and the ability to force borrower repayment”. </w:t>
      </w:r>
      <w:r w:rsidR="00CF3461">
        <w:rPr>
          <w:rFonts w:ascii="Times New Roman" w:hAnsi="Times New Roman" w:cs="Times New Roman"/>
          <w:bCs/>
          <w:color w:val="000000"/>
          <w:kern w:val="0"/>
          <w:sz w:val="24"/>
          <w:szCs w:val="24"/>
        </w:rPr>
        <w:t xml:space="preserve">Gordy (2003) then lay down the foundation for the Basel I capital requirement framework. </w:t>
      </w:r>
      <w:r w:rsidR="00315826">
        <w:rPr>
          <w:rFonts w:ascii="Times New Roman" w:hAnsi="Times New Roman" w:cs="Times New Roman"/>
          <w:bCs/>
          <w:color w:val="000000"/>
          <w:kern w:val="0"/>
          <w:sz w:val="24"/>
          <w:szCs w:val="24"/>
        </w:rPr>
        <w:t>In fact, the capital requirement has been always almost the strongest constraints for banks business</w:t>
      </w:r>
      <w:r w:rsidR="00D86AAB">
        <w:rPr>
          <w:rFonts w:ascii="Times New Roman" w:hAnsi="Times New Roman" w:cs="Times New Roman"/>
          <w:bCs/>
          <w:color w:val="000000"/>
          <w:kern w:val="0"/>
          <w:sz w:val="24"/>
          <w:szCs w:val="24"/>
        </w:rPr>
        <w:t xml:space="preserve">. As pointed out by Bernanke and </w:t>
      </w:r>
      <w:proofErr w:type="spellStart"/>
      <w:r w:rsidR="00D86AAB">
        <w:rPr>
          <w:rFonts w:ascii="Times New Roman" w:hAnsi="Times New Roman" w:cs="Times New Roman"/>
          <w:bCs/>
          <w:color w:val="000000"/>
          <w:kern w:val="0"/>
          <w:sz w:val="24"/>
          <w:szCs w:val="24"/>
        </w:rPr>
        <w:t>Lown</w:t>
      </w:r>
      <w:proofErr w:type="spellEnd"/>
      <w:r w:rsidR="00D86AAB">
        <w:rPr>
          <w:rFonts w:ascii="Times New Roman" w:hAnsi="Times New Roman" w:cs="Times New Roman"/>
          <w:bCs/>
          <w:color w:val="000000"/>
          <w:kern w:val="0"/>
          <w:sz w:val="24"/>
          <w:szCs w:val="24"/>
        </w:rPr>
        <w:t xml:space="preserve"> (1991</w:t>
      </w:r>
      <w:r w:rsidR="00D86AAB">
        <w:rPr>
          <w:rFonts w:ascii="Times New Roman" w:hAnsi="Times New Roman" w:cs="Times New Roman" w:hint="eastAsia"/>
          <w:bCs/>
          <w:color w:val="000000"/>
          <w:kern w:val="0"/>
          <w:sz w:val="24"/>
          <w:szCs w:val="24"/>
        </w:rPr>
        <w:t>),</w:t>
      </w:r>
      <w:r w:rsidR="00D86AAB">
        <w:rPr>
          <w:rFonts w:ascii="Times New Roman" w:hAnsi="Times New Roman" w:cs="Times New Roman"/>
          <w:bCs/>
          <w:color w:val="000000"/>
          <w:kern w:val="0"/>
          <w:sz w:val="24"/>
          <w:szCs w:val="24"/>
        </w:rPr>
        <w:t xml:space="preserve"> the tightening capital would result in credit crunch. It is not strange that banks would rather employ other instruments to realize the regulatory arbitrage to circumvent capital requir</w:t>
      </w:r>
      <w:r w:rsidR="00254C30">
        <w:rPr>
          <w:rFonts w:ascii="Times New Roman" w:hAnsi="Times New Roman" w:cs="Times New Roman"/>
          <w:bCs/>
          <w:color w:val="000000"/>
          <w:kern w:val="0"/>
          <w:sz w:val="24"/>
          <w:szCs w:val="24"/>
        </w:rPr>
        <w:t>e</w:t>
      </w:r>
      <w:r w:rsidR="00D86AAB">
        <w:rPr>
          <w:rFonts w:ascii="Times New Roman" w:hAnsi="Times New Roman" w:cs="Times New Roman"/>
          <w:bCs/>
          <w:color w:val="000000"/>
          <w:kern w:val="0"/>
          <w:sz w:val="24"/>
          <w:szCs w:val="24"/>
        </w:rPr>
        <w:t>ments.</w:t>
      </w:r>
      <w:r w:rsidR="00315826">
        <w:rPr>
          <w:rFonts w:ascii="Times New Roman" w:hAnsi="Times New Roman" w:cs="Times New Roman"/>
          <w:bCs/>
          <w:color w:val="000000"/>
          <w:kern w:val="0"/>
          <w:sz w:val="24"/>
          <w:szCs w:val="24"/>
        </w:rPr>
        <w:t xml:space="preserve"> </w:t>
      </w:r>
      <w:r w:rsidR="00CF3461">
        <w:rPr>
          <w:rFonts w:ascii="Times New Roman" w:hAnsi="Times New Roman" w:cs="Times New Roman"/>
          <w:bCs/>
          <w:color w:val="000000"/>
          <w:kern w:val="0"/>
          <w:sz w:val="24"/>
          <w:szCs w:val="24"/>
        </w:rPr>
        <w:t>Acharya et al (2013) analyze the asset-backed commercial paper conduits, pointing out it is the regulatory arbitrage that drive sponsoring financial institution</w:t>
      </w:r>
      <w:r w:rsidR="00315826">
        <w:rPr>
          <w:rFonts w:ascii="Times New Roman" w:hAnsi="Times New Roman" w:cs="Times New Roman"/>
          <w:bCs/>
          <w:color w:val="000000"/>
          <w:kern w:val="0"/>
          <w:sz w:val="24"/>
          <w:szCs w:val="24"/>
        </w:rPr>
        <w:t>s</w:t>
      </w:r>
      <w:r w:rsidR="00CF3461">
        <w:rPr>
          <w:rFonts w:ascii="Times New Roman" w:hAnsi="Times New Roman" w:cs="Times New Roman"/>
          <w:bCs/>
          <w:color w:val="000000"/>
          <w:kern w:val="0"/>
          <w:sz w:val="24"/>
          <w:szCs w:val="24"/>
        </w:rPr>
        <w:t xml:space="preserve"> to set up them. They hypothesi</w:t>
      </w:r>
      <w:r w:rsidR="002910B3">
        <w:rPr>
          <w:rFonts w:ascii="Times New Roman" w:hAnsi="Times New Roman" w:cs="Times New Roman"/>
          <w:bCs/>
          <w:color w:val="000000"/>
          <w:kern w:val="0"/>
          <w:sz w:val="24"/>
          <w:szCs w:val="24"/>
        </w:rPr>
        <w:t>ze</w:t>
      </w:r>
      <w:r w:rsidR="00CF3461">
        <w:rPr>
          <w:rFonts w:ascii="Times New Roman" w:hAnsi="Times New Roman" w:cs="Times New Roman"/>
          <w:bCs/>
          <w:color w:val="000000"/>
          <w:kern w:val="0"/>
          <w:sz w:val="24"/>
          <w:szCs w:val="24"/>
        </w:rPr>
        <w:t xml:space="preserve"> that commercial banks set up conduits to minimize regulatory capital requirements</w:t>
      </w:r>
      <w:r w:rsidR="002910B3">
        <w:rPr>
          <w:rFonts w:ascii="Times New Roman" w:hAnsi="Times New Roman" w:cs="Times New Roman"/>
          <w:bCs/>
          <w:color w:val="000000"/>
          <w:kern w:val="0"/>
          <w:sz w:val="24"/>
          <w:szCs w:val="24"/>
        </w:rPr>
        <w:t xml:space="preserve"> and more so by banks with more capital-constrained or with guarantee</w:t>
      </w:r>
      <w:r w:rsidR="00FA715C">
        <w:rPr>
          <w:rFonts w:ascii="Times New Roman" w:hAnsi="Times New Roman" w:cs="Times New Roman"/>
          <w:bCs/>
          <w:color w:val="000000"/>
          <w:kern w:val="0"/>
          <w:sz w:val="24"/>
          <w:szCs w:val="24"/>
        </w:rPr>
        <w:t>s</w:t>
      </w:r>
      <w:r w:rsidR="002910B3">
        <w:rPr>
          <w:rFonts w:ascii="Times New Roman" w:hAnsi="Times New Roman" w:cs="Times New Roman"/>
          <w:bCs/>
          <w:color w:val="000000"/>
          <w:kern w:val="0"/>
          <w:sz w:val="24"/>
          <w:szCs w:val="24"/>
        </w:rPr>
        <w:t xml:space="preserve"> that bypass</w:t>
      </w:r>
      <w:r w:rsidR="00CF3461">
        <w:rPr>
          <w:rFonts w:ascii="Times New Roman" w:hAnsi="Times New Roman" w:cs="Times New Roman"/>
          <w:bCs/>
          <w:color w:val="000000"/>
          <w:kern w:val="0"/>
          <w:sz w:val="24"/>
          <w:szCs w:val="24"/>
        </w:rPr>
        <w:t xml:space="preserve"> </w:t>
      </w:r>
      <w:r w:rsidR="00306526">
        <w:rPr>
          <w:rFonts w:ascii="Times New Roman" w:hAnsi="Times New Roman" w:cs="Times New Roman"/>
          <w:bCs/>
          <w:color w:val="000000"/>
          <w:kern w:val="0"/>
          <w:sz w:val="24"/>
          <w:szCs w:val="24"/>
        </w:rPr>
        <w:t>capital requirements</w:t>
      </w:r>
      <w:r w:rsidR="00306526">
        <w:rPr>
          <w:rStyle w:val="a5"/>
          <w:rFonts w:ascii="Times New Roman" w:hAnsi="Times New Roman" w:cs="Times New Roman"/>
          <w:bCs/>
          <w:color w:val="000000"/>
          <w:kern w:val="0"/>
          <w:sz w:val="24"/>
          <w:szCs w:val="24"/>
        </w:rPr>
        <w:footnoteReference w:id="10"/>
      </w:r>
      <w:r w:rsidR="00306526">
        <w:rPr>
          <w:rFonts w:ascii="Times New Roman" w:hAnsi="Times New Roman" w:cs="Times New Roman"/>
          <w:bCs/>
          <w:color w:val="000000"/>
          <w:kern w:val="0"/>
          <w:sz w:val="24"/>
          <w:szCs w:val="24"/>
        </w:rPr>
        <w:t>.</w:t>
      </w:r>
      <w:r w:rsidR="00315826">
        <w:rPr>
          <w:rFonts w:ascii="Times New Roman" w:hAnsi="Times New Roman" w:cs="Times New Roman"/>
          <w:bCs/>
          <w:color w:val="000000"/>
          <w:kern w:val="0"/>
          <w:sz w:val="24"/>
          <w:szCs w:val="24"/>
        </w:rPr>
        <w:t xml:space="preserve"> </w:t>
      </w:r>
      <w:r w:rsidR="005B1A92">
        <w:rPr>
          <w:rFonts w:ascii="Times New Roman" w:hAnsi="Times New Roman" w:cs="Times New Roman"/>
          <w:bCs/>
          <w:color w:val="000000"/>
          <w:kern w:val="0"/>
          <w:sz w:val="24"/>
          <w:szCs w:val="24"/>
        </w:rPr>
        <w:t xml:space="preserve">They test their hypothesis and find that conduits basically don’t transfer the risk to the outside investor, instead of leaving it within banks. </w:t>
      </w:r>
      <w:r w:rsidR="00B87E2D">
        <w:rPr>
          <w:rFonts w:ascii="Times New Roman" w:hAnsi="Times New Roman" w:cs="Times New Roman"/>
          <w:bCs/>
          <w:color w:val="000000"/>
          <w:kern w:val="0"/>
          <w:sz w:val="24"/>
          <w:szCs w:val="24"/>
        </w:rPr>
        <w:t>Our paper</w:t>
      </w:r>
      <w:r w:rsidR="005B1A92">
        <w:rPr>
          <w:rFonts w:ascii="Times New Roman" w:hAnsi="Times New Roman" w:cs="Times New Roman"/>
          <w:bCs/>
          <w:color w:val="000000"/>
          <w:kern w:val="0"/>
          <w:sz w:val="24"/>
          <w:szCs w:val="24"/>
        </w:rPr>
        <w:t xml:space="preserve">, on the basis of existing works, attempts to </w:t>
      </w:r>
      <w:r w:rsidR="00B87E2D">
        <w:rPr>
          <w:rFonts w:ascii="Times New Roman" w:hAnsi="Times New Roman" w:cs="Times New Roman"/>
          <w:bCs/>
          <w:color w:val="000000"/>
          <w:kern w:val="0"/>
          <w:sz w:val="24"/>
          <w:szCs w:val="24"/>
        </w:rPr>
        <w:t xml:space="preserve">summarizes possible impact factors </w:t>
      </w:r>
      <w:r w:rsidR="005B1A92">
        <w:rPr>
          <w:rFonts w:ascii="Times New Roman" w:hAnsi="Times New Roman" w:cs="Times New Roman"/>
          <w:bCs/>
          <w:color w:val="000000"/>
          <w:kern w:val="0"/>
          <w:sz w:val="24"/>
          <w:szCs w:val="24"/>
        </w:rPr>
        <w:t>on the SPV investment of main types of Chinese banks</w:t>
      </w:r>
      <w:r w:rsidR="00414AD6">
        <w:rPr>
          <w:rFonts w:ascii="Times New Roman" w:hAnsi="Times New Roman" w:cs="Times New Roman"/>
          <w:bCs/>
          <w:color w:val="000000"/>
          <w:kern w:val="0"/>
          <w:sz w:val="24"/>
          <w:szCs w:val="24"/>
        </w:rPr>
        <w:t xml:space="preserve"> then explores the heterogeneous impacts of factors on different types of banks. </w:t>
      </w:r>
    </w:p>
    <w:p w14:paraId="0F7845B6" w14:textId="0D7F5B3A" w:rsidR="00557F89" w:rsidRPr="002B1B59" w:rsidRDefault="007E0B6A" w:rsidP="005030AF">
      <w:pPr>
        <w:adjustRightInd w:val="0"/>
        <w:spacing w:line="360" w:lineRule="auto"/>
        <w:textAlignment w:val="baseline"/>
        <w:rPr>
          <w:rFonts w:ascii="Times New Roman" w:hAnsi="Times New Roman" w:cs="Times New Roman"/>
          <w:bCs/>
          <w:color w:val="000000"/>
          <w:kern w:val="0"/>
          <w:sz w:val="24"/>
          <w:szCs w:val="24"/>
        </w:rPr>
      </w:pPr>
      <w:r>
        <w:rPr>
          <w:rFonts w:ascii="Times New Roman" w:hAnsi="Times New Roman" w:cs="Times New Roman"/>
          <w:bCs/>
          <w:color w:val="000000"/>
          <w:kern w:val="0"/>
          <w:sz w:val="24"/>
          <w:szCs w:val="24"/>
        </w:rPr>
        <w:t>It is worthy to underline that</w:t>
      </w:r>
      <w:r w:rsidR="0009168B">
        <w:rPr>
          <w:rFonts w:ascii="Times New Roman" w:hAnsi="Times New Roman" w:cs="Times New Roman"/>
          <w:bCs/>
          <w:color w:val="000000"/>
          <w:kern w:val="0"/>
          <w:sz w:val="24"/>
          <w:szCs w:val="24"/>
        </w:rPr>
        <w:t>, unlike the one in U.S. or Eurozone, the Chinese conduit is usually not formed by a process of securitization but with a form of SPV</w:t>
      </w:r>
      <w:r w:rsidR="0009168B">
        <w:rPr>
          <w:rStyle w:val="a5"/>
          <w:rFonts w:ascii="Times New Roman" w:hAnsi="Times New Roman" w:cs="Times New Roman"/>
          <w:bCs/>
          <w:color w:val="000000"/>
          <w:kern w:val="0"/>
          <w:sz w:val="24"/>
          <w:szCs w:val="24"/>
        </w:rPr>
        <w:footnoteReference w:id="11"/>
      </w:r>
      <w:r w:rsidR="0009168B">
        <w:rPr>
          <w:rFonts w:ascii="Times New Roman" w:hAnsi="Times New Roman" w:cs="Times New Roman"/>
          <w:bCs/>
          <w:color w:val="000000"/>
          <w:kern w:val="0"/>
          <w:sz w:val="24"/>
          <w:szCs w:val="24"/>
        </w:rPr>
        <w:t xml:space="preserve">. And the sponsoring institutions are not typically investment banks but </w:t>
      </w:r>
      <w:r w:rsidR="008E7FEC">
        <w:rPr>
          <w:rFonts w:ascii="Times New Roman" w:hAnsi="Times New Roman" w:cs="Times New Roman"/>
          <w:bCs/>
          <w:color w:val="000000"/>
          <w:kern w:val="0"/>
          <w:sz w:val="24"/>
          <w:szCs w:val="24"/>
        </w:rPr>
        <w:t>mostly are</w:t>
      </w:r>
      <w:r w:rsidR="008E7FEC" w:rsidRPr="008E7FEC">
        <w:rPr>
          <w:rFonts w:ascii="Times New Roman" w:hAnsi="Times New Roman" w:cs="Times New Roman"/>
          <w:bCs/>
          <w:color w:val="000000"/>
          <w:kern w:val="0"/>
          <w:sz w:val="24"/>
          <w:szCs w:val="24"/>
        </w:rPr>
        <w:t xml:space="preserve"> trust compan</w:t>
      </w:r>
      <w:r w:rsidR="008E7FEC">
        <w:rPr>
          <w:rFonts w:ascii="Times New Roman" w:hAnsi="Times New Roman" w:cs="Times New Roman"/>
          <w:bCs/>
          <w:color w:val="000000"/>
          <w:kern w:val="0"/>
          <w:sz w:val="24"/>
          <w:szCs w:val="24"/>
        </w:rPr>
        <w:t>ies</w:t>
      </w:r>
      <w:r w:rsidR="008E7FEC" w:rsidRPr="008E7FEC">
        <w:rPr>
          <w:rFonts w:ascii="Times New Roman" w:hAnsi="Times New Roman" w:cs="Times New Roman"/>
          <w:bCs/>
          <w:color w:val="000000"/>
          <w:kern w:val="0"/>
          <w:sz w:val="24"/>
          <w:szCs w:val="24"/>
        </w:rPr>
        <w:t>, insurance asset management compan</w:t>
      </w:r>
      <w:r w:rsidR="008E7FEC">
        <w:rPr>
          <w:rFonts w:ascii="Times New Roman" w:hAnsi="Times New Roman" w:cs="Times New Roman"/>
          <w:bCs/>
          <w:color w:val="000000"/>
          <w:kern w:val="0"/>
          <w:sz w:val="24"/>
          <w:szCs w:val="24"/>
        </w:rPr>
        <w:t>ies, as well as commercial banks themselves.</w:t>
      </w:r>
      <w:r w:rsidR="008E7FEC" w:rsidRPr="008E7FEC">
        <w:rPr>
          <w:rFonts w:ascii="Times New Roman" w:hAnsi="Times New Roman" w:cs="Times New Roman"/>
          <w:bCs/>
          <w:color w:val="000000"/>
          <w:kern w:val="0"/>
          <w:sz w:val="24"/>
          <w:szCs w:val="24"/>
        </w:rPr>
        <w:t xml:space="preserve"> </w:t>
      </w:r>
      <w:r w:rsidR="008E7FEC">
        <w:rPr>
          <w:rFonts w:ascii="Times New Roman" w:hAnsi="Times New Roman" w:cs="Times New Roman"/>
          <w:bCs/>
          <w:color w:val="000000"/>
          <w:kern w:val="0"/>
          <w:sz w:val="24"/>
          <w:szCs w:val="24"/>
        </w:rPr>
        <w:t xml:space="preserve">our work is probably the first research in this field for Chinese banks, partly because of </w:t>
      </w:r>
      <w:r w:rsidR="008E7FEC">
        <w:rPr>
          <w:rFonts w:ascii="Times New Roman" w:hAnsi="Times New Roman" w:cs="Times New Roman"/>
          <w:bCs/>
          <w:color w:val="000000"/>
          <w:kern w:val="0"/>
          <w:sz w:val="24"/>
          <w:szCs w:val="24"/>
        </w:rPr>
        <w:t>the unique data resources covering all main types of Chinese commercial banks, particularly containing 100 small and medium banks (CCBs and RCBs)</w:t>
      </w:r>
      <w:r w:rsidR="00DE12E7">
        <w:rPr>
          <w:rStyle w:val="a5"/>
          <w:rFonts w:ascii="Times New Roman" w:hAnsi="Times New Roman" w:cs="Times New Roman"/>
          <w:bCs/>
          <w:color w:val="000000"/>
          <w:kern w:val="0"/>
          <w:sz w:val="24"/>
          <w:szCs w:val="24"/>
        </w:rPr>
        <w:footnoteReference w:id="12"/>
      </w:r>
      <w:r w:rsidR="008E7FEC">
        <w:rPr>
          <w:rFonts w:ascii="Times New Roman" w:hAnsi="Times New Roman" w:cs="Times New Roman"/>
          <w:bCs/>
          <w:color w:val="000000"/>
          <w:kern w:val="0"/>
          <w:sz w:val="24"/>
          <w:szCs w:val="24"/>
        </w:rPr>
        <w:t xml:space="preserve">, which has been playing more and more important roles in modern economy and finance of China. </w:t>
      </w:r>
    </w:p>
    <w:p w14:paraId="21A9F12D" w14:textId="77777777" w:rsidR="005030AF" w:rsidRDefault="005030AF" w:rsidP="00915762">
      <w:pPr>
        <w:adjustRightInd w:val="0"/>
        <w:spacing w:line="360" w:lineRule="auto"/>
        <w:textAlignment w:val="baseline"/>
        <w:rPr>
          <w:rFonts w:ascii="Times New Roman" w:eastAsia="PMingLiU" w:hAnsi="Times New Roman" w:cs="Times New Roman"/>
          <w:b/>
          <w:kern w:val="0"/>
          <w:sz w:val="30"/>
          <w:szCs w:val="30"/>
          <w:lang w:eastAsia="zh-TW"/>
        </w:rPr>
      </w:pPr>
    </w:p>
    <w:p w14:paraId="009323F0" w14:textId="40EB65B7" w:rsidR="00915762" w:rsidRPr="00915762" w:rsidRDefault="00915762" w:rsidP="00915762">
      <w:pPr>
        <w:adjustRightInd w:val="0"/>
        <w:spacing w:line="360" w:lineRule="auto"/>
        <w:textAlignment w:val="baseline"/>
        <w:rPr>
          <w:rFonts w:ascii="Times New Roman" w:eastAsia="PMingLiU" w:hAnsi="Times New Roman" w:cs="Times New Roman"/>
          <w:b/>
          <w:kern w:val="0"/>
          <w:sz w:val="30"/>
          <w:szCs w:val="30"/>
          <w:lang w:eastAsia="zh-TW"/>
        </w:rPr>
      </w:pPr>
      <w:r w:rsidRPr="00915762">
        <w:rPr>
          <w:rFonts w:ascii="Times New Roman" w:eastAsia="PMingLiU" w:hAnsi="Times New Roman" w:cs="Times New Roman"/>
          <w:b/>
          <w:kern w:val="0"/>
          <w:sz w:val="30"/>
          <w:szCs w:val="30"/>
          <w:lang w:eastAsia="zh-TW"/>
        </w:rPr>
        <w:lastRenderedPageBreak/>
        <w:t>3</w:t>
      </w:r>
      <w:r w:rsidR="005966B4">
        <w:rPr>
          <w:rFonts w:ascii="Times New Roman" w:eastAsia="PMingLiU" w:hAnsi="Times New Roman" w:cs="Times New Roman" w:hint="eastAsia"/>
          <w:b/>
          <w:kern w:val="0"/>
          <w:sz w:val="30"/>
          <w:szCs w:val="30"/>
        </w:rPr>
        <w:t xml:space="preserve">. </w:t>
      </w:r>
      <w:r>
        <w:rPr>
          <w:rFonts w:ascii="Times New Roman" w:eastAsia="PMingLiU" w:hAnsi="Times New Roman" w:cs="Times New Roman"/>
          <w:b/>
          <w:kern w:val="0"/>
          <w:sz w:val="30"/>
          <w:szCs w:val="30"/>
          <w:lang w:eastAsia="zh-TW"/>
        </w:rPr>
        <w:t>The Model</w:t>
      </w:r>
    </w:p>
    <w:p w14:paraId="27D65514" w14:textId="1804BEFE" w:rsidR="005966B4" w:rsidRDefault="00596E5F" w:rsidP="00915762">
      <w:pPr>
        <w:adjustRightInd w:val="0"/>
        <w:spacing w:line="360" w:lineRule="auto"/>
        <w:textAlignment w:val="baseline"/>
        <w:rPr>
          <w:rFonts w:ascii="Times New Roman" w:hAnsi="Times New Roman" w:cs="Times New Roman"/>
          <w:b/>
          <w:bCs/>
          <w:kern w:val="0"/>
          <w:sz w:val="24"/>
          <w:szCs w:val="24"/>
        </w:rPr>
      </w:pPr>
      <w:r w:rsidRPr="00596E5F">
        <w:rPr>
          <w:rFonts w:ascii="Times New Roman" w:eastAsia="PMingLiU" w:hAnsi="Times New Roman" w:cs="Times New Roman"/>
          <w:b/>
          <w:bCs/>
          <w:kern w:val="0"/>
          <w:sz w:val="24"/>
          <w:szCs w:val="24"/>
          <w:lang w:eastAsia="zh-TW"/>
        </w:rPr>
        <w:t>3.1</w:t>
      </w:r>
      <w:r w:rsidR="005966B4">
        <w:rPr>
          <w:rFonts w:ascii="Times New Roman" w:eastAsia="PMingLiU" w:hAnsi="Times New Roman" w:cs="Times New Roman" w:hint="eastAsia"/>
          <w:b/>
          <w:bCs/>
          <w:kern w:val="0"/>
          <w:sz w:val="24"/>
          <w:szCs w:val="24"/>
        </w:rPr>
        <w:t xml:space="preserve">   </w:t>
      </w:r>
      <w:r w:rsidR="00110489">
        <w:rPr>
          <w:rFonts w:ascii="Times New Roman" w:eastAsia="PMingLiU" w:hAnsi="Times New Roman" w:cs="Times New Roman"/>
          <w:b/>
          <w:bCs/>
          <w:kern w:val="0"/>
          <w:sz w:val="24"/>
          <w:szCs w:val="24"/>
          <w:lang w:eastAsia="zh-TW"/>
        </w:rPr>
        <w:t>Impact Factors</w:t>
      </w:r>
    </w:p>
    <w:p w14:paraId="65DB9C19" w14:textId="28A5EA54" w:rsidR="0008635F" w:rsidRDefault="00110489" w:rsidP="00915762">
      <w:pPr>
        <w:adjustRightInd w:val="0"/>
        <w:spacing w:line="360" w:lineRule="auto"/>
        <w:textAlignment w:val="baseline"/>
        <w:rPr>
          <w:rFonts w:ascii="Times New Roman" w:hAnsi="Times New Roman" w:cs="Times New Roman"/>
          <w:bCs/>
          <w:color w:val="000000"/>
          <w:kern w:val="0"/>
          <w:sz w:val="24"/>
          <w:szCs w:val="24"/>
        </w:rPr>
      </w:pPr>
      <w:r>
        <w:rPr>
          <w:rFonts w:ascii="Times New Roman" w:eastAsia="PMingLiU" w:hAnsi="Times New Roman" w:cs="Times New Roman"/>
          <w:kern w:val="0"/>
          <w:sz w:val="24"/>
          <w:szCs w:val="24"/>
          <w:lang w:eastAsia="zh-TW"/>
        </w:rPr>
        <w:t>As discussed before, we focus on four type</w:t>
      </w:r>
      <w:r w:rsidR="003D1C2F">
        <w:rPr>
          <w:rFonts w:ascii="Times New Roman" w:eastAsia="PMingLiU" w:hAnsi="Times New Roman" w:cs="Times New Roman"/>
          <w:kern w:val="0"/>
          <w:sz w:val="24"/>
          <w:szCs w:val="24"/>
          <w:lang w:eastAsia="zh-TW"/>
        </w:rPr>
        <w:t>s</w:t>
      </w:r>
      <w:r>
        <w:rPr>
          <w:rFonts w:ascii="Times New Roman" w:eastAsia="PMingLiU" w:hAnsi="Times New Roman" w:cs="Times New Roman"/>
          <w:kern w:val="0"/>
          <w:sz w:val="24"/>
          <w:szCs w:val="24"/>
          <w:lang w:eastAsia="zh-TW"/>
        </w:rPr>
        <w:t xml:space="preserve"> of </w:t>
      </w:r>
      <w:r w:rsidR="009A7947">
        <w:rPr>
          <w:rFonts w:ascii="Times New Roman" w:eastAsia="PMingLiU" w:hAnsi="Times New Roman" w:cs="Times New Roman"/>
          <w:kern w:val="0"/>
          <w:sz w:val="24"/>
          <w:szCs w:val="24"/>
          <w:lang w:eastAsia="zh-TW"/>
        </w:rPr>
        <w:t>influences</w:t>
      </w:r>
      <w:r>
        <w:rPr>
          <w:rFonts w:ascii="Times New Roman" w:eastAsia="PMingLiU" w:hAnsi="Times New Roman" w:cs="Times New Roman"/>
          <w:kern w:val="0"/>
          <w:sz w:val="24"/>
          <w:szCs w:val="24"/>
          <w:lang w:eastAsia="zh-TW"/>
        </w:rPr>
        <w:t xml:space="preserve">: regulatory constraint, </w:t>
      </w:r>
      <w:r w:rsidR="00F268FB">
        <w:rPr>
          <w:rFonts w:ascii="Times New Roman" w:eastAsia="PMingLiU" w:hAnsi="Times New Roman" w:cs="Times New Roman"/>
          <w:kern w:val="0"/>
          <w:sz w:val="24"/>
          <w:szCs w:val="24"/>
          <w:lang w:eastAsia="zh-TW"/>
        </w:rPr>
        <w:t>earning capability</w:t>
      </w:r>
      <w:r w:rsidR="0008635F">
        <w:rPr>
          <w:rFonts w:ascii="Times New Roman" w:hAnsi="Times New Roman" w:cs="Times New Roman"/>
          <w:bCs/>
          <w:color w:val="000000"/>
          <w:kern w:val="0"/>
          <w:sz w:val="24"/>
          <w:szCs w:val="24"/>
        </w:rPr>
        <w:t>, funding resource</w:t>
      </w:r>
      <w:r w:rsidR="003D1C2F">
        <w:rPr>
          <w:rFonts w:ascii="Times New Roman" w:hAnsi="Times New Roman" w:cs="Times New Roman"/>
          <w:bCs/>
          <w:color w:val="000000"/>
          <w:kern w:val="0"/>
          <w:sz w:val="24"/>
          <w:szCs w:val="24"/>
        </w:rPr>
        <w:t>s</w:t>
      </w:r>
      <w:r w:rsidR="0008635F">
        <w:rPr>
          <w:rFonts w:ascii="Times New Roman" w:hAnsi="Times New Roman" w:cs="Times New Roman"/>
          <w:bCs/>
          <w:color w:val="000000"/>
          <w:kern w:val="0"/>
          <w:sz w:val="24"/>
          <w:szCs w:val="24"/>
        </w:rPr>
        <w:t xml:space="preserve"> and </w:t>
      </w:r>
      <w:r w:rsidR="0077716B">
        <w:rPr>
          <w:rFonts w:ascii="Times New Roman" w:hAnsi="Times New Roman" w:cs="Times New Roman"/>
          <w:bCs/>
          <w:color w:val="000000"/>
          <w:kern w:val="0"/>
          <w:sz w:val="24"/>
          <w:szCs w:val="24"/>
        </w:rPr>
        <w:t>limit</w:t>
      </w:r>
      <w:r w:rsidR="0008635F">
        <w:rPr>
          <w:rFonts w:ascii="Times New Roman" w:hAnsi="Times New Roman" w:cs="Times New Roman"/>
          <w:bCs/>
          <w:color w:val="000000"/>
          <w:kern w:val="0"/>
          <w:sz w:val="24"/>
          <w:szCs w:val="24"/>
        </w:rPr>
        <w:t>ing policy, which are demonstrated in 8 impact factors, i.e. explanatory variables as follows.</w:t>
      </w:r>
    </w:p>
    <w:p w14:paraId="648A9E28" w14:textId="75D47BE7" w:rsidR="00915762" w:rsidRPr="0008635F" w:rsidRDefault="0008635F" w:rsidP="0008635F">
      <w:pPr>
        <w:pStyle w:val="ad"/>
        <w:numPr>
          <w:ilvl w:val="0"/>
          <w:numId w:val="5"/>
        </w:numPr>
        <w:adjustRightInd w:val="0"/>
        <w:spacing w:line="360" w:lineRule="auto"/>
        <w:ind w:firstLineChars="0"/>
        <w:textAlignment w:val="baseline"/>
        <w:rPr>
          <w:rFonts w:ascii="Times New Roman" w:eastAsia="PMingLiU" w:hAnsi="Times New Roman" w:cs="Times New Roman"/>
          <w:kern w:val="0"/>
          <w:sz w:val="24"/>
          <w:szCs w:val="24"/>
          <w:lang w:eastAsia="zh-TW"/>
        </w:rPr>
      </w:pPr>
      <w:r w:rsidRPr="0008635F">
        <w:rPr>
          <w:rFonts w:ascii="Times New Roman" w:hAnsi="Times New Roman" w:cs="Times New Roman"/>
          <w:b/>
          <w:color w:val="000000"/>
          <w:kern w:val="0"/>
          <w:sz w:val="24"/>
          <w:szCs w:val="24"/>
        </w:rPr>
        <w:t>Capital Adequacy Ratio (CAR)</w:t>
      </w:r>
      <w:r w:rsidR="00396A70">
        <w:rPr>
          <w:rFonts w:ascii="Times New Roman" w:eastAsia="PMingLiU" w:hAnsi="Times New Roman" w:cs="Times New Roman"/>
          <w:kern w:val="0"/>
          <w:sz w:val="24"/>
          <w:szCs w:val="24"/>
          <w:lang w:eastAsia="zh-TW"/>
        </w:rPr>
        <w:t xml:space="preserve">: </w:t>
      </w:r>
      <w:r w:rsidRPr="0008635F">
        <w:rPr>
          <w:rFonts w:ascii="Times New Roman" w:eastAsia="PMingLiU" w:hAnsi="Times New Roman" w:cs="Times New Roman"/>
          <w:kern w:val="0"/>
          <w:sz w:val="24"/>
          <w:szCs w:val="24"/>
          <w:lang w:eastAsia="zh-TW"/>
        </w:rPr>
        <w:t>Banks with relatively more stress in capital tend to invest more on SPV, even transfer their loans into non-standard asset being traded in interbank market to save capital.</w:t>
      </w:r>
      <w:r>
        <w:rPr>
          <w:rFonts w:ascii="Times New Roman" w:eastAsia="PMingLiU" w:hAnsi="Times New Roman" w:cs="Times New Roman"/>
          <w:kern w:val="0"/>
          <w:sz w:val="24"/>
          <w:szCs w:val="24"/>
          <w:lang w:eastAsia="zh-TW"/>
        </w:rPr>
        <w:t xml:space="preserve"> </w:t>
      </w:r>
      <w:r w:rsidR="00C223B0">
        <w:rPr>
          <w:rFonts w:ascii="Times New Roman" w:eastAsia="PMingLiU" w:hAnsi="Times New Roman" w:cs="Times New Roman"/>
          <w:kern w:val="0"/>
          <w:sz w:val="24"/>
          <w:szCs w:val="24"/>
          <w:lang w:eastAsia="zh-TW"/>
        </w:rPr>
        <w:t>In this paper, we directly use the CAR index as an explanatory variable.</w:t>
      </w:r>
    </w:p>
    <w:p w14:paraId="39217A9C" w14:textId="57993D50" w:rsidR="0008635F" w:rsidRPr="00396A70" w:rsidRDefault="0008635F" w:rsidP="0008635F">
      <w:pPr>
        <w:pStyle w:val="ad"/>
        <w:numPr>
          <w:ilvl w:val="0"/>
          <w:numId w:val="5"/>
        </w:numPr>
        <w:adjustRightInd w:val="0"/>
        <w:spacing w:line="360" w:lineRule="auto"/>
        <w:ind w:firstLineChars="0"/>
        <w:textAlignment w:val="baseline"/>
        <w:rPr>
          <w:rFonts w:ascii="Times New Roman" w:eastAsia="PMingLiU" w:hAnsi="Times New Roman" w:cs="Times New Roman"/>
          <w:kern w:val="0"/>
          <w:sz w:val="24"/>
          <w:szCs w:val="24"/>
          <w:lang w:eastAsia="zh-TW"/>
        </w:rPr>
      </w:pPr>
      <w:r w:rsidRPr="00396A70">
        <w:rPr>
          <w:rFonts w:ascii="Times New Roman" w:hAnsi="Times New Roman" w:cs="Times New Roman" w:hint="eastAsia"/>
          <w:b/>
          <w:color w:val="000000"/>
          <w:kern w:val="0"/>
          <w:sz w:val="24"/>
          <w:szCs w:val="24"/>
        </w:rPr>
        <w:t>N</w:t>
      </w:r>
      <w:r w:rsidRPr="00396A70">
        <w:rPr>
          <w:rFonts w:ascii="Times New Roman" w:hAnsi="Times New Roman" w:cs="Times New Roman"/>
          <w:b/>
          <w:color w:val="000000"/>
          <w:kern w:val="0"/>
          <w:sz w:val="24"/>
          <w:szCs w:val="24"/>
        </w:rPr>
        <w:t>on-Performing Loan Ratio</w:t>
      </w:r>
      <w:r w:rsidR="00396A70" w:rsidRPr="00396A70">
        <w:rPr>
          <w:rFonts w:ascii="Times New Roman" w:hAnsi="Times New Roman" w:cs="Times New Roman"/>
          <w:b/>
          <w:color w:val="000000"/>
          <w:kern w:val="0"/>
          <w:sz w:val="24"/>
          <w:szCs w:val="24"/>
        </w:rPr>
        <w:t xml:space="preserve"> (NPL Ratio)</w:t>
      </w:r>
      <w:r w:rsidRPr="00396A70">
        <w:rPr>
          <w:rFonts w:ascii="Times New Roman" w:hAnsi="Times New Roman" w:cs="Times New Roman"/>
          <w:b/>
          <w:color w:val="000000"/>
          <w:kern w:val="0"/>
          <w:sz w:val="24"/>
          <w:szCs w:val="24"/>
        </w:rPr>
        <w:t xml:space="preserve">: </w:t>
      </w:r>
      <w:r>
        <w:rPr>
          <w:rFonts w:ascii="Times New Roman" w:hAnsi="Times New Roman" w:cs="Times New Roman"/>
          <w:kern w:val="0"/>
          <w:sz w:val="24"/>
          <w:szCs w:val="24"/>
        </w:rPr>
        <w:t>The</w:t>
      </w:r>
      <w:r w:rsidR="00396A70">
        <w:rPr>
          <w:rFonts w:ascii="Times New Roman" w:hAnsi="Times New Roman" w:cs="Times New Roman"/>
          <w:kern w:val="0"/>
          <w:sz w:val="24"/>
          <w:szCs w:val="24"/>
        </w:rPr>
        <w:t xml:space="preserve"> ris</w:t>
      </w:r>
      <w:r>
        <w:rPr>
          <w:rFonts w:ascii="Times New Roman" w:hAnsi="Times New Roman" w:cs="Times New Roman"/>
          <w:kern w:val="0"/>
          <w:sz w:val="24"/>
          <w:szCs w:val="24"/>
        </w:rPr>
        <w:t xml:space="preserve">ing NPL Ration will push bank to reduce </w:t>
      </w:r>
      <w:r w:rsidR="00396A70">
        <w:rPr>
          <w:rFonts w:ascii="Times New Roman" w:hAnsi="Times New Roman" w:cs="Times New Roman"/>
          <w:kern w:val="0"/>
          <w:sz w:val="24"/>
          <w:szCs w:val="24"/>
        </w:rPr>
        <w:t xml:space="preserve">making loans and increase non-loan asset allocation such as SPV investment. As usually the NPL Ration in prior period matters the bank’s investment, we take the NPL Ratio in </w:t>
      </w:r>
      <w:r w:rsidR="007121CE">
        <w:rPr>
          <w:rFonts w:ascii="Times New Roman" w:hAnsi="Times New Roman" w:cs="Times New Roman"/>
          <w:kern w:val="0"/>
          <w:sz w:val="24"/>
          <w:szCs w:val="24"/>
        </w:rPr>
        <w:t xml:space="preserve">the last </w:t>
      </w:r>
      <w:r w:rsidR="00396A70">
        <w:rPr>
          <w:rFonts w:ascii="Times New Roman" w:hAnsi="Times New Roman" w:cs="Times New Roman"/>
          <w:kern w:val="0"/>
          <w:sz w:val="24"/>
          <w:szCs w:val="24"/>
        </w:rPr>
        <w:t xml:space="preserve">period as </w:t>
      </w:r>
      <w:r w:rsidR="008F4665">
        <w:rPr>
          <w:rFonts w:ascii="Times New Roman" w:hAnsi="Times New Roman" w:cs="Times New Roman"/>
          <w:kern w:val="0"/>
          <w:sz w:val="24"/>
          <w:szCs w:val="24"/>
        </w:rPr>
        <w:t>an</w:t>
      </w:r>
      <w:r w:rsidR="00396A70">
        <w:rPr>
          <w:rFonts w:ascii="Times New Roman" w:hAnsi="Times New Roman" w:cs="Times New Roman"/>
          <w:kern w:val="0"/>
          <w:sz w:val="24"/>
          <w:szCs w:val="24"/>
        </w:rPr>
        <w:t xml:space="preserve"> explanatory variable in the model.</w:t>
      </w:r>
    </w:p>
    <w:p w14:paraId="5C44E880" w14:textId="59D053F9" w:rsidR="00396A70" w:rsidRPr="00B0601C" w:rsidRDefault="0021128D" w:rsidP="0008635F">
      <w:pPr>
        <w:pStyle w:val="ad"/>
        <w:numPr>
          <w:ilvl w:val="0"/>
          <w:numId w:val="5"/>
        </w:numPr>
        <w:adjustRightInd w:val="0"/>
        <w:spacing w:line="360" w:lineRule="auto"/>
        <w:ind w:firstLineChars="0"/>
        <w:textAlignment w:val="baseline"/>
        <w:rPr>
          <w:rFonts w:ascii="Times New Roman" w:eastAsia="PMingLiU" w:hAnsi="Times New Roman" w:cs="Times New Roman"/>
          <w:kern w:val="0"/>
          <w:sz w:val="24"/>
          <w:szCs w:val="24"/>
          <w:lang w:eastAsia="zh-TW"/>
        </w:rPr>
      </w:pPr>
      <w:r w:rsidRPr="00C223B0">
        <w:rPr>
          <w:rFonts w:ascii="Times New Roman" w:hAnsi="Times New Roman" w:cs="Times New Roman" w:hint="eastAsia"/>
          <w:b/>
          <w:color w:val="000000"/>
          <w:kern w:val="0"/>
          <w:sz w:val="24"/>
          <w:szCs w:val="24"/>
        </w:rPr>
        <w:t>N</w:t>
      </w:r>
      <w:r w:rsidRPr="00C223B0">
        <w:rPr>
          <w:rFonts w:ascii="Times New Roman" w:hAnsi="Times New Roman" w:cs="Times New Roman"/>
          <w:b/>
          <w:color w:val="000000"/>
          <w:kern w:val="0"/>
          <w:sz w:val="24"/>
          <w:szCs w:val="24"/>
        </w:rPr>
        <w:t xml:space="preserve">et Interest </w:t>
      </w:r>
      <w:r w:rsidR="00C223B0" w:rsidRPr="00C223B0">
        <w:rPr>
          <w:rFonts w:ascii="Times New Roman" w:hAnsi="Times New Roman" w:cs="Times New Roman"/>
          <w:b/>
          <w:color w:val="000000"/>
          <w:kern w:val="0"/>
          <w:sz w:val="24"/>
          <w:szCs w:val="24"/>
        </w:rPr>
        <w:t>Margin</w:t>
      </w:r>
      <w:r w:rsidRPr="00C223B0">
        <w:rPr>
          <w:rFonts w:ascii="Times New Roman" w:hAnsi="Times New Roman" w:cs="Times New Roman"/>
          <w:b/>
          <w:color w:val="000000"/>
          <w:kern w:val="0"/>
          <w:sz w:val="24"/>
          <w:szCs w:val="24"/>
        </w:rPr>
        <w:t xml:space="preserve"> (NI</w:t>
      </w:r>
      <w:r w:rsidR="00C223B0" w:rsidRPr="00C223B0">
        <w:rPr>
          <w:rFonts w:ascii="Times New Roman" w:hAnsi="Times New Roman" w:cs="Times New Roman"/>
          <w:b/>
          <w:color w:val="000000"/>
          <w:kern w:val="0"/>
          <w:sz w:val="24"/>
          <w:szCs w:val="24"/>
        </w:rPr>
        <w:t>M</w:t>
      </w:r>
      <w:r w:rsidRPr="00C223B0">
        <w:rPr>
          <w:rFonts w:ascii="Times New Roman" w:hAnsi="Times New Roman" w:cs="Times New Roman"/>
          <w:b/>
          <w:color w:val="000000"/>
          <w:kern w:val="0"/>
          <w:sz w:val="24"/>
          <w:szCs w:val="24"/>
        </w:rPr>
        <w:t xml:space="preserve">): </w:t>
      </w:r>
      <w:r w:rsidR="00C223B0">
        <w:rPr>
          <w:rFonts w:ascii="Times New Roman" w:hAnsi="Times New Roman" w:cs="Times New Roman"/>
          <w:kern w:val="0"/>
          <w:sz w:val="24"/>
          <w:szCs w:val="24"/>
        </w:rPr>
        <w:t>A typical projection of interest rate liberalization for a bank is the variation of its net interest margin. The bank with narrowing NIM inclines to expand the SPV investment business to make more profit. We use the difference term of NIM as an explanatory variable in this paper.</w:t>
      </w:r>
    </w:p>
    <w:p w14:paraId="28326F6B" w14:textId="700918C4" w:rsidR="00B0601C" w:rsidRDefault="00B0601C" w:rsidP="0008635F">
      <w:pPr>
        <w:pStyle w:val="ad"/>
        <w:numPr>
          <w:ilvl w:val="0"/>
          <w:numId w:val="5"/>
        </w:numPr>
        <w:adjustRightInd w:val="0"/>
        <w:spacing w:line="360" w:lineRule="auto"/>
        <w:ind w:firstLineChars="0"/>
        <w:textAlignment w:val="baseline"/>
        <w:rPr>
          <w:rFonts w:ascii="Times New Roman" w:eastAsia="PMingLiU" w:hAnsi="Times New Roman" w:cs="Times New Roman"/>
          <w:kern w:val="0"/>
          <w:sz w:val="24"/>
          <w:szCs w:val="24"/>
          <w:lang w:eastAsia="zh-TW"/>
        </w:rPr>
      </w:pPr>
      <w:r>
        <w:rPr>
          <w:rFonts w:ascii="Times New Roman" w:hAnsi="Times New Roman" w:cs="Times New Roman"/>
          <w:b/>
          <w:color w:val="000000"/>
          <w:kern w:val="0"/>
          <w:sz w:val="24"/>
          <w:szCs w:val="24"/>
        </w:rPr>
        <w:t>Loan-</w:t>
      </w:r>
      <w:r w:rsidRPr="00B0601C">
        <w:rPr>
          <w:rFonts w:ascii="Times New Roman" w:hAnsi="Times New Roman" w:cs="Times New Roman"/>
          <w:b/>
          <w:color w:val="000000"/>
          <w:kern w:val="0"/>
          <w:sz w:val="24"/>
          <w:szCs w:val="24"/>
        </w:rPr>
        <w:t>to-Deposit Ratio (LDR):</w:t>
      </w:r>
      <w:r>
        <w:rPr>
          <w:rFonts w:ascii="Times New Roman" w:eastAsia="PMingLiU" w:hAnsi="Times New Roman" w:cs="Times New Roman"/>
          <w:kern w:val="0"/>
          <w:sz w:val="24"/>
          <w:szCs w:val="24"/>
          <w:lang w:eastAsia="zh-TW"/>
        </w:rPr>
        <w:t xml:space="preserve"> The smaller the LDR of a bank is, the more the money being used to invest SPV </w:t>
      </w:r>
      <w:r w:rsidR="00FD2F3F">
        <w:rPr>
          <w:rFonts w:ascii="Times New Roman" w:eastAsia="PMingLiU" w:hAnsi="Times New Roman" w:cs="Times New Roman"/>
          <w:kern w:val="0"/>
          <w:sz w:val="24"/>
          <w:szCs w:val="24"/>
          <w:lang w:eastAsia="zh-TW"/>
        </w:rPr>
        <w:t>is</w:t>
      </w:r>
      <w:r>
        <w:rPr>
          <w:rFonts w:ascii="Times New Roman" w:eastAsia="PMingLiU" w:hAnsi="Times New Roman" w:cs="Times New Roman"/>
          <w:kern w:val="0"/>
          <w:sz w:val="24"/>
          <w:szCs w:val="24"/>
          <w:lang w:eastAsia="zh-TW"/>
        </w:rPr>
        <w:t>.</w:t>
      </w:r>
    </w:p>
    <w:p w14:paraId="15D3BD63" w14:textId="4B7BE589" w:rsidR="00B0601C" w:rsidRDefault="00B0601C" w:rsidP="0008635F">
      <w:pPr>
        <w:pStyle w:val="ad"/>
        <w:numPr>
          <w:ilvl w:val="0"/>
          <w:numId w:val="5"/>
        </w:numPr>
        <w:adjustRightInd w:val="0"/>
        <w:spacing w:line="360" w:lineRule="auto"/>
        <w:ind w:firstLineChars="0"/>
        <w:textAlignment w:val="baseline"/>
        <w:rPr>
          <w:rFonts w:ascii="Times New Roman" w:eastAsia="PMingLiU" w:hAnsi="Times New Roman" w:cs="Times New Roman"/>
          <w:kern w:val="0"/>
          <w:sz w:val="24"/>
          <w:szCs w:val="24"/>
          <w:lang w:eastAsia="zh-TW"/>
        </w:rPr>
      </w:pPr>
      <w:r>
        <w:rPr>
          <w:rFonts w:ascii="Times New Roman" w:hAnsi="Times New Roman" w:cs="Times New Roman"/>
          <w:b/>
          <w:color w:val="000000"/>
          <w:kern w:val="0"/>
          <w:sz w:val="24"/>
          <w:szCs w:val="24"/>
        </w:rPr>
        <w:t>Interbank Liability (LL)</w:t>
      </w:r>
      <w:r w:rsidR="006C6629">
        <w:rPr>
          <w:rFonts w:ascii="Times New Roman" w:hAnsi="Times New Roman" w:cs="Times New Roman"/>
          <w:b/>
          <w:color w:val="000000"/>
          <w:kern w:val="0"/>
          <w:sz w:val="24"/>
          <w:szCs w:val="24"/>
        </w:rPr>
        <w:t xml:space="preserve">: </w:t>
      </w:r>
      <w:r w:rsidR="006C6629" w:rsidRPr="006C6629">
        <w:rPr>
          <w:rFonts w:ascii="Times New Roman" w:eastAsia="PMingLiU" w:hAnsi="Times New Roman" w:cs="Times New Roman"/>
          <w:kern w:val="0"/>
          <w:sz w:val="24"/>
          <w:szCs w:val="24"/>
          <w:lang w:eastAsia="zh-TW"/>
        </w:rPr>
        <w:t xml:space="preserve">This item is particularly for those banks with high LDR, which has to borrow </w:t>
      </w:r>
      <w:r w:rsidR="006C6629">
        <w:rPr>
          <w:rFonts w:ascii="Times New Roman" w:eastAsia="PMingLiU" w:hAnsi="Times New Roman" w:cs="Times New Roman"/>
          <w:kern w:val="0"/>
          <w:sz w:val="24"/>
          <w:szCs w:val="24"/>
          <w:lang w:eastAsia="zh-TW"/>
        </w:rPr>
        <w:t>money</w:t>
      </w:r>
      <w:r w:rsidR="006C6629" w:rsidRPr="006C6629">
        <w:rPr>
          <w:rFonts w:ascii="Times New Roman" w:eastAsia="PMingLiU" w:hAnsi="Times New Roman" w:cs="Times New Roman"/>
          <w:kern w:val="0"/>
          <w:sz w:val="24"/>
          <w:szCs w:val="24"/>
          <w:lang w:eastAsia="zh-TW"/>
        </w:rPr>
        <w:t xml:space="preserve"> in the interbank market to support their SPV investment.</w:t>
      </w:r>
      <w:r w:rsidR="006C6629">
        <w:rPr>
          <w:rFonts w:ascii="Times New Roman" w:eastAsia="PMingLiU" w:hAnsi="Times New Roman" w:cs="Times New Roman"/>
          <w:kern w:val="0"/>
          <w:sz w:val="24"/>
          <w:szCs w:val="24"/>
          <w:lang w:eastAsia="zh-TW"/>
        </w:rPr>
        <w:t xml:space="preserve"> We take </w:t>
      </w:r>
      <w:bookmarkStart w:id="5" w:name="_Hlk37766858"/>
      <w:r w:rsidR="006C6629">
        <w:rPr>
          <w:rFonts w:ascii="Times New Roman" w:eastAsia="PMingLiU" w:hAnsi="Times New Roman" w:cs="Times New Roman"/>
          <w:kern w:val="0"/>
          <w:sz w:val="24"/>
          <w:szCs w:val="24"/>
          <w:lang w:eastAsia="zh-TW"/>
        </w:rPr>
        <w:t xml:space="preserve">the interbank liability </w:t>
      </w:r>
      <w:r w:rsidR="001A4C35">
        <w:rPr>
          <w:rFonts w:ascii="Times New Roman" w:eastAsia="PMingLiU" w:hAnsi="Times New Roman" w:cs="Times New Roman"/>
          <w:kern w:val="0"/>
          <w:sz w:val="24"/>
          <w:szCs w:val="24"/>
          <w:lang w:eastAsia="zh-TW"/>
        </w:rPr>
        <w:t>as a share of</w:t>
      </w:r>
      <w:r w:rsidR="006C6629">
        <w:rPr>
          <w:rFonts w:ascii="Times New Roman" w:eastAsia="PMingLiU" w:hAnsi="Times New Roman" w:cs="Times New Roman"/>
          <w:kern w:val="0"/>
          <w:sz w:val="24"/>
          <w:szCs w:val="24"/>
          <w:lang w:eastAsia="zh-TW"/>
        </w:rPr>
        <w:t xml:space="preserve"> liabilit</w:t>
      </w:r>
      <w:bookmarkEnd w:id="5"/>
      <w:r w:rsidR="001A4C35">
        <w:rPr>
          <w:rFonts w:ascii="Times New Roman" w:eastAsia="PMingLiU" w:hAnsi="Times New Roman" w:cs="Times New Roman"/>
          <w:kern w:val="0"/>
          <w:sz w:val="24"/>
          <w:szCs w:val="24"/>
          <w:lang w:eastAsia="zh-TW"/>
        </w:rPr>
        <w:t>ies</w:t>
      </w:r>
      <w:r w:rsidR="006C6629">
        <w:rPr>
          <w:rFonts w:ascii="Times New Roman" w:eastAsia="PMingLiU" w:hAnsi="Times New Roman" w:cs="Times New Roman"/>
          <w:kern w:val="0"/>
          <w:sz w:val="24"/>
          <w:szCs w:val="24"/>
          <w:lang w:eastAsia="zh-TW"/>
        </w:rPr>
        <w:t xml:space="preserve"> as the measure of the degree at which the bank borrows in the interbank market.</w:t>
      </w:r>
    </w:p>
    <w:p w14:paraId="05257582" w14:textId="61421881" w:rsidR="006C6629" w:rsidRDefault="006C6629" w:rsidP="0008635F">
      <w:pPr>
        <w:pStyle w:val="ad"/>
        <w:numPr>
          <w:ilvl w:val="0"/>
          <w:numId w:val="5"/>
        </w:numPr>
        <w:adjustRightInd w:val="0"/>
        <w:spacing w:line="360" w:lineRule="auto"/>
        <w:ind w:firstLineChars="0"/>
        <w:textAlignment w:val="baseline"/>
        <w:rPr>
          <w:rFonts w:ascii="Times New Roman" w:eastAsia="PMingLiU" w:hAnsi="Times New Roman" w:cs="Times New Roman"/>
          <w:kern w:val="0"/>
          <w:sz w:val="24"/>
          <w:szCs w:val="24"/>
          <w:lang w:eastAsia="zh-TW"/>
        </w:rPr>
      </w:pPr>
      <w:r>
        <w:rPr>
          <w:rFonts w:ascii="Times New Roman" w:hAnsi="Times New Roman" w:cs="Times New Roman"/>
          <w:b/>
          <w:color w:val="000000"/>
          <w:kern w:val="0"/>
          <w:sz w:val="24"/>
          <w:szCs w:val="24"/>
        </w:rPr>
        <w:t>Central Bank Liability (CBL):</w:t>
      </w:r>
      <w:r>
        <w:rPr>
          <w:rFonts w:ascii="Times New Roman" w:eastAsia="PMingLiU" w:hAnsi="Times New Roman" w:cs="Times New Roman"/>
          <w:kern w:val="0"/>
          <w:sz w:val="24"/>
          <w:szCs w:val="24"/>
          <w:lang w:eastAsia="zh-TW"/>
        </w:rPr>
        <w:t xml:space="preserve"> </w:t>
      </w:r>
      <w:r w:rsidR="001E5502">
        <w:rPr>
          <w:rFonts w:ascii="Times New Roman" w:eastAsia="PMingLiU" w:hAnsi="Times New Roman" w:cs="Times New Roman"/>
          <w:kern w:val="0"/>
          <w:sz w:val="24"/>
          <w:szCs w:val="24"/>
          <w:lang w:eastAsia="zh-TW"/>
        </w:rPr>
        <w:t>Some banks could borrow from the central bank to raise money for their SPV investment.</w:t>
      </w:r>
      <w:r w:rsidR="00895717">
        <w:rPr>
          <w:rFonts w:ascii="Times New Roman" w:eastAsia="PMingLiU" w:hAnsi="Times New Roman" w:cs="Times New Roman"/>
          <w:kern w:val="0"/>
          <w:sz w:val="24"/>
          <w:szCs w:val="24"/>
          <w:lang w:eastAsia="zh-TW"/>
        </w:rPr>
        <w:t xml:space="preserve"> We here use the central bank liability </w:t>
      </w:r>
      <w:r w:rsidR="001A4C35">
        <w:rPr>
          <w:rFonts w:ascii="Times New Roman" w:eastAsia="PMingLiU" w:hAnsi="Times New Roman" w:cs="Times New Roman"/>
          <w:kern w:val="0"/>
          <w:sz w:val="24"/>
          <w:szCs w:val="24"/>
          <w:lang w:eastAsia="zh-TW"/>
        </w:rPr>
        <w:t>as a share of</w:t>
      </w:r>
      <w:r w:rsidR="00895717">
        <w:rPr>
          <w:rFonts w:ascii="Times New Roman" w:eastAsia="PMingLiU" w:hAnsi="Times New Roman" w:cs="Times New Roman"/>
          <w:kern w:val="0"/>
          <w:sz w:val="24"/>
          <w:szCs w:val="24"/>
          <w:lang w:eastAsia="zh-TW"/>
        </w:rPr>
        <w:t xml:space="preserve"> liabilit</w:t>
      </w:r>
      <w:r w:rsidR="001A4C35">
        <w:rPr>
          <w:rFonts w:ascii="Times New Roman" w:eastAsia="PMingLiU" w:hAnsi="Times New Roman" w:cs="Times New Roman"/>
          <w:kern w:val="0"/>
          <w:sz w:val="24"/>
          <w:szCs w:val="24"/>
          <w:lang w:eastAsia="zh-TW"/>
        </w:rPr>
        <w:t>ies</w:t>
      </w:r>
      <w:r w:rsidR="00895717">
        <w:rPr>
          <w:rFonts w:ascii="Times New Roman" w:eastAsia="PMingLiU" w:hAnsi="Times New Roman" w:cs="Times New Roman"/>
          <w:kern w:val="0"/>
          <w:sz w:val="24"/>
          <w:szCs w:val="24"/>
          <w:lang w:eastAsia="zh-TW"/>
        </w:rPr>
        <w:t xml:space="preserve"> to denote this factor.</w:t>
      </w:r>
    </w:p>
    <w:p w14:paraId="085EFC2B" w14:textId="07AD69FD" w:rsidR="00895717" w:rsidRDefault="00895717" w:rsidP="0008635F">
      <w:pPr>
        <w:pStyle w:val="ad"/>
        <w:numPr>
          <w:ilvl w:val="0"/>
          <w:numId w:val="5"/>
        </w:numPr>
        <w:adjustRightInd w:val="0"/>
        <w:spacing w:line="360" w:lineRule="auto"/>
        <w:ind w:firstLineChars="0"/>
        <w:textAlignment w:val="baseline"/>
        <w:rPr>
          <w:rFonts w:ascii="Times New Roman" w:eastAsia="PMingLiU" w:hAnsi="Times New Roman" w:cs="Times New Roman"/>
          <w:kern w:val="0"/>
          <w:sz w:val="24"/>
          <w:szCs w:val="24"/>
          <w:lang w:eastAsia="zh-TW"/>
        </w:rPr>
      </w:pPr>
      <w:r>
        <w:rPr>
          <w:rFonts w:ascii="Times New Roman" w:hAnsi="Times New Roman" w:cs="Times New Roman"/>
          <w:b/>
          <w:color w:val="000000"/>
          <w:kern w:val="0"/>
          <w:sz w:val="24"/>
          <w:szCs w:val="24"/>
        </w:rPr>
        <w:t>Interbank Asset (IA):</w:t>
      </w:r>
      <w:r>
        <w:rPr>
          <w:rFonts w:ascii="Times New Roman" w:eastAsia="PMingLiU" w:hAnsi="Times New Roman" w:cs="Times New Roman"/>
          <w:kern w:val="0"/>
          <w:sz w:val="24"/>
          <w:szCs w:val="24"/>
          <w:lang w:eastAsia="zh-TW"/>
        </w:rPr>
        <w:t xml:space="preserve"> it refers to those traditional interbank assets such as deposit in other banks, lending to other banks and so on, which partially plays a </w:t>
      </w:r>
      <w:r>
        <w:rPr>
          <w:rFonts w:ascii="Times New Roman" w:eastAsia="PMingLiU" w:hAnsi="Times New Roman" w:cs="Times New Roman"/>
          <w:kern w:val="0"/>
          <w:sz w:val="24"/>
          <w:szCs w:val="24"/>
          <w:lang w:eastAsia="zh-TW"/>
        </w:rPr>
        <w:lastRenderedPageBreak/>
        <w:t>role of substitution of SPV as loans. It means that if the bank reduce</w:t>
      </w:r>
      <w:r w:rsidR="007D1B36">
        <w:rPr>
          <w:rFonts w:ascii="Times New Roman" w:eastAsia="PMingLiU" w:hAnsi="Times New Roman" w:cs="Times New Roman"/>
          <w:kern w:val="0"/>
          <w:sz w:val="24"/>
          <w:szCs w:val="24"/>
          <w:lang w:eastAsia="zh-TW"/>
        </w:rPr>
        <w:t>s</w:t>
      </w:r>
      <w:r>
        <w:rPr>
          <w:rFonts w:ascii="Times New Roman" w:eastAsia="PMingLiU" w:hAnsi="Times New Roman" w:cs="Times New Roman"/>
          <w:kern w:val="0"/>
          <w:sz w:val="24"/>
          <w:szCs w:val="24"/>
          <w:lang w:eastAsia="zh-TW"/>
        </w:rPr>
        <w:t xml:space="preserve"> the interbank asset</w:t>
      </w:r>
      <w:r w:rsidR="007D1B36">
        <w:rPr>
          <w:rFonts w:ascii="Times New Roman" w:eastAsia="PMingLiU" w:hAnsi="Times New Roman" w:cs="Times New Roman"/>
          <w:kern w:val="0"/>
          <w:sz w:val="24"/>
          <w:szCs w:val="24"/>
          <w:lang w:eastAsia="zh-TW"/>
        </w:rPr>
        <w:t xml:space="preserve"> or loans</w:t>
      </w:r>
      <w:r>
        <w:rPr>
          <w:rFonts w:ascii="Times New Roman" w:eastAsia="PMingLiU" w:hAnsi="Times New Roman" w:cs="Times New Roman"/>
          <w:kern w:val="0"/>
          <w:sz w:val="24"/>
          <w:szCs w:val="24"/>
          <w:lang w:eastAsia="zh-TW"/>
        </w:rPr>
        <w:t>, it could increase the proportion of SPV investment in the total asset</w:t>
      </w:r>
      <w:r w:rsidR="007D1B36">
        <w:rPr>
          <w:rFonts w:ascii="Times New Roman" w:eastAsia="PMingLiU" w:hAnsi="Times New Roman" w:cs="Times New Roman"/>
          <w:kern w:val="0"/>
          <w:sz w:val="24"/>
          <w:szCs w:val="24"/>
          <w:lang w:eastAsia="zh-TW"/>
        </w:rPr>
        <w:t xml:space="preserve">. We also use the interbank asset </w:t>
      </w:r>
      <w:r w:rsidR="001A4C35">
        <w:rPr>
          <w:rFonts w:ascii="Times New Roman" w:eastAsia="PMingLiU" w:hAnsi="Times New Roman" w:cs="Times New Roman"/>
          <w:kern w:val="0"/>
          <w:sz w:val="24"/>
          <w:szCs w:val="24"/>
          <w:lang w:eastAsia="zh-TW"/>
        </w:rPr>
        <w:t>as a share of</w:t>
      </w:r>
      <w:r w:rsidR="007D1B36">
        <w:rPr>
          <w:rFonts w:ascii="Times New Roman" w:eastAsia="PMingLiU" w:hAnsi="Times New Roman" w:cs="Times New Roman"/>
          <w:kern w:val="0"/>
          <w:sz w:val="24"/>
          <w:szCs w:val="24"/>
          <w:lang w:eastAsia="zh-TW"/>
        </w:rPr>
        <w:t xml:space="preserve"> asset</w:t>
      </w:r>
      <w:r w:rsidR="001A4C35">
        <w:rPr>
          <w:rFonts w:ascii="Times New Roman" w:eastAsia="PMingLiU" w:hAnsi="Times New Roman" w:cs="Times New Roman"/>
          <w:kern w:val="0"/>
          <w:sz w:val="24"/>
          <w:szCs w:val="24"/>
          <w:lang w:eastAsia="zh-TW"/>
        </w:rPr>
        <w:t>s</w:t>
      </w:r>
      <w:r w:rsidR="007D1B36">
        <w:rPr>
          <w:rFonts w:ascii="Times New Roman" w:eastAsia="PMingLiU" w:hAnsi="Times New Roman" w:cs="Times New Roman"/>
          <w:kern w:val="0"/>
          <w:sz w:val="24"/>
          <w:szCs w:val="24"/>
          <w:lang w:eastAsia="zh-TW"/>
        </w:rPr>
        <w:t xml:space="preserve"> as the </w:t>
      </w:r>
      <w:r w:rsidR="00BB33BB">
        <w:rPr>
          <w:rFonts w:ascii="Times New Roman" w:eastAsia="PMingLiU" w:hAnsi="Times New Roman" w:cs="Times New Roman"/>
          <w:kern w:val="0"/>
          <w:sz w:val="24"/>
          <w:szCs w:val="24"/>
          <w:lang w:eastAsia="zh-TW"/>
        </w:rPr>
        <w:t>factor</w:t>
      </w:r>
      <w:r w:rsidR="007D1B36">
        <w:rPr>
          <w:rFonts w:ascii="Times New Roman" w:eastAsia="PMingLiU" w:hAnsi="Times New Roman" w:cs="Times New Roman"/>
          <w:kern w:val="0"/>
          <w:sz w:val="24"/>
          <w:szCs w:val="24"/>
          <w:lang w:eastAsia="zh-TW"/>
        </w:rPr>
        <w:t>.</w:t>
      </w:r>
    </w:p>
    <w:p w14:paraId="26CF93E9" w14:textId="2B410371" w:rsidR="007D1B36" w:rsidRPr="0008635F" w:rsidRDefault="0077716B" w:rsidP="0008635F">
      <w:pPr>
        <w:pStyle w:val="ad"/>
        <w:numPr>
          <w:ilvl w:val="0"/>
          <w:numId w:val="5"/>
        </w:numPr>
        <w:adjustRightInd w:val="0"/>
        <w:spacing w:line="360" w:lineRule="auto"/>
        <w:ind w:firstLineChars="0"/>
        <w:textAlignment w:val="baseline"/>
        <w:rPr>
          <w:rFonts w:ascii="Times New Roman" w:eastAsia="PMingLiU" w:hAnsi="Times New Roman" w:cs="Times New Roman"/>
          <w:kern w:val="0"/>
          <w:sz w:val="24"/>
          <w:szCs w:val="24"/>
          <w:lang w:eastAsia="zh-TW"/>
        </w:rPr>
      </w:pPr>
      <w:r>
        <w:rPr>
          <w:rFonts w:ascii="Times New Roman" w:hAnsi="Times New Roman" w:cs="Times New Roman"/>
          <w:b/>
          <w:color w:val="000000"/>
          <w:kern w:val="0"/>
          <w:sz w:val="24"/>
          <w:szCs w:val="24"/>
        </w:rPr>
        <w:t>Limit</w:t>
      </w:r>
      <w:r w:rsidR="007D1B36">
        <w:rPr>
          <w:rFonts w:ascii="Times New Roman" w:hAnsi="Times New Roman" w:cs="Times New Roman"/>
          <w:b/>
          <w:color w:val="000000"/>
          <w:kern w:val="0"/>
          <w:sz w:val="24"/>
          <w:szCs w:val="24"/>
        </w:rPr>
        <w:t>ing Policy</w:t>
      </w:r>
      <w:r>
        <w:rPr>
          <w:rFonts w:ascii="Times New Roman" w:hAnsi="Times New Roman" w:cs="Times New Roman"/>
          <w:b/>
          <w:color w:val="000000"/>
          <w:kern w:val="0"/>
          <w:sz w:val="24"/>
          <w:szCs w:val="24"/>
        </w:rPr>
        <w:t xml:space="preserve"> (LP):</w:t>
      </w:r>
      <w:r>
        <w:rPr>
          <w:rFonts w:ascii="Times New Roman" w:eastAsia="PMingLiU" w:hAnsi="Times New Roman" w:cs="Times New Roman"/>
          <w:kern w:val="0"/>
          <w:sz w:val="24"/>
          <w:szCs w:val="24"/>
          <w:lang w:eastAsia="zh-TW"/>
        </w:rPr>
        <w:t xml:space="preserve"> We notice that the regulatory policy on the SPV investment has been becoming tighter and tighter since the new president of the Chinese regulatory authority has taken his office in Feb. 2017. We then take this dummy variable as 1 after Q1 2017, in comparison with 0 before it.</w:t>
      </w:r>
    </w:p>
    <w:p w14:paraId="7EDEB5A5" w14:textId="77777777" w:rsidR="005030AF" w:rsidRDefault="005030AF" w:rsidP="00915762">
      <w:pPr>
        <w:adjustRightInd w:val="0"/>
        <w:spacing w:line="360" w:lineRule="auto"/>
        <w:textAlignment w:val="baseline"/>
        <w:rPr>
          <w:rFonts w:ascii="Times New Roman" w:eastAsia="PMingLiU" w:hAnsi="Times New Roman" w:cs="Times New Roman"/>
          <w:b/>
          <w:bCs/>
          <w:kern w:val="0"/>
          <w:sz w:val="24"/>
          <w:szCs w:val="24"/>
          <w:lang w:eastAsia="zh-TW"/>
        </w:rPr>
      </w:pPr>
    </w:p>
    <w:p w14:paraId="34E24B39" w14:textId="30887AE0" w:rsidR="00596E5F" w:rsidRPr="00B50B67" w:rsidRDefault="00596E5F" w:rsidP="00915762">
      <w:pPr>
        <w:adjustRightInd w:val="0"/>
        <w:spacing w:line="360" w:lineRule="auto"/>
        <w:textAlignment w:val="baseline"/>
        <w:rPr>
          <w:rFonts w:ascii="Times New Roman" w:eastAsia="PMingLiU" w:hAnsi="Times New Roman" w:cs="Times New Roman"/>
          <w:b/>
          <w:bCs/>
          <w:kern w:val="0"/>
          <w:sz w:val="24"/>
          <w:szCs w:val="24"/>
          <w:lang w:eastAsia="zh-TW"/>
        </w:rPr>
      </w:pPr>
      <w:r w:rsidRPr="00B50B67">
        <w:rPr>
          <w:rFonts w:ascii="Times New Roman" w:eastAsia="PMingLiU" w:hAnsi="Times New Roman" w:cs="Times New Roman" w:hint="eastAsia"/>
          <w:b/>
          <w:bCs/>
          <w:kern w:val="0"/>
          <w:sz w:val="24"/>
          <w:szCs w:val="24"/>
          <w:lang w:eastAsia="zh-TW"/>
        </w:rPr>
        <w:t>3</w:t>
      </w:r>
      <w:r w:rsidRPr="00B50B67">
        <w:rPr>
          <w:rFonts w:ascii="Times New Roman" w:eastAsia="PMingLiU" w:hAnsi="Times New Roman" w:cs="Times New Roman"/>
          <w:b/>
          <w:bCs/>
          <w:kern w:val="0"/>
          <w:sz w:val="24"/>
          <w:szCs w:val="24"/>
          <w:lang w:eastAsia="zh-TW"/>
        </w:rPr>
        <w:t>.2</w:t>
      </w:r>
      <w:r w:rsidR="000732A3">
        <w:rPr>
          <w:rFonts w:ascii="Times New Roman" w:eastAsia="PMingLiU" w:hAnsi="Times New Roman" w:cs="Times New Roman" w:hint="eastAsia"/>
          <w:b/>
          <w:bCs/>
          <w:kern w:val="0"/>
          <w:sz w:val="24"/>
          <w:szCs w:val="24"/>
        </w:rPr>
        <w:t xml:space="preserve">   </w:t>
      </w:r>
      <w:r w:rsidR="00287BA6">
        <w:rPr>
          <w:rFonts w:ascii="Times New Roman" w:eastAsia="PMingLiU" w:hAnsi="Times New Roman" w:cs="Times New Roman"/>
          <w:b/>
          <w:bCs/>
          <w:kern w:val="0"/>
          <w:sz w:val="24"/>
          <w:szCs w:val="24"/>
          <w:lang w:eastAsia="zh-TW"/>
        </w:rPr>
        <w:t>The Model</w:t>
      </w:r>
    </w:p>
    <w:p w14:paraId="208EC574" w14:textId="0A7CA02E" w:rsidR="00B953A6" w:rsidRDefault="004F149A" w:rsidP="00142ADE">
      <w:pPr>
        <w:adjustRightInd w:val="0"/>
        <w:spacing w:line="360" w:lineRule="auto"/>
        <w:jc w:val="left"/>
        <w:textAlignment w:val="baseline"/>
        <w:rPr>
          <w:rFonts w:ascii="Times New Roman" w:hAnsi="Times New Roman" w:cs="Times New Roman"/>
          <w:sz w:val="24"/>
          <w:szCs w:val="24"/>
        </w:rPr>
      </w:pPr>
      <w:r>
        <w:rPr>
          <w:rFonts w:ascii="Times New Roman" w:hAnsi="Times New Roman" w:cs="Times New Roman"/>
          <w:sz w:val="24"/>
          <w:szCs w:val="24"/>
        </w:rPr>
        <w:t xml:space="preserve">We take the ratio of SPV investment to the total asset as the independent variable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e>
        </m:d>
      </m:oMath>
      <w:r>
        <w:rPr>
          <w:rFonts w:ascii="Times New Roman" w:hAnsi="Times New Roman" w:cs="Times New Roman"/>
          <w:sz w:val="24"/>
          <w:szCs w:val="24"/>
        </w:rPr>
        <w:t xml:space="preserve"> with above impact factors as explanatory variables. Moreover, we add the </w:t>
      </w:r>
      <w:r w:rsidR="0039453C">
        <w:rPr>
          <w:rFonts w:ascii="Times New Roman" w:hAnsi="Times New Roman" w:cs="Times New Roman"/>
          <w:sz w:val="24"/>
          <w:szCs w:val="24"/>
        </w:rPr>
        <w:t xml:space="preserve">first </w:t>
      </w:r>
      <w:r>
        <w:rPr>
          <w:rFonts w:ascii="Times New Roman" w:hAnsi="Times New Roman" w:cs="Times New Roman"/>
          <w:sz w:val="24"/>
          <w:szCs w:val="24"/>
        </w:rPr>
        <w:t xml:space="preserve">lag of the variable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i,t-1</m:t>
                </m:r>
              </m:sub>
            </m:sSub>
          </m:e>
        </m:d>
      </m:oMath>
      <w:r>
        <w:rPr>
          <w:rFonts w:ascii="Times New Roman" w:hAnsi="Times New Roman" w:cs="Times New Roman"/>
          <w:sz w:val="24"/>
          <w:szCs w:val="24"/>
        </w:rPr>
        <w:t xml:space="preserve"> into the explanatory variable vector to reflect dynamic adjustment of SPV investment. The model is then as follows:</w:t>
      </w:r>
    </w:p>
    <w:bookmarkStart w:id="6" w:name="_Hlk37366975"/>
    <w:p w14:paraId="04775570" w14:textId="118B981F" w:rsidR="009E6AD8" w:rsidRPr="0039453C" w:rsidRDefault="004B50A1" w:rsidP="00142ADE">
      <w:pPr>
        <w:adjustRightInd w:val="0"/>
        <w:spacing w:line="360" w:lineRule="auto"/>
        <w:jc w:val="left"/>
        <w:textAlignment w:val="baseline"/>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m:rPr>
              <m:sty m:val="p"/>
            </m:rPr>
            <w:rPr>
              <w:rFonts w:ascii="Cambria Math" w:hAnsi="Cambria Math" w:cs="Times New Roman"/>
              <w:sz w:val="24"/>
              <w:szCs w:val="24"/>
            </w:rPr>
            <m:t>=c+α</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i,t-1</m:t>
              </m:r>
            </m:sub>
          </m:sSub>
          <w:bookmarkStart w:id="7" w:name="OLE_LINK1"/>
          <w:bookmarkStart w:id="8" w:name="OLE_LINK2"/>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CAR</m:t>
              </m:r>
            </m:e>
            <m:sub>
              <m:r>
                <w:rPr>
                  <w:rFonts w:ascii="Cambria Math" w:hAnsi="Cambria Math" w:cs="Times New Roman"/>
                  <w:sz w:val="24"/>
                  <w:szCs w:val="24"/>
                </w:rPr>
                <m:t>i.t</m:t>
              </m:r>
            </m:sub>
          </m:sSub>
          <w:bookmarkEnd w:id="7"/>
          <w:bookmarkEnd w:id="8"/>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sz w:val="24"/>
                  <w:szCs w:val="24"/>
                </w:rPr>
              </m:ctrlPr>
            </m:sSubPr>
            <m:e>
              <m:r>
                <w:rPr>
                  <w:rFonts w:ascii="Cambria Math" w:hAnsi="Cambria Math" w:cs="Times New Roman"/>
                  <w:sz w:val="24"/>
                  <w:szCs w:val="24"/>
                </w:rPr>
                <m:t>NPL</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NIM</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w:bookmarkStart w:id="9" w:name="_Hlk37280219"/>
          <m:sSub>
            <m:sSubPr>
              <m:ctrlPr>
                <w:rPr>
                  <w:rFonts w:ascii="Cambria Math" w:hAnsi="Cambria Math" w:cs="Times New Roman"/>
                  <w:sz w:val="24"/>
                  <w:szCs w:val="24"/>
                </w:rPr>
              </m:ctrlPr>
            </m:sSubPr>
            <m:e>
              <m:r>
                <w:rPr>
                  <w:rFonts w:ascii="Cambria Math" w:hAnsi="Cambria Math" w:cs="Times New Roman"/>
                  <w:sz w:val="24"/>
                  <w:szCs w:val="24"/>
                </w:rPr>
                <m:t>LDR</m:t>
              </m:r>
            </m:e>
            <m:sub>
              <m:r>
                <w:rPr>
                  <w:rFonts w:ascii="Cambria Math" w:hAnsi="Cambria Math" w:cs="Times New Roman"/>
                  <w:sz w:val="24"/>
                  <w:szCs w:val="24"/>
                </w:rPr>
                <m:t>i.t</m:t>
              </m:r>
            </m:sub>
          </m:sSub>
          <w:bookmarkEnd w:id="9"/>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sz w:val="24"/>
                  <w:szCs w:val="24"/>
                </w:rPr>
              </m:ctrlPr>
            </m:sSubPr>
            <m:e>
              <m:r>
                <w:rPr>
                  <w:rFonts w:ascii="Cambria Math" w:hAnsi="Cambria Math" w:cs="Times New Roman"/>
                  <w:sz w:val="24"/>
                  <w:szCs w:val="24"/>
                </w:rPr>
                <m:t>LL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w:bookmarkStart w:id="10" w:name="_Hlk37280260"/>
          <m:sSub>
            <m:sSubPr>
              <m:ctrlPr>
                <w:rPr>
                  <w:rFonts w:ascii="Cambria Math" w:hAnsi="Cambria Math" w:cs="Times New Roman"/>
                  <w:sz w:val="24"/>
                  <w:szCs w:val="24"/>
                </w:rPr>
              </m:ctrlPr>
            </m:sSubPr>
            <m:e>
              <m:r>
                <w:rPr>
                  <w:rFonts w:ascii="Cambria Math" w:hAnsi="Cambria Math" w:cs="Times New Roman"/>
                  <w:sz w:val="24"/>
                  <w:szCs w:val="24"/>
                </w:rPr>
                <m:t>CBL</m:t>
              </m:r>
            </m:e>
            <m:sub>
              <m:r>
                <w:rPr>
                  <w:rFonts w:ascii="Cambria Math" w:hAnsi="Cambria Math" w:cs="Times New Roman"/>
                  <w:sz w:val="24"/>
                  <w:szCs w:val="24"/>
                </w:rPr>
                <m:t>i.t</m:t>
              </m:r>
            </m:sub>
          </m:sSub>
          <w:bookmarkEnd w:id="10"/>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sSub>
            <m:sSubPr>
              <m:ctrlPr>
                <w:rPr>
                  <w:rFonts w:ascii="Cambria Math" w:hAnsi="Cambria Math" w:cs="Times New Roman"/>
                  <w:sz w:val="24"/>
                  <w:szCs w:val="24"/>
                </w:rPr>
              </m:ctrlPr>
            </m:sSubPr>
            <m:e>
              <m:r>
                <w:rPr>
                  <w:rFonts w:ascii="Cambria Math" w:hAnsi="Cambria Math" w:cs="Times New Roman"/>
                  <w:sz w:val="24"/>
                  <w:szCs w:val="24"/>
                </w:rPr>
                <m:t>IA</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sSub>
            <m:sSubPr>
              <m:ctrlPr>
                <w:rPr>
                  <w:rFonts w:ascii="Cambria Math" w:hAnsi="Cambria Math" w:cs="Times New Roman"/>
                  <w:sz w:val="24"/>
                  <w:szCs w:val="24"/>
                </w:rPr>
              </m:ctrlPr>
            </m:sSubPr>
            <m:e>
              <m:r>
                <w:rPr>
                  <w:rFonts w:ascii="Cambria Math" w:hAnsi="Cambria Math" w:cs="Times New Roman"/>
                  <w:sz w:val="24"/>
                  <w:szCs w:val="24"/>
                </w:rPr>
                <m:t>LP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i,t</m:t>
              </m:r>
            </m:sub>
          </m:sSub>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e>
              <m:e>
                <m:r>
                  <w:rPr>
                    <w:rFonts w:ascii="Cambria Math" w:hAnsi="Cambria Math" w:cs="Times New Roman"/>
                    <w:sz w:val="24"/>
                    <w:szCs w:val="24"/>
                  </w:rPr>
                  <m:t xml:space="preserve"> </m:t>
                </m:r>
              </m:e>
            </m:mr>
          </m:m>
          <m:r>
            <w:rPr>
              <w:rFonts w:ascii="Cambria Math" w:hAnsi="Cambria Math" w:cs="Times New Roman"/>
              <w:sz w:val="24"/>
              <w:szCs w:val="24"/>
            </w:rPr>
            <m:t xml:space="preserve">                    </m:t>
          </m:r>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1</m:t>
                    </m:r>
                  </m:e>
                </m:d>
              </m:e>
            </m:mr>
          </m:m>
        </m:oMath>
      </m:oMathPara>
    </w:p>
    <w:bookmarkEnd w:id="6"/>
    <w:p w14:paraId="0109FD49" w14:textId="1D5C1A28" w:rsidR="0039453C" w:rsidRDefault="00BB33BB" w:rsidP="00142ADE">
      <w:pPr>
        <w:adjustRightInd w:val="0"/>
        <w:spacing w:line="360" w:lineRule="auto"/>
        <w:jc w:val="left"/>
        <w:textAlignment w:val="baseline"/>
        <w:rPr>
          <w:rFonts w:ascii="Times New Roman" w:hAnsi="Times New Roman" w:cs="Times New Roman"/>
          <w:sz w:val="24"/>
          <w:szCs w:val="24"/>
        </w:rPr>
      </w:pPr>
      <w:r>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oMath>
      <w:r>
        <w:rPr>
          <w:rFonts w:ascii="Times New Roman" w:hAnsi="Times New Roman" w:cs="Times New Roman"/>
          <w:sz w:val="24"/>
          <w:szCs w:val="24"/>
        </w:rPr>
        <w:t>,</w:t>
      </w:r>
      <w:r>
        <w:rPr>
          <w:rFonts w:ascii="Times New Roman" w:hAnsi="Times New Roman" w:cs="Times New Roman" w:hint="eastAsia"/>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CAR</m:t>
            </m:r>
          </m:e>
          <m:sub>
            <m:r>
              <w:rPr>
                <w:rFonts w:ascii="Cambria Math" w:hAnsi="Cambria Math" w:cs="Times New Roman"/>
                <w:sz w:val="24"/>
                <w:szCs w:val="24"/>
              </w:rPr>
              <m:t>i.t</m:t>
            </m:r>
          </m:sub>
        </m:sSub>
      </m:oMath>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NPL</m:t>
            </m:r>
          </m:e>
          <m:sub>
            <m:r>
              <w:rPr>
                <w:rFonts w:ascii="Cambria Math" w:hAnsi="Cambria Math" w:cs="Times New Roman"/>
                <w:sz w:val="24"/>
                <w:szCs w:val="24"/>
              </w:rPr>
              <m:t>i.t-1</m:t>
            </m:r>
          </m:sub>
        </m:sSub>
      </m:oMath>
      <w:r>
        <w:rPr>
          <w:rFonts w:ascii="Times New Roman" w:hAnsi="Times New Roman" w:cs="Times New Roman" w:hint="eastAsia"/>
          <w:sz w:val="24"/>
          <w:szCs w:val="24"/>
        </w:rPr>
        <w:t>,</w:t>
      </w: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NIM</m:t>
            </m:r>
          </m:e>
          <m:sub>
            <m:r>
              <w:rPr>
                <w:rFonts w:ascii="Cambria Math" w:hAnsi="Cambria Math" w:cs="Times New Roman"/>
                <w:sz w:val="24"/>
                <w:szCs w:val="24"/>
              </w:rPr>
              <m:t>i.t</m:t>
            </m:r>
          </m:sub>
        </m:sSub>
      </m:oMath>
      <w:r>
        <w:rPr>
          <w:rFonts w:ascii="Times New Roman" w:hAnsi="Times New Roman" w:cs="Times New Roman" w:hint="eastAsia"/>
          <w:sz w:val="24"/>
          <w:szCs w:val="24"/>
        </w:rPr>
        <w:t>,</w:t>
      </w: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LDR</m:t>
            </m:r>
          </m:e>
          <m:sub>
            <m:r>
              <w:rPr>
                <w:rFonts w:ascii="Cambria Math" w:hAnsi="Cambria Math" w:cs="Times New Roman"/>
                <w:sz w:val="24"/>
                <w:szCs w:val="24"/>
              </w:rPr>
              <m:t>i.t</m:t>
            </m:r>
          </m:sub>
        </m:sSub>
      </m:oMath>
      <w:r>
        <w:rPr>
          <w:rFonts w:ascii="Times New Roman" w:hAnsi="Times New Roman" w:cs="Times New Roman" w:hint="eastAsia"/>
          <w:sz w:val="24"/>
          <w:szCs w:val="24"/>
        </w:rPr>
        <w:t>,</w:t>
      </w: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LL</m:t>
            </m:r>
          </m:e>
          <m:sub>
            <m:r>
              <w:rPr>
                <w:rFonts w:ascii="Cambria Math" w:hAnsi="Cambria Math" w:cs="Times New Roman"/>
                <w:sz w:val="24"/>
                <w:szCs w:val="24"/>
              </w:rPr>
              <m:t>i.t</m:t>
            </m:r>
          </m:sub>
        </m:sSub>
      </m:oMath>
      <w:r>
        <w:rPr>
          <w:rFonts w:ascii="Times New Roman" w:hAnsi="Times New Roman" w:cs="Times New Roman" w:hint="eastAsia"/>
          <w:sz w:val="24"/>
          <w:szCs w:val="24"/>
        </w:rPr>
        <w:t>,</w:t>
      </w: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CBL</m:t>
            </m:r>
          </m:e>
          <m:sub>
            <m:r>
              <w:rPr>
                <w:rFonts w:ascii="Cambria Math" w:hAnsi="Cambria Math" w:cs="Times New Roman"/>
                <w:sz w:val="24"/>
                <w:szCs w:val="24"/>
              </w:rPr>
              <m:t>i.t</m:t>
            </m:r>
          </m:sub>
        </m:sSub>
      </m:oMath>
      <w:r>
        <w:rPr>
          <w:rFonts w:ascii="Times New Roman" w:hAnsi="Times New Roman" w:cs="Times New Roman" w:hint="eastAsia"/>
          <w:sz w:val="24"/>
          <w:szCs w:val="24"/>
        </w:rPr>
        <w:t>,</w:t>
      </w: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IA</m:t>
            </m:r>
          </m:e>
          <m:sub>
            <m:r>
              <w:rPr>
                <w:rFonts w:ascii="Cambria Math" w:hAnsi="Cambria Math" w:cs="Times New Roman"/>
                <w:sz w:val="24"/>
                <w:szCs w:val="24"/>
              </w:rPr>
              <m:t>i.t</m:t>
            </m:r>
          </m:sub>
        </m:sSub>
      </m:oMath>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w:t>
      </w:r>
      <m:oMath>
        <m:sSub>
          <m:sSubPr>
            <m:ctrlPr>
              <w:rPr>
                <w:rFonts w:ascii="Cambria Math" w:hAnsi="Cambria Math" w:cs="Times New Roman"/>
                <w:sz w:val="24"/>
                <w:szCs w:val="24"/>
              </w:rPr>
            </m:ctrlPr>
          </m:sSubPr>
          <m:e>
            <m:r>
              <w:rPr>
                <w:rFonts w:ascii="Cambria Math" w:hAnsi="Cambria Math" w:cs="Times New Roman"/>
                <w:sz w:val="24"/>
                <w:szCs w:val="24"/>
              </w:rPr>
              <m:t>LP</m:t>
            </m:r>
          </m:e>
          <m:sub>
            <m:r>
              <w:rPr>
                <w:rFonts w:ascii="Cambria Math" w:hAnsi="Cambria Math" w:cs="Times New Roman"/>
                <w:sz w:val="24"/>
                <w:szCs w:val="24"/>
              </w:rPr>
              <m:t>t</m:t>
            </m:r>
          </m:sub>
        </m:sSub>
      </m:oMath>
      <w:r>
        <w:rPr>
          <w:rFonts w:ascii="Times New Roman" w:hAnsi="Times New Roman" w:cs="Times New Roman" w:hint="eastAsia"/>
          <w:sz w:val="24"/>
          <w:szCs w:val="24"/>
        </w:rPr>
        <w:t xml:space="preserve"> </w:t>
      </w:r>
      <w:r>
        <w:rPr>
          <w:rFonts w:ascii="Times New Roman" w:hAnsi="Times New Roman" w:cs="Times New Roman"/>
          <w:sz w:val="24"/>
          <w:szCs w:val="24"/>
        </w:rPr>
        <w:t>are defined as above.</w:t>
      </w:r>
    </w:p>
    <w:p w14:paraId="6A42714C" w14:textId="5254A7A4" w:rsidR="0039453C" w:rsidRPr="00613877" w:rsidRDefault="0039453C" w:rsidP="00920133">
      <w:pPr>
        <w:adjustRightInd w:val="0"/>
        <w:spacing w:line="360" w:lineRule="auto"/>
        <w:ind w:firstLineChars="100" w:firstLine="240"/>
        <w:jc w:val="left"/>
        <w:textAlignment w:val="baseline"/>
        <w:rPr>
          <w:rFonts w:ascii="Times New Roman" w:hAnsi="Times New Roman" w:cs="Times New Roman"/>
          <w:sz w:val="24"/>
          <w:szCs w:val="24"/>
        </w:rPr>
      </w:pPr>
      <w:r>
        <w:rPr>
          <w:rFonts w:ascii="Times New Roman" w:hAnsi="Times New Roman" w:cs="Times New Roman" w:hint="eastAsia"/>
          <w:sz w:val="24"/>
          <w:szCs w:val="24"/>
        </w:rPr>
        <w:t>I</w:t>
      </w:r>
      <w:r>
        <w:rPr>
          <w:rFonts w:ascii="Times New Roman" w:hAnsi="Times New Roman" w:cs="Times New Roman"/>
          <w:sz w:val="24"/>
          <w:szCs w:val="24"/>
        </w:rPr>
        <w:t>t is worthy to point out th</w:t>
      </w:r>
      <w:r w:rsidR="00613877">
        <w:rPr>
          <w:rFonts w:ascii="Times New Roman" w:hAnsi="Times New Roman" w:cs="Times New Roman"/>
          <w:sz w:val="24"/>
          <w:szCs w:val="24"/>
        </w:rPr>
        <w:t>at</w:t>
      </w:r>
      <w:r>
        <w:rPr>
          <w:rFonts w:ascii="Times New Roman" w:hAnsi="Times New Roman" w:cs="Times New Roman"/>
          <w:sz w:val="24"/>
          <w:szCs w:val="24"/>
        </w:rPr>
        <w:t xml:space="preserve"> in above specification, the first lag of the variable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i,t-1</m:t>
                </m:r>
              </m:sub>
            </m:sSub>
          </m:e>
        </m:d>
      </m:oMath>
      <w:r>
        <w:rPr>
          <w:rFonts w:ascii="Times New Roman" w:hAnsi="Times New Roman" w:cs="Times New Roman" w:hint="eastAsia"/>
          <w:sz w:val="24"/>
          <w:szCs w:val="24"/>
        </w:rPr>
        <w:t xml:space="preserve"> </w:t>
      </w:r>
      <w:r>
        <w:rPr>
          <w:rFonts w:ascii="Times New Roman" w:hAnsi="Times New Roman" w:cs="Times New Roman"/>
          <w:sz w:val="24"/>
          <w:szCs w:val="24"/>
        </w:rPr>
        <w:t xml:space="preserve">is not independent with the </w:t>
      </w:r>
      <w:r w:rsidR="00613877">
        <w:rPr>
          <w:rFonts w:ascii="Times New Roman" w:hAnsi="Times New Roman" w:cs="Times New Roman"/>
          <w:sz w:val="24"/>
          <w:szCs w:val="24"/>
        </w:rPr>
        <w:t xml:space="preserve">disturbance term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i,t</m:t>
            </m:r>
          </m:sub>
        </m:sSub>
      </m:oMath>
      <w:r w:rsidR="00613877">
        <w:rPr>
          <w:rFonts w:ascii="Times New Roman" w:hAnsi="Times New Roman" w:cs="Times New Roman" w:hint="eastAsia"/>
          <w:sz w:val="24"/>
          <w:szCs w:val="24"/>
        </w:rPr>
        <w:t>.</w:t>
      </w:r>
      <w:r w:rsidR="00613877">
        <w:rPr>
          <w:rFonts w:ascii="Times New Roman" w:hAnsi="Times New Roman" w:cs="Times New Roman"/>
          <w:sz w:val="24"/>
          <w:szCs w:val="24"/>
        </w:rPr>
        <w:t xml:space="preserve"> Moreover, there exists mutual influence among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oMath>
      <w:r w:rsidR="00613877">
        <w:rPr>
          <w:rFonts w:ascii="Times New Roman" w:hAnsi="Times New Roman" w:cs="Times New Roman"/>
          <w:sz w:val="24"/>
          <w:szCs w:val="24"/>
        </w:rPr>
        <w:t>,</w:t>
      </w:r>
      <w:r w:rsidR="00613877">
        <w:rPr>
          <w:rFonts w:ascii="Times New Roman" w:hAnsi="Times New Roman" w:cs="Times New Roman" w:hint="eastAsia"/>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LDR</m:t>
            </m:r>
          </m:e>
          <m:sub>
            <m:r>
              <w:rPr>
                <w:rFonts w:ascii="Cambria Math" w:hAnsi="Cambria Math" w:cs="Times New Roman"/>
                <w:sz w:val="24"/>
                <w:szCs w:val="24"/>
              </w:rPr>
              <m:t>i.t</m:t>
            </m:r>
          </m:sub>
        </m:sSub>
      </m:oMath>
      <w:r w:rsidR="00613877">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LL</m:t>
            </m:r>
          </m:e>
          <m:sub>
            <m:r>
              <w:rPr>
                <w:rFonts w:ascii="Cambria Math" w:hAnsi="Cambria Math" w:cs="Times New Roman"/>
                <w:sz w:val="24"/>
                <w:szCs w:val="24"/>
              </w:rPr>
              <m:t>i.t</m:t>
            </m:r>
          </m:sub>
        </m:sSub>
      </m:oMath>
      <w:r w:rsidR="00613877">
        <w:rPr>
          <w:rFonts w:ascii="Times New Roman" w:hAnsi="Times New Roman" w:cs="Times New Roman" w:hint="eastAsia"/>
          <w:sz w:val="24"/>
          <w:szCs w:val="24"/>
        </w:rPr>
        <w:t>,</w:t>
      </w:r>
      <w:r w:rsidR="00613877">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CBL</m:t>
            </m:r>
          </m:e>
          <m:sub>
            <m:r>
              <w:rPr>
                <w:rFonts w:ascii="Cambria Math" w:hAnsi="Cambria Math" w:cs="Times New Roman"/>
                <w:sz w:val="24"/>
                <w:szCs w:val="24"/>
              </w:rPr>
              <m:t>i.t</m:t>
            </m:r>
          </m:sub>
        </m:sSub>
      </m:oMath>
      <w:r w:rsidR="00613877">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IA</m:t>
            </m:r>
          </m:e>
          <m:sub>
            <m:r>
              <w:rPr>
                <w:rFonts w:ascii="Cambria Math" w:hAnsi="Cambria Math" w:cs="Times New Roman"/>
                <w:sz w:val="24"/>
                <w:szCs w:val="24"/>
              </w:rPr>
              <m:t>i.t</m:t>
            </m:r>
          </m:sub>
        </m:sSub>
      </m:oMath>
      <w:r w:rsidR="00613877">
        <w:rPr>
          <w:rFonts w:ascii="Times New Roman" w:hAnsi="Times New Roman" w:cs="Times New Roman" w:hint="eastAsia"/>
          <w:sz w:val="24"/>
          <w:szCs w:val="24"/>
        </w:rPr>
        <w:t>.</w:t>
      </w:r>
      <w:r w:rsidR="00613877">
        <w:rPr>
          <w:rFonts w:ascii="Times New Roman" w:hAnsi="Times New Roman" w:cs="Times New Roman"/>
          <w:sz w:val="24"/>
          <w:szCs w:val="24"/>
        </w:rPr>
        <w:t xml:space="preserve"> In other words, </w:t>
      </w:r>
      <w:r w:rsidR="0001089A">
        <w:rPr>
          <w:rFonts w:ascii="Times New Roman" w:hAnsi="Times New Roman" w:cs="Times New Roman"/>
          <w:sz w:val="24"/>
          <w:szCs w:val="24"/>
        </w:rPr>
        <w:t xml:space="preserve">the </w:t>
      </w:r>
      <w:r w:rsidR="0001089A" w:rsidRPr="0001089A">
        <w:rPr>
          <w:rFonts w:ascii="Times New Roman" w:hAnsi="Times New Roman" w:cs="Times New Roman"/>
          <w:sz w:val="24"/>
          <w:szCs w:val="24"/>
        </w:rPr>
        <w:t>endogene</w:t>
      </w:r>
      <w:r w:rsidR="0001089A">
        <w:rPr>
          <w:rFonts w:ascii="Times New Roman" w:hAnsi="Times New Roman" w:cs="Times New Roman"/>
          <w:sz w:val="24"/>
          <w:szCs w:val="24"/>
        </w:rPr>
        <w:t xml:space="preserve">ity is unavoidable in our model. To obtain the uniformly </w:t>
      </w:r>
      <w:r w:rsidR="0001089A" w:rsidRPr="0001089A">
        <w:rPr>
          <w:rFonts w:ascii="Times New Roman" w:hAnsi="Times New Roman" w:cs="Times New Roman"/>
          <w:sz w:val="24"/>
          <w:szCs w:val="24"/>
        </w:rPr>
        <w:t>asymptotic unbiased estimat</w:t>
      </w:r>
      <w:r w:rsidR="0001089A">
        <w:rPr>
          <w:rFonts w:ascii="Times New Roman" w:hAnsi="Times New Roman" w:cs="Times New Roman"/>
          <w:sz w:val="24"/>
          <w:szCs w:val="24"/>
        </w:rPr>
        <w:t xml:space="preserve">ion of the panel data, we employ the GMM method to estimate model </w:t>
      </w:r>
      <m:oMath>
        <m:d>
          <m:dPr>
            <m:ctrlPr>
              <w:rPr>
                <w:rFonts w:ascii="Cambria Math" w:hAnsi="Cambria Math" w:cs="Times New Roman"/>
                <w:i/>
                <w:sz w:val="24"/>
                <w:szCs w:val="24"/>
              </w:rPr>
            </m:ctrlPr>
          </m:dPr>
          <m:e>
            <m:r>
              <w:rPr>
                <w:rFonts w:ascii="Cambria Math" w:hAnsi="Cambria Math" w:cs="Times New Roman"/>
                <w:sz w:val="24"/>
                <w:szCs w:val="24"/>
              </w:rPr>
              <m:t>1</m:t>
            </m:r>
          </m:e>
        </m:d>
      </m:oMath>
      <w:r w:rsidR="0001089A">
        <w:rPr>
          <w:rFonts w:ascii="Times New Roman" w:hAnsi="Times New Roman" w:cs="Times New Roman" w:hint="eastAsia"/>
          <w:sz w:val="24"/>
          <w:szCs w:val="24"/>
        </w:rPr>
        <w:t>.</w:t>
      </w:r>
    </w:p>
    <w:p w14:paraId="568E6A15" w14:textId="77777777" w:rsidR="005030AF" w:rsidRDefault="005030AF" w:rsidP="00B953A6">
      <w:pPr>
        <w:adjustRightInd w:val="0"/>
        <w:spacing w:line="360" w:lineRule="auto"/>
        <w:textAlignment w:val="baseline"/>
        <w:rPr>
          <w:rFonts w:ascii="Times New Roman" w:eastAsia="PMingLiU" w:hAnsi="Times New Roman" w:cs="Times New Roman"/>
          <w:b/>
          <w:kern w:val="0"/>
          <w:sz w:val="30"/>
          <w:szCs w:val="30"/>
          <w:lang w:eastAsia="zh-TW"/>
        </w:rPr>
      </w:pPr>
    </w:p>
    <w:p w14:paraId="2039B980" w14:textId="6C496401" w:rsidR="00EE6FD3" w:rsidRDefault="00B953A6" w:rsidP="00B953A6">
      <w:pPr>
        <w:adjustRightInd w:val="0"/>
        <w:spacing w:line="360" w:lineRule="auto"/>
        <w:textAlignment w:val="baseline"/>
        <w:rPr>
          <w:rFonts w:ascii="Times New Roman" w:eastAsia="PMingLiU" w:hAnsi="Times New Roman" w:cs="Times New Roman"/>
          <w:b/>
          <w:kern w:val="0"/>
          <w:sz w:val="30"/>
          <w:szCs w:val="30"/>
          <w:lang w:eastAsia="zh-TW"/>
        </w:rPr>
      </w:pPr>
      <w:r>
        <w:rPr>
          <w:rFonts w:ascii="Times New Roman" w:eastAsia="PMingLiU" w:hAnsi="Times New Roman" w:cs="Times New Roman"/>
          <w:b/>
          <w:kern w:val="0"/>
          <w:sz w:val="30"/>
          <w:szCs w:val="30"/>
          <w:lang w:eastAsia="zh-TW"/>
        </w:rPr>
        <w:t>4</w:t>
      </w:r>
      <w:r w:rsidR="000732A3">
        <w:rPr>
          <w:rFonts w:ascii="Times New Roman" w:hAnsi="Times New Roman" w:cs="Times New Roman" w:hint="eastAsia"/>
          <w:b/>
          <w:kern w:val="0"/>
          <w:sz w:val="30"/>
          <w:szCs w:val="30"/>
        </w:rPr>
        <w:t xml:space="preserve">. </w:t>
      </w:r>
      <w:r w:rsidR="009E6AD8">
        <w:rPr>
          <w:rFonts w:ascii="Times New Roman" w:eastAsia="PMingLiU" w:hAnsi="Times New Roman" w:cs="Times New Roman"/>
          <w:b/>
          <w:kern w:val="0"/>
          <w:sz w:val="30"/>
          <w:szCs w:val="30"/>
          <w:lang w:eastAsia="zh-TW"/>
        </w:rPr>
        <w:t>D</w:t>
      </w:r>
      <w:r w:rsidR="009E6AD8" w:rsidRPr="009E6AD8">
        <w:rPr>
          <w:rFonts w:ascii="Times New Roman" w:eastAsia="PMingLiU" w:hAnsi="Times New Roman" w:cs="Times New Roman" w:hint="eastAsia"/>
          <w:b/>
          <w:kern w:val="0"/>
          <w:sz w:val="30"/>
          <w:szCs w:val="30"/>
          <w:lang w:eastAsia="zh-TW"/>
        </w:rPr>
        <w:t>ata</w:t>
      </w:r>
      <w:r w:rsidR="009E6AD8">
        <w:rPr>
          <w:rFonts w:ascii="Times New Roman" w:eastAsia="PMingLiU" w:hAnsi="Times New Roman" w:cs="Times New Roman"/>
          <w:b/>
          <w:kern w:val="0"/>
          <w:sz w:val="30"/>
          <w:szCs w:val="30"/>
          <w:lang w:eastAsia="zh-TW"/>
        </w:rPr>
        <w:t xml:space="preserve"> and Empirical Results</w:t>
      </w:r>
      <w:r w:rsidR="004C5665">
        <w:rPr>
          <w:rFonts w:ascii="Times New Roman" w:eastAsia="PMingLiU" w:hAnsi="Times New Roman" w:cs="Times New Roman"/>
          <w:b/>
          <w:kern w:val="0"/>
          <w:sz w:val="30"/>
          <w:szCs w:val="30"/>
          <w:lang w:eastAsia="zh-TW"/>
        </w:rPr>
        <w:t xml:space="preserve"> </w:t>
      </w:r>
    </w:p>
    <w:p w14:paraId="2B2519C7" w14:textId="2B47EDAD" w:rsidR="008B62B7" w:rsidRDefault="00BB33BB" w:rsidP="00B953A6">
      <w:pPr>
        <w:adjustRightInd w:val="0"/>
        <w:spacing w:line="360" w:lineRule="auto"/>
        <w:textAlignment w:val="baseline"/>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W</w:t>
      </w:r>
      <w:r>
        <w:rPr>
          <w:rFonts w:ascii="Times New Roman" w:hAnsi="Times New Roman" w:cs="Times New Roman"/>
          <w:bCs/>
          <w:color w:val="000000"/>
          <w:kern w:val="0"/>
          <w:sz w:val="24"/>
          <w:szCs w:val="24"/>
        </w:rPr>
        <w:t xml:space="preserve">e collected </w:t>
      </w:r>
      <w:r w:rsidR="00554A97">
        <w:rPr>
          <w:rFonts w:ascii="Times New Roman" w:hAnsi="Times New Roman" w:cs="Times New Roman"/>
          <w:bCs/>
          <w:color w:val="000000"/>
          <w:kern w:val="0"/>
          <w:sz w:val="24"/>
          <w:szCs w:val="24"/>
        </w:rPr>
        <w:t xml:space="preserve">required </w:t>
      </w:r>
      <w:r w:rsidR="00D44241">
        <w:rPr>
          <w:rFonts w:ascii="Times New Roman" w:hAnsi="Times New Roman" w:cs="Times New Roman"/>
          <w:bCs/>
          <w:color w:val="000000"/>
          <w:kern w:val="0"/>
          <w:sz w:val="24"/>
          <w:szCs w:val="24"/>
        </w:rPr>
        <w:t xml:space="preserve">quarterly </w:t>
      </w:r>
      <w:r w:rsidR="00554A97">
        <w:rPr>
          <w:rFonts w:ascii="Times New Roman" w:hAnsi="Times New Roman" w:cs="Times New Roman"/>
          <w:bCs/>
          <w:color w:val="000000"/>
          <w:kern w:val="0"/>
          <w:sz w:val="24"/>
          <w:szCs w:val="24"/>
        </w:rPr>
        <w:t xml:space="preserve">data of </w:t>
      </w:r>
      <w:r>
        <w:rPr>
          <w:rFonts w:ascii="Times New Roman" w:hAnsi="Times New Roman" w:cs="Times New Roman"/>
          <w:bCs/>
          <w:color w:val="000000"/>
          <w:kern w:val="0"/>
          <w:sz w:val="24"/>
          <w:szCs w:val="24"/>
        </w:rPr>
        <w:t>5 large commercial banks</w:t>
      </w:r>
      <w:r w:rsidR="003D565F">
        <w:rPr>
          <w:rFonts w:ascii="Times New Roman" w:hAnsi="Times New Roman" w:cs="Times New Roman"/>
          <w:bCs/>
          <w:color w:val="000000"/>
          <w:kern w:val="0"/>
          <w:sz w:val="24"/>
          <w:szCs w:val="24"/>
        </w:rPr>
        <w:t xml:space="preserve"> (LCBs )</w:t>
      </w:r>
      <w:r>
        <w:rPr>
          <w:rStyle w:val="a5"/>
          <w:rFonts w:ascii="Times New Roman" w:hAnsi="Times New Roman" w:cs="Times New Roman"/>
          <w:bCs/>
          <w:color w:val="000000"/>
          <w:kern w:val="0"/>
          <w:sz w:val="24"/>
          <w:szCs w:val="24"/>
        </w:rPr>
        <w:footnoteReference w:id="13"/>
      </w:r>
      <w:r>
        <w:rPr>
          <w:rFonts w:ascii="Times New Roman" w:hAnsi="Times New Roman" w:cs="Times New Roman"/>
          <w:bCs/>
          <w:color w:val="000000"/>
          <w:kern w:val="0"/>
          <w:sz w:val="24"/>
          <w:szCs w:val="24"/>
        </w:rPr>
        <w:t xml:space="preserve">, 8 </w:t>
      </w:r>
      <w:r w:rsidRPr="00BB33BB">
        <w:rPr>
          <w:rFonts w:ascii="Times New Roman" w:hAnsi="Times New Roman" w:cs="Times New Roman"/>
          <w:bCs/>
          <w:color w:val="000000"/>
          <w:kern w:val="0"/>
          <w:sz w:val="24"/>
          <w:szCs w:val="24"/>
        </w:rPr>
        <w:t xml:space="preserve">national </w:t>
      </w:r>
      <w:r w:rsidRPr="00BB33BB">
        <w:rPr>
          <w:rFonts w:ascii="Times New Roman" w:hAnsi="Times New Roman" w:cs="Times New Roman"/>
          <w:bCs/>
          <w:color w:val="000000"/>
          <w:kern w:val="0"/>
          <w:sz w:val="24"/>
          <w:szCs w:val="24"/>
        </w:rPr>
        <w:lastRenderedPageBreak/>
        <w:t>joint-stock commercial banks</w:t>
      </w:r>
      <w:r w:rsidR="003D565F">
        <w:rPr>
          <w:rFonts w:ascii="Times New Roman" w:hAnsi="Times New Roman" w:cs="Times New Roman"/>
          <w:bCs/>
          <w:color w:val="000000"/>
          <w:kern w:val="0"/>
          <w:sz w:val="24"/>
          <w:szCs w:val="24"/>
        </w:rPr>
        <w:t xml:space="preserve"> (NJSCBs)</w:t>
      </w:r>
      <w:r w:rsidR="00554A97">
        <w:rPr>
          <w:rStyle w:val="a5"/>
          <w:rFonts w:ascii="Times New Roman" w:hAnsi="Times New Roman" w:cs="Times New Roman"/>
          <w:bCs/>
          <w:color w:val="000000"/>
          <w:kern w:val="0"/>
          <w:sz w:val="24"/>
          <w:szCs w:val="24"/>
        </w:rPr>
        <w:footnoteReference w:id="14"/>
      </w:r>
      <w:r w:rsidR="00554A97">
        <w:rPr>
          <w:rFonts w:ascii="Times New Roman" w:hAnsi="Times New Roman" w:cs="Times New Roman"/>
          <w:bCs/>
          <w:color w:val="000000"/>
          <w:kern w:val="0"/>
          <w:sz w:val="24"/>
          <w:szCs w:val="24"/>
        </w:rPr>
        <w:t xml:space="preserve">, </w:t>
      </w:r>
      <w:r w:rsidR="00554A97" w:rsidRPr="00554A97">
        <w:rPr>
          <w:rFonts w:ascii="Times New Roman" w:hAnsi="Times New Roman" w:cs="Times New Roman"/>
          <w:bCs/>
          <w:color w:val="000000"/>
          <w:kern w:val="0"/>
          <w:sz w:val="24"/>
          <w:szCs w:val="24"/>
        </w:rPr>
        <w:t>45 city commercial banks</w:t>
      </w:r>
      <w:r w:rsidR="003D565F">
        <w:rPr>
          <w:rFonts w:ascii="Times New Roman" w:hAnsi="Times New Roman" w:cs="Times New Roman"/>
          <w:bCs/>
          <w:color w:val="000000"/>
          <w:kern w:val="0"/>
          <w:sz w:val="24"/>
          <w:szCs w:val="24"/>
        </w:rPr>
        <w:t xml:space="preserve"> (CCBs)</w:t>
      </w:r>
      <w:r w:rsidR="00554A97" w:rsidRPr="00554A97">
        <w:rPr>
          <w:rFonts w:ascii="Times New Roman" w:hAnsi="Times New Roman" w:cs="Times New Roman"/>
          <w:bCs/>
          <w:color w:val="000000"/>
          <w:kern w:val="0"/>
          <w:sz w:val="24"/>
          <w:szCs w:val="24"/>
        </w:rPr>
        <w:t xml:space="preserve"> and 55 rural commercial banks</w:t>
      </w:r>
      <w:r w:rsidR="003D565F">
        <w:rPr>
          <w:rFonts w:ascii="Times New Roman" w:hAnsi="Times New Roman" w:cs="Times New Roman"/>
          <w:bCs/>
          <w:color w:val="000000"/>
          <w:kern w:val="0"/>
          <w:sz w:val="24"/>
          <w:szCs w:val="24"/>
        </w:rPr>
        <w:t xml:space="preserve"> (RCBs)</w:t>
      </w:r>
      <w:r w:rsidR="00D44241">
        <w:rPr>
          <w:rFonts w:ascii="Times New Roman" w:hAnsi="Times New Roman" w:cs="Times New Roman"/>
          <w:bCs/>
          <w:color w:val="000000"/>
          <w:kern w:val="0"/>
          <w:sz w:val="24"/>
          <w:szCs w:val="24"/>
        </w:rPr>
        <w:t>. The time period is from Q1 of 2013 to Q</w:t>
      </w:r>
      <w:r w:rsidR="00745A65">
        <w:rPr>
          <w:rFonts w:ascii="Times New Roman" w:hAnsi="Times New Roman" w:cs="Times New Roman"/>
          <w:bCs/>
          <w:color w:val="000000"/>
          <w:kern w:val="0"/>
          <w:sz w:val="24"/>
          <w:szCs w:val="24"/>
        </w:rPr>
        <w:t>3</w:t>
      </w:r>
      <w:r w:rsidR="00D44241">
        <w:rPr>
          <w:rFonts w:ascii="Times New Roman" w:hAnsi="Times New Roman" w:cs="Times New Roman"/>
          <w:bCs/>
          <w:color w:val="000000"/>
          <w:kern w:val="0"/>
          <w:sz w:val="24"/>
          <w:szCs w:val="24"/>
        </w:rPr>
        <w:t xml:space="preserve"> of 2019, i.e. 28 quarters.</w:t>
      </w:r>
      <w:r>
        <w:rPr>
          <w:rFonts w:ascii="Times New Roman" w:hAnsi="Times New Roman" w:cs="Times New Roman"/>
          <w:bCs/>
          <w:color w:val="000000"/>
          <w:kern w:val="0"/>
          <w:sz w:val="24"/>
          <w:szCs w:val="24"/>
        </w:rPr>
        <w:t xml:space="preserve"> </w:t>
      </w:r>
    </w:p>
    <w:p w14:paraId="23D2E289" w14:textId="77777777" w:rsidR="005030AF" w:rsidRDefault="005030AF" w:rsidP="00B953A6">
      <w:pPr>
        <w:adjustRightInd w:val="0"/>
        <w:spacing w:line="360" w:lineRule="auto"/>
        <w:textAlignment w:val="baseline"/>
        <w:rPr>
          <w:rFonts w:ascii="Times New Roman" w:hAnsi="Times New Roman" w:cs="Times New Roman"/>
          <w:b/>
          <w:color w:val="000000"/>
          <w:kern w:val="0"/>
          <w:sz w:val="24"/>
          <w:szCs w:val="24"/>
        </w:rPr>
      </w:pPr>
    </w:p>
    <w:p w14:paraId="0356A140" w14:textId="69BA1C0C" w:rsidR="00D44241" w:rsidRPr="00D44241" w:rsidRDefault="00D44241" w:rsidP="00B953A6">
      <w:pPr>
        <w:adjustRightInd w:val="0"/>
        <w:spacing w:line="360" w:lineRule="auto"/>
        <w:textAlignment w:val="baseline"/>
        <w:rPr>
          <w:rFonts w:ascii="Times New Roman" w:hAnsi="Times New Roman" w:cs="Times New Roman"/>
          <w:b/>
          <w:color w:val="000000"/>
          <w:kern w:val="0"/>
          <w:sz w:val="24"/>
          <w:szCs w:val="24"/>
        </w:rPr>
      </w:pPr>
      <w:r w:rsidRPr="00D44241">
        <w:rPr>
          <w:rFonts w:ascii="Times New Roman" w:hAnsi="Times New Roman" w:cs="Times New Roman" w:hint="eastAsia"/>
          <w:b/>
          <w:color w:val="000000"/>
          <w:kern w:val="0"/>
          <w:sz w:val="24"/>
          <w:szCs w:val="24"/>
        </w:rPr>
        <w:t>4</w:t>
      </w:r>
      <w:r w:rsidRPr="00D44241">
        <w:rPr>
          <w:rFonts w:ascii="Times New Roman" w:hAnsi="Times New Roman" w:cs="Times New Roman"/>
          <w:b/>
          <w:color w:val="000000"/>
          <w:kern w:val="0"/>
          <w:sz w:val="24"/>
          <w:szCs w:val="24"/>
        </w:rPr>
        <w:t xml:space="preserve">.1 Descriptive Statistics </w:t>
      </w:r>
    </w:p>
    <w:p w14:paraId="3DFE8518" w14:textId="59F2A269" w:rsidR="00D44241" w:rsidRPr="008963E5" w:rsidRDefault="00896E3E" w:rsidP="00D44241">
      <w:pPr>
        <w:spacing w:beforeLines="50" w:before="156" w:line="360" w:lineRule="auto"/>
        <w:jc w:val="center"/>
        <w:rPr>
          <w:rFonts w:ascii="Times New Roman" w:hAnsi="Times New Roman" w:cs="Times New Roman"/>
          <w:b/>
          <w:color w:val="000000"/>
          <w:kern w:val="0"/>
          <w:szCs w:val="21"/>
        </w:rPr>
      </w:pPr>
      <w:r w:rsidRPr="008963E5">
        <w:rPr>
          <w:rFonts w:ascii="Times New Roman" w:hAnsi="Times New Roman" w:cs="Times New Roman" w:hint="eastAsia"/>
          <w:b/>
          <w:color w:val="000000"/>
          <w:kern w:val="0"/>
          <w:szCs w:val="21"/>
        </w:rPr>
        <w:t>T</w:t>
      </w:r>
      <w:r w:rsidRPr="008963E5">
        <w:rPr>
          <w:rFonts w:ascii="Times New Roman" w:hAnsi="Times New Roman" w:cs="Times New Roman"/>
          <w:b/>
          <w:color w:val="000000"/>
          <w:kern w:val="0"/>
          <w:szCs w:val="21"/>
        </w:rPr>
        <w:t xml:space="preserve">able </w:t>
      </w:r>
      <w:r w:rsidR="00D44241" w:rsidRPr="00D44241">
        <w:rPr>
          <w:rFonts w:ascii="Times New Roman" w:hAnsi="Times New Roman" w:cs="Times New Roman"/>
          <w:b/>
          <w:color w:val="000000"/>
          <w:kern w:val="0"/>
          <w:szCs w:val="21"/>
        </w:rPr>
        <w:t xml:space="preserve">1 </w:t>
      </w:r>
      <w:r w:rsidR="000044A9">
        <w:rPr>
          <w:rFonts w:ascii="Times New Roman" w:hAnsi="Times New Roman" w:cs="Times New Roman"/>
          <w:b/>
          <w:color w:val="000000"/>
          <w:kern w:val="0"/>
          <w:szCs w:val="21"/>
        </w:rPr>
        <w:t xml:space="preserve"> </w:t>
      </w:r>
      <w:r w:rsidRPr="008963E5">
        <w:rPr>
          <w:rFonts w:ascii="Times New Roman" w:hAnsi="Times New Roman" w:cs="Times New Roman"/>
          <w:b/>
          <w:color w:val="000000"/>
          <w:kern w:val="0"/>
          <w:szCs w:val="21"/>
        </w:rPr>
        <w:t>Descriptive Statistics of Explanatory Variables</w:t>
      </w:r>
    </w:p>
    <w:tbl>
      <w:tblPr>
        <w:tblW w:w="0" w:type="auto"/>
        <w:jc w:val="center"/>
        <w:tblBorders>
          <w:top w:val="single" w:sz="8" w:space="0" w:color="4F81BD"/>
          <w:bottom w:val="single" w:sz="8" w:space="0" w:color="4F81BD"/>
        </w:tblBorders>
        <w:tblLayout w:type="fixed"/>
        <w:tblLook w:val="0000" w:firstRow="0" w:lastRow="0" w:firstColumn="0" w:lastColumn="0" w:noHBand="0" w:noVBand="0"/>
      </w:tblPr>
      <w:tblGrid>
        <w:gridCol w:w="1007"/>
        <w:gridCol w:w="1110"/>
        <w:gridCol w:w="1285"/>
        <w:gridCol w:w="1134"/>
        <w:gridCol w:w="1418"/>
      </w:tblGrid>
      <w:tr w:rsidR="00896E3E" w:rsidRPr="00D44241" w14:paraId="5B1E532B" w14:textId="34D9EB65" w:rsidTr="0034010D">
        <w:trPr>
          <w:trHeight w:val="191"/>
          <w:jc w:val="center"/>
        </w:trPr>
        <w:tc>
          <w:tcPr>
            <w:tcW w:w="1007" w:type="dxa"/>
            <w:tcBorders>
              <w:top w:val="single" w:sz="12" w:space="0" w:color="auto"/>
              <w:left w:val="nil"/>
              <w:bottom w:val="single" w:sz="4" w:space="0" w:color="auto"/>
              <w:right w:val="nil"/>
            </w:tcBorders>
            <w:vAlign w:val="center"/>
          </w:tcPr>
          <w:p w14:paraId="6844BDC9" w14:textId="77777777" w:rsidR="00896E3E" w:rsidRPr="00D44241" w:rsidRDefault="00896E3E" w:rsidP="0034010D">
            <w:pPr>
              <w:spacing w:before="78"/>
              <w:jc w:val="right"/>
              <w:rPr>
                <w:rFonts w:ascii="Times New Roman" w:eastAsia="宋体" w:hAnsi="Times New Roman" w:cs="Times New Roman"/>
                <w:b/>
                <w:bCs/>
                <w:kern w:val="0"/>
                <w:szCs w:val="21"/>
                <w:highlight w:val="yellow"/>
              </w:rPr>
            </w:pPr>
          </w:p>
        </w:tc>
        <w:tc>
          <w:tcPr>
            <w:tcW w:w="1110" w:type="dxa"/>
            <w:tcBorders>
              <w:top w:val="single" w:sz="12" w:space="0" w:color="auto"/>
              <w:left w:val="nil"/>
              <w:bottom w:val="single" w:sz="4" w:space="0" w:color="auto"/>
              <w:right w:val="nil"/>
            </w:tcBorders>
            <w:vAlign w:val="center"/>
          </w:tcPr>
          <w:p w14:paraId="3031C095" w14:textId="4DCCCA65" w:rsidR="00896E3E" w:rsidRPr="00D44241" w:rsidRDefault="00896E3E" w:rsidP="0034010D">
            <w:pPr>
              <w:spacing w:before="78"/>
              <w:jc w:val="right"/>
              <w:rPr>
                <w:rFonts w:ascii="Times New Roman" w:eastAsia="宋体" w:hAnsi="Times New Roman" w:cs="Arial"/>
                <w:b/>
                <w:bCs/>
                <w:i/>
                <w:kern w:val="0"/>
                <w:szCs w:val="21"/>
              </w:rPr>
            </w:pPr>
            <w:r>
              <w:rPr>
                <w:rFonts w:ascii="Times New Roman" w:eastAsia="宋体" w:hAnsi="Times New Roman" w:cs="Arial"/>
                <w:b/>
                <w:bCs/>
                <w:i/>
                <w:kern w:val="0"/>
                <w:szCs w:val="21"/>
              </w:rPr>
              <w:t>Mean</w:t>
            </w:r>
          </w:p>
        </w:tc>
        <w:tc>
          <w:tcPr>
            <w:tcW w:w="1285" w:type="dxa"/>
            <w:tcBorders>
              <w:top w:val="single" w:sz="12" w:space="0" w:color="auto"/>
              <w:left w:val="nil"/>
              <w:bottom w:val="single" w:sz="4" w:space="0" w:color="auto"/>
              <w:right w:val="nil"/>
            </w:tcBorders>
            <w:vAlign w:val="center"/>
          </w:tcPr>
          <w:p w14:paraId="7FB5D191" w14:textId="4FA987BA" w:rsidR="00896E3E" w:rsidRPr="00D44241" w:rsidRDefault="00896E3E" w:rsidP="0034010D">
            <w:pPr>
              <w:spacing w:before="78"/>
              <w:jc w:val="right"/>
              <w:rPr>
                <w:rFonts w:ascii="Times New Roman" w:eastAsia="宋体" w:hAnsi="Times New Roman" w:cs="Arial"/>
                <w:b/>
                <w:bCs/>
                <w:i/>
                <w:kern w:val="0"/>
                <w:szCs w:val="21"/>
              </w:rPr>
            </w:pPr>
            <w:r>
              <w:rPr>
                <w:rFonts w:ascii="Times New Roman" w:eastAsia="宋体" w:hAnsi="Times New Roman" w:cs="Arial"/>
                <w:b/>
                <w:bCs/>
                <w:i/>
                <w:kern w:val="0"/>
                <w:szCs w:val="21"/>
              </w:rPr>
              <w:t>Maximum</w:t>
            </w:r>
          </w:p>
        </w:tc>
        <w:tc>
          <w:tcPr>
            <w:tcW w:w="1134" w:type="dxa"/>
            <w:tcBorders>
              <w:top w:val="single" w:sz="12" w:space="0" w:color="auto"/>
              <w:left w:val="nil"/>
              <w:bottom w:val="single" w:sz="4" w:space="0" w:color="auto"/>
              <w:right w:val="nil"/>
            </w:tcBorders>
            <w:vAlign w:val="center"/>
          </w:tcPr>
          <w:p w14:paraId="7D35A5C7" w14:textId="1CD5FA43" w:rsidR="00896E3E" w:rsidRPr="00D44241" w:rsidRDefault="00896E3E" w:rsidP="0034010D">
            <w:pPr>
              <w:spacing w:before="78"/>
              <w:jc w:val="right"/>
              <w:rPr>
                <w:rFonts w:ascii="Times New Roman" w:eastAsia="宋体" w:hAnsi="Times New Roman" w:cs="Arial"/>
                <w:b/>
                <w:bCs/>
                <w:i/>
                <w:kern w:val="0"/>
                <w:szCs w:val="21"/>
              </w:rPr>
            </w:pPr>
            <w:r>
              <w:rPr>
                <w:rFonts w:ascii="Times New Roman" w:eastAsia="宋体" w:hAnsi="Times New Roman" w:cs="Arial"/>
                <w:b/>
                <w:bCs/>
                <w:i/>
                <w:kern w:val="0"/>
                <w:szCs w:val="21"/>
              </w:rPr>
              <w:t>Minimum</w:t>
            </w:r>
          </w:p>
        </w:tc>
        <w:tc>
          <w:tcPr>
            <w:tcW w:w="1418" w:type="dxa"/>
            <w:tcBorders>
              <w:top w:val="single" w:sz="12" w:space="0" w:color="auto"/>
              <w:left w:val="nil"/>
              <w:bottom w:val="single" w:sz="4" w:space="0" w:color="auto"/>
              <w:right w:val="nil"/>
            </w:tcBorders>
          </w:tcPr>
          <w:p w14:paraId="27285098" w14:textId="7E5C0A8D" w:rsidR="00896E3E" w:rsidRPr="00D44241" w:rsidRDefault="00896E3E" w:rsidP="0034010D">
            <w:pPr>
              <w:spacing w:before="78"/>
              <w:jc w:val="right"/>
              <w:rPr>
                <w:rFonts w:ascii="Times New Roman" w:eastAsia="宋体" w:hAnsi="Times New Roman" w:cs="Arial"/>
                <w:b/>
                <w:bCs/>
                <w:i/>
                <w:kern w:val="0"/>
                <w:szCs w:val="21"/>
              </w:rPr>
            </w:pPr>
            <w:r>
              <w:rPr>
                <w:rFonts w:ascii="Times New Roman" w:eastAsia="宋体" w:hAnsi="Times New Roman" w:cs="Arial" w:hint="eastAsia"/>
                <w:b/>
                <w:bCs/>
                <w:i/>
                <w:kern w:val="0"/>
                <w:szCs w:val="21"/>
              </w:rPr>
              <w:t>S</w:t>
            </w:r>
            <w:r>
              <w:rPr>
                <w:rFonts w:ascii="Times New Roman" w:eastAsia="宋体" w:hAnsi="Times New Roman" w:cs="Arial"/>
                <w:b/>
                <w:bCs/>
                <w:i/>
                <w:kern w:val="0"/>
                <w:szCs w:val="21"/>
              </w:rPr>
              <w:t>t</w:t>
            </w:r>
            <w:r w:rsidR="00456803">
              <w:rPr>
                <w:rFonts w:ascii="Times New Roman" w:eastAsia="宋体" w:hAnsi="Times New Roman" w:cs="Arial"/>
                <w:b/>
                <w:bCs/>
                <w:i/>
                <w:kern w:val="0"/>
                <w:szCs w:val="21"/>
              </w:rPr>
              <w:t>d.</w:t>
            </w:r>
            <w:r>
              <w:rPr>
                <w:rFonts w:ascii="Times New Roman" w:eastAsia="宋体" w:hAnsi="Times New Roman" w:cs="Arial"/>
                <w:b/>
                <w:bCs/>
                <w:i/>
                <w:kern w:val="0"/>
                <w:szCs w:val="21"/>
              </w:rPr>
              <w:t xml:space="preserve"> </w:t>
            </w:r>
            <w:r w:rsidR="0034010D">
              <w:rPr>
                <w:rFonts w:ascii="Times New Roman" w:eastAsia="宋体" w:hAnsi="Times New Roman" w:cs="Arial"/>
                <w:b/>
                <w:bCs/>
                <w:i/>
                <w:kern w:val="0"/>
                <w:szCs w:val="21"/>
              </w:rPr>
              <w:t>D</w:t>
            </w:r>
            <w:r w:rsidR="0034010D">
              <w:rPr>
                <w:rFonts w:ascii="Times New Roman" w:eastAsia="宋体" w:hAnsi="Times New Roman" w:cs="Arial" w:hint="eastAsia"/>
                <w:b/>
                <w:bCs/>
                <w:i/>
                <w:kern w:val="0"/>
                <w:szCs w:val="21"/>
              </w:rPr>
              <w:t>ev</w:t>
            </w:r>
            <w:r w:rsidR="0034010D">
              <w:rPr>
                <w:rFonts w:ascii="Times New Roman" w:eastAsia="宋体" w:hAnsi="Times New Roman" w:cs="Arial"/>
                <w:b/>
                <w:bCs/>
                <w:i/>
                <w:kern w:val="0"/>
                <w:szCs w:val="21"/>
              </w:rPr>
              <w:t>.</w:t>
            </w:r>
          </w:p>
        </w:tc>
      </w:tr>
      <w:tr w:rsidR="00896E3E" w:rsidRPr="00D44241" w14:paraId="03E022F8" w14:textId="50A894F5" w:rsidTr="0034010D">
        <w:trPr>
          <w:trHeight w:val="191"/>
          <w:jc w:val="center"/>
        </w:trPr>
        <w:tc>
          <w:tcPr>
            <w:tcW w:w="1007" w:type="dxa"/>
            <w:tcBorders>
              <w:top w:val="single" w:sz="4" w:space="0" w:color="auto"/>
              <w:left w:val="nil"/>
              <w:bottom w:val="single" w:sz="4" w:space="0" w:color="auto"/>
              <w:right w:val="nil"/>
            </w:tcBorders>
            <w:shd w:val="clear" w:color="auto" w:fill="auto"/>
            <w:vAlign w:val="center"/>
          </w:tcPr>
          <w:p w14:paraId="35697B14" w14:textId="18A1D7F6" w:rsidR="00896E3E" w:rsidRPr="00D44241" w:rsidRDefault="00896E3E" w:rsidP="0034010D">
            <w:pPr>
              <w:spacing w:before="78" w:line="360" w:lineRule="auto"/>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Y</w:t>
            </w:r>
          </w:p>
        </w:tc>
        <w:tc>
          <w:tcPr>
            <w:tcW w:w="1110" w:type="dxa"/>
            <w:tcBorders>
              <w:top w:val="single" w:sz="4" w:space="0" w:color="auto"/>
              <w:left w:val="nil"/>
              <w:bottom w:val="single" w:sz="4" w:space="0" w:color="auto"/>
              <w:right w:val="nil"/>
            </w:tcBorders>
            <w:shd w:val="clear" w:color="auto" w:fill="auto"/>
            <w:vAlign w:val="center"/>
          </w:tcPr>
          <w:p w14:paraId="2AA37BAB" w14:textId="43DB13BD" w:rsidR="00896E3E" w:rsidRPr="00371B6A" w:rsidRDefault="00371B6A" w:rsidP="0034010D">
            <w:pPr>
              <w:spacing w:before="78" w:line="360" w:lineRule="auto"/>
              <w:jc w:val="right"/>
              <w:rPr>
                <w:rFonts w:ascii="Times New Roman" w:eastAsia="宋体" w:hAnsi="Times New Roman" w:cs="Times New Roman"/>
                <w:szCs w:val="21"/>
              </w:rPr>
            </w:pPr>
            <w:r w:rsidRPr="00371B6A">
              <w:rPr>
                <w:rFonts w:ascii="Times New Roman" w:eastAsia="宋体" w:hAnsi="Times New Roman" w:cs="Times New Roman"/>
                <w:szCs w:val="21"/>
              </w:rPr>
              <w:t>13.68%</w:t>
            </w:r>
          </w:p>
        </w:tc>
        <w:tc>
          <w:tcPr>
            <w:tcW w:w="1285" w:type="dxa"/>
            <w:tcBorders>
              <w:top w:val="single" w:sz="4" w:space="0" w:color="auto"/>
              <w:left w:val="nil"/>
              <w:bottom w:val="single" w:sz="4" w:space="0" w:color="auto"/>
              <w:right w:val="nil"/>
            </w:tcBorders>
            <w:shd w:val="clear" w:color="auto" w:fill="auto"/>
            <w:vAlign w:val="center"/>
          </w:tcPr>
          <w:p w14:paraId="5CCC1AF2" w14:textId="3E5B313F" w:rsidR="00896E3E" w:rsidRPr="00371B6A" w:rsidRDefault="00371B6A"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4%</w:t>
            </w:r>
          </w:p>
        </w:tc>
        <w:tc>
          <w:tcPr>
            <w:tcW w:w="1134" w:type="dxa"/>
            <w:tcBorders>
              <w:top w:val="single" w:sz="4" w:space="0" w:color="auto"/>
              <w:left w:val="nil"/>
              <w:bottom w:val="single" w:sz="4" w:space="0" w:color="auto"/>
              <w:right w:val="nil"/>
            </w:tcBorders>
            <w:shd w:val="clear" w:color="auto" w:fill="auto"/>
            <w:vAlign w:val="center"/>
          </w:tcPr>
          <w:p w14:paraId="1D32AF3A" w14:textId="3C66B623" w:rsidR="00896E3E" w:rsidRPr="00371B6A" w:rsidRDefault="00371B6A"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sidR="000044A9">
              <w:rPr>
                <w:rFonts w:ascii="Times New Roman" w:eastAsia="宋体" w:hAnsi="Times New Roman" w:cs="Times New Roman"/>
                <w:szCs w:val="21"/>
              </w:rPr>
              <w:t>.00</w:t>
            </w:r>
            <w:r>
              <w:rPr>
                <w:rFonts w:ascii="Times New Roman" w:eastAsia="宋体" w:hAnsi="Times New Roman" w:cs="Times New Roman"/>
                <w:szCs w:val="21"/>
              </w:rPr>
              <w:t>%</w:t>
            </w:r>
          </w:p>
        </w:tc>
        <w:tc>
          <w:tcPr>
            <w:tcW w:w="1418" w:type="dxa"/>
            <w:tcBorders>
              <w:top w:val="single" w:sz="4" w:space="0" w:color="auto"/>
              <w:left w:val="nil"/>
              <w:bottom w:val="single" w:sz="4" w:space="0" w:color="auto"/>
              <w:right w:val="nil"/>
            </w:tcBorders>
            <w:shd w:val="clear" w:color="auto" w:fill="auto"/>
          </w:tcPr>
          <w:p w14:paraId="6E676E9E" w14:textId="39535479" w:rsidR="00896E3E" w:rsidRPr="00371B6A" w:rsidRDefault="00371B6A"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0.70%</w:t>
            </w:r>
          </w:p>
        </w:tc>
      </w:tr>
      <w:tr w:rsidR="00896E3E" w:rsidRPr="00D44241" w14:paraId="1AA5F83B" w14:textId="110B87A8" w:rsidTr="0034010D">
        <w:trPr>
          <w:trHeight w:val="191"/>
          <w:jc w:val="center"/>
        </w:trPr>
        <w:tc>
          <w:tcPr>
            <w:tcW w:w="1007" w:type="dxa"/>
            <w:tcBorders>
              <w:top w:val="single" w:sz="4" w:space="0" w:color="auto"/>
              <w:bottom w:val="single" w:sz="4" w:space="0" w:color="auto"/>
            </w:tcBorders>
            <w:vAlign w:val="center"/>
          </w:tcPr>
          <w:p w14:paraId="48AA3AF1" w14:textId="2C4DF3A5" w:rsidR="00896E3E" w:rsidRPr="00D44241" w:rsidRDefault="00896E3E" w:rsidP="0034010D">
            <w:pPr>
              <w:spacing w:before="78" w:line="360" w:lineRule="auto"/>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C</w:t>
            </w:r>
            <w:r>
              <w:rPr>
                <w:rFonts w:ascii="Times New Roman" w:eastAsia="宋体" w:hAnsi="Times New Roman" w:cs="Times New Roman"/>
                <w:b/>
                <w:bCs/>
                <w:kern w:val="0"/>
                <w:szCs w:val="21"/>
              </w:rPr>
              <w:t>AR</w:t>
            </w:r>
          </w:p>
        </w:tc>
        <w:tc>
          <w:tcPr>
            <w:tcW w:w="1110" w:type="dxa"/>
            <w:tcBorders>
              <w:top w:val="single" w:sz="4" w:space="0" w:color="auto"/>
              <w:bottom w:val="single" w:sz="4" w:space="0" w:color="auto"/>
            </w:tcBorders>
            <w:vAlign w:val="center"/>
          </w:tcPr>
          <w:p w14:paraId="45A407E4" w14:textId="7346F826" w:rsidR="00896E3E" w:rsidRPr="00371B6A" w:rsidRDefault="00371B6A"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3.43%</w:t>
            </w:r>
          </w:p>
        </w:tc>
        <w:tc>
          <w:tcPr>
            <w:tcW w:w="1285" w:type="dxa"/>
            <w:tcBorders>
              <w:top w:val="single" w:sz="4" w:space="0" w:color="auto"/>
              <w:bottom w:val="single" w:sz="4" w:space="0" w:color="auto"/>
            </w:tcBorders>
            <w:vAlign w:val="center"/>
          </w:tcPr>
          <w:p w14:paraId="40CF9596" w14:textId="586DCC19" w:rsidR="00896E3E" w:rsidRPr="00371B6A" w:rsidRDefault="00371B6A"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4.09%</w:t>
            </w:r>
          </w:p>
        </w:tc>
        <w:tc>
          <w:tcPr>
            <w:tcW w:w="1134" w:type="dxa"/>
            <w:tcBorders>
              <w:top w:val="single" w:sz="4" w:space="0" w:color="auto"/>
              <w:bottom w:val="single" w:sz="4" w:space="0" w:color="auto"/>
            </w:tcBorders>
            <w:vAlign w:val="center"/>
          </w:tcPr>
          <w:p w14:paraId="76AA7A93" w14:textId="5DF158D5" w:rsidR="00896E3E" w:rsidRPr="00371B6A" w:rsidRDefault="00371B6A"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7</w:t>
            </w:r>
            <w:r>
              <w:rPr>
                <w:rFonts w:ascii="Times New Roman" w:eastAsia="宋体" w:hAnsi="Times New Roman" w:cs="Times New Roman"/>
                <w:szCs w:val="21"/>
              </w:rPr>
              <w:t>.51%</w:t>
            </w:r>
          </w:p>
        </w:tc>
        <w:tc>
          <w:tcPr>
            <w:tcW w:w="1418" w:type="dxa"/>
            <w:tcBorders>
              <w:top w:val="single" w:sz="4" w:space="0" w:color="auto"/>
              <w:bottom w:val="single" w:sz="4" w:space="0" w:color="auto"/>
            </w:tcBorders>
          </w:tcPr>
          <w:p w14:paraId="025FED02" w14:textId="12F4D0C8" w:rsidR="00896E3E" w:rsidRPr="00371B6A" w:rsidRDefault="00371B6A"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.36%</w:t>
            </w:r>
          </w:p>
        </w:tc>
      </w:tr>
      <w:tr w:rsidR="00896E3E" w:rsidRPr="00D44241" w14:paraId="5B3FEA2A" w14:textId="35142950" w:rsidTr="0034010D">
        <w:trPr>
          <w:trHeight w:val="191"/>
          <w:jc w:val="center"/>
        </w:trPr>
        <w:tc>
          <w:tcPr>
            <w:tcW w:w="1007" w:type="dxa"/>
            <w:tcBorders>
              <w:top w:val="single" w:sz="4" w:space="0" w:color="auto"/>
              <w:left w:val="nil"/>
              <w:bottom w:val="single" w:sz="4" w:space="0" w:color="auto"/>
              <w:right w:val="nil"/>
            </w:tcBorders>
            <w:shd w:val="clear" w:color="auto" w:fill="auto"/>
            <w:vAlign w:val="center"/>
          </w:tcPr>
          <w:p w14:paraId="6C30BAE2" w14:textId="6283E1A7" w:rsidR="00896E3E" w:rsidRPr="00D44241" w:rsidRDefault="00896E3E" w:rsidP="0034010D">
            <w:pPr>
              <w:spacing w:before="78" w:line="360" w:lineRule="auto"/>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NPL</w:t>
            </w:r>
          </w:p>
        </w:tc>
        <w:tc>
          <w:tcPr>
            <w:tcW w:w="1110" w:type="dxa"/>
            <w:tcBorders>
              <w:top w:val="single" w:sz="4" w:space="0" w:color="auto"/>
              <w:left w:val="nil"/>
              <w:bottom w:val="single" w:sz="4" w:space="0" w:color="auto"/>
              <w:right w:val="nil"/>
            </w:tcBorders>
            <w:shd w:val="clear" w:color="auto" w:fill="auto"/>
            <w:vAlign w:val="center"/>
          </w:tcPr>
          <w:p w14:paraId="247E6CEF" w14:textId="27F6D34D"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1</w:t>
            </w:r>
            <w:r w:rsidR="003D565F">
              <w:rPr>
                <w:rFonts w:ascii="Times New Roman" w:eastAsia="宋体" w:hAnsi="Times New Roman" w:cs="Times New Roman"/>
                <w:szCs w:val="21"/>
              </w:rPr>
              <w:t>.4</w:t>
            </w:r>
            <w:r>
              <w:rPr>
                <w:rFonts w:ascii="Times New Roman" w:eastAsia="宋体" w:hAnsi="Times New Roman" w:cs="Times New Roman"/>
                <w:szCs w:val="21"/>
              </w:rPr>
              <w:t>8%</w:t>
            </w:r>
          </w:p>
        </w:tc>
        <w:tc>
          <w:tcPr>
            <w:tcW w:w="1285" w:type="dxa"/>
            <w:tcBorders>
              <w:top w:val="single" w:sz="4" w:space="0" w:color="auto"/>
              <w:left w:val="nil"/>
              <w:bottom w:val="single" w:sz="4" w:space="0" w:color="auto"/>
              <w:right w:val="nil"/>
            </w:tcBorders>
            <w:shd w:val="clear" w:color="auto" w:fill="auto"/>
            <w:vAlign w:val="center"/>
          </w:tcPr>
          <w:p w14:paraId="2125D7FB" w14:textId="62344030" w:rsidR="00896E3E" w:rsidRPr="00371B6A" w:rsidRDefault="003D565F"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.44%</w:t>
            </w:r>
          </w:p>
        </w:tc>
        <w:tc>
          <w:tcPr>
            <w:tcW w:w="1134" w:type="dxa"/>
            <w:tcBorders>
              <w:top w:val="single" w:sz="4" w:space="0" w:color="auto"/>
              <w:left w:val="nil"/>
              <w:bottom w:val="single" w:sz="4" w:space="0" w:color="auto"/>
              <w:right w:val="nil"/>
            </w:tcBorders>
            <w:shd w:val="clear" w:color="auto" w:fill="auto"/>
            <w:vAlign w:val="center"/>
          </w:tcPr>
          <w:p w14:paraId="43DB72C7" w14:textId="0E05EC1D" w:rsidR="00896E3E" w:rsidRPr="00371B6A" w:rsidRDefault="003D565F"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w:t>
            </w:r>
          </w:p>
        </w:tc>
        <w:tc>
          <w:tcPr>
            <w:tcW w:w="1418" w:type="dxa"/>
            <w:tcBorders>
              <w:top w:val="single" w:sz="4" w:space="0" w:color="auto"/>
              <w:left w:val="nil"/>
              <w:bottom w:val="single" w:sz="4" w:space="0" w:color="auto"/>
              <w:right w:val="nil"/>
            </w:tcBorders>
            <w:shd w:val="clear" w:color="auto" w:fill="auto"/>
          </w:tcPr>
          <w:p w14:paraId="6181B5C2" w14:textId="6B4CC671" w:rsidR="00896E3E" w:rsidRPr="00371B6A" w:rsidRDefault="003D565F"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.64%</w:t>
            </w:r>
          </w:p>
        </w:tc>
      </w:tr>
      <w:tr w:rsidR="00896E3E" w:rsidRPr="00D44241" w14:paraId="74EEFC8F" w14:textId="4826C033" w:rsidTr="0034010D">
        <w:trPr>
          <w:trHeight w:val="191"/>
          <w:jc w:val="center"/>
        </w:trPr>
        <w:tc>
          <w:tcPr>
            <w:tcW w:w="1007" w:type="dxa"/>
            <w:tcBorders>
              <w:top w:val="single" w:sz="4" w:space="0" w:color="auto"/>
              <w:bottom w:val="single" w:sz="4" w:space="0" w:color="auto"/>
            </w:tcBorders>
            <w:vAlign w:val="center"/>
          </w:tcPr>
          <w:p w14:paraId="3E0728BF" w14:textId="5CBB8ED9" w:rsidR="00896E3E" w:rsidRPr="00D44241" w:rsidRDefault="008963E5" w:rsidP="0034010D">
            <w:pPr>
              <w:spacing w:before="78" w:line="360" w:lineRule="auto"/>
              <w:jc w:val="right"/>
              <w:rPr>
                <w:rFonts w:ascii="Times New Roman" w:eastAsia="宋体" w:hAnsi="Times New Roman" w:cs="Times New Roman"/>
                <w:b/>
                <w:bCs/>
                <w:kern w:val="0"/>
                <w:szCs w:val="21"/>
              </w:rPr>
            </w:pPr>
            <m:oMath>
              <m:r>
                <m:rPr>
                  <m:sty m:val="bi"/>
                </m:rPr>
                <w:rPr>
                  <w:rFonts w:ascii="Cambria Math" w:eastAsia="宋体" w:hAnsi="Cambria Math" w:cs="Times New Roman"/>
                  <w:kern w:val="0"/>
                  <w:szCs w:val="21"/>
                </w:rPr>
                <m:t>∆</m:t>
              </m:r>
            </m:oMath>
            <w:r>
              <w:rPr>
                <w:rFonts w:ascii="Times New Roman" w:eastAsia="宋体" w:hAnsi="Times New Roman" w:cs="Times New Roman"/>
                <w:b/>
                <w:bCs/>
                <w:kern w:val="0"/>
                <w:szCs w:val="21"/>
              </w:rPr>
              <w:t>NIM</w:t>
            </w:r>
          </w:p>
        </w:tc>
        <w:tc>
          <w:tcPr>
            <w:tcW w:w="1110" w:type="dxa"/>
            <w:tcBorders>
              <w:top w:val="single" w:sz="4" w:space="0" w:color="auto"/>
              <w:bottom w:val="single" w:sz="4" w:space="0" w:color="auto"/>
            </w:tcBorders>
            <w:vAlign w:val="center"/>
          </w:tcPr>
          <w:p w14:paraId="33B2F8E9" w14:textId="768E2868"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szCs w:val="21"/>
              </w:rPr>
              <w:t>.64%</w:t>
            </w:r>
          </w:p>
        </w:tc>
        <w:tc>
          <w:tcPr>
            <w:tcW w:w="1285" w:type="dxa"/>
            <w:tcBorders>
              <w:top w:val="single" w:sz="4" w:space="0" w:color="auto"/>
              <w:bottom w:val="single" w:sz="4" w:space="0" w:color="auto"/>
            </w:tcBorders>
            <w:vAlign w:val="center"/>
          </w:tcPr>
          <w:p w14:paraId="7403CE18" w14:textId="2491D3B9"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0.11%</w:t>
            </w:r>
          </w:p>
        </w:tc>
        <w:tc>
          <w:tcPr>
            <w:tcW w:w="1134" w:type="dxa"/>
            <w:tcBorders>
              <w:top w:val="single" w:sz="4" w:space="0" w:color="auto"/>
              <w:bottom w:val="single" w:sz="4" w:space="0" w:color="auto"/>
            </w:tcBorders>
            <w:vAlign w:val="center"/>
          </w:tcPr>
          <w:p w14:paraId="51066B8C" w14:textId="622E4BFF"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0.31%</w:t>
            </w:r>
          </w:p>
        </w:tc>
        <w:tc>
          <w:tcPr>
            <w:tcW w:w="1418" w:type="dxa"/>
            <w:tcBorders>
              <w:top w:val="single" w:sz="4" w:space="0" w:color="auto"/>
              <w:bottom w:val="single" w:sz="4" w:space="0" w:color="auto"/>
            </w:tcBorders>
          </w:tcPr>
          <w:p w14:paraId="11A82D83" w14:textId="30E18E27"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.94%</w:t>
            </w:r>
          </w:p>
        </w:tc>
      </w:tr>
      <w:tr w:rsidR="00896E3E" w:rsidRPr="00896E3E" w14:paraId="73F92AF8" w14:textId="77777777" w:rsidTr="0034010D">
        <w:trPr>
          <w:trHeight w:val="191"/>
          <w:jc w:val="center"/>
        </w:trPr>
        <w:tc>
          <w:tcPr>
            <w:tcW w:w="1007" w:type="dxa"/>
            <w:tcBorders>
              <w:top w:val="single" w:sz="4" w:space="0" w:color="auto"/>
              <w:bottom w:val="single" w:sz="4" w:space="0" w:color="auto"/>
            </w:tcBorders>
            <w:shd w:val="clear" w:color="auto" w:fill="auto"/>
            <w:vAlign w:val="center"/>
          </w:tcPr>
          <w:p w14:paraId="5D5D8F07" w14:textId="2F0522AC" w:rsidR="00896E3E" w:rsidRPr="00D44241" w:rsidRDefault="008963E5" w:rsidP="0034010D">
            <w:pPr>
              <w:spacing w:before="78" w:line="360" w:lineRule="auto"/>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L</w:t>
            </w:r>
            <w:r>
              <w:rPr>
                <w:rFonts w:ascii="Times New Roman" w:eastAsia="宋体" w:hAnsi="Times New Roman" w:cs="Times New Roman"/>
                <w:b/>
                <w:bCs/>
                <w:kern w:val="0"/>
                <w:szCs w:val="21"/>
              </w:rPr>
              <w:t>DR</w:t>
            </w:r>
          </w:p>
        </w:tc>
        <w:tc>
          <w:tcPr>
            <w:tcW w:w="1110" w:type="dxa"/>
            <w:tcBorders>
              <w:top w:val="single" w:sz="4" w:space="0" w:color="auto"/>
              <w:bottom w:val="single" w:sz="4" w:space="0" w:color="auto"/>
            </w:tcBorders>
            <w:shd w:val="clear" w:color="auto" w:fill="auto"/>
            <w:vAlign w:val="center"/>
          </w:tcPr>
          <w:p w14:paraId="6944F541" w14:textId="262BDD90" w:rsidR="00896E3E" w:rsidRPr="000044A9" w:rsidRDefault="000044A9" w:rsidP="0034010D">
            <w:pPr>
              <w:spacing w:before="78" w:line="360" w:lineRule="auto"/>
              <w:jc w:val="right"/>
              <w:rPr>
                <w:rFonts w:ascii="Times New Roman" w:eastAsia="宋体" w:hAnsi="Times New Roman" w:cs="Times New Roman"/>
                <w:szCs w:val="21"/>
              </w:rPr>
            </w:pPr>
            <w:r w:rsidRPr="000044A9">
              <w:rPr>
                <w:rFonts w:ascii="Times New Roman" w:eastAsia="宋体" w:hAnsi="Times New Roman" w:cs="Times New Roman" w:hint="eastAsia"/>
                <w:szCs w:val="21"/>
              </w:rPr>
              <w:t>6</w:t>
            </w:r>
            <w:r w:rsidRPr="000044A9">
              <w:rPr>
                <w:rFonts w:ascii="Times New Roman" w:eastAsia="宋体" w:hAnsi="Times New Roman" w:cs="Times New Roman"/>
                <w:szCs w:val="21"/>
              </w:rPr>
              <w:t>6.25%</w:t>
            </w:r>
          </w:p>
        </w:tc>
        <w:tc>
          <w:tcPr>
            <w:tcW w:w="1285" w:type="dxa"/>
            <w:tcBorders>
              <w:top w:val="single" w:sz="4" w:space="0" w:color="auto"/>
              <w:bottom w:val="single" w:sz="4" w:space="0" w:color="auto"/>
            </w:tcBorders>
            <w:shd w:val="clear" w:color="auto" w:fill="auto"/>
            <w:vAlign w:val="center"/>
          </w:tcPr>
          <w:p w14:paraId="1581A62B" w14:textId="2CAE772C" w:rsidR="00896E3E" w:rsidRPr="000044A9" w:rsidRDefault="000044A9" w:rsidP="0034010D">
            <w:pPr>
              <w:spacing w:before="78" w:line="360" w:lineRule="auto"/>
              <w:jc w:val="right"/>
              <w:rPr>
                <w:rFonts w:ascii="Times New Roman" w:eastAsia="宋体" w:hAnsi="Times New Roman" w:cs="Times New Roman"/>
                <w:kern w:val="0"/>
                <w:szCs w:val="21"/>
              </w:rPr>
            </w:pPr>
            <w:r w:rsidRPr="000044A9">
              <w:rPr>
                <w:rFonts w:ascii="Times New Roman" w:eastAsia="宋体" w:hAnsi="Times New Roman" w:cs="Times New Roman" w:hint="eastAsia"/>
                <w:kern w:val="0"/>
                <w:szCs w:val="21"/>
              </w:rPr>
              <w:t>1</w:t>
            </w:r>
            <w:r w:rsidRPr="000044A9">
              <w:rPr>
                <w:rFonts w:ascii="Times New Roman" w:eastAsia="宋体" w:hAnsi="Times New Roman" w:cs="Times New Roman"/>
                <w:kern w:val="0"/>
                <w:szCs w:val="21"/>
              </w:rPr>
              <w:t>07%</w:t>
            </w:r>
          </w:p>
        </w:tc>
        <w:tc>
          <w:tcPr>
            <w:tcW w:w="1134" w:type="dxa"/>
            <w:tcBorders>
              <w:top w:val="single" w:sz="4" w:space="0" w:color="auto"/>
              <w:bottom w:val="single" w:sz="4" w:space="0" w:color="auto"/>
            </w:tcBorders>
            <w:shd w:val="clear" w:color="auto" w:fill="auto"/>
            <w:vAlign w:val="center"/>
          </w:tcPr>
          <w:p w14:paraId="29D07426" w14:textId="5E622A72" w:rsidR="00896E3E" w:rsidRPr="000044A9" w:rsidRDefault="000044A9" w:rsidP="0034010D">
            <w:pPr>
              <w:spacing w:before="78" w:line="360" w:lineRule="auto"/>
              <w:jc w:val="right"/>
              <w:rPr>
                <w:rFonts w:ascii="Times New Roman" w:eastAsia="宋体" w:hAnsi="Times New Roman" w:cs="Times New Roman"/>
                <w:kern w:val="0"/>
                <w:szCs w:val="21"/>
              </w:rPr>
            </w:pPr>
            <w:r w:rsidRPr="000044A9">
              <w:rPr>
                <w:rFonts w:ascii="Times New Roman" w:eastAsia="宋体" w:hAnsi="Times New Roman" w:cs="Times New Roman" w:hint="eastAsia"/>
                <w:kern w:val="0"/>
                <w:szCs w:val="21"/>
              </w:rPr>
              <w:t>2</w:t>
            </w:r>
            <w:r w:rsidRPr="000044A9">
              <w:rPr>
                <w:rFonts w:ascii="Times New Roman" w:eastAsia="宋体" w:hAnsi="Times New Roman" w:cs="Times New Roman"/>
                <w:kern w:val="0"/>
                <w:szCs w:val="21"/>
              </w:rPr>
              <w:t>5.33%</w:t>
            </w:r>
          </w:p>
        </w:tc>
        <w:tc>
          <w:tcPr>
            <w:tcW w:w="1418" w:type="dxa"/>
            <w:tcBorders>
              <w:top w:val="single" w:sz="4" w:space="0" w:color="auto"/>
              <w:bottom w:val="single" w:sz="4" w:space="0" w:color="auto"/>
            </w:tcBorders>
            <w:shd w:val="clear" w:color="auto" w:fill="auto"/>
          </w:tcPr>
          <w:p w14:paraId="3D0495F2" w14:textId="2DBC7DEA" w:rsidR="00896E3E" w:rsidRPr="000044A9" w:rsidRDefault="000044A9" w:rsidP="0034010D">
            <w:pPr>
              <w:spacing w:before="78" w:line="360" w:lineRule="auto"/>
              <w:jc w:val="right"/>
              <w:rPr>
                <w:rFonts w:ascii="Times New Roman" w:eastAsia="宋体" w:hAnsi="Times New Roman" w:cs="Times New Roman"/>
                <w:kern w:val="0"/>
                <w:szCs w:val="21"/>
              </w:rPr>
            </w:pPr>
            <w:r w:rsidRPr="000044A9">
              <w:rPr>
                <w:rFonts w:ascii="Times New Roman" w:eastAsia="宋体" w:hAnsi="Times New Roman" w:cs="Times New Roman" w:hint="eastAsia"/>
                <w:kern w:val="0"/>
                <w:szCs w:val="21"/>
              </w:rPr>
              <w:t>1</w:t>
            </w:r>
            <w:r w:rsidRPr="000044A9">
              <w:rPr>
                <w:rFonts w:ascii="Times New Roman" w:eastAsia="宋体" w:hAnsi="Times New Roman" w:cs="Times New Roman"/>
                <w:kern w:val="0"/>
                <w:szCs w:val="21"/>
              </w:rPr>
              <w:t>0.75%</w:t>
            </w:r>
          </w:p>
        </w:tc>
      </w:tr>
      <w:tr w:rsidR="00896E3E" w:rsidRPr="00D44241" w14:paraId="39A8E570" w14:textId="77777777" w:rsidTr="0034010D">
        <w:trPr>
          <w:trHeight w:val="191"/>
          <w:jc w:val="center"/>
        </w:trPr>
        <w:tc>
          <w:tcPr>
            <w:tcW w:w="1007" w:type="dxa"/>
            <w:tcBorders>
              <w:top w:val="single" w:sz="4" w:space="0" w:color="auto"/>
              <w:bottom w:val="single" w:sz="4" w:space="0" w:color="auto"/>
            </w:tcBorders>
            <w:vAlign w:val="center"/>
          </w:tcPr>
          <w:p w14:paraId="08477F0F" w14:textId="426E4897" w:rsidR="00896E3E" w:rsidRPr="00D44241" w:rsidRDefault="008963E5" w:rsidP="0034010D">
            <w:pPr>
              <w:spacing w:before="78" w:line="360" w:lineRule="auto"/>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L</w:t>
            </w:r>
            <w:r>
              <w:rPr>
                <w:rFonts w:ascii="Times New Roman" w:eastAsia="宋体" w:hAnsi="Times New Roman" w:cs="Times New Roman"/>
                <w:b/>
                <w:bCs/>
                <w:kern w:val="0"/>
                <w:szCs w:val="21"/>
              </w:rPr>
              <w:t>L</w:t>
            </w:r>
          </w:p>
        </w:tc>
        <w:tc>
          <w:tcPr>
            <w:tcW w:w="1110" w:type="dxa"/>
            <w:tcBorders>
              <w:top w:val="single" w:sz="4" w:space="0" w:color="auto"/>
              <w:bottom w:val="single" w:sz="4" w:space="0" w:color="auto"/>
            </w:tcBorders>
            <w:vAlign w:val="center"/>
          </w:tcPr>
          <w:p w14:paraId="39E2145A" w14:textId="25FA3826"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8.55%</w:t>
            </w:r>
          </w:p>
        </w:tc>
        <w:tc>
          <w:tcPr>
            <w:tcW w:w="1285" w:type="dxa"/>
            <w:tcBorders>
              <w:top w:val="single" w:sz="4" w:space="0" w:color="auto"/>
              <w:bottom w:val="single" w:sz="4" w:space="0" w:color="auto"/>
            </w:tcBorders>
            <w:vAlign w:val="center"/>
          </w:tcPr>
          <w:p w14:paraId="3133997D" w14:textId="2499BB12"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1.90%</w:t>
            </w:r>
          </w:p>
        </w:tc>
        <w:tc>
          <w:tcPr>
            <w:tcW w:w="1134" w:type="dxa"/>
            <w:tcBorders>
              <w:top w:val="single" w:sz="4" w:space="0" w:color="auto"/>
              <w:bottom w:val="single" w:sz="4" w:space="0" w:color="auto"/>
            </w:tcBorders>
            <w:vAlign w:val="center"/>
          </w:tcPr>
          <w:p w14:paraId="23940D41" w14:textId="120765F7"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w:t>
            </w:r>
          </w:p>
        </w:tc>
        <w:tc>
          <w:tcPr>
            <w:tcW w:w="1418" w:type="dxa"/>
            <w:tcBorders>
              <w:top w:val="single" w:sz="4" w:space="0" w:color="auto"/>
              <w:bottom w:val="single" w:sz="4" w:space="0" w:color="auto"/>
            </w:tcBorders>
          </w:tcPr>
          <w:p w14:paraId="01CD3CFA" w14:textId="79D82E1F"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0.91%</w:t>
            </w:r>
          </w:p>
        </w:tc>
      </w:tr>
      <w:tr w:rsidR="00896E3E" w:rsidRPr="00D44241" w14:paraId="3A7ACDE7" w14:textId="77777777" w:rsidTr="0034010D">
        <w:trPr>
          <w:trHeight w:val="191"/>
          <w:jc w:val="center"/>
        </w:trPr>
        <w:tc>
          <w:tcPr>
            <w:tcW w:w="1007" w:type="dxa"/>
            <w:tcBorders>
              <w:top w:val="single" w:sz="4" w:space="0" w:color="auto"/>
              <w:bottom w:val="single" w:sz="4" w:space="0" w:color="auto"/>
            </w:tcBorders>
            <w:shd w:val="clear" w:color="auto" w:fill="auto"/>
            <w:vAlign w:val="center"/>
          </w:tcPr>
          <w:p w14:paraId="60923932" w14:textId="062CA6B2" w:rsidR="00896E3E" w:rsidRPr="00D44241" w:rsidRDefault="008963E5" w:rsidP="0034010D">
            <w:pPr>
              <w:spacing w:before="78" w:line="360" w:lineRule="auto"/>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C</w:t>
            </w:r>
            <w:r>
              <w:rPr>
                <w:rFonts w:ascii="Times New Roman" w:eastAsia="宋体" w:hAnsi="Times New Roman" w:cs="Times New Roman"/>
                <w:b/>
                <w:bCs/>
                <w:kern w:val="0"/>
                <w:szCs w:val="21"/>
              </w:rPr>
              <w:t>BL</w:t>
            </w:r>
          </w:p>
        </w:tc>
        <w:tc>
          <w:tcPr>
            <w:tcW w:w="1110" w:type="dxa"/>
            <w:tcBorders>
              <w:top w:val="single" w:sz="4" w:space="0" w:color="auto"/>
              <w:bottom w:val="single" w:sz="4" w:space="0" w:color="auto"/>
            </w:tcBorders>
            <w:shd w:val="clear" w:color="auto" w:fill="auto"/>
            <w:vAlign w:val="center"/>
          </w:tcPr>
          <w:p w14:paraId="64A91638" w14:textId="401F200A"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.45%</w:t>
            </w:r>
          </w:p>
        </w:tc>
        <w:tc>
          <w:tcPr>
            <w:tcW w:w="1285" w:type="dxa"/>
            <w:tcBorders>
              <w:top w:val="single" w:sz="4" w:space="0" w:color="auto"/>
              <w:bottom w:val="single" w:sz="4" w:space="0" w:color="auto"/>
            </w:tcBorders>
            <w:shd w:val="clear" w:color="auto" w:fill="auto"/>
            <w:vAlign w:val="center"/>
          </w:tcPr>
          <w:p w14:paraId="45C64121" w14:textId="7063E5D1"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szCs w:val="21"/>
              </w:rPr>
              <w:t>1.87%</w:t>
            </w:r>
          </w:p>
        </w:tc>
        <w:tc>
          <w:tcPr>
            <w:tcW w:w="1134" w:type="dxa"/>
            <w:tcBorders>
              <w:top w:val="single" w:sz="4" w:space="0" w:color="auto"/>
              <w:bottom w:val="single" w:sz="4" w:space="0" w:color="auto"/>
            </w:tcBorders>
            <w:shd w:val="clear" w:color="auto" w:fill="auto"/>
            <w:vAlign w:val="center"/>
          </w:tcPr>
          <w:p w14:paraId="61BD6035" w14:textId="6635DE58"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w:t>
            </w:r>
          </w:p>
        </w:tc>
        <w:tc>
          <w:tcPr>
            <w:tcW w:w="1418" w:type="dxa"/>
            <w:tcBorders>
              <w:top w:val="single" w:sz="4" w:space="0" w:color="auto"/>
              <w:bottom w:val="single" w:sz="4" w:space="0" w:color="auto"/>
            </w:tcBorders>
            <w:shd w:val="clear" w:color="auto" w:fill="auto"/>
          </w:tcPr>
          <w:p w14:paraId="3920CD90" w14:textId="1AC2A425"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.28%</w:t>
            </w:r>
          </w:p>
        </w:tc>
      </w:tr>
      <w:tr w:rsidR="00896E3E" w:rsidRPr="00D44241" w14:paraId="33243920" w14:textId="77777777" w:rsidTr="0034010D">
        <w:trPr>
          <w:trHeight w:val="191"/>
          <w:jc w:val="center"/>
        </w:trPr>
        <w:tc>
          <w:tcPr>
            <w:tcW w:w="1007" w:type="dxa"/>
            <w:tcBorders>
              <w:top w:val="single" w:sz="4" w:space="0" w:color="auto"/>
              <w:bottom w:val="single" w:sz="12" w:space="0" w:color="auto"/>
            </w:tcBorders>
            <w:vAlign w:val="center"/>
          </w:tcPr>
          <w:p w14:paraId="62956277" w14:textId="4996483B" w:rsidR="00896E3E" w:rsidRPr="00D44241" w:rsidRDefault="008963E5" w:rsidP="0034010D">
            <w:pPr>
              <w:spacing w:before="78" w:line="360" w:lineRule="auto"/>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IA</w:t>
            </w:r>
          </w:p>
        </w:tc>
        <w:tc>
          <w:tcPr>
            <w:tcW w:w="1110" w:type="dxa"/>
            <w:tcBorders>
              <w:top w:val="single" w:sz="4" w:space="0" w:color="auto"/>
              <w:bottom w:val="single" w:sz="12" w:space="0" w:color="auto"/>
            </w:tcBorders>
            <w:vAlign w:val="center"/>
          </w:tcPr>
          <w:p w14:paraId="17EF55CF" w14:textId="7916802D"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szCs w:val="21"/>
              </w:rPr>
              <w:t>2.42%</w:t>
            </w:r>
          </w:p>
        </w:tc>
        <w:tc>
          <w:tcPr>
            <w:tcW w:w="1285" w:type="dxa"/>
            <w:tcBorders>
              <w:top w:val="single" w:sz="4" w:space="0" w:color="auto"/>
              <w:bottom w:val="single" w:sz="12" w:space="0" w:color="auto"/>
            </w:tcBorders>
            <w:vAlign w:val="center"/>
          </w:tcPr>
          <w:p w14:paraId="53BBB33A" w14:textId="1AF24B6F"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2.65%</w:t>
            </w:r>
          </w:p>
        </w:tc>
        <w:tc>
          <w:tcPr>
            <w:tcW w:w="1134" w:type="dxa"/>
            <w:tcBorders>
              <w:top w:val="single" w:sz="4" w:space="0" w:color="auto"/>
              <w:bottom w:val="single" w:sz="12" w:space="0" w:color="auto"/>
            </w:tcBorders>
            <w:vAlign w:val="center"/>
          </w:tcPr>
          <w:p w14:paraId="62D7876B" w14:textId="46843E12"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.08%</w:t>
            </w:r>
          </w:p>
        </w:tc>
        <w:tc>
          <w:tcPr>
            <w:tcW w:w="1418" w:type="dxa"/>
            <w:tcBorders>
              <w:top w:val="single" w:sz="4" w:space="0" w:color="auto"/>
              <w:bottom w:val="single" w:sz="12" w:space="0" w:color="auto"/>
            </w:tcBorders>
          </w:tcPr>
          <w:p w14:paraId="0172FB6D" w14:textId="36871662" w:rsidR="00896E3E" w:rsidRPr="00371B6A" w:rsidRDefault="000044A9" w:rsidP="0034010D">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7</w:t>
            </w:r>
            <w:r>
              <w:rPr>
                <w:rFonts w:ascii="Times New Roman" w:eastAsia="宋体" w:hAnsi="Times New Roman" w:cs="Times New Roman"/>
                <w:szCs w:val="21"/>
              </w:rPr>
              <w:t>.80%</w:t>
            </w:r>
          </w:p>
        </w:tc>
      </w:tr>
    </w:tbl>
    <w:p w14:paraId="5B71908A" w14:textId="77777777" w:rsidR="0084734C" w:rsidRDefault="0084734C" w:rsidP="004C5665">
      <w:pPr>
        <w:adjustRightInd w:val="0"/>
        <w:spacing w:line="360" w:lineRule="auto"/>
        <w:textAlignment w:val="baseline"/>
        <w:rPr>
          <w:rFonts w:ascii="Times New Roman" w:hAnsi="Times New Roman" w:cs="Times New Roman"/>
          <w:b/>
          <w:color w:val="000000"/>
          <w:kern w:val="0"/>
          <w:sz w:val="24"/>
          <w:szCs w:val="24"/>
        </w:rPr>
      </w:pPr>
    </w:p>
    <w:p w14:paraId="2E1E243B" w14:textId="105EE18C" w:rsidR="00D44241" w:rsidRDefault="0084734C" w:rsidP="004C5665">
      <w:pPr>
        <w:adjustRightInd w:val="0"/>
        <w:spacing w:line="360" w:lineRule="auto"/>
        <w:textAlignment w:val="baseline"/>
        <w:rPr>
          <w:rFonts w:ascii="Times New Roman" w:hAnsi="Times New Roman" w:cs="Times New Roman"/>
          <w:b/>
          <w:color w:val="000000"/>
          <w:kern w:val="0"/>
          <w:sz w:val="24"/>
          <w:szCs w:val="24"/>
        </w:rPr>
      </w:pPr>
      <w:r w:rsidRPr="0084734C">
        <w:rPr>
          <w:rFonts w:ascii="Times New Roman" w:hAnsi="Times New Roman" w:cs="Times New Roman" w:hint="eastAsia"/>
          <w:b/>
          <w:color w:val="000000"/>
          <w:kern w:val="0"/>
          <w:sz w:val="24"/>
          <w:szCs w:val="24"/>
        </w:rPr>
        <w:t>4</w:t>
      </w:r>
      <w:r w:rsidRPr="0084734C">
        <w:rPr>
          <w:rFonts w:ascii="Times New Roman" w:hAnsi="Times New Roman" w:cs="Times New Roman"/>
          <w:b/>
          <w:color w:val="000000"/>
          <w:kern w:val="0"/>
          <w:sz w:val="24"/>
          <w:szCs w:val="24"/>
        </w:rPr>
        <w:t>.2</w:t>
      </w:r>
      <w:r>
        <w:rPr>
          <w:rFonts w:ascii="Times New Roman" w:hAnsi="Times New Roman" w:cs="Times New Roman"/>
          <w:b/>
          <w:color w:val="000000"/>
          <w:kern w:val="0"/>
          <w:sz w:val="24"/>
          <w:szCs w:val="24"/>
        </w:rPr>
        <w:t xml:space="preserve"> SPV Investment Percentage of Different Type of Banks</w:t>
      </w:r>
    </w:p>
    <w:p w14:paraId="3ABFAF60" w14:textId="654BB999" w:rsidR="002360CD" w:rsidRDefault="00745A65" w:rsidP="002360CD">
      <w:pPr>
        <w:adjustRightInd w:val="0"/>
        <w:spacing w:line="360" w:lineRule="auto"/>
        <w:textAlignment w:val="baseline"/>
        <w:rPr>
          <w:rFonts w:ascii="Times New Roman" w:hAnsi="Times New Roman" w:cs="Times New Roman"/>
          <w:bCs/>
          <w:color w:val="000000"/>
          <w:kern w:val="0"/>
          <w:sz w:val="24"/>
          <w:szCs w:val="24"/>
        </w:rPr>
      </w:pPr>
      <w:r w:rsidRPr="00745A65">
        <w:rPr>
          <w:rFonts w:ascii="Times New Roman" w:hAnsi="Times New Roman" w:cs="Times New Roman"/>
          <w:bCs/>
          <w:color w:val="000000"/>
          <w:kern w:val="0"/>
          <w:sz w:val="24"/>
          <w:szCs w:val="24"/>
        </w:rPr>
        <w:t>From Q1 of 2013 to Q4 of 2019, the average SPV investment percentage of RCBs start</w:t>
      </w:r>
      <w:r w:rsidR="0036727E">
        <w:rPr>
          <w:rFonts w:ascii="Times New Roman" w:hAnsi="Times New Roman" w:cs="Times New Roman"/>
          <w:bCs/>
          <w:color w:val="000000"/>
          <w:kern w:val="0"/>
          <w:sz w:val="24"/>
          <w:szCs w:val="24"/>
        </w:rPr>
        <w:t>s</w:t>
      </w:r>
      <w:r w:rsidRPr="00745A65">
        <w:rPr>
          <w:rFonts w:ascii="Times New Roman" w:hAnsi="Times New Roman" w:cs="Times New Roman"/>
          <w:bCs/>
          <w:color w:val="000000"/>
          <w:kern w:val="0"/>
          <w:sz w:val="24"/>
          <w:szCs w:val="24"/>
        </w:rPr>
        <w:t xml:space="preserve"> from 1.79% on Mar</w:t>
      </w:r>
      <w:r w:rsidR="0036727E">
        <w:rPr>
          <w:rFonts w:ascii="Times New Roman" w:hAnsi="Times New Roman" w:cs="Times New Roman"/>
          <w:bCs/>
          <w:color w:val="000000"/>
          <w:kern w:val="0"/>
          <w:sz w:val="24"/>
          <w:szCs w:val="24"/>
        </w:rPr>
        <w:t>.</w:t>
      </w:r>
      <w:r w:rsidRPr="00745A65">
        <w:rPr>
          <w:rFonts w:ascii="Times New Roman" w:hAnsi="Times New Roman" w:cs="Times New Roman"/>
          <w:bCs/>
          <w:color w:val="000000"/>
          <w:kern w:val="0"/>
          <w:sz w:val="24"/>
          <w:szCs w:val="24"/>
        </w:rPr>
        <w:t xml:space="preserve"> 31</w:t>
      </w:r>
      <w:r>
        <w:rPr>
          <w:rFonts w:ascii="Times New Roman" w:hAnsi="Times New Roman" w:cs="Times New Roman"/>
          <w:bCs/>
          <w:color w:val="000000"/>
          <w:kern w:val="0"/>
          <w:sz w:val="24"/>
          <w:szCs w:val="24"/>
          <w:vertAlign w:val="superscript"/>
        </w:rPr>
        <w:t>th</w:t>
      </w:r>
      <w:r w:rsidRPr="00745A65">
        <w:rPr>
          <w:rFonts w:ascii="Times New Roman" w:hAnsi="Times New Roman" w:cs="Times New Roman"/>
          <w:bCs/>
          <w:color w:val="000000"/>
          <w:kern w:val="0"/>
          <w:sz w:val="24"/>
          <w:szCs w:val="24"/>
        </w:rPr>
        <w:t xml:space="preserve"> 2013</w:t>
      </w:r>
      <w:r w:rsidR="0036727E">
        <w:rPr>
          <w:rFonts w:ascii="Times New Roman" w:hAnsi="Times New Roman" w:cs="Times New Roman"/>
          <w:bCs/>
          <w:color w:val="000000"/>
          <w:kern w:val="0"/>
          <w:sz w:val="24"/>
          <w:szCs w:val="24"/>
        </w:rPr>
        <w:t xml:space="preserve"> to hit its top value of 14.98% on </w:t>
      </w:r>
      <w:r w:rsidR="0036727E" w:rsidRPr="00745A65">
        <w:rPr>
          <w:rFonts w:ascii="Times New Roman" w:hAnsi="Times New Roman" w:cs="Times New Roman"/>
          <w:bCs/>
          <w:color w:val="000000"/>
          <w:kern w:val="0"/>
          <w:sz w:val="24"/>
          <w:szCs w:val="24"/>
        </w:rPr>
        <w:t>Mar</w:t>
      </w:r>
      <w:r w:rsidR="0036727E">
        <w:rPr>
          <w:rFonts w:ascii="Times New Roman" w:hAnsi="Times New Roman" w:cs="Times New Roman"/>
          <w:bCs/>
          <w:color w:val="000000"/>
          <w:kern w:val="0"/>
          <w:sz w:val="24"/>
          <w:szCs w:val="24"/>
        </w:rPr>
        <w:t>.</w:t>
      </w:r>
      <w:r w:rsidR="0036727E" w:rsidRPr="00745A65">
        <w:rPr>
          <w:rFonts w:ascii="Times New Roman" w:hAnsi="Times New Roman" w:cs="Times New Roman"/>
          <w:bCs/>
          <w:color w:val="000000"/>
          <w:kern w:val="0"/>
          <w:sz w:val="24"/>
          <w:szCs w:val="24"/>
        </w:rPr>
        <w:t xml:space="preserve"> 31</w:t>
      </w:r>
      <w:r w:rsidR="0036727E">
        <w:rPr>
          <w:rFonts w:ascii="Times New Roman" w:hAnsi="Times New Roman" w:cs="Times New Roman"/>
          <w:bCs/>
          <w:color w:val="000000"/>
          <w:kern w:val="0"/>
          <w:sz w:val="24"/>
          <w:szCs w:val="24"/>
          <w:vertAlign w:val="superscript"/>
        </w:rPr>
        <w:t>th</w:t>
      </w:r>
      <w:r w:rsidR="0036727E" w:rsidRPr="00745A65">
        <w:rPr>
          <w:rFonts w:ascii="Times New Roman" w:hAnsi="Times New Roman" w:cs="Times New Roman"/>
          <w:bCs/>
          <w:color w:val="000000"/>
          <w:kern w:val="0"/>
          <w:sz w:val="24"/>
          <w:szCs w:val="24"/>
        </w:rPr>
        <w:t xml:space="preserve"> 201</w:t>
      </w:r>
      <w:r w:rsidR="0036727E">
        <w:rPr>
          <w:rFonts w:ascii="Times New Roman" w:hAnsi="Times New Roman" w:cs="Times New Roman"/>
          <w:bCs/>
          <w:color w:val="000000"/>
          <w:kern w:val="0"/>
          <w:sz w:val="24"/>
          <w:szCs w:val="24"/>
        </w:rPr>
        <w:t>7 then falls to 9.01% on Sept. 30</w:t>
      </w:r>
      <w:r w:rsidR="0036727E" w:rsidRPr="0036727E">
        <w:rPr>
          <w:rFonts w:ascii="Times New Roman" w:hAnsi="Times New Roman" w:cs="Times New Roman"/>
          <w:bCs/>
          <w:color w:val="000000"/>
          <w:kern w:val="0"/>
          <w:sz w:val="24"/>
          <w:szCs w:val="24"/>
          <w:vertAlign w:val="superscript"/>
        </w:rPr>
        <w:t>th</w:t>
      </w:r>
      <w:r w:rsidR="0036727E">
        <w:rPr>
          <w:rFonts w:ascii="Times New Roman" w:hAnsi="Times New Roman" w:cs="Times New Roman"/>
          <w:bCs/>
          <w:color w:val="000000"/>
          <w:kern w:val="0"/>
          <w:sz w:val="24"/>
          <w:szCs w:val="24"/>
        </w:rPr>
        <w:t xml:space="preserve"> 2019. </w:t>
      </w:r>
      <w:r w:rsidR="002360CD">
        <w:rPr>
          <w:rFonts w:ascii="Times New Roman" w:hAnsi="Times New Roman" w:cs="Times New Roman"/>
          <w:bCs/>
          <w:color w:val="000000"/>
          <w:kern w:val="0"/>
          <w:sz w:val="24"/>
          <w:szCs w:val="24"/>
        </w:rPr>
        <w:t>Moreover,</w:t>
      </w:r>
      <w:r w:rsidR="0036727E">
        <w:rPr>
          <w:rFonts w:ascii="Times New Roman" w:hAnsi="Times New Roman" w:cs="Times New Roman"/>
          <w:bCs/>
          <w:color w:val="000000"/>
          <w:kern w:val="0"/>
          <w:sz w:val="24"/>
          <w:szCs w:val="24"/>
        </w:rPr>
        <w:t xml:space="preserve"> the average SPV investment percentage of CCBs begins from 11.6% on </w:t>
      </w:r>
      <w:r w:rsidR="0036727E" w:rsidRPr="00745A65">
        <w:rPr>
          <w:rFonts w:ascii="Times New Roman" w:hAnsi="Times New Roman" w:cs="Times New Roman"/>
          <w:bCs/>
          <w:color w:val="000000"/>
          <w:kern w:val="0"/>
          <w:sz w:val="24"/>
          <w:szCs w:val="24"/>
        </w:rPr>
        <w:t>Mar</w:t>
      </w:r>
      <w:r w:rsidR="0036727E">
        <w:rPr>
          <w:rFonts w:ascii="Times New Roman" w:hAnsi="Times New Roman" w:cs="Times New Roman"/>
          <w:bCs/>
          <w:color w:val="000000"/>
          <w:kern w:val="0"/>
          <w:sz w:val="24"/>
          <w:szCs w:val="24"/>
        </w:rPr>
        <w:t>.</w:t>
      </w:r>
      <w:r w:rsidR="0036727E" w:rsidRPr="00745A65">
        <w:rPr>
          <w:rFonts w:ascii="Times New Roman" w:hAnsi="Times New Roman" w:cs="Times New Roman"/>
          <w:bCs/>
          <w:color w:val="000000"/>
          <w:kern w:val="0"/>
          <w:sz w:val="24"/>
          <w:szCs w:val="24"/>
        </w:rPr>
        <w:t xml:space="preserve"> 31</w:t>
      </w:r>
      <w:r w:rsidR="0036727E">
        <w:rPr>
          <w:rFonts w:ascii="Times New Roman" w:hAnsi="Times New Roman" w:cs="Times New Roman"/>
          <w:bCs/>
          <w:color w:val="000000"/>
          <w:kern w:val="0"/>
          <w:sz w:val="24"/>
          <w:szCs w:val="24"/>
          <w:vertAlign w:val="superscript"/>
        </w:rPr>
        <w:t>th</w:t>
      </w:r>
      <w:r w:rsidR="0036727E" w:rsidRPr="00745A65">
        <w:rPr>
          <w:rFonts w:ascii="Times New Roman" w:hAnsi="Times New Roman" w:cs="Times New Roman"/>
          <w:bCs/>
          <w:color w:val="000000"/>
          <w:kern w:val="0"/>
          <w:sz w:val="24"/>
          <w:szCs w:val="24"/>
        </w:rPr>
        <w:t xml:space="preserve"> 2013</w:t>
      </w:r>
      <w:r w:rsidR="0036727E">
        <w:rPr>
          <w:rFonts w:ascii="Times New Roman" w:hAnsi="Times New Roman" w:cs="Times New Roman"/>
          <w:bCs/>
          <w:color w:val="000000"/>
          <w:kern w:val="0"/>
          <w:sz w:val="24"/>
          <w:szCs w:val="24"/>
        </w:rPr>
        <w:t xml:space="preserve"> to reach its peak of 28.6% on Mar. 31 2017 then drop to 19.9% on Sept. 30</w:t>
      </w:r>
      <w:r w:rsidR="0036727E" w:rsidRPr="0036727E">
        <w:rPr>
          <w:rFonts w:ascii="Times New Roman" w:hAnsi="Times New Roman" w:cs="Times New Roman"/>
          <w:bCs/>
          <w:color w:val="000000"/>
          <w:kern w:val="0"/>
          <w:sz w:val="24"/>
          <w:szCs w:val="24"/>
          <w:vertAlign w:val="superscript"/>
        </w:rPr>
        <w:t>th</w:t>
      </w:r>
      <w:r w:rsidR="0036727E">
        <w:rPr>
          <w:rFonts w:ascii="Times New Roman" w:hAnsi="Times New Roman" w:cs="Times New Roman"/>
          <w:bCs/>
          <w:color w:val="000000"/>
          <w:kern w:val="0"/>
          <w:sz w:val="24"/>
          <w:szCs w:val="24"/>
        </w:rPr>
        <w:t xml:space="preserve"> 2019. </w:t>
      </w:r>
      <w:r w:rsidR="002360CD">
        <w:rPr>
          <w:rFonts w:ascii="Times New Roman" w:hAnsi="Times New Roman" w:cs="Times New Roman"/>
          <w:bCs/>
          <w:color w:val="000000"/>
          <w:kern w:val="0"/>
          <w:sz w:val="24"/>
          <w:szCs w:val="24"/>
        </w:rPr>
        <w:t>On the other hand, t</w:t>
      </w:r>
      <w:r w:rsidR="0036727E">
        <w:rPr>
          <w:rFonts w:ascii="Times New Roman" w:hAnsi="Times New Roman" w:cs="Times New Roman"/>
          <w:bCs/>
          <w:color w:val="000000"/>
          <w:kern w:val="0"/>
          <w:sz w:val="24"/>
          <w:szCs w:val="24"/>
        </w:rPr>
        <w:t xml:space="preserve">he one of LCBs on </w:t>
      </w:r>
      <w:r w:rsidR="0036727E" w:rsidRPr="00745A65">
        <w:rPr>
          <w:rFonts w:ascii="Times New Roman" w:hAnsi="Times New Roman" w:cs="Times New Roman"/>
          <w:bCs/>
          <w:color w:val="000000"/>
          <w:kern w:val="0"/>
          <w:sz w:val="24"/>
          <w:szCs w:val="24"/>
        </w:rPr>
        <w:t>Mar</w:t>
      </w:r>
      <w:r w:rsidR="0036727E">
        <w:rPr>
          <w:rFonts w:ascii="Times New Roman" w:hAnsi="Times New Roman" w:cs="Times New Roman"/>
          <w:bCs/>
          <w:color w:val="000000"/>
          <w:kern w:val="0"/>
          <w:sz w:val="24"/>
          <w:szCs w:val="24"/>
        </w:rPr>
        <w:t>.</w:t>
      </w:r>
      <w:r w:rsidR="0036727E" w:rsidRPr="00745A65">
        <w:rPr>
          <w:rFonts w:ascii="Times New Roman" w:hAnsi="Times New Roman" w:cs="Times New Roman"/>
          <w:bCs/>
          <w:color w:val="000000"/>
          <w:kern w:val="0"/>
          <w:sz w:val="24"/>
          <w:szCs w:val="24"/>
        </w:rPr>
        <w:t xml:space="preserve"> 31</w:t>
      </w:r>
      <w:r w:rsidR="0036727E">
        <w:rPr>
          <w:rFonts w:ascii="Times New Roman" w:hAnsi="Times New Roman" w:cs="Times New Roman"/>
          <w:bCs/>
          <w:color w:val="000000"/>
          <w:kern w:val="0"/>
          <w:sz w:val="24"/>
          <w:szCs w:val="24"/>
          <w:vertAlign w:val="superscript"/>
        </w:rPr>
        <w:t>th</w:t>
      </w:r>
      <w:r w:rsidR="0036727E" w:rsidRPr="00745A65">
        <w:rPr>
          <w:rFonts w:ascii="Times New Roman" w:hAnsi="Times New Roman" w:cs="Times New Roman"/>
          <w:bCs/>
          <w:color w:val="000000"/>
          <w:kern w:val="0"/>
          <w:sz w:val="24"/>
          <w:szCs w:val="24"/>
        </w:rPr>
        <w:t xml:space="preserve"> 2013</w:t>
      </w:r>
      <w:r w:rsidR="0036727E">
        <w:rPr>
          <w:rFonts w:ascii="Times New Roman" w:hAnsi="Times New Roman" w:cs="Times New Roman"/>
          <w:bCs/>
          <w:color w:val="000000"/>
          <w:kern w:val="0"/>
          <w:sz w:val="24"/>
          <w:szCs w:val="24"/>
        </w:rPr>
        <w:t xml:space="preserve"> is 1.04%, then climbs to the highest point of 3.11% on Mar. 31 2017 then declines to 2.52% on </w:t>
      </w:r>
      <w:r w:rsidR="002360CD">
        <w:rPr>
          <w:rFonts w:ascii="Times New Roman" w:hAnsi="Times New Roman" w:cs="Times New Roman"/>
          <w:bCs/>
          <w:color w:val="000000"/>
          <w:kern w:val="0"/>
          <w:sz w:val="24"/>
          <w:szCs w:val="24"/>
        </w:rPr>
        <w:t>Sept. 30</w:t>
      </w:r>
      <w:r w:rsidR="002360CD" w:rsidRPr="0036727E">
        <w:rPr>
          <w:rFonts w:ascii="Times New Roman" w:hAnsi="Times New Roman" w:cs="Times New Roman"/>
          <w:bCs/>
          <w:color w:val="000000"/>
          <w:kern w:val="0"/>
          <w:sz w:val="24"/>
          <w:szCs w:val="24"/>
          <w:vertAlign w:val="superscript"/>
        </w:rPr>
        <w:t>th</w:t>
      </w:r>
      <w:r w:rsidR="002360CD">
        <w:rPr>
          <w:rFonts w:ascii="Times New Roman" w:hAnsi="Times New Roman" w:cs="Times New Roman"/>
          <w:bCs/>
          <w:color w:val="000000"/>
          <w:kern w:val="0"/>
          <w:sz w:val="24"/>
          <w:szCs w:val="24"/>
        </w:rPr>
        <w:t xml:space="preserve"> 2019. Finally, the average SPV investment percentage of </w:t>
      </w:r>
      <w:bookmarkStart w:id="11" w:name="OLE_LINK10"/>
      <w:r w:rsidR="002360CD">
        <w:rPr>
          <w:rFonts w:ascii="Times New Roman" w:hAnsi="Times New Roman" w:cs="Times New Roman"/>
          <w:bCs/>
          <w:color w:val="000000"/>
          <w:kern w:val="0"/>
          <w:sz w:val="24"/>
          <w:szCs w:val="24"/>
        </w:rPr>
        <w:t>NJSCBs</w:t>
      </w:r>
      <w:bookmarkEnd w:id="11"/>
      <w:r w:rsidR="002360CD">
        <w:rPr>
          <w:rFonts w:ascii="Times New Roman" w:hAnsi="Times New Roman" w:cs="Times New Roman"/>
          <w:bCs/>
          <w:color w:val="000000"/>
          <w:kern w:val="0"/>
          <w:sz w:val="24"/>
          <w:szCs w:val="24"/>
        </w:rPr>
        <w:t xml:space="preserve"> is initially 4.75% on </w:t>
      </w:r>
      <w:r w:rsidR="002360CD" w:rsidRPr="00745A65">
        <w:rPr>
          <w:rFonts w:ascii="Times New Roman" w:hAnsi="Times New Roman" w:cs="Times New Roman"/>
          <w:bCs/>
          <w:color w:val="000000"/>
          <w:kern w:val="0"/>
          <w:sz w:val="24"/>
          <w:szCs w:val="24"/>
        </w:rPr>
        <w:t>Mar</w:t>
      </w:r>
      <w:r w:rsidR="002360CD">
        <w:rPr>
          <w:rFonts w:ascii="Times New Roman" w:hAnsi="Times New Roman" w:cs="Times New Roman"/>
          <w:bCs/>
          <w:color w:val="000000"/>
          <w:kern w:val="0"/>
          <w:sz w:val="24"/>
          <w:szCs w:val="24"/>
        </w:rPr>
        <w:t>.</w:t>
      </w:r>
      <w:r w:rsidR="002360CD" w:rsidRPr="00745A65">
        <w:rPr>
          <w:rFonts w:ascii="Times New Roman" w:hAnsi="Times New Roman" w:cs="Times New Roman"/>
          <w:bCs/>
          <w:color w:val="000000"/>
          <w:kern w:val="0"/>
          <w:sz w:val="24"/>
          <w:szCs w:val="24"/>
        </w:rPr>
        <w:t xml:space="preserve"> 31</w:t>
      </w:r>
      <w:r w:rsidR="002360CD">
        <w:rPr>
          <w:rFonts w:ascii="Times New Roman" w:hAnsi="Times New Roman" w:cs="Times New Roman"/>
          <w:bCs/>
          <w:color w:val="000000"/>
          <w:kern w:val="0"/>
          <w:sz w:val="24"/>
          <w:szCs w:val="24"/>
          <w:vertAlign w:val="superscript"/>
        </w:rPr>
        <w:t>th</w:t>
      </w:r>
      <w:r w:rsidR="002360CD" w:rsidRPr="00745A65">
        <w:rPr>
          <w:rFonts w:ascii="Times New Roman" w:hAnsi="Times New Roman" w:cs="Times New Roman"/>
          <w:bCs/>
          <w:color w:val="000000"/>
          <w:kern w:val="0"/>
          <w:sz w:val="24"/>
          <w:szCs w:val="24"/>
        </w:rPr>
        <w:t xml:space="preserve"> 2013</w:t>
      </w:r>
      <w:r w:rsidR="002360CD">
        <w:rPr>
          <w:rFonts w:ascii="Times New Roman" w:hAnsi="Times New Roman" w:cs="Times New Roman"/>
          <w:bCs/>
          <w:color w:val="000000"/>
          <w:kern w:val="0"/>
          <w:sz w:val="24"/>
          <w:szCs w:val="24"/>
        </w:rPr>
        <w:t>, then rises to 18.45% on Mar. 31 2017 and ends up with 9.86% on Sept. 30</w:t>
      </w:r>
      <w:r w:rsidR="002360CD" w:rsidRPr="0036727E">
        <w:rPr>
          <w:rFonts w:ascii="Times New Roman" w:hAnsi="Times New Roman" w:cs="Times New Roman"/>
          <w:bCs/>
          <w:color w:val="000000"/>
          <w:kern w:val="0"/>
          <w:sz w:val="24"/>
          <w:szCs w:val="24"/>
          <w:vertAlign w:val="superscript"/>
        </w:rPr>
        <w:t>th</w:t>
      </w:r>
      <w:r w:rsidR="002360CD">
        <w:rPr>
          <w:rFonts w:ascii="Times New Roman" w:hAnsi="Times New Roman" w:cs="Times New Roman"/>
          <w:bCs/>
          <w:color w:val="000000"/>
          <w:kern w:val="0"/>
          <w:sz w:val="24"/>
          <w:szCs w:val="24"/>
        </w:rPr>
        <w:t xml:space="preserve"> 2019. It is quite interesting that, no </w:t>
      </w:r>
      <w:r w:rsidR="002360CD">
        <w:rPr>
          <w:rFonts w:ascii="Times New Roman" w:hAnsi="Times New Roman" w:cs="Times New Roman"/>
          <w:bCs/>
          <w:color w:val="000000"/>
          <w:kern w:val="0"/>
          <w:sz w:val="24"/>
          <w:szCs w:val="24"/>
        </w:rPr>
        <w:lastRenderedPageBreak/>
        <w:t xml:space="preserve">matter </w:t>
      </w:r>
      <w:r w:rsidR="00B3509F">
        <w:rPr>
          <w:rFonts w:ascii="Times New Roman" w:hAnsi="Times New Roman" w:cs="Times New Roman"/>
          <w:bCs/>
          <w:color w:val="000000"/>
          <w:kern w:val="0"/>
          <w:sz w:val="24"/>
          <w:szCs w:val="24"/>
        </w:rPr>
        <w:t xml:space="preserve">what </w:t>
      </w:r>
      <w:r w:rsidR="002360CD">
        <w:rPr>
          <w:rFonts w:ascii="Times New Roman" w:hAnsi="Times New Roman" w:cs="Times New Roman"/>
          <w:bCs/>
          <w:color w:val="000000"/>
          <w:kern w:val="0"/>
          <w:sz w:val="24"/>
          <w:szCs w:val="24"/>
        </w:rPr>
        <w:t>the type of the bank is, the average SPV investment percentage moves in a similar pattern. In particular, the highest average SPV investment percentage</w:t>
      </w:r>
      <w:r w:rsidR="00B3509F">
        <w:rPr>
          <w:rFonts w:ascii="Times New Roman" w:hAnsi="Times New Roman" w:cs="Times New Roman"/>
          <w:bCs/>
          <w:color w:val="000000"/>
          <w:kern w:val="0"/>
          <w:sz w:val="24"/>
          <w:szCs w:val="24"/>
        </w:rPr>
        <w:t xml:space="preserve"> of all 4 types of banks appear on the same time, i.e. Mar. 31</w:t>
      </w:r>
      <w:r w:rsidR="00B3509F" w:rsidRPr="0036727E">
        <w:rPr>
          <w:rFonts w:ascii="Times New Roman" w:hAnsi="Times New Roman" w:cs="Times New Roman"/>
          <w:bCs/>
          <w:color w:val="000000"/>
          <w:kern w:val="0"/>
          <w:sz w:val="24"/>
          <w:szCs w:val="24"/>
          <w:vertAlign w:val="superscript"/>
        </w:rPr>
        <w:t>th</w:t>
      </w:r>
      <w:r w:rsidR="00B3509F">
        <w:rPr>
          <w:rFonts w:ascii="Times New Roman" w:hAnsi="Times New Roman" w:cs="Times New Roman"/>
          <w:bCs/>
          <w:color w:val="000000"/>
          <w:kern w:val="0"/>
          <w:sz w:val="24"/>
          <w:szCs w:val="24"/>
        </w:rPr>
        <w:t xml:space="preserve"> 2017. We will elaborate this in the later part of discussion on the empirical results. All trajectories of the average SPV investment percentage of each type of banks are plotted in following figure.</w:t>
      </w:r>
    </w:p>
    <w:p w14:paraId="251BFF0C" w14:textId="77777777" w:rsidR="00B3509F" w:rsidRDefault="00B3509F" w:rsidP="002360CD">
      <w:pPr>
        <w:adjustRightInd w:val="0"/>
        <w:spacing w:line="360" w:lineRule="auto"/>
        <w:textAlignment w:val="baseline"/>
        <w:rPr>
          <w:rFonts w:ascii="Times New Roman" w:hAnsi="Times New Roman" w:cs="Times New Roman"/>
          <w:bCs/>
          <w:color w:val="000000"/>
          <w:kern w:val="0"/>
          <w:sz w:val="24"/>
          <w:szCs w:val="24"/>
        </w:rPr>
      </w:pPr>
    </w:p>
    <w:p w14:paraId="519BE2A3" w14:textId="2DA6F612" w:rsidR="00745A65" w:rsidRPr="00745A65" w:rsidRDefault="00745A65" w:rsidP="002360CD">
      <w:pPr>
        <w:adjustRightInd w:val="0"/>
        <w:spacing w:line="360" w:lineRule="auto"/>
        <w:jc w:val="center"/>
        <w:textAlignment w:val="baseline"/>
        <w:rPr>
          <w:rFonts w:ascii="Times New Roman" w:hAnsi="Times New Roman" w:cs="Times New Roman"/>
          <w:b/>
          <w:color w:val="000000"/>
          <w:kern w:val="0"/>
          <w:szCs w:val="21"/>
        </w:rPr>
      </w:pPr>
      <w:r w:rsidRPr="00745A65">
        <w:rPr>
          <w:rFonts w:ascii="Times New Roman" w:hAnsi="Times New Roman" w:cs="Times New Roman" w:hint="eastAsia"/>
          <w:b/>
          <w:color w:val="000000"/>
          <w:kern w:val="0"/>
          <w:szCs w:val="21"/>
        </w:rPr>
        <w:t>F</w:t>
      </w:r>
      <w:r w:rsidRPr="00745A65">
        <w:rPr>
          <w:rFonts w:ascii="Times New Roman" w:hAnsi="Times New Roman" w:cs="Times New Roman"/>
          <w:b/>
          <w:color w:val="000000"/>
          <w:kern w:val="0"/>
          <w:szCs w:val="21"/>
        </w:rPr>
        <w:t xml:space="preserve">igure1. </w:t>
      </w:r>
      <w:r>
        <w:rPr>
          <w:rFonts w:ascii="Times New Roman" w:hAnsi="Times New Roman" w:cs="Times New Roman"/>
          <w:b/>
          <w:color w:val="000000"/>
          <w:kern w:val="0"/>
          <w:szCs w:val="21"/>
        </w:rPr>
        <w:t>Trend of Average SPV Investment percentage of Different Type of Banks</w:t>
      </w:r>
    </w:p>
    <w:p w14:paraId="29173A00" w14:textId="1C3F1E6B" w:rsidR="0084734C" w:rsidRDefault="003D565F" w:rsidP="00745A65">
      <w:pPr>
        <w:adjustRightInd w:val="0"/>
        <w:spacing w:line="360" w:lineRule="auto"/>
        <w:jc w:val="center"/>
        <w:textAlignment w:val="baseline"/>
        <w:rPr>
          <w:rFonts w:ascii="Times New Roman" w:hAnsi="Times New Roman" w:cs="Times New Roman"/>
          <w:b/>
          <w:color w:val="000000"/>
          <w:kern w:val="0"/>
          <w:sz w:val="24"/>
          <w:szCs w:val="24"/>
        </w:rPr>
      </w:pPr>
      <w:r>
        <w:rPr>
          <w:noProof/>
        </w:rPr>
        <w:drawing>
          <wp:inline distT="0" distB="0" distL="0" distR="0" wp14:anchorId="3C7EAE7C" wp14:editId="0CAE20A6">
            <wp:extent cx="4612791" cy="2049145"/>
            <wp:effectExtent l="0" t="0" r="16510" b="8255"/>
            <wp:docPr id="1" name="图表 1">
              <a:extLst xmlns:a="http://schemas.openxmlformats.org/drawingml/2006/main">
                <a:ext uri="{FF2B5EF4-FFF2-40B4-BE49-F238E27FC236}">
                  <a16:creationId xmlns:a16="http://schemas.microsoft.com/office/drawing/2014/main" id="{569DDF2A-6F11-44DA-88A2-D9B87DDBF7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1FDEFB" w14:textId="77777777" w:rsidR="005030AF" w:rsidRDefault="005030AF" w:rsidP="004C5665">
      <w:pPr>
        <w:adjustRightInd w:val="0"/>
        <w:spacing w:line="360" w:lineRule="auto"/>
        <w:textAlignment w:val="baseline"/>
        <w:rPr>
          <w:rFonts w:ascii="Times New Roman" w:hAnsi="Times New Roman" w:cs="Times New Roman"/>
          <w:b/>
          <w:color w:val="000000"/>
          <w:kern w:val="0"/>
          <w:sz w:val="24"/>
          <w:szCs w:val="24"/>
        </w:rPr>
      </w:pPr>
    </w:p>
    <w:p w14:paraId="019BBCA4" w14:textId="4F025912" w:rsidR="0084734C" w:rsidRDefault="0084734C" w:rsidP="004C5665">
      <w:pPr>
        <w:adjustRightInd w:val="0"/>
        <w:spacing w:line="360" w:lineRule="auto"/>
        <w:textAlignment w:val="baseline"/>
        <w:rPr>
          <w:rFonts w:ascii="Times New Roman" w:hAnsi="Times New Roman" w:cs="Times New Roman"/>
          <w:b/>
          <w:color w:val="000000"/>
          <w:kern w:val="0"/>
          <w:sz w:val="24"/>
          <w:szCs w:val="24"/>
        </w:rPr>
      </w:pPr>
      <w:r>
        <w:rPr>
          <w:rFonts w:ascii="Times New Roman" w:hAnsi="Times New Roman" w:cs="Times New Roman" w:hint="eastAsia"/>
          <w:b/>
          <w:color w:val="000000"/>
          <w:kern w:val="0"/>
          <w:sz w:val="24"/>
          <w:szCs w:val="24"/>
        </w:rPr>
        <w:t>4</w:t>
      </w:r>
      <w:r>
        <w:rPr>
          <w:rFonts w:ascii="Times New Roman" w:hAnsi="Times New Roman" w:cs="Times New Roman"/>
          <w:b/>
          <w:color w:val="000000"/>
          <w:kern w:val="0"/>
          <w:sz w:val="24"/>
          <w:szCs w:val="24"/>
        </w:rPr>
        <w:t>.3 Empirical Results</w:t>
      </w:r>
    </w:p>
    <w:p w14:paraId="7269C0DE" w14:textId="0D557DF0" w:rsidR="00D852B0" w:rsidRDefault="00D852B0" w:rsidP="00D852B0">
      <w:pPr>
        <w:adjustRightInd w:val="0"/>
        <w:spacing w:line="360" w:lineRule="auto"/>
        <w:ind w:leftChars="100" w:left="210"/>
        <w:textAlignment w:val="baseline"/>
        <w:rPr>
          <w:rFonts w:ascii="Times New Roman" w:hAnsi="Times New Roman" w:cs="Times New Roman"/>
          <w:b/>
          <w:color w:val="000000"/>
          <w:kern w:val="0"/>
          <w:sz w:val="24"/>
          <w:szCs w:val="24"/>
        </w:rPr>
      </w:pPr>
      <w:r>
        <w:rPr>
          <w:rFonts w:ascii="Times New Roman" w:hAnsi="Times New Roman" w:cs="Times New Roman" w:hint="eastAsia"/>
          <w:b/>
          <w:color w:val="000000"/>
          <w:kern w:val="0"/>
          <w:sz w:val="24"/>
          <w:szCs w:val="24"/>
        </w:rPr>
        <w:t>4</w:t>
      </w:r>
      <w:r>
        <w:rPr>
          <w:rFonts w:ascii="Times New Roman" w:hAnsi="Times New Roman" w:cs="Times New Roman"/>
          <w:b/>
          <w:color w:val="000000"/>
          <w:kern w:val="0"/>
          <w:sz w:val="24"/>
          <w:szCs w:val="24"/>
        </w:rPr>
        <w:t>.3.1 Full Sample</w:t>
      </w:r>
    </w:p>
    <w:p w14:paraId="23CD1B4F" w14:textId="74C11177" w:rsidR="00D852B0" w:rsidRDefault="00D10C11" w:rsidP="00D852B0">
      <w:pPr>
        <w:adjustRightInd w:val="0"/>
        <w:spacing w:line="360" w:lineRule="auto"/>
        <w:ind w:leftChars="100" w:left="210"/>
        <w:textAlignment w:val="baseline"/>
        <w:rPr>
          <w:rFonts w:ascii="Times New Roman" w:hAnsi="Times New Roman" w:cs="Times New Roman"/>
          <w:bCs/>
          <w:color w:val="000000"/>
          <w:kern w:val="0"/>
          <w:sz w:val="24"/>
          <w:szCs w:val="24"/>
        </w:rPr>
      </w:pPr>
      <w:r w:rsidRPr="00D10C11">
        <w:rPr>
          <w:rFonts w:ascii="Times New Roman" w:hAnsi="Times New Roman" w:cs="Times New Roman"/>
          <w:bCs/>
          <w:color w:val="000000"/>
          <w:kern w:val="0"/>
          <w:sz w:val="24"/>
          <w:szCs w:val="24"/>
        </w:rPr>
        <w:t xml:space="preserve">In order to avoid the endogeneity, we take the second lag of the independent variable </w:t>
      </w:r>
      <m:oMath>
        <m:r>
          <w:rPr>
            <w:rFonts w:ascii="Cambria Math" w:hAnsi="Cambria Math" w:cs="Times New Roman"/>
            <w:color w:val="000000"/>
            <w:kern w:val="0"/>
            <w:sz w:val="24"/>
            <w:szCs w:val="24"/>
          </w:rPr>
          <m:t>Y</m:t>
        </m:r>
      </m:oMath>
      <w:r w:rsidRPr="00D10C11">
        <w:rPr>
          <w:rFonts w:ascii="Times New Roman" w:hAnsi="Times New Roman" w:cs="Times New Roman"/>
          <w:bCs/>
          <w:color w:val="000000"/>
          <w:kern w:val="0"/>
          <w:sz w:val="24"/>
          <w:szCs w:val="24"/>
        </w:rPr>
        <w:t xml:space="preserve"> </w:t>
      </w:r>
      <w:r>
        <w:rPr>
          <w:rFonts w:ascii="Times New Roman" w:hAnsi="Times New Roman" w:cs="Times New Roman"/>
          <w:bCs/>
          <w:color w:val="000000"/>
          <w:kern w:val="0"/>
          <w:sz w:val="24"/>
          <w:szCs w:val="24"/>
        </w:rPr>
        <w:t xml:space="preserve">and the first lag of explanatory variables of </w:t>
      </w:r>
      <m:oMath>
        <m:r>
          <w:rPr>
            <w:rFonts w:ascii="Cambria Math" w:hAnsi="Cambria Math" w:cs="Times New Roman"/>
            <w:color w:val="000000"/>
            <w:kern w:val="0"/>
            <w:sz w:val="24"/>
            <w:szCs w:val="24"/>
          </w:rPr>
          <m:t>LDR, LL, CBL, IA</m:t>
        </m:r>
      </m:oMath>
      <w:r>
        <w:rPr>
          <w:rFonts w:ascii="Times New Roman" w:hAnsi="Times New Roman" w:cs="Times New Roman" w:hint="eastAsia"/>
          <w:bCs/>
          <w:color w:val="000000"/>
          <w:kern w:val="0"/>
          <w:sz w:val="24"/>
          <w:szCs w:val="24"/>
        </w:rPr>
        <w:t xml:space="preserve"> </w:t>
      </w:r>
      <w:r>
        <w:rPr>
          <w:rFonts w:ascii="Times New Roman" w:hAnsi="Times New Roman" w:cs="Times New Roman"/>
          <w:bCs/>
          <w:color w:val="000000"/>
          <w:kern w:val="0"/>
          <w:sz w:val="24"/>
          <w:szCs w:val="24"/>
        </w:rPr>
        <w:t>as instrument variables</w:t>
      </w:r>
      <w:r w:rsidR="00434FDD">
        <w:rPr>
          <w:rStyle w:val="a5"/>
          <w:rFonts w:ascii="Times New Roman" w:hAnsi="Times New Roman" w:cs="Times New Roman"/>
          <w:bCs/>
          <w:color w:val="000000"/>
          <w:kern w:val="0"/>
          <w:sz w:val="24"/>
          <w:szCs w:val="24"/>
        </w:rPr>
        <w:footnoteReference w:id="15"/>
      </w:r>
      <w:r>
        <w:rPr>
          <w:rFonts w:ascii="Times New Roman" w:hAnsi="Times New Roman" w:cs="Times New Roman"/>
          <w:bCs/>
          <w:color w:val="000000"/>
          <w:kern w:val="0"/>
          <w:sz w:val="24"/>
          <w:szCs w:val="24"/>
        </w:rPr>
        <w:t>. The regression results are given out in following table</w:t>
      </w:r>
      <w:r w:rsidR="00AF1CDD">
        <w:rPr>
          <w:rStyle w:val="a5"/>
          <w:rFonts w:ascii="Times New Roman" w:hAnsi="Times New Roman" w:cs="Times New Roman"/>
          <w:bCs/>
          <w:color w:val="000000"/>
          <w:kern w:val="0"/>
          <w:sz w:val="24"/>
          <w:szCs w:val="24"/>
        </w:rPr>
        <w:footnoteReference w:id="16"/>
      </w:r>
      <w:r>
        <w:rPr>
          <w:rFonts w:ascii="Times New Roman" w:hAnsi="Times New Roman" w:cs="Times New Roman"/>
          <w:bCs/>
          <w:color w:val="000000"/>
          <w:kern w:val="0"/>
          <w:sz w:val="24"/>
          <w:szCs w:val="24"/>
        </w:rPr>
        <w:t>.</w:t>
      </w:r>
    </w:p>
    <w:p w14:paraId="60ADF97C" w14:textId="09365E0B" w:rsidR="00D10C11" w:rsidRDefault="00D10C11" w:rsidP="00D10C11">
      <w:pPr>
        <w:adjustRightInd w:val="0"/>
        <w:spacing w:line="360" w:lineRule="auto"/>
        <w:ind w:leftChars="100" w:left="210"/>
        <w:jc w:val="center"/>
        <w:textAlignment w:val="baseline"/>
        <w:rPr>
          <w:rFonts w:ascii="Times New Roman" w:hAnsi="Times New Roman" w:cs="Times New Roman"/>
          <w:b/>
          <w:color w:val="000000"/>
          <w:kern w:val="0"/>
          <w:szCs w:val="21"/>
        </w:rPr>
      </w:pPr>
      <w:r w:rsidRPr="00D10C11">
        <w:rPr>
          <w:rFonts w:ascii="Times New Roman" w:hAnsi="Times New Roman" w:cs="Times New Roman" w:hint="eastAsia"/>
          <w:b/>
          <w:color w:val="000000"/>
          <w:kern w:val="0"/>
          <w:szCs w:val="21"/>
        </w:rPr>
        <w:t>T</w:t>
      </w:r>
      <w:r w:rsidRPr="00D10C11">
        <w:rPr>
          <w:rFonts w:ascii="Times New Roman" w:hAnsi="Times New Roman" w:cs="Times New Roman"/>
          <w:b/>
          <w:color w:val="000000"/>
          <w:kern w:val="0"/>
          <w:szCs w:val="21"/>
        </w:rPr>
        <w:t xml:space="preserve">able2. </w:t>
      </w:r>
      <w:r w:rsidR="00A2047C">
        <w:rPr>
          <w:rFonts w:ascii="Times New Roman" w:hAnsi="Times New Roman" w:cs="Times New Roman"/>
          <w:b/>
          <w:color w:val="000000"/>
          <w:kern w:val="0"/>
          <w:szCs w:val="21"/>
        </w:rPr>
        <w:t xml:space="preserve"> </w:t>
      </w:r>
      <w:r w:rsidRPr="00D10C11">
        <w:rPr>
          <w:rFonts w:ascii="Times New Roman" w:hAnsi="Times New Roman" w:cs="Times New Roman"/>
          <w:b/>
          <w:color w:val="000000"/>
          <w:kern w:val="0"/>
          <w:szCs w:val="21"/>
        </w:rPr>
        <w:t>The GMM Regression Results of Full Sample</w:t>
      </w:r>
    </w:p>
    <w:p w14:paraId="05C281CC" w14:textId="77777777" w:rsidR="004C5A80" w:rsidRPr="00D10C11" w:rsidRDefault="004C5A80" w:rsidP="00D10C11">
      <w:pPr>
        <w:adjustRightInd w:val="0"/>
        <w:spacing w:line="360" w:lineRule="auto"/>
        <w:ind w:leftChars="100" w:left="210"/>
        <w:jc w:val="center"/>
        <w:textAlignment w:val="baseline"/>
        <w:rPr>
          <w:rFonts w:ascii="Times New Roman" w:hAnsi="Times New Roman" w:cs="Times New Roman"/>
          <w:b/>
          <w:color w:val="000000"/>
          <w:kern w:val="0"/>
          <w:szCs w:val="21"/>
        </w:rPr>
      </w:pPr>
    </w:p>
    <w:tbl>
      <w:tblPr>
        <w:tblW w:w="0" w:type="auto"/>
        <w:jc w:val="center"/>
        <w:tblBorders>
          <w:top w:val="single" w:sz="8" w:space="0" w:color="4F81BD"/>
          <w:bottom w:val="single" w:sz="8" w:space="0" w:color="4F81BD"/>
        </w:tblBorders>
        <w:tblLayout w:type="fixed"/>
        <w:tblLook w:val="0000" w:firstRow="0" w:lastRow="0" w:firstColumn="0" w:lastColumn="0" w:noHBand="0" w:noVBand="0"/>
      </w:tblPr>
      <w:tblGrid>
        <w:gridCol w:w="1007"/>
        <w:gridCol w:w="1261"/>
        <w:gridCol w:w="1276"/>
        <w:gridCol w:w="1134"/>
        <w:gridCol w:w="1134"/>
      </w:tblGrid>
      <w:tr w:rsidR="00D10C11" w:rsidRPr="00D44241" w14:paraId="05B70726" w14:textId="77777777" w:rsidTr="004C5A80">
        <w:trPr>
          <w:trHeight w:val="191"/>
          <w:jc w:val="center"/>
        </w:trPr>
        <w:tc>
          <w:tcPr>
            <w:tcW w:w="1007" w:type="dxa"/>
            <w:tcBorders>
              <w:top w:val="single" w:sz="4" w:space="0" w:color="auto"/>
              <w:left w:val="nil"/>
              <w:bottom w:val="single" w:sz="4" w:space="0" w:color="auto"/>
              <w:right w:val="nil"/>
            </w:tcBorders>
            <w:vAlign w:val="center"/>
          </w:tcPr>
          <w:p w14:paraId="5AFA7872" w14:textId="16C3F4DC" w:rsidR="00D10C11" w:rsidRPr="00D44241" w:rsidRDefault="00D10C11" w:rsidP="00A2047C">
            <w:pPr>
              <w:spacing w:before="78"/>
              <w:jc w:val="center"/>
              <w:rPr>
                <w:rFonts w:ascii="Times New Roman" w:eastAsia="宋体" w:hAnsi="Times New Roman" w:cs="Times New Roman"/>
                <w:b/>
                <w:bCs/>
                <w:kern w:val="0"/>
                <w:szCs w:val="21"/>
                <w:highlight w:val="yellow"/>
              </w:rPr>
            </w:pPr>
            <w:r w:rsidRPr="00D10C11">
              <w:rPr>
                <w:rFonts w:ascii="Times New Roman" w:eastAsia="宋体" w:hAnsi="Times New Roman" w:cs="Arial" w:hint="eastAsia"/>
                <w:b/>
                <w:bCs/>
                <w:i/>
                <w:kern w:val="0"/>
                <w:szCs w:val="21"/>
              </w:rPr>
              <w:t>V</w:t>
            </w:r>
            <w:r w:rsidRPr="00D10C11">
              <w:rPr>
                <w:rFonts w:ascii="Times New Roman" w:eastAsia="宋体" w:hAnsi="Times New Roman" w:cs="Arial"/>
                <w:b/>
                <w:bCs/>
                <w:i/>
                <w:kern w:val="0"/>
                <w:szCs w:val="21"/>
              </w:rPr>
              <w:t>ariable</w:t>
            </w:r>
          </w:p>
        </w:tc>
        <w:tc>
          <w:tcPr>
            <w:tcW w:w="1261" w:type="dxa"/>
            <w:tcBorders>
              <w:top w:val="single" w:sz="4" w:space="0" w:color="auto"/>
              <w:left w:val="nil"/>
              <w:bottom w:val="single" w:sz="4" w:space="0" w:color="auto"/>
              <w:right w:val="nil"/>
            </w:tcBorders>
            <w:vAlign w:val="center"/>
          </w:tcPr>
          <w:p w14:paraId="55EB96C3" w14:textId="035BD3D3" w:rsidR="00D10C11" w:rsidRPr="00D44241" w:rsidRDefault="00D10C11" w:rsidP="00F4257F">
            <w:pPr>
              <w:spacing w:before="78"/>
              <w:jc w:val="right"/>
              <w:rPr>
                <w:rFonts w:ascii="Times New Roman" w:eastAsia="宋体" w:hAnsi="Times New Roman" w:cs="Arial"/>
                <w:b/>
                <w:bCs/>
                <w:i/>
                <w:kern w:val="0"/>
                <w:szCs w:val="21"/>
              </w:rPr>
            </w:pPr>
            <w:r>
              <w:rPr>
                <w:rFonts w:ascii="Times New Roman" w:eastAsia="宋体" w:hAnsi="Times New Roman" w:cs="Arial"/>
                <w:b/>
                <w:bCs/>
                <w:i/>
                <w:kern w:val="0"/>
                <w:szCs w:val="21"/>
              </w:rPr>
              <w:t>Coefficient</w:t>
            </w:r>
          </w:p>
        </w:tc>
        <w:tc>
          <w:tcPr>
            <w:tcW w:w="1276" w:type="dxa"/>
            <w:tcBorders>
              <w:top w:val="single" w:sz="4" w:space="0" w:color="auto"/>
              <w:left w:val="nil"/>
              <w:bottom w:val="single" w:sz="4" w:space="0" w:color="auto"/>
              <w:right w:val="nil"/>
            </w:tcBorders>
            <w:vAlign w:val="center"/>
          </w:tcPr>
          <w:p w14:paraId="4A039F84" w14:textId="7414B5A2" w:rsidR="00D10C11" w:rsidRPr="00D44241" w:rsidRDefault="00D10C11" w:rsidP="00F4257F">
            <w:pPr>
              <w:spacing w:before="78"/>
              <w:jc w:val="right"/>
              <w:rPr>
                <w:rFonts w:ascii="Times New Roman" w:eastAsia="宋体" w:hAnsi="Times New Roman" w:cs="Arial"/>
                <w:b/>
                <w:bCs/>
                <w:i/>
                <w:kern w:val="0"/>
                <w:szCs w:val="21"/>
              </w:rPr>
            </w:pPr>
            <w:r>
              <w:rPr>
                <w:rFonts w:ascii="Times New Roman" w:eastAsia="宋体" w:hAnsi="Times New Roman" w:cs="Arial" w:hint="eastAsia"/>
                <w:b/>
                <w:bCs/>
                <w:i/>
                <w:kern w:val="0"/>
                <w:szCs w:val="21"/>
              </w:rPr>
              <w:t>S</w:t>
            </w:r>
            <w:r>
              <w:rPr>
                <w:rFonts w:ascii="Times New Roman" w:eastAsia="宋体" w:hAnsi="Times New Roman" w:cs="Arial"/>
                <w:b/>
                <w:bCs/>
                <w:i/>
                <w:kern w:val="0"/>
                <w:szCs w:val="21"/>
              </w:rPr>
              <w:t>t</w:t>
            </w:r>
            <w:r w:rsidR="00765766">
              <w:rPr>
                <w:rFonts w:ascii="Times New Roman" w:eastAsia="宋体" w:hAnsi="Times New Roman" w:cs="Arial"/>
                <w:b/>
                <w:bCs/>
                <w:i/>
                <w:kern w:val="0"/>
                <w:szCs w:val="21"/>
              </w:rPr>
              <w:t xml:space="preserve">d. </w:t>
            </w:r>
            <w:r w:rsidR="00F4257F">
              <w:rPr>
                <w:rFonts w:ascii="Times New Roman" w:eastAsia="宋体" w:hAnsi="Times New Roman" w:cs="Arial"/>
                <w:b/>
                <w:bCs/>
                <w:i/>
                <w:kern w:val="0"/>
                <w:szCs w:val="21"/>
              </w:rPr>
              <w:t>D</w:t>
            </w:r>
            <w:r w:rsidR="00F4257F">
              <w:rPr>
                <w:rFonts w:ascii="Times New Roman" w:eastAsia="宋体" w:hAnsi="Times New Roman" w:cs="Arial" w:hint="eastAsia"/>
                <w:b/>
                <w:bCs/>
                <w:i/>
                <w:kern w:val="0"/>
                <w:szCs w:val="21"/>
              </w:rPr>
              <w:t>ev</w:t>
            </w:r>
          </w:p>
        </w:tc>
        <w:tc>
          <w:tcPr>
            <w:tcW w:w="1134" w:type="dxa"/>
            <w:tcBorders>
              <w:top w:val="single" w:sz="4" w:space="0" w:color="auto"/>
              <w:left w:val="nil"/>
              <w:bottom w:val="single" w:sz="4" w:space="0" w:color="auto"/>
              <w:right w:val="nil"/>
            </w:tcBorders>
            <w:vAlign w:val="center"/>
          </w:tcPr>
          <w:p w14:paraId="080B5B48" w14:textId="05439495" w:rsidR="00D10C11" w:rsidRPr="00D44241" w:rsidRDefault="00D10C11" w:rsidP="00F4257F">
            <w:pPr>
              <w:spacing w:before="78"/>
              <w:jc w:val="right"/>
              <w:rPr>
                <w:rFonts w:ascii="Times New Roman" w:eastAsia="宋体" w:hAnsi="Times New Roman" w:cs="Arial"/>
                <w:b/>
                <w:bCs/>
                <w:i/>
                <w:kern w:val="0"/>
                <w:szCs w:val="21"/>
              </w:rPr>
            </w:pPr>
            <w:r>
              <w:rPr>
                <w:rFonts w:ascii="Times New Roman" w:eastAsia="宋体" w:hAnsi="Times New Roman" w:cs="Arial"/>
                <w:b/>
                <w:bCs/>
                <w:i/>
                <w:kern w:val="0"/>
                <w:szCs w:val="21"/>
              </w:rPr>
              <w:t>t-Statistics</w:t>
            </w:r>
          </w:p>
        </w:tc>
        <w:tc>
          <w:tcPr>
            <w:tcW w:w="1134" w:type="dxa"/>
            <w:tcBorders>
              <w:top w:val="single" w:sz="4" w:space="0" w:color="auto"/>
              <w:left w:val="nil"/>
              <w:bottom w:val="single" w:sz="4" w:space="0" w:color="auto"/>
              <w:right w:val="nil"/>
            </w:tcBorders>
          </w:tcPr>
          <w:p w14:paraId="36B981D8" w14:textId="3EF6A8A2" w:rsidR="00D10C11" w:rsidRPr="00D44241" w:rsidRDefault="00D10C11" w:rsidP="00F4257F">
            <w:pPr>
              <w:spacing w:before="78"/>
              <w:jc w:val="right"/>
              <w:rPr>
                <w:rFonts w:ascii="Times New Roman" w:eastAsia="宋体" w:hAnsi="Times New Roman" w:cs="Arial"/>
                <w:b/>
                <w:bCs/>
                <w:i/>
                <w:kern w:val="0"/>
                <w:szCs w:val="21"/>
              </w:rPr>
            </w:pPr>
            <w:r>
              <w:rPr>
                <w:rFonts w:ascii="Times New Roman" w:eastAsia="宋体" w:hAnsi="Times New Roman" w:cs="Arial"/>
                <w:b/>
                <w:bCs/>
                <w:i/>
                <w:kern w:val="0"/>
                <w:szCs w:val="21"/>
              </w:rPr>
              <w:t>P-value</w:t>
            </w:r>
          </w:p>
        </w:tc>
      </w:tr>
      <w:tr w:rsidR="00765766" w:rsidRPr="00D44241" w14:paraId="23BD6FC5" w14:textId="77777777" w:rsidTr="004C5A80">
        <w:trPr>
          <w:jc w:val="center"/>
        </w:trPr>
        <w:tc>
          <w:tcPr>
            <w:tcW w:w="1007" w:type="dxa"/>
            <w:tcBorders>
              <w:top w:val="single" w:sz="4" w:space="0" w:color="auto"/>
              <w:left w:val="nil"/>
              <w:bottom w:val="single" w:sz="4" w:space="0" w:color="auto"/>
              <w:right w:val="nil"/>
            </w:tcBorders>
            <w:shd w:val="clear" w:color="auto" w:fill="auto"/>
            <w:vAlign w:val="center"/>
          </w:tcPr>
          <w:p w14:paraId="599A01D0" w14:textId="3891971D" w:rsidR="00765766" w:rsidRPr="00D44241" w:rsidRDefault="00765766" w:rsidP="00765766">
            <w:pPr>
              <w:spacing w:before="78" w:line="360" w:lineRule="auto"/>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Y</w:t>
            </w:r>
            <w:bookmarkStart w:id="12" w:name="OLE_LINK7"/>
            <w:r>
              <w:rPr>
                <w:rFonts w:ascii="Times New Roman" w:eastAsia="宋体" w:hAnsi="Times New Roman" w:cs="Times New Roman"/>
                <w:b/>
                <w:bCs/>
                <w:kern w:val="0"/>
                <w:szCs w:val="21"/>
              </w:rPr>
              <w:t>(-1)</w:t>
            </w:r>
            <w:bookmarkEnd w:id="12"/>
          </w:p>
        </w:tc>
        <w:tc>
          <w:tcPr>
            <w:tcW w:w="1261" w:type="dxa"/>
            <w:tcBorders>
              <w:top w:val="single" w:sz="4" w:space="0" w:color="auto"/>
              <w:left w:val="nil"/>
              <w:bottom w:val="single" w:sz="4" w:space="0" w:color="auto"/>
              <w:right w:val="nil"/>
            </w:tcBorders>
            <w:shd w:val="clear" w:color="auto" w:fill="auto"/>
            <w:vAlign w:val="center"/>
          </w:tcPr>
          <w:p w14:paraId="04446D92" w14:textId="5C6AB3A5" w:rsidR="00765766" w:rsidRPr="00371B6A" w:rsidRDefault="00765766" w:rsidP="00765766">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.3870</w:t>
            </w:r>
          </w:p>
        </w:tc>
        <w:tc>
          <w:tcPr>
            <w:tcW w:w="1276" w:type="dxa"/>
            <w:tcBorders>
              <w:top w:val="single" w:sz="4" w:space="0" w:color="auto"/>
              <w:left w:val="nil"/>
              <w:bottom w:val="single" w:sz="4" w:space="0" w:color="auto"/>
              <w:right w:val="nil"/>
            </w:tcBorders>
            <w:shd w:val="clear" w:color="auto" w:fill="auto"/>
            <w:vAlign w:val="center"/>
          </w:tcPr>
          <w:p w14:paraId="502C27D2" w14:textId="3AA92431" w:rsidR="00765766" w:rsidRPr="00371B6A" w:rsidRDefault="00765766" w:rsidP="00765766">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.0021</w:t>
            </w:r>
          </w:p>
        </w:tc>
        <w:tc>
          <w:tcPr>
            <w:tcW w:w="1134" w:type="dxa"/>
            <w:tcBorders>
              <w:top w:val="single" w:sz="4" w:space="0" w:color="auto"/>
              <w:left w:val="nil"/>
              <w:bottom w:val="single" w:sz="4" w:space="0" w:color="auto"/>
              <w:right w:val="nil"/>
            </w:tcBorders>
            <w:shd w:val="clear" w:color="auto" w:fill="auto"/>
          </w:tcPr>
          <w:p w14:paraId="49007C74" w14:textId="123FD224" w:rsidR="00765766" w:rsidRPr="00765766" w:rsidRDefault="00765766" w:rsidP="00765766">
            <w:pPr>
              <w:spacing w:before="78" w:line="360" w:lineRule="auto"/>
              <w:jc w:val="right"/>
              <w:rPr>
                <w:rFonts w:ascii="Times New Roman" w:eastAsia="宋体" w:hAnsi="Times New Roman" w:cs="Times New Roman"/>
                <w:szCs w:val="21"/>
              </w:rPr>
            </w:pPr>
            <w:r w:rsidRPr="00765766">
              <w:rPr>
                <w:rFonts w:ascii="Times New Roman" w:hAnsi="Times New Roman" w:cs="Times New Roman"/>
              </w:rPr>
              <w:t>181.1587</w:t>
            </w:r>
          </w:p>
        </w:tc>
        <w:tc>
          <w:tcPr>
            <w:tcW w:w="1134" w:type="dxa"/>
            <w:tcBorders>
              <w:top w:val="single" w:sz="4" w:space="0" w:color="auto"/>
              <w:left w:val="nil"/>
              <w:bottom w:val="single" w:sz="4" w:space="0" w:color="auto"/>
              <w:right w:val="nil"/>
            </w:tcBorders>
            <w:shd w:val="clear" w:color="auto" w:fill="auto"/>
          </w:tcPr>
          <w:p w14:paraId="32B34DD3" w14:textId="4C4106E5" w:rsidR="00765766" w:rsidRPr="00371B6A" w:rsidRDefault="00765766" w:rsidP="00765766">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.0000</w:t>
            </w:r>
          </w:p>
        </w:tc>
      </w:tr>
      <w:tr w:rsidR="00765766" w:rsidRPr="00D44241" w14:paraId="5368A3E3" w14:textId="77777777" w:rsidTr="004C5A80">
        <w:trPr>
          <w:jc w:val="center"/>
        </w:trPr>
        <w:tc>
          <w:tcPr>
            <w:tcW w:w="1007" w:type="dxa"/>
            <w:tcBorders>
              <w:top w:val="single" w:sz="4" w:space="0" w:color="auto"/>
              <w:bottom w:val="single" w:sz="4" w:space="0" w:color="auto"/>
            </w:tcBorders>
            <w:shd w:val="clear" w:color="auto" w:fill="auto"/>
            <w:vAlign w:val="center"/>
          </w:tcPr>
          <w:p w14:paraId="3575A36C" w14:textId="77777777" w:rsidR="00765766" w:rsidRPr="00D44241" w:rsidRDefault="00765766" w:rsidP="00765766">
            <w:pPr>
              <w:spacing w:before="78" w:line="360" w:lineRule="auto"/>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C</w:t>
            </w:r>
            <w:r>
              <w:rPr>
                <w:rFonts w:ascii="Times New Roman" w:eastAsia="宋体" w:hAnsi="Times New Roman" w:cs="Times New Roman"/>
                <w:b/>
                <w:bCs/>
                <w:kern w:val="0"/>
                <w:szCs w:val="21"/>
              </w:rPr>
              <w:t>AR</w:t>
            </w:r>
          </w:p>
        </w:tc>
        <w:tc>
          <w:tcPr>
            <w:tcW w:w="1261" w:type="dxa"/>
            <w:tcBorders>
              <w:top w:val="single" w:sz="4" w:space="0" w:color="auto"/>
              <w:bottom w:val="single" w:sz="4" w:space="0" w:color="auto"/>
            </w:tcBorders>
            <w:shd w:val="clear" w:color="auto" w:fill="auto"/>
            <w:vAlign w:val="center"/>
          </w:tcPr>
          <w:p w14:paraId="7D0B2B51" w14:textId="2E53FCC7" w:rsidR="00765766" w:rsidRPr="00371B6A" w:rsidRDefault="00765766" w:rsidP="00765766">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0.1375</w:t>
            </w:r>
          </w:p>
        </w:tc>
        <w:tc>
          <w:tcPr>
            <w:tcW w:w="1276" w:type="dxa"/>
            <w:tcBorders>
              <w:top w:val="single" w:sz="4" w:space="0" w:color="auto"/>
              <w:bottom w:val="single" w:sz="4" w:space="0" w:color="auto"/>
            </w:tcBorders>
            <w:shd w:val="clear" w:color="auto" w:fill="auto"/>
            <w:vAlign w:val="center"/>
          </w:tcPr>
          <w:p w14:paraId="3089AE66" w14:textId="645CDDBB" w:rsidR="00765766" w:rsidRPr="00371B6A" w:rsidRDefault="00765766" w:rsidP="00765766">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.0110</w:t>
            </w:r>
          </w:p>
        </w:tc>
        <w:tc>
          <w:tcPr>
            <w:tcW w:w="1134" w:type="dxa"/>
            <w:tcBorders>
              <w:top w:val="single" w:sz="4" w:space="0" w:color="auto"/>
              <w:bottom w:val="single" w:sz="4" w:space="0" w:color="auto"/>
            </w:tcBorders>
            <w:shd w:val="clear" w:color="auto" w:fill="auto"/>
          </w:tcPr>
          <w:p w14:paraId="2CF44F28" w14:textId="356D7B82" w:rsidR="00765766" w:rsidRPr="00765766" w:rsidRDefault="00765766" w:rsidP="00765766">
            <w:pPr>
              <w:spacing w:before="78" w:line="360" w:lineRule="auto"/>
              <w:jc w:val="right"/>
              <w:rPr>
                <w:rFonts w:ascii="Times New Roman" w:eastAsia="宋体" w:hAnsi="Times New Roman" w:cs="Times New Roman"/>
                <w:szCs w:val="21"/>
              </w:rPr>
            </w:pPr>
            <w:r w:rsidRPr="00765766">
              <w:rPr>
                <w:rFonts w:ascii="Times New Roman" w:hAnsi="Times New Roman" w:cs="Times New Roman"/>
              </w:rPr>
              <w:t>-12.49537</w:t>
            </w:r>
          </w:p>
        </w:tc>
        <w:tc>
          <w:tcPr>
            <w:tcW w:w="1134" w:type="dxa"/>
            <w:tcBorders>
              <w:top w:val="single" w:sz="4" w:space="0" w:color="auto"/>
              <w:bottom w:val="single" w:sz="4" w:space="0" w:color="auto"/>
            </w:tcBorders>
            <w:shd w:val="clear" w:color="auto" w:fill="auto"/>
          </w:tcPr>
          <w:p w14:paraId="338D6BAD" w14:textId="0D5C0D2F" w:rsidR="00765766" w:rsidRPr="00371B6A" w:rsidRDefault="00765766" w:rsidP="00765766">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.0000</w:t>
            </w:r>
          </w:p>
        </w:tc>
      </w:tr>
      <w:tr w:rsidR="00765766" w:rsidRPr="00D44241" w14:paraId="257482EE" w14:textId="77777777" w:rsidTr="004C5A80">
        <w:trPr>
          <w:jc w:val="center"/>
        </w:trPr>
        <w:tc>
          <w:tcPr>
            <w:tcW w:w="1007" w:type="dxa"/>
            <w:tcBorders>
              <w:top w:val="single" w:sz="4" w:space="0" w:color="auto"/>
              <w:left w:val="nil"/>
              <w:bottom w:val="single" w:sz="4" w:space="0" w:color="auto"/>
              <w:right w:val="nil"/>
            </w:tcBorders>
            <w:shd w:val="clear" w:color="auto" w:fill="auto"/>
            <w:vAlign w:val="center"/>
          </w:tcPr>
          <w:p w14:paraId="706425B6" w14:textId="3D501065" w:rsidR="00765766" w:rsidRPr="00D44241" w:rsidRDefault="00765766" w:rsidP="00765766">
            <w:pPr>
              <w:spacing w:before="78" w:line="360" w:lineRule="auto"/>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NPL</w:t>
            </w:r>
            <w:r w:rsidR="00997EC6">
              <w:rPr>
                <w:rFonts w:ascii="Times New Roman" w:eastAsia="宋体" w:hAnsi="Times New Roman" w:cs="Times New Roman"/>
                <w:b/>
                <w:bCs/>
                <w:kern w:val="0"/>
                <w:szCs w:val="21"/>
              </w:rPr>
              <w:t>(-1)</w:t>
            </w:r>
          </w:p>
        </w:tc>
        <w:tc>
          <w:tcPr>
            <w:tcW w:w="1261" w:type="dxa"/>
            <w:tcBorders>
              <w:top w:val="single" w:sz="4" w:space="0" w:color="auto"/>
              <w:left w:val="nil"/>
              <w:bottom w:val="single" w:sz="4" w:space="0" w:color="auto"/>
              <w:right w:val="nil"/>
            </w:tcBorders>
            <w:shd w:val="clear" w:color="auto" w:fill="auto"/>
            <w:vAlign w:val="center"/>
          </w:tcPr>
          <w:p w14:paraId="4D07A6AF" w14:textId="0340EAF5" w:rsidR="00765766" w:rsidRPr="00371B6A" w:rsidRDefault="00765766" w:rsidP="00765766">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.9606</w:t>
            </w:r>
          </w:p>
        </w:tc>
        <w:tc>
          <w:tcPr>
            <w:tcW w:w="1276" w:type="dxa"/>
            <w:tcBorders>
              <w:top w:val="single" w:sz="4" w:space="0" w:color="auto"/>
              <w:left w:val="nil"/>
              <w:bottom w:val="single" w:sz="4" w:space="0" w:color="auto"/>
              <w:right w:val="nil"/>
            </w:tcBorders>
            <w:shd w:val="clear" w:color="auto" w:fill="auto"/>
            <w:vAlign w:val="center"/>
          </w:tcPr>
          <w:p w14:paraId="3992733F" w14:textId="04FE3E7E" w:rsidR="00765766" w:rsidRPr="00371B6A" w:rsidRDefault="00765766" w:rsidP="00765766">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.0355</w:t>
            </w:r>
          </w:p>
        </w:tc>
        <w:tc>
          <w:tcPr>
            <w:tcW w:w="1134" w:type="dxa"/>
            <w:tcBorders>
              <w:top w:val="single" w:sz="4" w:space="0" w:color="auto"/>
              <w:left w:val="nil"/>
              <w:bottom w:val="single" w:sz="4" w:space="0" w:color="auto"/>
              <w:right w:val="nil"/>
            </w:tcBorders>
            <w:shd w:val="clear" w:color="auto" w:fill="auto"/>
          </w:tcPr>
          <w:p w14:paraId="425C1266" w14:textId="4427E831" w:rsidR="00765766" w:rsidRPr="00765766" w:rsidRDefault="00765766" w:rsidP="00765766">
            <w:pPr>
              <w:spacing w:before="78" w:line="360" w:lineRule="auto"/>
              <w:jc w:val="right"/>
              <w:rPr>
                <w:rFonts w:ascii="Times New Roman" w:eastAsia="宋体" w:hAnsi="Times New Roman" w:cs="Times New Roman"/>
                <w:szCs w:val="21"/>
              </w:rPr>
            </w:pPr>
            <w:r w:rsidRPr="00765766">
              <w:rPr>
                <w:rFonts w:ascii="Times New Roman" w:hAnsi="Times New Roman" w:cs="Times New Roman"/>
              </w:rPr>
              <w:t>27.07665</w:t>
            </w:r>
          </w:p>
        </w:tc>
        <w:tc>
          <w:tcPr>
            <w:tcW w:w="1134" w:type="dxa"/>
            <w:tcBorders>
              <w:top w:val="single" w:sz="4" w:space="0" w:color="auto"/>
              <w:left w:val="nil"/>
              <w:bottom w:val="single" w:sz="4" w:space="0" w:color="auto"/>
              <w:right w:val="nil"/>
            </w:tcBorders>
            <w:shd w:val="clear" w:color="auto" w:fill="auto"/>
          </w:tcPr>
          <w:p w14:paraId="613ABD14" w14:textId="1F7276E1" w:rsidR="00765766" w:rsidRPr="00371B6A" w:rsidRDefault="00765766" w:rsidP="00765766">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.0000</w:t>
            </w:r>
          </w:p>
        </w:tc>
      </w:tr>
      <w:tr w:rsidR="00765766" w:rsidRPr="00D44241" w14:paraId="2245EB04" w14:textId="77777777" w:rsidTr="004C5A80">
        <w:trPr>
          <w:jc w:val="center"/>
        </w:trPr>
        <w:tc>
          <w:tcPr>
            <w:tcW w:w="1007" w:type="dxa"/>
            <w:tcBorders>
              <w:top w:val="single" w:sz="4" w:space="0" w:color="auto"/>
              <w:bottom w:val="single" w:sz="4" w:space="0" w:color="auto"/>
            </w:tcBorders>
            <w:shd w:val="clear" w:color="auto" w:fill="auto"/>
            <w:vAlign w:val="center"/>
          </w:tcPr>
          <w:p w14:paraId="01CFB610" w14:textId="77777777" w:rsidR="00765766" w:rsidRPr="00D44241" w:rsidRDefault="00765766" w:rsidP="00765766">
            <w:pPr>
              <w:spacing w:before="78" w:line="360" w:lineRule="auto"/>
              <w:jc w:val="right"/>
              <w:rPr>
                <w:rFonts w:ascii="Times New Roman" w:eastAsia="宋体" w:hAnsi="Times New Roman" w:cs="Times New Roman"/>
                <w:b/>
                <w:bCs/>
                <w:kern w:val="0"/>
                <w:szCs w:val="21"/>
              </w:rPr>
            </w:pPr>
            <m:oMath>
              <m:r>
                <m:rPr>
                  <m:sty m:val="bi"/>
                </m:rPr>
                <w:rPr>
                  <w:rFonts w:ascii="Cambria Math" w:eastAsia="宋体" w:hAnsi="Cambria Math" w:cs="Times New Roman"/>
                  <w:kern w:val="0"/>
                  <w:szCs w:val="21"/>
                </w:rPr>
                <m:t>∆</m:t>
              </m:r>
            </m:oMath>
            <w:r>
              <w:rPr>
                <w:rFonts w:ascii="Times New Roman" w:eastAsia="宋体" w:hAnsi="Times New Roman" w:cs="Times New Roman"/>
                <w:b/>
                <w:bCs/>
                <w:kern w:val="0"/>
                <w:szCs w:val="21"/>
              </w:rPr>
              <w:t>NIM</w:t>
            </w:r>
          </w:p>
        </w:tc>
        <w:tc>
          <w:tcPr>
            <w:tcW w:w="1261" w:type="dxa"/>
            <w:tcBorders>
              <w:top w:val="single" w:sz="4" w:space="0" w:color="auto"/>
              <w:bottom w:val="single" w:sz="4" w:space="0" w:color="auto"/>
            </w:tcBorders>
            <w:shd w:val="clear" w:color="auto" w:fill="auto"/>
            <w:vAlign w:val="center"/>
          </w:tcPr>
          <w:p w14:paraId="18882FE0" w14:textId="2D27EBC2" w:rsidR="00765766" w:rsidRPr="00371B6A" w:rsidRDefault="00765766" w:rsidP="00765766">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0.0953</w:t>
            </w:r>
          </w:p>
        </w:tc>
        <w:tc>
          <w:tcPr>
            <w:tcW w:w="1276" w:type="dxa"/>
            <w:tcBorders>
              <w:top w:val="single" w:sz="4" w:space="0" w:color="auto"/>
              <w:bottom w:val="single" w:sz="4" w:space="0" w:color="auto"/>
            </w:tcBorders>
            <w:shd w:val="clear" w:color="auto" w:fill="auto"/>
            <w:vAlign w:val="center"/>
          </w:tcPr>
          <w:p w14:paraId="3BA1505C" w14:textId="75E6CC51" w:rsidR="00765766" w:rsidRPr="00371B6A" w:rsidRDefault="00765766" w:rsidP="00765766">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.0083</w:t>
            </w:r>
          </w:p>
        </w:tc>
        <w:tc>
          <w:tcPr>
            <w:tcW w:w="1134" w:type="dxa"/>
            <w:tcBorders>
              <w:top w:val="single" w:sz="4" w:space="0" w:color="auto"/>
              <w:bottom w:val="single" w:sz="4" w:space="0" w:color="auto"/>
            </w:tcBorders>
            <w:shd w:val="clear" w:color="auto" w:fill="auto"/>
          </w:tcPr>
          <w:p w14:paraId="3694BBCE" w14:textId="4A0381F5" w:rsidR="00765766" w:rsidRPr="00765766" w:rsidRDefault="00765766" w:rsidP="00765766">
            <w:pPr>
              <w:spacing w:before="78" w:line="360" w:lineRule="auto"/>
              <w:jc w:val="right"/>
              <w:rPr>
                <w:rFonts w:ascii="Times New Roman" w:eastAsia="宋体" w:hAnsi="Times New Roman" w:cs="Times New Roman"/>
                <w:szCs w:val="21"/>
              </w:rPr>
            </w:pPr>
            <w:r w:rsidRPr="00765766">
              <w:rPr>
                <w:rFonts w:ascii="Times New Roman" w:hAnsi="Times New Roman" w:cs="Times New Roman"/>
              </w:rPr>
              <w:t>-11.47524</w:t>
            </w:r>
          </w:p>
        </w:tc>
        <w:tc>
          <w:tcPr>
            <w:tcW w:w="1134" w:type="dxa"/>
            <w:tcBorders>
              <w:top w:val="single" w:sz="4" w:space="0" w:color="auto"/>
              <w:bottom w:val="single" w:sz="4" w:space="0" w:color="auto"/>
            </w:tcBorders>
            <w:shd w:val="clear" w:color="auto" w:fill="auto"/>
          </w:tcPr>
          <w:p w14:paraId="02F59446" w14:textId="05474F10" w:rsidR="00765766" w:rsidRPr="00371B6A" w:rsidRDefault="00765766" w:rsidP="00765766">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.0000</w:t>
            </w:r>
          </w:p>
        </w:tc>
      </w:tr>
      <w:tr w:rsidR="00765766" w:rsidRPr="00896E3E" w14:paraId="745BA4CB" w14:textId="77777777" w:rsidTr="004C5A80">
        <w:trPr>
          <w:jc w:val="center"/>
        </w:trPr>
        <w:tc>
          <w:tcPr>
            <w:tcW w:w="1007" w:type="dxa"/>
            <w:tcBorders>
              <w:top w:val="single" w:sz="4" w:space="0" w:color="auto"/>
              <w:bottom w:val="single" w:sz="4" w:space="0" w:color="auto"/>
            </w:tcBorders>
            <w:shd w:val="clear" w:color="auto" w:fill="auto"/>
            <w:vAlign w:val="center"/>
          </w:tcPr>
          <w:p w14:paraId="6F55CB06" w14:textId="77777777" w:rsidR="00765766" w:rsidRPr="00D44241" w:rsidRDefault="00765766" w:rsidP="00765766">
            <w:pPr>
              <w:spacing w:before="78" w:line="360" w:lineRule="auto"/>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lastRenderedPageBreak/>
              <w:t>L</w:t>
            </w:r>
            <w:r>
              <w:rPr>
                <w:rFonts w:ascii="Times New Roman" w:eastAsia="宋体" w:hAnsi="Times New Roman" w:cs="Times New Roman"/>
                <w:b/>
                <w:bCs/>
                <w:kern w:val="0"/>
                <w:szCs w:val="21"/>
              </w:rPr>
              <w:t>DR</w:t>
            </w:r>
          </w:p>
        </w:tc>
        <w:tc>
          <w:tcPr>
            <w:tcW w:w="1261" w:type="dxa"/>
            <w:tcBorders>
              <w:top w:val="single" w:sz="4" w:space="0" w:color="auto"/>
              <w:bottom w:val="single" w:sz="4" w:space="0" w:color="auto"/>
            </w:tcBorders>
            <w:shd w:val="clear" w:color="auto" w:fill="auto"/>
            <w:vAlign w:val="center"/>
          </w:tcPr>
          <w:p w14:paraId="495A9C77" w14:textId="5E85671E" w:rsidR="00765766" w:rsidRPr="000044A9" w:rsidRDefault="00765766" w:rsidP="00765766">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0.4336</w:t>
            </w:r>
          </w:p>
        </w:tc>
        <w:tc>
          <w:tcPr>
            <w:tcW w:w="1276" w:type="dxa"/>
            <w:tcBorders>
              <w:top w:val="single" w:sz="4" w:space="0" w:color="auto"/>
              <w:bottom w:val="single" w:sz="4" w:space="0" w:color="auto"/>
            </w:tcBorders>
            <w:shd w:val="clear" w:color="auto" w:fill="auto"/>
            <w:vAlign w:val="center"/>
          </w:tcPr>
          <w:p w14:paraId="343161AA" w14:textId="0B090825" w:rsidR="00765766" w:rsidRPr="000044A9" w:rsidRDefault="00765766" w:rsidP="00765766">
            <w:pPr>
              <w:spacing w:before="78" w:line="360" w:lineRule="auto"/>
              <w:jc w:val="right"/>
              <w:rPr>
                <w:rFonts w:ascii="Times New Roman" w:eastAsia="宋体" w:hAnsi="Times New Roman" w:cs="Times New Roman"/>
                <w:kern w:val="0"/>
                <w:szCs w:val="21"/>
              </w:rPr>
            </w:pPr>
            <w:r>
              <w:rPr>
                <w:rFonts w:ascii="Times New Roman" w:eastAsia="宋体" w:hAnsi="Times New Roman" w:cs="Times New Roman" w:hint="eastAsia"/>
                <w:kern w:val="0"/>
                <w:szCs w:val="21"/>
              </w:rPr>
              <w:t>0</w:t>
            </w:r>
            <w:r>
              <w:rPr>
                <w:rFonts w:ascii="Times New Roman" w:eastAsia="宋体" w:hAnsi="Times New Roman" w:cs="Times New Roman"/>
                <w:kern w:val="0"/>
                <w:szCs w:val="21"/>
              </w:rPr>
              <w:t>.0037</w:t>
            </w:r>
          </w:p>
        </w:tc>
        <w:tc>
          <w:tcPr>
            <w:tcW w:w="1134" w:type="dxa"/>
            <w:tcBorders>
              <w:top w:val="single" w:sz="4" w:space="0" w:color="auto"/>
              <w:bottom w:val="single" w:sz="4" w:space="0" w:color="auto"/>
            </w:tcBorders>
            <w:shd w:val="clear" w:color="auto" w:fill="auto"/>
          </w:tcPr>
          <w:p w14:paraId="657C87D4" w14:textId="039D6BE6" w:rsidR="00765766" w:rsidRPr="00765766" w:rsidRDefault="00765766" w:rsidP="00765766">
            <w:pPr>
              <w:spacing w:before="78" w:line="360" w:lineRule="auto"/>
              <w:jc w:val="right"/>
              <w:rPr>
                <w:rFonts w:ascii="Times New Roman" w:eastAsia="宋体" w:hAnsi="Times New Roman" w:cs="Times New Roman"/>
                <w:kern w:val="0"/>
                <w:szCs w:val="21"/>
              </w:rPr>
            </w:pPr>
            <w:r w:rsidRPr="00765766">
              <w:rPr>
                <w:rFonts w:ascii="Times New Roman" w:hAnsi="Times New Roman" w:cs="Times New Roman"/>
              </w:rPr>
              <w:t>-115.9466</w:t>
            </w:r>
          </w:p>
        </w:tc>
        <w:tc>
          <w:tcPr>
            <w:tcW w:w="1134" w:type="dxa"/>
            <w:tcBorders>
              <w:top w:val="single" w:sz="4" w:space="0" w:color="auto"/>
              <w:bottom w:val="single" w:sz="4" w:space="0" w:color="auto"/>
            </w:tcBorders>
            <w:shd w:val="clear" w:color="auto" w:fill="auto"/>
          </w:tcPr>
          <w:p w14:paraId="7573BE62" w14:textId="1BB0CA91" w:rsidR="00765766" w:rsidRPr="000044A9" w:rsidRDefault="00765766" w:rsidP="00765766">
            <w:pPr>
              <w:spacing w:before="78" w:line="360" w:lineRule="auto"/>
              <w:jc w:val="right"/>
              <w:rPr>
                <w:rFonts w:ascii="Times New Roman" w:eastAsia="宋体" w:hAnsi="Times New Roman" w:cs="Times New Roman"/>
                <w:kern w:val="0"/>
                <w:szCs w:val="21"/>
              </w:rPr>
            </w:pPr>
            <w:r>
              <w:rPr>
                <w:rFonts w:ascii="Times New Roman" w:eastAsia="宋体" w:hAnsi="Times New Roman" w:cs="Times New Roman" w:hint="eastAsia"/>
                <w:szCs w:val="21"/>
              </w:rPr>
              <w:t>0</w:t>
            </w:r>
            <w:r>
              <w:rPr>
                <w:rFonts w:ascii="Times New Roman" w:eastAsia="宋体" w:hAnsi="Times New Roman" w:cs="Times New Roman"/>
                <w:szCs w:val="21"/>
              </w:rPr>
              <w:t>.0000</w:t>
            </w:r>
          </w:p>
        </w:tc>
      </w:tr>
      <w:tr w:rsidR="00D10C11" w:rsidRPr="00D44241" w14:paraId="0F0BEDE0" w14:textId="77777777" w:rsidTr="004C5A80">
        <w:trPr>
          <w:jc w:val="center"/>
        </w:trPr>
        <w:tc>
          <w:tcPr>
            <w:tcW w:w="1007" w:type="dxa"/>
            <w:tcBorders>
              <w:top w:val="single" w:sz="4" w:space="0" w:color="auto"/>
              <w:bottom w:val="single" w:sz="4" w:space="0" w:color="auto"/>
            </w:tcBorders>
            <w:shd w:val="clear" w:color="auto" w:fill="auto"/>
            <w:vAlign w:val="center"/>
          </w:tcPr>
          <w:p w14:paraId="7ACDEEDD" w14:textId="77777777" w:rsidR="00D10C11" w:rsidRPr="00D44241" w:rsidRDefault="00D10C11" w:rsidP="00282A15">
            <w:pPr>
              <w:spacing w:before="78" w:line="360" w:lineRule="auto"/>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L</w:t>
            </w:r>
            <w:r>
              <w:rPr>
                <w:rFonts w:ascii="Times New Roman" w:eastAsia="宋体" w:hAnsi="Times New Roman" w:cs="Times New Roman"/>
                <w:b/>
                <w:bCs/>
                <w:kern w:val="0"/>
                <w:szCs w:val="21"/>
              </w:rPr>
              <w:t>L</w:t>
            </w:r>
          </w:p>
        </w:tc>
        <w:tc>
          <w:tcPr>
            <w:tcW w:w="1261" w:type="dxa"/>
            <w:tcBorders>
              <w:top w:val="single" w:sz="4" w:space="0" w:color="auto"/>
              <w:bottom w:val="single" w:sz="4" w:space="0" w:color="auto"/>
            </w:tcBorders>
            <w:shd w:val="clear" w:color="auto" w:fill="auto"/>
            <w:vAlign w:val="center"/>
          </w:tcPr>
          <w:p w14:paraId="49517C83" w14:textId="4DFCC55E" w:rsidR="00D10C11" w:rsidRPr="00371B6A" w:rsidRDefault="00282A15" w:rsidP="00282A15">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.5179</w:t>
            </w:r>
          </w:p>
        </w:tc>
        <w:tc>
          <w:tcPr>
            <w:tcW w:w="1276" w:type="dxa"/>
            <w:tcBorders>
              <w:top w:val="single" w:sz="4" w:space="0" w:color="auto"/>
              <w:bottom w:val="single" w:sz="4" w:space="0" w:color="auto"/>
            </w:tcBorders>
            <w:shd w:val="clear" w:color="auto" w:fill="auto"/>
            <w:vAlign w:val="center"/>
          </w:tcPr>
          <w:p w14:paraId="56227A8A" w14:textId="5EE1EF79" w:rsidR="00D10C11" w:rsidRPr="00371B6A" w:rsidRDefault="00765766" w:rsidP="00282A15">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.0017</w:t>
            </w:r>
          </w:p>
        </w:tc>
        <w:tc>
          <w:tcPr>
            <w:tcW w:w="1134" w:type="dxa"/>
            <w:tcBorders>
              <w:top w:val="single" w:sz="4" w:space="0" w:color="auto"/>
              <w:bottom w:val="single" w:sz="4" w:space="0" w:color="auto"/>
            </w:tcBorders>
            <w:shd w:val="clear" w:color="auto" w:fill="auto"/>
            <w:vAlign w:val="center"/>
          </w:tcPr>
          <w:p w14:paraId="03C3EEE1" w14:textId="7E7ECE4F" w:rsidR="00D10C11" w:rsidRPr="00371B6A" w:rsidRDefault="00765766" w:rsidP="00282A15">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03.4861</w:t>
            </w:r>
          </w:p>
        </w:tc>
        <w:tc>
          <w:tcPr>
            <w:tcW w:w="1134" w:type="dxa"/>
            <w:tcBorders>
              <w:top w:val="single" w:sz="4" w:space="0" w:color="auto"/>
              <w:bottom w:val="single" w:sz="4" w:space="0" w:color="auto"/>
            </w:tcBorders>
            <w:shd w:val="clear" w:color="auto" w:fill="auto"/>
          </w:tcPr>
          <w:p w14:paraId="0EAFF30D" w14:textId="6857E787" w:rsidR="00D10C11" w:rsidRPr="00371B6A" w:rsidRDefault="00765766" w:rsidP="00282A15">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.0000</w:t>
            </w:r>
          </w:p>
        </w:tc>
      </w:tr>
      <w:tr w:rsidR="00D10C11" w:rsidRPr="00D44241" w14:paraId="07F063B2" w14:textId="77777777" w:rsidTr="004C5A80">
        <w:trPr>
          <w:jc w:val="center"/>
        </w:trPr>
        <w:tc>
          <w:tcPr>
            <w:tcW w:w="1007" w:type="dxa"/>
            <w:tcBorders>
              <w:top w:val="single" w:sz="4" w:space="0" w:color="auto"/>
              <w:bottom w:val="single" w:sz="4" w:space="0" w:color="auto"/>
            </w:tcBorders>
            <w:shd w:val="clear" w:color="auto" w:fill="auto"/>
            <w:vAlign w:val="center"/>
          </w:tcPr>
          <w:p w14:paraId="57B16E09" w14:textId="77777777" w:rsidR="00D10C11" w:rsidRPr="00D44241" w:rsidRDefault="00D10C11" w:rsidP="00282A15">
            <w:pPr>
              <w:spacing w:before="78" w:line="360" w:lineRule="auto"/>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C</w:t>
            </w:r>
            <w:r>
              <w:rPr>
                <w:rFonts w:ascii="Times New Roman" w:eastAsia="宋体" w:hAnsi="Times New Roman" w:cs="Times New Roman"/>
                <w:b/>
                <w:bCs/>
                <w:kern w:val="0"/>
                <w:szCs w:val="21"/>
              </w:rPr>
              <w:t>BL</w:t>
            </w:r>
          </w:p>
        </w:tc>
        <w:tc>
          <w:tcPr>
            <w:tcW w:w="1261" w:type="dxa"/>
            <w:tcBorders>
              <w:top w:val="single" w:sz="4" w:space="0" w:color="auto"/>
              <w:bottom w:val="single" w:sz="4" w:space="0" w:color="auto"/>
            </w:tcBorders>
            <w:shd w:val="clear" w:color="auto" w:fill="auto"/>
            <w:vAlign w:val="center"/>
          </w:tcPr>
          <w:p w14:paraId="4CD729EF" w14:textId="5AA87B3D" w:rsidR="00D10C11" w:rsidRPr="00371B6A" w:rsidRDefault="00282A15" w:rsidP="00282A15">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.1395</w:t>
            </w:r>
          </w:p>
        </w:tc>
        <w:tc>
          <w:tcPr>
            <w:tcW w:w="1276" w:type="dxa"/>
            <w:tcBorders>
              <w:top w:val="single" w:sz="4" w:space="0" w:color="auto"/>
              <w:bottom w:val="single" w:sz="4" w:space="0" w:color="auto"/>
            </w:tcBorders>
            <w:shd w:val="clear" w:color="auto" w:fill="auto"/>
            <w:vAlign w:val="center"/>
          </w:tcPr>
          <w:p w14:paraId="7570876B" w14:textId="52364EE2" w:rsidR="00D10C11" w:rsidRPr="00371B6A" w:rsidRDefault="00765766" w:rsidP="00282A15">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.0042</w:t>
            </w:r>
          </w:p>
        </w:tc>
        <w:tc>
          <w:tcPr>
            <w:tcW w:w="1134" w:type="dxa"/>
            <w:tcBorders>
              <w:top w:val="single" w:sz="4" w:space="0" w:color="auto"/>
              <w:bottom w:val="single" w:sz="4" w:space="0" w:color="auto"/>
            </w:tcBorders>
            <w:shd w:val="clear" w:color="auto" w:fill="auto"/>
            <w:vAlign w:val="center"/>
          </w:tcPr>
          <w:p w14:paraId="79080CA7" w14:textId="0D3B76B5" w:rsidR="00D10C11" w:rsidRPr="00371B6A" w:rsidRDefault="00765766" w:rsidP="00282A15">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3.5697</w:t>
            </w:r>
          </w:p>
        </w:tc>
        <w:tc>
          <w:tcPr>
            <w:tcW w:w="1134" w:type="dxa"/>
            <w:tcBorders>
              <w:top w:val="single" w:sz="4" w:space="0" w:color="auto"/>
              <w:bottom w:val="single" w:sz="4" w:space="0" w:color="auto"/>
            </w:tcBorders>
            <w:shd w:val="clear" w:color="auto" w:fill="auto"/>
          </w:tcPr>
          <w:p w14:paraId="44DA5B61" w14:textId="0F5A117E" w:rsidR="00D10C11" w:rsidRPr="00371B6A" w:rsidRDefault="00765766" w:rsidP="00282A15">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.0000</w:t>
            </w:r>
          </w:p>
        </w:tc>
      </w:tr>
      <w:tr w:rsidR="00D10C11" w:rsidRPr="00D44241" w14:paraId="33D24E8B" w14:textId="77777777" w:rsidTr="004C5A80">
        <w:trPr>
          <w:jc w:val="center"/>
        </w:trPr>
        <w:tc>
          <w:tcPr>
            <w:tcW w:w="1007" w:type="dxa"/>
            <w:tcBorders>
              <w:top w:val="single" w:sz="4" w:space="0" w:color="auto"/>
              <w:bottom w:val="single" w:sz="4" w:space="0" w:color="auto"/>
            </w:tcBorders>
            <w:shd w:val="clear" w:color="auto" w:fill="auto"/>
            <w:vAlign w:val="center"/>
          </w:tcPr>
          <w:p w14:paraId="2C2D53C5" w14:textId="77777777" w:rsidR="00D10C11" w:rsidRPr="00D44241" w:rsidRDefault="00D10C11" w:rsidP="00282A15">
            <w:pPr>
              <w:spacing w:before="78" w:line="360" w:lineRule="auto"/>
              <w:jc w:val="right"/>
              <w:rPr>
                <w:rFonts w:ascii="Times New Roman" w:eastAsia="宋体" w:hAnsi="Times New Roman" w:cs="Times New Roman"/>
                <w:b/>
                <w:bCs/>
                <w:kern w:val="0"/>
                <w:szCs w:val="21"/>
              </w:rPr>
            </w:pPr>
            <w:r>
              <w:rPr>
                <w:rFonts w:ascii="Times New Roman" w:eastAsia="宋体" w:hAnsi="Times New Roman" w:cs="Times New Roman"/>
                <w:b/>
                <w:bCs/>
                <w:kern w:val="0"/>
                <w:szCs w:val="21"/>
              </w:rPr>
              <w:t>IA</w:t>
            </w:r>
          </w:p>
        </w:tc>
        <w:tc>
          <w:tcPr>
            <w:tcW w:w="1261" w:type="dxa"/>
            <w:tcBorders>
              <w:top w:val="single" w:sz="4" w:space="0" w:color="auto"/>
              <w:bottom w:val="single" w:sz="4" w:space="0" w:color="auto"/>
            </w:tcBorders>
            <w:shd w:val="clear" w:color="auto" w:fill="auto"/>
            <w:vAlign w:val="center"/>
          </w:tcPr>
          <w:p w14:paraId="61F37791" w14:textId="30F603E8" w:rsidR="00D10C11" w:rsidRPr="00371B6A" w:rsidRDefault="00282A15" w:rsidP="00282A15">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0.7498</w:t>
            </w:r>
          </w:p>
        </w:tc>
        <w:tc>
          <w:tcPr>
            <w:tcW w:w="1276" w:type="dxa"/>
            <w:tcBorders>
              <w:top w:val="single" w:sz="4" w:space="0" w:color="auto"/>
              <w:bottom w:val="single" w:sz="4" w:space="0" w:color="auto"/>
            </w:tcBorders>
            <w:shd w:val="clear" w:color="auto" w:fill="auto"/>
            <w:vAlign w:val="center"/>
          </w:tcPr>
          <w:p w14:paraId="543EEF0F" w14:textId="209C1F1C" w:rsidR="00D10C11" w:rsidRPr="00371B6A" w:rsidRDefault="00765766" w:rsidP="00282A15">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.0025</w:t>
            </w:r>
          </w:p>
        </w:tc>
        <w:tc>
          <w:tcPr>
            <w:tcW w:w="1134" w:type="dxa"/>
            <w:tcBorders>
              <w:top w:val="single" w:sz="4" w:space="0" w:color="auto"/>
              <w:bottom w:val="single" w:sz="4" w:space="0" w:color="auto"/>
            </w:tcBorders>
            <w:shd w:val="clear" w:color="auto" w:fill="auto"/>
            <w:vAlign w:val="center"/>
          </w:tcPr>
          <w:p w14:paraId="0D65F62F" w14:textId="5675552C" w:rsidR="00D10C11" w:rsidRPr="00371B6A" w:rsidRDefault="00765766" w:rsidP="00282A15">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305.6890</w:t>
            </w:r>
          </w:p>
        </w:tc>
        <w:tc>
          <w:tcPr>
            <w:tcW w:w="1134" w:type="dxa"/>
            <w:tcBorders>
              <w:top w:val="single" w:sz="4" w:space="0" w:color="auto"/>
              <w:bottom w:val="single" w:sz="4" w:space="0" w:color="auto"/>
            </w:tcBorders>
            <w:shd w:val="clear" w:color="auto" w:fill="auto"/>
          </w:tcPr>
          <w:p w14:paraId="1BA2137C" w14:textId="0D5DD463" w:rsidR="00D10C11" w:rsidRPr="00371B6A" w:rsidRDefault="00765766" w:rsidP="00282A15">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.0000</w:t>
            </w:r>
          </w:p>
        </w:tc>
      </w:tr>
      <w:tr w:rsidR="00D10C11" w:rsidRPr="00D44241" w14:paraId="256FD654" w14:textId="77777777" w:rsidTr="004C5A80">
        <w:trPr>
          <w:jc w:val="center"/>
        </w:trPr>
        <w:tc>
          <w:tcPr>
            <w:tcW w:w="1007" w:type="dxa"/>
            <w:tcBorders>
              <w:top w:val="single" w:sz="4" w:space="0" w:color="auto"/>
              <w:bottom w:val="single" w:sz="4" w:space="0" w:color="auto"/>
            </w:tcBorders>
            <w:shd w:val="clear" w:color="auto" w:fill="auto"/>
            <w:vAlign w:val="center"/>
          </w:tcPr>
          <w:p w14:paraId="34E8345A" w14:textId="4610BE97" w:rsidR="00D10C11" w:rsidRDefault="00282A15" w:rsidP="00282A15">
            <w:pPr>
              <w:spacing w:before="78" w:line="360" w:lineRule="auto"/>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L</w:t>
            </w:r>
            <w:r>
              <w:rPr>
                <w:rFonts w:ascii="Times New Roman" w:eastAsia="宋体" w:hAnsi="Times New Roman" w:cs="Times New Roman"/>
                <w:b/>
                <w:bCs/>
                <w:kern w:val="0"/>
                <w:szCs w:val="21"/>
              </w:rPr>
              <w:t>P</w:t>
            </w:r>
          </w:p>
        </w:tc>
        <w:tc>
          <w:tcPr>
            <w:tcW w:w="1261" w:type="dxa"/>
            <w:tcBorders>
              <w:top w:val="single" w:sz="4" w:space="0" w:color="auto"/>
              <w:bottom w:val="single" w:sz="4" w:space="0" w:color="auto"/>
            </w:tcBorders>
            <w:shd w:val="clear" w:color="auto" w:fill="auto"/>
            <w:vAlign w:val="center"/>
          </w:tcPr>
          <w:p w14:paraId="4B2D4061" w14:textId="65531783" w:rsidR="00D10C11" w:rsidRDefault="00282A15" w:rsidP="00282A15">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0.0101</w:t>
            </w:r>
          </w:p>
        </w:tc>
        <w:tc>
          <w:tcPr>
            <w:tcW w:w="1276" w:type="dxa"/>
            <w:tcBorders>
              <w:top w:val="single" w:sz="4" w:space="0" w:color="auto"/>
              <w:bottom w:val="single" w:sz="4" w:space="0" w:color="auto"/>
            </w:tcBorders>
            <w:shd w:val="clear" w:color="auto" w:fill="auto"/>
            <w:vAlign w:val="center"/>
          </w:tcPr>
          <w:p w14:paraId="220BA15B" w14:textId="1F2BBFC5" w:rsidR="00D10C11" w:rsidRDefault="00765766" w:rsidP="00282A15">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.0001</w:t>
            </w:r>
          </w:p>
        </w:tc>
        <w:tc>
          <w:tcPr>
            <w:tcW w:w="1134" w:type="dxa"/>
            <w:tcBorders>
              <w:top w:val="single" w:sz="4" w:space="0" w:color="auto"/>
              <w:bottom w:val="single" w:sz="4" w:space="0" w:color="auto"/>
            </w:tcBorders>
            <w:shd w:val="clear" w:color="auto" w:fill="auto"/>
            <w:vAlign w:val="center"/>
          </w:tcPr>
          <w:p w14:paraId="3339EAEA" w14:textId="5342A5CA" w:rsidR="00D10C11" w:rsidRDefault="00765766" w:rsidP="00282A15">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82.4785</w:t>
            </w:r>
          </w:p>
        </w:tc>
        <w:tc>
          <w:tcPr>
            <w:tcW w:w="1134" w:type="dxa"/>
            <w:tcBorders>
              <w:top w:val="single" w:sz="4" w:space="0" w:color="auto"/>
              <w:bottom w:val="single" w:sz="4" w:space="0" w:color="auto"/>
            </w:tcBorders>
            <w:shd w:val="clear" w:color="auto" w:fill="auto"/>
          </w:tcPr>
          <w:p w14:paraId="4FF5D817" w14:textId="63A983A0" w:rsidR="00D10C11" w:rsidRDefault="00765766" w:rsidP="00282A15">
            <w:pPr>
              <w:spacing w:before="78" w:line="360" w:lineRule="auto"/>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.0000</w:t>
            </w:r>
          </w:p>
        </w:tc>
      </w:tr>
    </w:tbl>
    <w:p w14:paraId="5F550054" w14:textId="0606BD66" w:rsidR="00D10C11" w:rsidRDefault="00D10C11" w:rsidP="00D852B0">
      <w:pPr>
        <w:adjustRightInd w:val="0"/>
        <w:spacing w:line="360" w:lineRule="auto"/>
        <w:ind w:leftChars="100" w:left="210"/>
        <w:textAlignment w:val="baseline"/>
        <w:rPr>
          <w:rFonts w:ascii="Times New Roman" w:hAnsi="Times New Roman" w:cs="Times New Roman"/>
          <w:bCs/>
          <w:color w:val="000000"/>
          <w:kern w:val="0"/>
          <w:sz w:val="24"/>
          <w:szCs w:val="24"/>
        </w:rPr>
      </w:pPr>
    </w:p>
    <w:p w14:paraId="4B9C93EC" w14:textId="7DD070AC" w:rsidR="00F75FB4" w:rsidRPr="00F75FB4" w:rsidRDefault="00F75FB4" w:rsidP="00F75FB4">
      <w:pPr>
        <w:adjustRightInd w:val="0"/>
        <w:spacing w:line="360" w:lineRule="auto"/>
        <w:ind w:leftChars="100" w:left="210"/>
        <w:jc w:val="center"/>
        <w:textAlignment w:val="baseline"/>
        <w:rPr>
          <w:rFonts w:ascii="Times New Roman" w:hAnsi="Times New Roman" w:cs="Times New Roman"/>
          <w:b/>
          <w:color w:val="000000"/>
          <w:kern w:val="0"/>
          <w:szCs w:val="21"/>
        </w:rPr>
      </w:pPr>
      <w:r w:rsidRPr="00F75FB4">
        <w:rPr>
          <w:rFonts w:ascii="Times New Roman" w:hAnsi="Times New Roman" w:cs="Times New Roman"/>
          <w:b/>
          <w:color w:val="000000"/>
          <w:kern w:val="0"/>
          <w:szCs w:val="21"/>
        </w:rPr>
        <w:t xml:space="preserve">Table 3 </w:t>
      </w:r>
      <w:r w:rsidR="00A2047C">
        <w:rPr>
          <w:rFonts w:ascii="Times New Roman" w:hAnsi="Times New Roman" w:cs="Times New Roman"/>
          <w:b/>
          <w:color w:val="000000"/>
          <w:kern w:val="0"/>
          <w:szCs w:val="21"/>
        </w:rPr>
        <w:t xml:space="preserve"> </w:t>
      </w:r>
      <w:r w:rsidRPr="00F75FB4">
        <w:rPr>
          <w:rFonts w:ascii="Times New Roman" w:hAnsi="Times New Roman" w:cs="Times New Roman" w:hint="eastAsia"/>
          <w:b/>
          <w:color w:val="000000"/>
          <w:kern w:val="0"/>
          <w:szCs w:val="21"/>
        </w:rPr>
        <w:t>A</w:t>
      </w:r>
      <w:r w:rsidRPr="00F75FB4">
        <w:rPr>
          <w:rFonts w:ascii="Times New Roman" w:hAnsi="Times New Roman" w:cs="Times New Roman"/>
          <w:b/>
          <w:color w:val="000000"/>
          <w:kern w:val="0"/>
          <w:szCs w:val="21"/>
        </w:rPr>
        <w:t>rellano-Bond Serial Correlation Test</w:t>
      </w:r>
      <w:r w:rsidR="00FD79BD">
        <w:rPr>
          <w:rStyle w:val="a5"/>
          <w:rFonts w:ascii="Times New Roman" w:hAnsi="Times New Roman" w:cs="Times New Roman"/>
          <w:b/>
          <w:color w:val="000000"/>
          <w:kern w:val="0"/>
          <w:szCs w:val="21"/>
        </w:rPr>
        <w:footnoteReference w:id="17"/>
      </w:r>
    </w:p>
    <w:tbl>
      <w:tblPr>
        <w:tblpPr w:leftFromText="180" w:rightFromText="180" w:vertAnchor="text" w:horzAnchor="margin" w:tblpXSpec="center" w:tblpY="291"/>
        <w:tblW w:w="0" w:type="auto"/>
        <w:tblBorders>
          <w:top w:val="single" w:sz="12" w:space="0" w:color="auto"/>
          <w:bottom w:val="single" w:sz="4" w:space="0" w:color="auto"/>
        </w:tblBorders>
        <w:tblLayout w:type="fixed"/>
        <w:tblLook w:val="0000" w:firstRow="0" w:lastRow="0" w:firstColumn="0" w:lastColumn="0" w:noHBand="0" w:noVBand="0"/>
      </w:tblPr>
      <w:tblGrid>
        <w:gridCol w:w="2092"/>
        <w:gridCol w:w="35"/>
        <w:gridCol w:w="2057"/>
        <w:gridCol w:w="35"/>
        <w:gridCol w:w="1735"/>
        <w:gridCol w:w="35"/>
      </w:tblGrid>
      <w:tr w:rsidR="00F75FB4" w:rsidRPr="00F75FB4" w14:paraId="442340DD" w14:textId="77777777" w:rsidTr="004C5A80">
        <w:trPr>
          <w:trHeight w:val="362"/>
        </w:trPr>
        <w:tc>
          <w:tcPr>
            <w:tcW w:w="2127" w:type="dxa"/>
            <w:gridSpan w:val="2"/>
            <w:tcBorders>
              <w:top w:val="single" w:sz="4" w:space="0" w:color="auto"/>
              <w:bottom w:val="single" w:sz="4" w:space="0" w:color="auto"/>
            </w:tcBorders>
            <w:shd w:val="clear" w:color="auto" w:fill="auto"/>
            <w:vAlign w:val="center"/>
          </w:tcPr>
          <w:p w14:paraId="28AEDD54" w14:textId="0FEA5DA5" w:rsidR="00F75FB4" w:rsidRPr="00F75FB4" w:rsidRDefault="00F75FB4" w:rsidP="0034010D">
            <w:pPr>
              <w:spacing w:line="360" w:lineRule="auto"/>
              <w:ind w:firstLineChars="200" w:firstLine="422"/>
              <w:jc w:val="right"/>
              <w:rPr>
                <w:rFonts w:ascii="Times New Roman" w:eastAsia="宋体" w:hAnsi="Times New Roman" w:cs="Times New Roman"/>
                <w:b/>
                <w:szCs w:val="21"/>
              </w:rPr>
            </w:pPr>
            <w:r w:rsidRPr="00F75FB4">
              <w:rPr>
                <w:rFonts w:ascii="Times New Roman" w:eastAsia="宋体" w:hAnsi="Times New Roman" w:cs="Times New Roman" w:hint="eastAsia"/>
                <w:b/>
                <w:szCs w:val="21"/>
              </w:rPr>
              <w:t>A</w:t>
            </w:r>
            <w:r w:rsidRPr="00F75FB4">
              <w:rPr>
                <w:rFonts w:ascii="Times New Roman" w:eastAsia="宋体" w:hAnsi="Times New Roman" w:cs="Times New Roman"/>
                <w:b/>
                <w:szCs w:val="21"/>
              </w:rPr>
              <w:t>R (1) &amp; AR (2)</w:t>
            </w:r>
          </w:p>
        </w:tc>
        <w:tc>
          <w:tcPr>
            <w:tcW w:w="2092" w:type="dxa"/>
            <w:gridSpan w:val="2"/>
            <w:tcBorders>
              <w:top w:val="single" w:sz="4" w:space="0" w:color="auto"/>
              <w:bottom w:val="single" w:sz="4" w:space="0" w:color="auto"/>
            </w:tcBorders>
            <w:shd w:val="clear" w:color="auto" w:fill="auto"/>
            <w:vAlign w:val="center"/>
          </w:tcPr>
          <w:p w14:paraId="576DAF63" w14:textId="1B3883AD" w:rsidR="00F75FB4" w:rsidRPr="00F75FB4" w:rsidRDefault="00F75FB4" w:rsidP="0034010D">
            <w:pPr>
              <w:spacing w:line="360" w:lineRule="auto"/>
              <w:ind w:firstLineChars="200" w:firstLine="422"/>
              <w:jc w:val="right"/>
              <w:rPr>
                <w:rFonts w:ascii="Times New Roman" w:eastAsia="宋体" w:hAnsi="Times New Roman" w:cs="Times New Roman"/>
                <w:b/>
                <w:szCs w:val="21"/>
              </w:rPr>
            </w:pPr>
            <w:r w:rsidRPr="00F75FB4">
              <w:rPr>
                <w:rFonts w:ascii="Times New Roman" w:eastAsia="宋体" w:hAnsi="Times New Roman" w:cs="Times New Roman"/>
                <w:b/>
                <w:szCs w:val="21"/>
              </w:rPr>
              <w:t>Value</w:t>
            </w:r>
          </w:p>
        </w:tc>
        <w:tc>
          <w:tcPr>
            <w:tcW w:w="1770" w:type="dxa"/>
            <w:gridSpan w:val="2"/>
            <w:tcBorders>
              <w:top w:val="single" w:sz="4" w:space="0" w:color="auto"/>
              <w:bottom w:val="single" w:sz="4" w:space="0" w:color="auto"/>
            </w:tcBorders>
            <w:shd w:val="clear" w:color="auto" w:fill="auto"/>
            <w:vAlign w:val="center"/>
          </w:tcPr>
          <w:p w14:paraId="25EE5AEF" w14:textId="21B7A2E2" w:rsidR="00F75FB4" w:rsidRPr="00F75FB4" w:rsidRDefault="00F75FB4" w:rsidP="0034010D">
            <w:pPr>
              <w:spacing w:line="360" w:lineRule="auto"/>
              <w:ind w:firstLineChars="200" w:firstLine="422"/>
              <w:jc w:val="right"/>
              <w:rPr>
                <w:rFonts w:ascii="Times New Roman" w:eastAsia="宋体" w:hAnsi="Times New Roman" w:cs="Times New Roman"/>
                <w:b/>
                <w:szCs w:val="21"/>
              </w:rPr>
            </w:pPr>
            <w:r w:rsidRPr="00F75FB4">
              <w:rPr>
                <w:rFonts w:ascii="Times New Roman" w:eastAsia="宋体" w:hAnsi="Times New Roman" w:cs="Times New Roman" w:hint="eastAsia"/>
                <w:b/>
                <w:szCs w:val="21"/>
              </w:rPr>
              <w:t>P</w:t>
            </w:r>
            <w:r w:rsidRPr="00F75FB4">
              <w:rPr>
                <w:rFonts w:ascii="Times New Roman" w:eastAsia="宋体" w:hAnsi="Times New Roman" w:cs="Times New Roman"/>
                <w:b/>
                <w:szCs w:val="21"/>
              </w:rPr>
              <w:t>-value</w:t>
            </w:r>
          </w:p>
        </w:tc>
      </w:tr>
      <w:tr w:rsidR="00F75FB4" w:rsidRPr="00F75FB4" w14:paraId="58F492C1" w14:textId="77777777" w:rsidTr="004C5A80">
        <w:trPr>
          <w:gridAfter w:val="1"/>
          <w:wAfter w:w="35" w:type="dxa"/>
          <w:trHeight w:val="362"/>
        </w:trPr>
        <w:tc>
          <w:tcPr>
            <w:tcW w:w="2092" w:type="dxa"/>
            <w:tcBorders>
              <w:top w:val="nil"/>
              <w:bottom w:val="single" w:sz="4" w:space="0" w:color="auto"/>
            </w:tcBorders>
            <w:shd w:val="clear" w:color="auto" w:fill="auto"/>
            <w:vAlign w:val="center"/>
          </w:tcPr>
          <w:p w14:paraId="1B519D76" w14:textId="0CA0E9F4" w:rsidR="00F75FB4" w:rsidRPr="00F75FB4" w:rsidRDefault="00F75FB4" w:rsidP="0034010D">
            <w:pPr>
              <w:spacing w:line="360" w:lineRule="auto"/>
              <w:ind w:firstLineChars="200" w:firstLine="420"/>
              <w:jc w:val="right"/>
              <w:rPr>
                <w:rFonts w:ascii="Times New Roman" w:eastAsia="宋体" w:hAnsi="Times New Roman" w:cs="Times New Roman"/>
                <w:szCs w:val="21"/>
              </w:rPr>
            </w:pPr>
            <w:r w:rsidRPr="00F75FB4">
              <w:rPr>
                <w:rFonts w:ascii="Times New Roman" w:eastAsia="宋体" w:hAnsi="Times New Roman" w:cs="Times New Roman"/>
                <w:szCs w:val="21"/>
              </w:rPr>
              <w:t>AR</w:t>
            </w:r>
            <w:r w:rsidR="004C5A80">
              <w:rPr>
                <w:rFonts w:ascii="Times New Roman" w:eastAsia="宋体" w:hAnsi="Times New Roman" w:cs="Times New Roman"/>
                <w:szCs w:val="21"/>
              </w:rPr>
              <w:t xml:space="preserve"> </w:t>
            </w:r>
            <w:r w:rsidRPr="00F75FB4">
              <w:rPr>
                <w:rFonts w:ascii="Times New Roman" w:eastAsia="宋体" w:hAnsi="Times New Roman" w:cs="Times New Roman"/>
                <w:szCs w:val="21"/>
              </w:rPr>
              <w:t>(1)</w:t>
            </w:r>
          </w:p>
        </w:tc>
        <w:tc>
          <w:tcPr>
            <w:tcW w:w="2092" w:type="dxa"/>
            <w:gridSpan w:val="2"/>
            <w:tcBorders>
              <w:top w:val="nil"/>
              <w:bottom w:val="single" w:sz="4" w:space="0" w:color="auto"/>
            </w:tcBorders>
            <w:shd w:val="clear" w:color="auto" w:fill="auto"/>
            <w:vAlign w:val="center"/>
          </w:tcPr>
          <w:p w14:paraId="25127516" w14:textId="217EE3B6" w:rsidR="00F75FB4" w:rsidRPr="00F75FB4" w:rsidRDefault="00F75FB4" w:rsidP="0034010D">
            <w:pPr>
              <w:spacing w:line="360" w:lineRule="auto"/>
              <w:ind w:firstLineChars="200" w:firstLine="420"/>
              <w:jc w:val="right"/>
              <w:rPr>
                <w:rFonts w:ascii="Times New Roman" w:eastAsia="宋体" w:hAnsi="Times New Roman" w:cs="Times New Roman"/>
                <w:szCs w:val="21"/>
              </w:rPr>
            </w:pPr>
            <w:r w:rsidRPr="00F75FB4">
              <w:rPr>
                <w:rFonts w:ascii="Times New Roman" w:eastAsia="宋体" w:hAnsi="Times New Roman" w:cs="Times New Roman"/>
                <w:szCs w:val="21"/>
              </w:rPr>
              <w:t>1.025</w:t>
            </w:r>
          </w:p>
        </w:tc>
        <w:tc>
          <w:tcPr>
            <w:tcW w:w="1770" w:type="dxa"/>
            <w:gridSpan w:val="2"/>
            <w:tcBorders>
              <w:top w:val="nil"/>
              <w:bottom w:val="single" w:sz="4" w:space="0" w:color="auto"/>
            </w:tcBorders>
            <w:shd w:val="clear" w:color="auto" w:fill="auto"/>
            <w:vAlign w:val="center"/>
          </w:tcPr>
          <w:p w14:paraId="50228FD4" w14:textId="0BC86046" w:rsidR="00F75FB4" w:rsidRPr="00F75FB4" w:rsidRDefault="00F75FB4" w:rsidP="0034010D">
            <w:pPr>
              <w:spacing w:line="360" w:lineRule="auto"/>
              <w:ind w:firstLineChars="200" w:firstLine="420"/>
              <w:jc w:val="right"/>
              <w:rPr>
                <w:rFonts w:ascii="Times New Roman" w:eastAsia="宋体" w:hAnsi="Times New Roman" w:cs="Times New Roman"/>
                <w:szCs w:val="21"/>
              </w:rPr>
            </w:pPr>
            <w:r w:rsidRPr="00F75FB4">
              <w:rPr>
                <w:rFonts w:ascii="Times New Roman" w:eastAsia="宋体" w:hAnsi="Times New Roman" w:cs="Times New Roman"/>
                <w:bCs/>
                <w:szCs w:val="21"/>
              </w:rPr>
              <w:t>0.</w:t>
            </w:r>
            <w:r w:rsidRPr="00F75FB4">
              <w:rPr>
                <w:rFonts w:ascii="Times New Roman" w:eastAsia="宋体" w:hAnsi="Times New Roman" w:cs="Times New Roman"/>
                <w:szCs w:val="21"/>
              </w:rPr>
              <w:t>0000</w:t>
            </w:r>
          </w:p>
        </w:tc>
      </w:tr>
      <w:tr w:rsidR="00F75FB4" w:rsidRPr="00F75FB4" w14:paraId="57435F1B" w14:textId="77777777" w:rsidTr="004C5A80">
        <w:trPr>
          <w:gridAfter w:val="1"/>
          <w:wAfter w:w="35" w:type="dxa"/>
          <w:trHeight w:val="362"/>
        </w:trPr>
        <w:tc>
          <w:tcPr>
            <w:tcW w:w="2092" w:type="dxa"/>
            <w:tcBorders>
              <w:top w:val="single" w:sz="4" w:space="0" w:color="auto"/>
            </w:tcBorders>
            <w:shd w:val="clear" w:color="auto" w:fill="auto"/>
            <w:vAlign w:val="center"/>
          </w:tcPr>
          <w:p w14:paraId="11A20410" w14:textId="143BDB42" w:rsidR="00F75FB4" w:rsidRPr="00F75FB4" w:rsidRDefault="00F75FB4" w:rsidP="0034010D">
            <w:pPr>
              <w:spacing w:line="360" w:lineRule="auto"/>
              <w:ind w:firstLineChars="200" w:firstLine="420"/>
              <w:jc w:val="right"/>
              <w:rPr>
                <w:rFonts w:ascii="Times New Roman" w:eastAsia="宋体" w:hAnsi="Times New Roman" w:cs="Times New Roman"/>
                <w:szCs w:val="21"/>
              </w:rPr>
            </w:pPr>
            <w:r w:rsidRPr="00F75FB4">
              <w:rPr>
                <w:rFonts w:ascii="Times New Roman" w:eastAsia="宋体" w:hAnsi="Times New Roman" w:cs="Times New Roman"/>
                <w:szCs w:val="21"/>
              </w:rPr>
              <w:t>AR</w:t>
            </w:r>
            <w:r w:rsidR="004C5A80">
              <w:rPr>
                <w:rFonts w:ascii="Times New Roman" w:eastAsia="宋体" w:hAnsi="Times New Roman" w:cs="Times New Roman"/>
                <w:szCs w:val="21"/>
              </w:rPr>
              <w:t xml:space="preserve"> </w:t>
            </w:r>
            <w:r w:rsidRPr="00F75FB4">
              <w:rPr>
                <w:rFonts w:ascii="Times New Roman" w:eastAsia="宋体" w:hAnsi="Times New Roman" w:cs="Times New Roman"/>
                <w:szCs w:val="21"/>
              </w:rPr>
              <w:t>(2)</w:t>
            </w:r>
          </w:p>
        </w:tc>
        <w:tc>
          <w:tcPr>
            <w:tcW w:w="2092" w:type="dxa"/>
            <w:gridSpan w:val="2"/>
            <w:tcBorders>
              <w:top w:val="single" w:sz="4" w:space="0" w:color="auto"/>
            </w:tcBorders>
            <w:shd w:val="clear" w:color="auto" w:fill="auto"/>
            <w:vAlign w:val="center"/>
          </w:tcPr>
          <w:p w14:paraId="0F82977B" w14:textId="07D74817" w:rsidR="00F75FB4" w:rsidRPr="00F75FB4" w:rsidRDefault="00F75FB4" w:rsidP="0034010D">
            <w:pPr>
              <w:spacing w:line="360" w:lineRule="auto"/>
              <w:ind w:firstLineChars="200" w:firstLine="420"/>
              <w:jc w:val="right"/>
              <w:rPr>
                <w:rFonts w:ascii="Times New Roman" w:eastAsia="宋体" w:hAnsi="Times New Roman" w:cs="Times New Roman"/>
                <w:szCs w:val="21"/>
              </w:rPr>
            </w:pPr>
            <w:r w:rsidRPr="00F75FB4">
              <w:rPr>
                <w:rFonts w:ascii="Times New Roman" w:eastAsia="宋体" w:hAnsi="Times New Roman" w:cs="Times New Roman" w:hint="eastAsia"/>
                <w:szCs w:val="21"/>
              </w:rPr>
              <w:t>-</w:t>
            </w:r>
            <w:r w:rsidRPr="00F75FB4">
              <w:rPr>
                <w:rFonts w:ascii="Times New Roman" w:eastAsia="宋体" w:hAnsi="Times New Roman" w:cs="Times New Roman"/>
                <w:szCs w:val="21"/>
              </w:rPr>
              <w:t>0.0310</w:t>
            </w:r>
          </w:p>
        </w:tc>
        <w:tc>
          <w:tcPr>
            <w:tcW w:w="1770" w:type="dxa"/>
            <w:gridSpan w:val="2"/>
            <w:tcBorders>
              <w:top w:val="single" w:sz="4" w:space="0" w:color="auto"/>
            </w:tcBorders>
            <w:shd w:val="clear" w:color="auto" w:fill="auto"/>
            <w:vAlign w:val="center"/>
          </w:tcPr>
          <w:p w14:paraId="1FFA0FF8" w14:textId="5C702477" w:rsidR="00F75FB4" w:rsidRPr="00F75FB4" w:rsidRDefault="00F75FB4" w:rsidP="0034010D">
            <w:pPr>
              <w:spacing w:line="360" w:lineRule="auto"/>
              <w:ind w:firstLineChars="200" w:firstLine="420"/>
              <w:jc w:val="right"/>
              <w:rPr>
                <w:rFonts w:ascii="Times New Roman" w:eastAsia="宋体" w:hAnsi="Times New Roman" w:cs="Times New Roman"/>
                <w:szCs w:val="21"/>
              </w:rPr>
            </w:pPr>
            <w:r>
              <w:rPr>
                <w:rFonts w:ascii="Times New Roman" w:eastAsia="宋体" w:hAnsi="Times New Roman" w:cs="Times New Roman" w:hint="eastAsia"/>
                <w:szCs w:val="21"/>
              </w:rPr>
              <w:t>0</w:t>
            </w:r>
            <w:r>
              <w:rPr>
                <w:rFonts w:ascii="Times New Roman" w:eastAsia="宋体" w:hAnsi="Times New Roman" w:cs="Times New Roman"/>
                <w:szCs w:val="21"/>
              </w:rPr>
              <w:t>.1030</w:t>
            </w:r>
          </w:p>
        </w:tc>
      </w:tr>
    </w:tbl>
    <w:p w14:paraId="2429635B" w14:textId="3DD955EA" w:rsidR="00F75FB4" w:rsidRDefault="00F75FB4" w:rsidP="00D852B0">
      <w:pPr>
        <w:adjustRightInd w:val="0"/>
        <w:spacing w:line="360" w:lineRule="auto"/>
        <w:ind w:leftChars="100" w:left="210"/>
        <w:textAlignment w:val="baseline"/>
        <w:rPr>
          <w:rFonts w:ascii="Times New Roman" w:hAnsi="Times New Roman" w:cs="Times New Roman"/>
          <w:bCs/>
          <w:color w:val="000000"/>
          <w:kern w:val="0"/>
          <w:sz w:val="24"/>
          <w:szCs w:val="24"/>
        </w:rPr>
      </w:pPr>
    </w:p>
    <w:p w14:paraId="55C1C746" w14:textId="77777777" w:rsidR="00F75FB4" w:rsidRPr="00D10C11" w:rsidRDefault="00F75FB4" w:rsidP="00D852B0">
      <w:pPr>
        <w:adjustRightInd w:val="0"/>
        <w:spacing w:line="360" w:lineRule="auto"/>
        <w:ind w:leftChars="100" w:left="210"/>
        <w:textAlignment w:val="baseline"/>
        <w:rPr>
          <w:rFonts w:ascii="Times New Roman" w:hAnsi="Times New Roman" w:cs="Times New Roman"/>
          <w:bCs/>
          <w:color w:val="000000"/>
          <w:kern w:val="0"/>
          <w:sz w:val="24"/>
          <w:szCs w:val="24"/>
        </w:rPr>
      </w:pPr>
    </w:p>
    <w:p w14:paraId="55DCF4A7" w14:textId="77777777" w:rsidR="00F75FB4" w:rsidRDefault="00F75FB4" w:rsidP="00D852B0">
      <w:pPr>
        <w:adjustRightInd w:val="0"/>
        <w:spacing w:line="360" w:lineRule="auto"/>
        <w:ind w:leftChars="100" w:left="210"/>
        <w:textAlignment w:val="baseline"/>
        <w:rPr>
          <w:rFonts w:ascii="Times New Roman" w:hAnsi="Times New Roman" w:cs="Times New Roman"/>
          <w:b/>
          <w:color w:val="000000"/>
          <w:kern w:val="0"/>
          <w:sz w:val="24"/>
          <w:szCs w:val="24"/>
        </w:rPr>
      </w:pPr>
    </w:p>
    <w:p w14:paraId="3068A261" w14:textId="0642EC65" w:rsidR="00F75FB4" w:rsidRDefault="00F75FB4" w:rsidP="00D852B0">
      <w:pPr>
        <w:adjustRightInd w:val="0"/>
        <w:spacing w:line="360" w:lineRule="auto"/>
        <w:ind w:leftChars="100" w:left="210"/>
        <w:textAlignment w:val="baseline"/>
        <w:rPr>
          <w:rFonts w:ascii="Times New Roman" w:hAnsi="Times New Roman" w:cs="Times New Roman"/>
          <w:b/>
          <w:color w:val="000000"/>
          <w:kern w:val="0"/>
          <w:sz w:val="24"/>
          <w:szCs w:val="24"/>
        </w:rPr>
      </w:pPr>
    </w:p>
    <w:p w14:paraId="0B34A5FC" w14:textId="77777777" w:rsidR="00FD79BD" w:rsidRDefault="00FD79BD" w:rsidP="00AA55F9">
      <w:pPr>
        <w:adjustRightInd w:val="0"/>
        <w:spacing w:line="360" w:lineRule="auto"/>
        <w:ind w:leftChars="100" w:left="210"/>
        <w:jc w:val="center"/>
        <w:textAlignment w:val="baseline"/>
        <w:rPr>
          <w:rFonts w:ascii="Times New Roman" w:hAnsi="Times New Roman" w:cs="Times New Roman"/>
          <w:b/>
          <w:color w:val="000000"/>
          <w:kern w:val="0"/>
          <w:szCs w:val="21"/>
        </w:rPr>
      </w:pPr>
    </w:p>
    <w:p w14:paraId="50739A1C" w14:textId="47E5851F" w:rsidR="00434FDD" w:rsidRDefault="00AA55F9" w:rsidP="00AA55F9">
      <w:pPr>
        <w:adjustRightInd w:val="0"/>
        <w:spacing w:line="360" w:lineRule="auto"/>
        <w:ind w:leftChars="100" w:left="210"/>
        <w:jc w:val="center"/>
        <w:textAlignment w:val="baseline"/>
        <w:rPr>
          <w:rFonts w:ascii="Times New Roman" w:hAnsi="Times New Roman" w:cs="Times New Roman"/>
          <w:b/>
          <w:color w:val="000000"/>
          <w:kern w:val="0"/>
          <w:szCs w:val="21"/>
        </w:rPr>
      </w:pPr>
      <w:r w:rsidRPr="00AA55F9">
        <w:rPr>
          <w:rFonts w:ascii="Times New Roman" w:hAnsi="Times New Roman" w:cs="Times New Roman" w:hint="eastAsia"/>
          <w:b/>
          <w:color w:val="000000"/>
          <w:kern w:val="0"/>
          <w:szCs w:val="21"/>
        </w:rPr>
        <w:t>T</w:t>
      </w:r>
      <w:r w:rsidRPr="00AA55F9">
        <w:rPr>
          <w:rFonts w:ascii="Times New Roman" w:hAnsi="Times New Roman" w:cs="Times New Roman"/>
          <w:b/>
          <w:color w:val="000000"/>
          <w:kern w:val="0"/>
          <w:szCs w:val="21"/>
        </w:rPr>
        <w:t xml:space="preserve">able 4 </w:t>
      </w:r>
      <w:r w:rsidR="00A2047C">
        <w:rPr>
          <w:rFonts w:ascii="Times New Roman" w:hAnsi="Times New Roman" w:cs="Times New Roman"/>
          <w:b/>
          <w:color w:val="000000"/>
          <w:kern w:val="0"/>
          <w:szCs w:val="21"/>
        </w:rPr>
        <w:t xml:space="preserve"> </w:t>
      </w:r>
      <w:r>
        <w:rPr>
          <w:rFonts w:ascii="Times New Roman" w:hAnsi="Times New Roman" w:cs="Times New Roman"/>
          <w:b/>
          <w:color w:val="000000"/>
          <w:kern w:val="0"/>
          <w:szCs w:val="21"/>
        </w:rPr>
        <w:t>Panel Unit Root Test</w:t>
      </w:r>
      <w:r w:rsidR="0087060A">
        <w:rPr>
          <w:rStyle w:val="a5"/>
          <w:rFonts w:ascii="Times New Roman" w:hAnsi="Times New Roman" w:cs="Times New Roman"/>
          <w:b/>
          <w:color w:val="000000"/>
          <w:kern w:val="0"/>
          <w:szCs w:val="21"/>
        </w:rPr>
        <w:footnoteReference w:id="18"/>
      </w:r>
    </w:p>
    <w:p w14:paraId="4674CA7D" w14:textId="77777777" w:rsidR="004C5A80" w:rsidRPr="00AA55F9" w:rsidRDefault="004C5A80" w:rsidP="00AA55F9">
      <w:pPr>
        <w:adjustRightInd w:val="0"/>
        <w:spacing w:line="360" w:lineRule="auto"/>
        <w:ind w:leftChars="100" w:left="210"/>
        <w:jc w:val="center"/>
        <w:textAlignment w:val="baseline"/>
        <w:rPr>
          <w:rFonts w:ascii="Times New Roman" w:hAnsi="Times New Roman" w:cs="Times New Roman"/>
          <w:b/>
          <w:color w:val="000000"/>
          <w:kern w:val="0"/>
          <w:szCs w:val="21"/>
        </w:rPr>
      </w:pPr>
    </w:p>
    <w:tbl>
      <w:tblPr>
        <w:tblW w:w="8222" w:type="dxa"/>
        <w:tblBorders>
          <w:top w:val="single" w:sz="8" w:space="0" w:color="4F81BD"/>
          <w:bottom w:val="single" w:sz="8" w:space="0" w:color="4F81BD"/>
        </w:tblBorders>
        <w:tblLayout w:type="fixed"/>
        <w:tblLook w:val="0000" w:firstRow="0" w:lastRow="0" w:firstColumn="0" w:lastColumn="0" w:noHBand="0" w:noVBand="0"/>
      </w:tblPr>
      <w:tblGrid>
        <w:gridCol w:w="3119"/>
        <w:gridCol w:w="1134"/>
        <w:gridCol w:w="992"/>
        <w:gridCol w:w="1556"/>
        <w:gridCol w:w="1421"/>
      </w:tblGrid>
      <w:tr w:rsidR="00434FDD" w:rsidRPr="00434FDD" w14:paraId="532DD98C" w14:textId="77777777" w:rsidTr="00A87730">
        <w:trPr>
          <w:trHeight w:val="212"/>
        </w:trPr>
        <w:tc>
          <w:tcPr>
            <w:tcW w:w="3119" w:type="dxa"/>
            <w:tcBorders>
              <w:top w:val="single" w:sz="4" w:space="0" w:color="auto"/>
              <w:left w:val="nil"/>
              <w:bottom w:val="single" w:sz="4" w:space="0" w:color="auto"/>
              <w:right w:val="nil"/>
            </w:tcBorders>
            <w:shd w:val="clear" w:color="auto" w:fill="auto"/>
          </w:tcPr>
          <w:p w14:paraId="4025E4F6" w14:textId="79420CCB" w:rsidR="00434FDD" w:rsidRPr="00434FDD" w:rsidRDefault="00A2047C" w:rsidP="00A2047C">
            <w:pPr>
              <w:spacing w:before="78"/>
              <w:jc w:val="righ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M</w:t>
            </w:r>
            <w:r>
              <w:rPr>
                <w:rFonts w:ascii="Times New Roman" w:eastAsia="宋体" w:hAnsi="Times New Roman" w:cs="Times New Roman"/>
                <w:b/>
                <w:bCs/>
                <w:kern w:val="0"/>
                <w:szCs w:val="21"/>
              </w:rPr>
              <w:t>ethod</w:t>
            </w:r>
          </w:p>
        </w:tc>
        <w:tc>
          <w:tcPr>
            <w:tcW w:w="1134" w:type="dxa"/>
            <w:tcBorders>
              <w:top w:val="single" w:sz="4" w:space="0" w:color="auto"/>
              <w:left w:val="nil"/>
              <w:bottom w:val="single" w:sz="4" w:space="0" w:color="auto"/>
              <w:right w:val="nil"/>
            </w:tcBorders>
            <w:shd w:val="clear" w:color="auto" w:fill="auto"/>
          </w:tcPr>
          <w:p w14:paraId="08CD7DB9" w14:textId="1D14E394" w:rsidR="00434FDD" w:rsidRPr="00434FDD" w:rsidRDefault="00434FDD" w:rsidP="00434FDD">
            <w:pPr>
              <w:spacing w:before="78"/>
              <w:jc w:val="right"/>
              <w:rPr>
                <w:rFonts w:ascii="Times New Roman" w:eastAsia="宋体" w:hAnsi="Times New Roman" w:cs="Times New Roman"/>
                <w:b/>
                <w:bCs/>
                <w:kern w:val="0"/>
                <w:szCs w:val="21"/>
              </w:rPr>
            </w:pPr>
            <w:r>
              <w:rPr>
                <w:rFonts w:ascii="Times New Roman" w:eastAsia="宋体" w:hAnsi="宋体" w:cs="Times New Roman" w:hint="eastAsia"/>
                <w:b/>
                <w:bCs/>
                <w:kern w:val="0"/>
                <w:szCs w:val="21"/>
              </w:rPr>
              <w:t>S</w:t>
            </w:r>
            <w:r>
              <w:rPr>
                <w:rFonts w:ascii="Times New Roman" w:eastAsia="宋体" w:hAnsi="宋体" w:cs="Times New Roman"/>
                <w:b/>
                <w:bCs/>
                <w:kern w:val="0"/>
                <w:szCs w:val="21"/>
              </w:rPr>
              <w:t>tatistics</w:t>
            </w:r>
          </w:p>
        </w:tc>
        <w:tc>
          <w:tcPr>
            <w:tcW w:w="992" w:type="dxa"/>
            <w:tcBorders>
              <w:top w:val="single" w:sz="4" w:space="0" w:color="auto"/>
              <w:left w:val="nil"/>
              <w:bottom w:val="single" w:sz="4" w:space="0" w:color="auto"/>
              <w:right w:val="nil"/>
            </w:tcBorders>
            <w:shd w:val="clear" w:color="auto" w:fill="auto"/>
          </w:tcPr>
          <w:p w14:paraId="4E5CD934" w14:textId="3127C106" w:rsidR="00434FDD" w:rsidRPr="00434FDD" w:rsidRDefault="00434FDD" w:rsidP="00434FDD">
            <w:pPr>
              <w:spacing w:before="78"/>
              <w:jc w:val="center"/>
              <w:rPr>
                <w:rFonts w:ascii="Times New Roman" w:eastAsia="宋体" w:hAnsi="Times New Roman" w:cs="Times New Roman"/>
                <w:b/>
                <w:bCs/>
                <w:kern w:val="0"/>
                <w:szCs w:val="21"/>
              </w:rPr>
            </w:pPr>
            <w:r w:rsidRPr="00434FDD">
              <w:rPr>
                <w:rFonts w:ascii="Times New Roman" w:eastAsia="宋体" w:hAnsi="Times New Roman" w:cs="Times New Roman"/>
                <w:b/>
                <w:bCs/>
                <w:kern w:val="0"/>
                <w:szCs w:val="21"/>
              </w:rPr>
              <w:t>P</w:t>
            </w:r>
            <w:r>
              <w:rPr>
                <w:rFonts w:ascii="Times New Roman" w:eastAsia="宋体" w:hAnsi="宋体" w:cs="Times New Roman" w:hint="eastAsia"/>
                <w:b/>
                <w:bCs/>
                <w:kern w:val="0"/>
                <w:szCs w:val="21"/>
              </w:rPr>
              <w:t>-</w:t>
            </w:r>
            <w:r>
              <w:rPr>
                <w:rFonts w:ascii="Times New Roman" w:eastAsia="宋体" w:hAnsi="宋体" w:cs="Times New Roman"/>
                <w:b/>
                <w:bCs/>
                <w:kern w:val="0"/>
                <w:szCs w:val="21"/>
              </w:rPr>
              <w:t>value</w:t>
            </w:r>
          </w:p>
        </w:tc>
        <w:tc>
          <w:tcPr>
            <w:tcW w:w="1556" w:type="dxa"/>
            <w:tcBorders>
              <w:top w:val="single" w:sz="4" w:space="0" w:color="auto"/>
              <w:left w:val="nil"/>
              <w:bottom w:val="single" w:sz="4" w:space="0" w:color="auto"/>
              <w:right w:val="nil"/>
            </w:tcBorders>
            <w:shd w:val="clear" w:color="auto" w:fill="auto"/>
          </w:tcPr>
          <w:p w14:paraId="5B05862B" w14:textId="333B69AF" w:rsidR="00434FDD" w:rsidRPr="00434FDD" w:rsidRDefault="00434FDD" w:rsidP="00434FDD">
            <w:pPr>
              <w:spacing w:before="78"/>
              <w:jc w:val="center"/>
              <w:rPr>
                <w:rFonts w:ascii="Times New Roman" w:eastAsia="宋体" w:hAnsi="Times New Roman" w:cs="Times New Roman"/>
                <w:b/>
                <w:bCs/>
                <w:kern w:val="0"/>
                <w:szCs w:val="21"/>
              </w:rPr>
            </w:pPr>
            <w:r>
              <w:rPr>
                <w:rFonts w:ascii="Times New Roman" w:eastAsia="宋体" w:hAnsi="宋体" w:cs="Times New Roman" w:hint="eastAsia"/>
                <w:b/>
                <w:bCs/>
                <w:kern w:val="0"/>
                <w:szCs w:val="21"/>
              </w:rPr>
              <w:t>C</w:t>
            </w:r>
            <w:r>
              <w:rPr>
                <w:rFonts w:ascii="Times New Roman" w:eastAsia="宋体" w:hAnsi="宋体" w:cs="Times New Roman"/>
                <w:b/>
                <w:bCs/>
                <w:kern w:val="0"/>
                <w:szCs w:val="21"/>
              </w:rPr>
              <w:t>ross-sections</w:t>
            </w:r>
          </w:p>
        </w:tc>
        <w:tc>
          <w:tcPr>
            <w:tcW w:w="1421" w:type="dxa"/>
            <w:tcBorders>
              <w:top w:val="single" w:sz="4" w:space="0" w:color="auto"/>
              <w:left w:val="nil"/>
              <w:bottom w:val="single" w:sz="4" w:space="0" w:color="auto"/>
              <w:right w:val="nil"/>
            </w:tcBorders>
            <w:shd w:val="clear" w:color="auto" w:fill="auto"/>
          </w:tcPr>
          <w:p w14:paraId="7DF8F722" w14:textId="1FAC44B7" w:rsidR="00434FDD" w:rsidRPr="00434FDD" w:rsidRDefault="00434FDD" w:rsidP="00434FDD">
            <w:pPr>
              <w:spacing w:before="78"/>
              <w:jc w:val="center"/>
              <w:rPr>
                <w:rFonts w:ascii="Times New Roman" w:eastAsia="宋体" w:hAnsi="Times New Roman" w:cs="Times New Roman"/>
                <w:b/>
                <w:bCs/>
                <w:kern w:val="0"/>
                <w:szCs w:val="21"/>
              </w:rPr>
            </w:pPr>
            <w:r>
              <w:rPr>
                <w:rFonts w:ascii="Times New Roman" w:eastAsia="宋体" w:hAnsi="宋体" w:cs="Times New Roman" w:hint="eastAsia"/>
                <w:b/>
                <w:bCs/>
                <w:kern w:val="0"/>
                <w:szCs w:val="21"/>
              </w:rPr>
              <w:t>O</w:t>
            </w:r>
            <w:r>
              <w:rPr>
                <w:rFonts w:ascii="Times New Roman" w:eastAsia="宋体" w:hAnsi="宋体" w:cs="Times New Roman"/>
                <w:b/>
                <w:bCs/>
                <w:kern w:val="0"/>
                <w:szCs w:val="21"/>
              </w:rPr>
              <w:t>bservatio</w:t>
            </w:r>
            <w:r w:rsidR="00A2047C">
              <w:rPr>
                <w:rFonts w:ascii="Times New Roman" w:eastAsia="宋体" w:hAnsi="宋体" w:cs="Times New Roman"/>
                <w:b/>
                <w:bCs/>
                <w:kern w:val="0"/>
                <w:szCs w:val="21"/>
              </w:rPr>
              <w:t>n</w:t>
            </w:r>
          </w:p>
        </w:tc>
      </w:tr>
      <w:tr w:rsidR="00434FDD" w:rsidRPr="00434FDD" w14:paraId="0ED21D7B" w14:textId="77777777" w:rsidTr="00A87730">
        <w:trPr>
          <w:trHeight w:val="212"/>
        </w:trPr>
        <w:tc>
          <w:tcPr>
            <w:tcW w:w="3119" w:type="dxa"/>
            <w:tcBorders>
              <w:top w:val="single" w:sz="4" w:space="0" w:color="auto"/>
              <w:bottom w:val="single" w:sz="4" w:space="0" w:color="auto"/>
            </w:tcBorders>
            <w:shd w:val="clear" w:color="auto" w:fill="auto"/>
          </w:tcPr>
          <w:p w14:paraId="3F82C77C" w14:textId="06C3BCD5" w:rsidR="00434FDD" w:rsidRPr="00434FDD" w:rsidRDefault="00434FDD" w:rsidP="00434FDD">
            <w:pPr>
              <w:spacing w:before="78" w:line="360" w:lineRule="auto"/>
              <w:jc w:val="right"/>
              <w:rPr>
                <w:rFonts w:ascii="Times New Roman" w:eastAsia="宋体" w:hAnsi="Times New Roman" w:cs="Times New Roman"/>
                <w:b/>
                <w:bCs/>
                <w:kern w:val="0"/>
                <w:szCs w:val="21"/>
              </w:rPr>
            </w:pPr>
            <w:r w:rsidRPr="00434FDD">
              <w:rPr>
                <w:rFonts w:ascii="Times New Roman" w:eastAsia="宋体" w:hAnsi="Times New Roman" w:cs="Times New Roman"/>
                <w:b/>
                <w:bCs/>
                <w:kern w:val="0"/>
                <w:szCs w:val="21"/>
              </w:rPr>
              <w:t>Levin, Lin &amp; Chu t*</w:t>
            </w:r>
            <w:r w:rsidR="00AA55F9">
              <w:rPr>
                <w:rStyle w:val="a5"/>
                <w:rFonts w:ascii="Times New Roman" w:eastAsia="宋体" w:hAnsi="Times New Roman" w:cs="Times New Roman"/>
                <w:b/>
                <w:bCs/>
                <w:kern w:val="0"/>
                <w:szCs w:val="21"/>
              </w:rPr>
              <w:footnoteReference w:id="19"/>
            </w:r>
          </w:p>
        </w:tc>
        <w:tc>
          <w:tcPr>
            <w:tcW w:w="1134" w:type="dxa"/>
            <w:tcBorders>
              <w:top w:val="single" w:sz="4" w:space="0" w:color="auto"/>
              <w:bottom w:val="single" w:sz="4" w:space="0" w:color="auto"/>
            </w:tcBorders>
            <w:shd w:val="clear" w:color="auto" w:fill="auto"/>
          </w:tcPr>
          <w:p w14:paraId="172BC55A" w14:textId="4D565A9E" w:rsidR="00434FDD" w:rsidRPr="00434FDD" w:rsidRDefault="00434FDD" w:rsidP="00434FDD">
            <w:pPr>
              <w:spacing w:before="78" w:line="360" w:lineRule="auto"/>
              <w:jc w:val="right"/>
              <w:rPr>
                <w:rFonts w:ascii="Times New Roman" w:eastAsia="宋体" w:hAnsi="Times New Roman" w:cs="Times New Roman"/>
                <w:kern w:val="0"/>
                <w:szCs w:val="21"/>
              </w:rPr>
            </w:pPr>
            <w:r w:rsidRPr="00434FDD">
              <w:rPr>
                <w:rFonts w:ascii="Times New Roman" w:eastAsia="宋体" w:hAnsi="Times New Roman" w:cs="Times New Roman"/>
                <w:kern w:val="0"/>
                <w:szCs w:val="21"/>
              </w:rPr>
              <w:t>-</w:t>
            </w:r>
            <w:r w:rsidR="00A2047C">
              <w:rPr>
                <w:rFonts w:ascii="Times New Roman" w:eastAsia="宋体" w:hAnsi="Times New Roman" w:cs="Times New Roman"/>
                <w:kern w:val="0"/>
                <w:szCs w:val="21"/>
              </w:rPr>
              <w:t>24.4027</w:t>
            </w:r>
          </w:p>
        </w:tc>
        <w:tc>
          <w:tcPr>
            <w:tcW w:w="992" w:type="dxa"/>
            <w:tcBorders>
              <w:top w:val="single" w:sz="4" w:space="0" w:color="auto"/>
              <w:bottom w:val="single" w:sz="4" w:space="0" w:color="auto"/>
            </w:tcBorders>
            <w:shd w:val="clear" w:color="auto" w:fill="auto"/>
          </w:tcPr>
          <w:p w14:paraId="053ED75B" w14:textId="77777777" w:rsidR="00434FDD" w:rsidRPr="00434FDD" w:rsidRDefault="00434FDD" w:rsidP="00434FDD">
            <w:pPr>
              <w:spacing w:before="78" w:line="360" w:lineRule="auto"/>
              <w:jc w:val="center"/>
              <w:rPr>
                <w:rFonts w:ascii="Times New Roman" w:eastAsia="宋体" w:hAnsi="Times New Roman" w:cs="Times New Roman"/>
                <w:kern w:val="0"/>
                <w:szCs w:val="21"/>
              </w:rPr>
            </w:pPr>
            <w:r w:rsidRPr="00434FDD">
              <w:rPr>
                <w:rFonts w:ascii="Times New Roman" w:eastAsia="宋体" w:hAnsi="Times New Roman" w:cs="Times New Roman"/>
                <w:kern w:val="0"/>
                <w:szCs w:val="21"/>
              </w:rPr>
              <w:t>0.0000</w:t>
            </w:r>
          </w:p>
        </w:tc>
        <w:tc>
          <w:tcPr>
            <w:tcW w:w="1556" w:type="dxa"/>
            <w:tcBorders>
              <w:top w:val="single" w:sz="4" w:space="0" w:color="auto"/>
              <w:bottom w:val="single" w:sz="4" w:space="0" w:color="auto"/>
            </w:tcBorders>
            <w:shd w:val="clear" w:color="auto" w:fill="auto"/>
          </w:tcPr>
          <w:p w14:paraId="56D86060" w14:textId="37751EFE" w:rsidR="00434FDD" w:rsidRPr="00434FDD" w:rsidRDefault="00A2047C" w:rsidP="00434FDD">
            <w:pPr>
              <w:spacing w:before="78"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113</w:t>
            </w:r>
          </w:p>
        </w:tc>
        <w:tc>
          <w:tcPr>
            <w:tcW w:w="1421" w:type="dxa"/>
            <w:tcBorders>
              <w:top w:val="single" w:sz="4" w:space="0" w:color="auto"/>
              <w:bottom w:val="single" w:sz="4" w:space="0" w:color="auto"/>
            </w:tcBorders>
            <w:shd w:val="clear" w:color="auto" w:fill="auto"/>
          </w:tcPr>
          <w:p w14:paraId="45F6240F" w14:textId="358DE58E" w:rsidR="00434FDD" w:rsidRPr="00434FDD" w:rsidRDefault="00A2047C" w:rsidP="00434FDD">
            <w:pPr>
              <w:spacing w:before="78"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2599</w:t>
            </w:r>
          </w:p>
        </w:tc>
      </w:tr>
      <w:tr w:rsidR="00434FDD" w:rsidRPr="00434FDD" w14:paraId="3D391FFE" w14:textId="77777777" w:rsidTr="00A87730">
        <w:trPr>
          <w:trHeight w:val="212"/>
        </w:trPr>
        <w:tc>
          <w:tcPr>
            <w:tcW w:w="3119" w:type="dxa"/>
            <w:tcBorders>
              <w:top w:val="single" w:sz="4" w:space="0" w:color="auto"/>
              <w:bottom w:val="nil"/>
            </w:tcBorders>
            <w:shd w:val="clear" w:color="auto" w:fill="auto"/>
          </w:tcPr>
          <w:p w14:paraId="67C1D342" w14:textId="13C8F085" w:rsidR="00434FDD" w:rsidRPr="00434FDD" w:rsidRDefault="00434FDD" w:rsidP="00A87730">
            <w:pPr>
              <w:spacing w:before="78" w:line="360" w:lineRule="auto"/>
              <w:jc w:val="right"/>
              <w:rPr>
                <w:rFonts w:ascii="Times New Roman" w:eastAsia="宋体" w:hAnsi="Times New Roman" w:cs="Times New Roman"/>
                <w:b/>
                <w:bCs/>
                <w:kern w:val="0"/>
                <w:szCs w:val="21"/>
              </w:rPr>
            </w:pPr>
            <w:proofErr w:type="spellStart"/>
            <w:r w:rsidRPr="00434FDD">
              <w:rPr>
                <w:rFonts w:ascii="Times New Roman" w:eastAsia="宋体" w:hAnsi="Times New Roman" w:cs="Times New Roman"/>
                <w:b/>
                <w:bCs/>
                <w:kern w:val="0"/>
                <w:szCs w:val="21"/>
              </w:rPr>
              <w:t>Im</w:t>
            </w:r>
            <w:proofErr w:type="spellEnd"/>
            <w:r w:rsidRPr="00434FDD">
              <w:rPr>
                <w:rFonts w:ascii="Times New Roman" w:eastAsia="宋体" w:hAnsi="Times New Roman" w:cs="Times New Roman"/>
                <w:b/>
                <w:bCs/>
                <w:kern w:val="0"/>
                <w:szCs w:val="21"/>
              </w:rPr>
              <w:t xml:space="preserve">, </w:t>
            </w:r>
            <w:proofErr w:type="spellStart"/>
            <w:r w:rsidRPr="00434FDD">
              <w:rPr>
                <w:rFonts w:ascii="Times New Roman" w:eastAsia="宋体" w:hAnsi="Times New Roman" w:cs="Times New Roman"/>
                <w:b/>
                <w:bCs/>
                <w:kern w:val="0"/>
                <w:szCs w:val="21"/>
              </w:rPr>
              <w:t>Pesaran</w:t>
            </w:r>
            <w:proofErr w:type="spellEnd"/>
            <w:r w:rsidRPr="00434FDD">
              <w:rPr>
                <w:rFonts w:ascii="Times New Roman" w:eastAsia="宋体" w:hAnsi="Times New Roman" w:cs="Times New Roman"/>
                <w:b/>
                <w:bCs/>
                <w:kern w:val="0"/>
                <w:szCs w:val="21"/>
              </w:rPr>
              <w:t xml:space="preserve"> and Shin W</w:t>
            </w:r>
            <w:r w:rsidR="00A87730">
              <w:rPr>
                <w:rFonts w:ascii="Times New Roman" w:eastAsia="宋体" w:hAnsi="Times New Roman" w:cs="Times New Roman"/>
                <w:b/>
                <w:bCs/>
                <w:kern w:val="0"/>
                <w:szCs w:val="21"/>
              </w:rPr>
              <w:t>-stat</w:t>
            </w:r>
            <w:r w:rsidR="00A87730">
              <w:rPr>
                <w:rStyle w:val="a5"/>
                <w:rFonts w:ascii="Times New Roman" w:eastAsia="宋体" w:hAnsi="Times New Roman" w:cs="Times New Roman"/>
                <w:b/>
                <w:bCs/>
                <w:kern w:val="0"/>
                <w:szCs w:val="21"/>
              </w:rPr>
              <w:footnoteReference w:id="20"/>
            </w:r>
          </w:p>
        </w:tc>
        <w:tc>
          <w:tcPr>
            <w:tcW w:w="1134" w:type="dxa"/>
            <w:tcBorders>
              <w:top w:val="single" w:sz="4" w:space="0" w:color="auto"/>
              <w:bottom w:val="nil"/>
            </w:tcBorders>
            <w:shd w:val="clear" w:color="auto" w:fill="auto"/>
          </w:tcPr>
          <w:p w14:paraId="11D28B55" w14:textId="57C970A7" w:rsidR="00434FDD" w:rsidRPr="00434FDD" w:rsidRDefault="00434FDD" w:rsidP="00434FDD">
            <w:pPr>
              <w:spacing w:before="78" w:line="360" w:lineRule="auto"/>
              <w:jc w:val="right"/>
              <w:rPr>
                <w:rFonts w:ascii="Times New Roman" w:eastAsia="宋体" w:hAnsi="Times New Roman" w:cs="Times New Roman"/>
                <w:kern w:val="0"/>
                <w:szCs w:val="21"/>
              </w:rPr>
            </w:pPr>
            <w:r w:rsidRPr="00434FDD">
              <w:rPr>
                <w:rFonts w:ascii="Times New Roman" w:eastAsia="宋体" w:hAnsi="Times New Roman" w:cs="Times New Roman"/>
                <w:kern w:val="0"/>
                <w:szCs w:val="21"/>
              </w:rPr>
              <w:t>-3</w:t>
            </w:r>
            <w:r w:rsidR="00A2047C">
              <w:rPr>
                <w:rFonts w:ascii="Times New Roman" w:eastAsia="宋体" w:hAnsi="Times New Roman" w:cs="Times New Roman"/>
                <w:kern w:val="0"/>
                <w:szCs w:val="21"/>
              </w:rPr>
              <w:t>2.3206</w:t>
            </w:r>
          </w:p>
        </w:tc>
        <w:tc>
          <w:tcPr>
            <w:tcW w:w="992" w:type="dxa"/>
            <w:tcBorders>
              <w:top w:val="single" w:sz="4" w:space="0" w:color="auto"/>
              <w:bottom w:val="nil"/>
            </w:tcBorders>
            <w:shd w:val="clear" w:color="auto" w:fill="auto"/>
          </w:tcPr>
          <w:p w14:paraId="5537F520" w14:textId="77777777" w:rsidR="00434FDD" w:rsidRPr="00434FDD" w:rsidRDefault="00434FDD" w:rsidP="00434FDD">
            <w:pPr>
              <w:spacing w:before="78" w:line="360" w:lineRule="auto"/>
              <w:jc w:val="center"/>
              <w:rPr>
                <w:rFonts w:ascii="Times New Roman" w:eastAsia="宋体" w:hAnsi="Times New Roman" w:cs="Times New Roman"/>
                <w:kern w:val="0"/>
                <w:szCs w:val="21"/>
              </w:rPr>
            </w:pPr>
            <w:r w:rsidRPr="00434FDD">
              <w:rPr>
                <w:rFonts w:ascii="Times New Roman" w:eastAsia="宋体" w:hAnsi="Times New Roman" w:cs="Times New Roman"/>
                <w:kern w:val="0"/>
                <w:szCs w:val="21"/>
              </w:rPr>
              <w:t>0.0000</w:t>
            </w:r>
          </w:p>
        </w:tc>
        <w:tc>
          <w:tcPr>
            <w:tcW w:w="1556" w:type="dxa"/>
            <w:tcBorders>
              <w:top w:val="single" w:sz="4" w:space="0" w:color="auto"/>
              <w:bottom w:val="nil"/>
            </w:tcBorders>
            <w:shd w:val="clear" w:color="auto" w:fill="auto"/>
          </w:tcPr>
          <w:p w14:paraId="5EC39DC5" w14:textId="187E4572" w:rsidR="00434FDD" w:rsidRPr="00434FDD" w:rsidRDefault="00A2047C" w:rsidP="00434FDD">
            <w:pPr>
              <w:spacing w:before="78"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113</w:t>
            </w:r>
          </w:p>
        </w:tc>
        <w:tc>
          <w:tcPr>
            <w:tcW w:w="1421" w:type="dxa"/>
            <w:tcBorders>
              <w:top w:val="single" w:sz="4" w:space="0" w:color="auto"/>
              <w:bottom w:val="nil"/>
            </w:tcBorders>
            <w:shd w:val="clear" w:color="auto" w:fill="auto"/>
          </w:tcPr>
          <w:p w14:paraId="118883E8" w14:textId="0E76C2B8" w:rsidR="00434FDD" w:rsidRPr="00434FDD" w:rsidRDefault="00A2047C" w:rsidP="00434FDD">
            <w:pPr>
              <w:spacing w:before="78"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2599</w:t>
            </w:r>
          </w:p>
        </w:tc>
      </w:tr>
      <w:tr w:rsidR="00434FDD" w:rsidRPr="00434FDD" w14:paraId="59D1BCB7" w14:textId="77777777" w:rsidTr="00A87730">
        <w:trPr>
          <w:trHeight w:val="212"/>
        </w:trPr>
        <w:tc>
          <w:tcPr>
            <w:tcW w:w="3119" w:type="dxa"/>
            <w:tcBorders>
              <w:top w:val="nil"/>
              <w:left w:val="nil"/>
              <w:bottom w:val="nil"/>
              <w:right w:val="nil"/>
            </w:tcBorders>
            <w:shd w:val="clear" w:color="auto" w:fill="auto"/>
          </w:tcPr>
          <w:p w14:paraId="538D1C67" w14:textId="77777777" w:rsidR="00434FDD" w:rsidRPr="00434FDD" w:rsidRDefault="00434FDD" w:rsidP="00434FDD">
            <w:pPr>
              <w:spacing w:before="78" w:line="360" w:lineRule="auto"/>
              <w:jc w:val="right"/>
              <w:rPr>
                <w:rFonts w:ascii="Times New Roman" w:eastAsia="宋体" w:hAnsi="Times New Roman" w:cs="Times New Roman"/>
                <w:b/>
                <w:bCs/>
                <w:kern w:val="0"/>
                <w:szCs w:val="21"/>
              </w:rPr>
            </w:pPr>
            <w:r w:rsidRPr="00434FDD">
              <w:rPr>
                <w:rFonts w:ascii="Times New Roman" w:eastAsia="宋体" w:hAnsi="Times New Roman" w:cs="Times New Roman"/>
                <w:b/>
                <w:bCs/>
                <w:kern w:val="0"/>
                <w:szCs w:val="21"/>
              </w:rPr>
              <w:t>ADF - Fisher Chi-square</w:t>
            </w:r>
          </w:p>
        </w:tc>
        <w:tc>
          <w:tcPr>
            <w:tcW w:w="1134" w:type="dxa"/>
            <w:tcBorders>
              <w:top w:val="nil"/>
              <w:left w:val="nil"/>
              <w:bottom w:val="nil"/>
              <w:right w:val="nil"/>
            </w:tcBorders>
            <w:shd w:val="clear" w:color="auto" w:fill="auto"/>
          </w:tcPr>
          <w:p w14:paraId="6787800B" w14:textId="45A8721F" w:rsidR="00434FDD" w:rsidRPr="00434FDD" w:rsidRDefault="00A2047C" w:rsidP="00434FDD">
            <w:pPr>
              <w:spacing w:before="78" w:line="360" w:lineRule="auto"/>
              <w:jc w:val="right"/>
              <w:rPr>
                <w:rFonts w:ascii="Times New Roman" w:eastAsia="宋体" w:hAnsi="Times New Roman" w:cs="Times New Roman"/>
                <w:kern w:val="0"/>
                <w:szCs w:val="21"/>
              </w:rPr>
            </w:pPr>
            <w:r>
              <w:rPr>
                <w:rFonts w:ascii="Times New Roman" w:eastAsia="宋体" w:hAnsi="Times New Roman" w:cs="Times New Roman"/>
                <w:kern w:val="0"/>
                <w:szCs w:val="21"/>
              </w:rPr>
              <w:t>1367.74</w:t>
            </w:r>
          </w:p>
        </w:tc>
        <w:tc>
          <w:tcPr>
            <w:tcW w:w="992" w:type="dxa"/>
            <w:tcBorders>
              <w:top w:val="nil"/>
              <w:left w:val="nil"/>
              <w:bottom w:val="nil"/>
              <w:right w:val="nil"/>
            </w:tcBorders>
            <w:shd w:val="clear" w:color="auto" w:fill="auto"/>
          </w:tcPr>
          <w:p w14:paraId="54482406" w14:textId="77777777" w:rsidR="00434FDD" w:rsidRPr="00434FDD" w:rsidRDefault="00434FDD" w:rsidP="00434FDD">
            <w:pPr>
              <w:spacing w:before="78" w:line="360" w:lineRule="auto"/>
              <w:jc w:val="center"/>
              <w:rPr>
                <w:rFonts w:ascii="Times New Roman" w:eastAsia="宋体" w:hAnsi="Times New Roman" w:cs="Times New Roman"/>
                <w:kern w:val="0"/>
                <w:szCs w:val="21"/>
              </w:rPr>
            </w:pPr>
            <w:r w:rsidRPr="00434FDD">
              <w:rPr>
                <w:rFonts w:ascii="Times New Roman" w:eastAsia="宋体" w:hAnsi="Times New Roman" w:cs="Times New Roman"/>
                <w:kern w:val="0"/>
                <w:szCs w:val="21"/>
              </w:rPr>
              <w:t>0.0000</w:t>
            </w:r>
          </w:p>
        </w:tc>
        <w:tc>
          <w:tcPr>
            <w:tcW w:w="1556" w:type="dxa"/>
            <w:tcBorders>
              <w:top w:val="nil"/>
              <w:left w:val="nil"/>
              <w:bottom w:val="nil"/>
              <w:right w:val="nil"/>
            </w:tcBorders>
            <w:shd w:val="clear" w:color="auto" w:fill="auto"/>
          </w:tcPr>
          <w:p w14:paraId="6E9AE7F2" w14:textId="54325E8B" w:rsidR="00434FDD" w:rsidRPr="00434FDD" w:rsidRDefault="00A2047C" w:rsidP="00434FDD">
            <w:pPr>
              <w:spacing w:before="78"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113</w:t>
            </w:r>
          </w:p>
        </w:tc>
        <w:tc>
          <w:tcPr>
            <w:tcW w:w="1421" w:type="dxa"/>
            <w:tcBorders>
              <w:top w:val="nil"/>
              <w:left w:val="nil"/>
              <w:bottom w:val="nil"/>
              <w:right w:val="nil"/>
            </w:tcBorders>
            <w:shd w:val="clear" w:color="auto" w:fill="auto"/>
          </w:tcPr>
          <w:p w14:paraId="47C13316" w14:textId="3A90E2B4" w:rsidR="00434FDD" w:rsidRPr="00434FDD" w:rsidRDefault="00A2047C" w:rsidP="00434FDD">
            <w:pPr>
              <w:spacing w:before="78"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2599</w:t>
            </w:r>
          </w:p>
        </w:tc>
      </w:tr>
      <w:tr w:rsidR="00434FDD" w:rsidRPr="00434FDD" w14:paraId="419219CB" w14:textId="77777777" w:rsidTr="00A87730">
        <w:trPr>
          <w:trHeight w:val="212"/>
        </w:trPr>
        <w:tc>
          <w:tcPr>
            <w:tcW w:w="3119" w:type="dxa"/>
            <w:tcBorders>
              <w:top w:val="nil"/>
              <w:bottom w:val="single" w:sz="4" w:space="0" w:color="auto"/>
            </w:tcBorders>
            <w:shd w:val="clear" w:color="auto" w:fill="auto"/>
          </w:tcPr>
          <w:p w14:paraId="5E419DA2" w14:textId="77777777" w:rsidR="00434FDD" w:rsidRPr="00434FDD" w:rsidRDefault="00434FDD" w:rsidP="00434FDD">
            <w:pPr>
              <w:spacing w:before="78" w:line="360" w:lineRule="auto"/>
              <w:jc w:val="right"/>
              <w:rPr>
                <w:rFonts w:ascii="Times New Roman" w:eastAsia="宋体" w:hAnsi="Times New Roman" w:cs="Times New Roman"/>
                <w:b/>
                <w:bCs/>
                <w:kern w:val="0"/>
                <w:szCs w:val="21"/>
              </w:rPr>
            </w:pPr>
            <w:r w:rsidRPr="00434FDD">
              <w:rPr>
                <w:rFonts w:ascii="Times New Roman" w:eastAsia="宋体" w:hAnsi="Times New Roman" w:cs="Times New Roman"/>
                <w:b/>
                <w:bCs/>
                <w:kern w:val="0"/>
                <w:szCs w:val="21"/>
              </w:rPr>
              <w:t>PP - Fisher Chi-square</w:t>
            </w:r>
          </w:p>
        </w:tc>
        <w:tc>
          <w:tcPr>
            <w:tcW w:w="1134" w:type="dxa"/>
            <w:tcBorders>
              <w:top w:val="nil"/>
              <w:bottom w:val="single" w:sz="4" w:space="0" w:color="auto"/>
            </w:tcBorders>
            <w:shd w:val="clear" w:color="auto" w:fill="auto"/>
          </w:tcPr>
          <w:p w14:paraId="164931F0" w14:textId="752293EA" w:rsidR="00434FDD" w:rsidRPr="00434FDD" w:rsidRDefault="00A2047C" w:rsidP="00434FDD">
            <w:pPr>
              <w:spacing w:before="78" w:line="360" w:lineRule="auto"/>
              <w:jc w:val="right"/>
              <w:rPr>
                <w:rFonts w:ascii="Times New Roman" w:eastAsia="宋体" w:hAnsi="Times New Roman" w:cs="Times New Roman"/>
                <w:kern w:val="0"/>
                <w:szCs w:val="21"/>
              </w:rPr>
            </w:pPr>
            <w:r>
              <w:rPr>
                <w:rFonts w:ascii="Times New Roman" w:eastAsia="宋体" w:hAnsi="Times New Roman" w:cs="Times New Roman"/>
                <w:kern w:val="0"/>
                <w:szCs w:val="21"/>
              </w:rPr>
              <w:t>2593.27</w:t>
            </w:r>
          </w:p>
        </w:tc>
        <w:tc>
          <w:tcPr>
            <w:tcW w:w="992" w:type="dxa"/>
            <w:tcBorders>
              <w:top w:val="nil"/>
              <w:bottom w:val="single" w:sz="4" w:space="0" w:color="auto"/>
            </w:tcBorders>
            <w:shd w:val="clear" w:color="auto" w:fill="auto"/>
          </w:tcPr>
          <w:p w14:paraId="110D6EC0" w14:textId="77777777" w:rsidR="00434FDD" w:rsidRPr="00434FDD" w:rsidRDefault="00434FDD" w:rsidP="00434FDD">
            <w:pPr>
              <w:spacing w:before="78" w:line="360" w:lineRule="auto"/>
              <w:jc w:val="center"/>
              <w:rPr>
                <w:rFonts w:ascii="Times New Roman" w:eastAsia="宋体" w:hAnsi="Times New Roman" w:cs="Times New Roman"/>
                <w:kern w:val="0"/>
                <w:szCs w:val="21"/>
              </w:rPr>
            </w:pPr>
            <w:r w:rsidRPr="00434FDD">
              <w:rPr>
                <w:rFonts w:ascii="Times New Roman" w:eastAsia="宋体" w:hAnsi="Times New Roman" w:cs="Times New Roman"/>
                <w:kern w:val="0"/>
                <w:szCs w:val="21"/>
              </w:rPr>
              <w:t>0.0000</w:t>
            </w:r>
          </w:p>
        </w:tc>
        <w:tc>
          <w:tcPr>
            <w:tcW w:w="1556" w:type="dxa"/>
            <w:tcBorders>
              <w:top w:val="nil"/>
              <w:bottom w:val="single" w:sz="4" w:space="0" w:color="auto"/>
            </w:tcBorders>
            <w:shd w:val="clear" w:color="auto" w:fill="auto"/>
          </w:tcPr>
          <w:p w14:paraId="4B5E75D2" w14:textId="09361639" w:rsidR="00434FDD" w:rsidRPr="00434FDD" w:rsidRDefault="00A2047C" w:rsidP="00434FDD">
            <w:pPr>
              <w:spacing w:before="78"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113</w:t>
            </w:r>
          </w:p>
        </w:tc>
        <w:tc>
          <w:tcPr>
            <w:tcW w:w="1421" w:type="dxa"/>
            <w:tcBorders>
              <w:top w:val="nil"/>
              <w:bottom w:val="single" w:sz="4" w:space="0" w:color="auto"/>
            </w:tcBorders>
            <w:shd w:val="clear" w:color="auto" w:fill="auto"/>
          </w:tcPr>
          <w:p w14:paraId="01DACA5E" w14:textId="7470D296" w:rsidR="00434FDD" w:rsidRPr="00434FDD" w:rsidRDefault="00A2047C" w:rsidP="00434FDD">
            <w:pPr>
              <w:spacing w:before="78"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2712</w:t>
            </w:r>
          </w:p>
        </w:tc>
      </w:tr>
    </w:tbl>
    <w:p w14:paraId="3E7920A1" w14:textId="3ADABDAD" w:rsidR="0087060A" w:rsidRDefault="0087060A" w:rsidP="00D852B0">
      <w:pPr>
        <w:adjustRightInd w:val="0"/>
        <w:spacing w:line="360" w:lineRule="auto"/>
        <w:ind w:leftChars="100" w:left="210"/>
        <w:textAlignment w:val="baseline"/>
        <w:rPr>
          <w:rFonts w:ascii="Times New Roman" w:hAnsi="Times New Roman" w:cs="Times New Roman"/>
          <w:b/>
          <w:color w:val="000000"/>
          <w:kern w:val="0"/>
          <w:sz w:val="24"/>
          <w:szCs w:val="24"/>
        </w:rPr>
      </w:pPr>
    </w:p>
    <w:p w14:paraId="74AB590E" w14:textId="7C2A4E0B" w:rsidR="00997EC6" w:rsidRPr="00997EC6" w:rsidRDefault="00997EC6" w:rsidP="00D852B0">
      <w:pPr>
        <w:adjustRightInd w:val="0"/>
        <w:spacing w:line="360" w:lineRule="auto"/>
        <w:ind w:leftChars="100" w:left="210"/>
        <w:textAlignment w:val="baseline"/>
        <w:rPr>
          <w:rFonts w:ascii="Times New Roman" w:hAnsi="Times New Roman" w:cs="Times New Roman"/>
          <w:bCs/>
          <w:color w:val="000000"/>
          <w:kern w:val="0"/>
          <w:sz w:val="24"/>
          <w:szCs w:val="24"/>
        </w:rPr>
      </w:pPr>
      <w:r w:rsidRPr="00997EC6">
        <w:rPr>
          <w:rFonts w:ascii="Times New Roman" w:hAnsi="Times New Roman" w:cs="Times New Roman" w:hint="eastAsia"/>
          <w:bCs/>
          <w:color w:val="000000"/>
          <w:kern w:val="0"/>
          <w:sz w:val="24"/>
          <w:szCs w:val="24"/>
        </w:rPr>
        <w:t>F</w:t>
      </w:r>
      <w:r w:rsidRPr="00997EC6">
        <w:rPr>
          <w:rFonts w:ascii="Times New Roman" w:hAnsi="Times New Roman" w:cs="Times New Roman"/>
          <w:bCs/>
          <w:color w:val="000000"/>
          <w:kern w:val="0"/>
          <w:sz w:val="24"/>
          <w:szCs w:val="24"/>
        </w:rPr>
        <w:t xml:space="preserve">or the full sample, the first lag of the SPV investment percentage, the NPL of last period, </w:t>
      </w:r>
      <w:r>
        <w:rPr>
          <w:rFonts w:ascii="Times New Roman" w:eastAsia="PMingLiU" w:hAnsi="Times New Roman" w:cs="Times New Roman"/>
          <w:kern w:val="0"/>
          <w:sz w:val="24"/>
          <w:szCs w:val="24"/>
          <w:lang w:eastAsia="zh-TW"/>
        </w:rPr>
        <w:t xml:space="preserve">the ratio of the interbank liability to the total liability, as well as the ratio of the central bank liability to the total liability are significantly positive correlated with the independent variable, indicating that the credit risk exposure, the central bank and the interbank funding inflow stimulate the SPV investment. On the other hand, the </w:t>
      </w:r>
      <w:r>
        <w:rPr>
          <w:rFonts w:ascii="Times New Roman" w:eastAsia="PMingLiU" w:hAnsi="Times New Roman" w:cs="Times New Roman"/>
          <w:kern w:val="0"/>
          <w:sz w:val="24"/>
          <w:szCs w:val="24"/>
          <w:lang w:eastAsia="zh-TW"/>
        </w:rPr>
        <w:lastRenderedPageBreak/>
        <w:t>CAR, the change in NIM, LDR</w:t>
      </w:r>
      <w:r w:rsidR="00A175A9">
        <w:rPr>
          <w:rFonts w:ascii="Times New Roman" w:eastAsia="PMingLiU" w:hAnsi="Times New Roman" w:cs="Times New Roman"/>
          <w:kern w:val="0"/>
          <w:sz w:val="24"/>
          <w:szCs w:val="24"/>
          <w:lang w:eastAsia="zh-TW"/>
        </w:rPr>
        <w:t>, ratio of the interbank asset to the total asset, and the limiting policy are significantly negative correlated with the SPV investment, telling us that SPV investment is possibly a tool to implement regulatory arbitrage and make more profit by conducting interbank business. The substitution effect of the interbank asset percentage is also significant and the limiting policy since Q1-of-2017 does slow down the SPV investment</w:t>
      </w:r>
      <w:r w:rsidR="00B84E92">
        <w:rPr>
          <w:rFonts w:ascii="Times New Roman" w:eastAsia="PMingLiU" w:hAnsi="Times New Roman" w:cs="Times New Roman"/>
          <w:kern w:val="0"/>
          <w:sz w:val="24"/>
          <w:szCs w:val="24"/>
          <w:lang w:eastAsia="zh-TW"/>
        </w:rPr>
        <w:t xml:space="preserve"> (Figure 1)</w:t>
      </w:r>
      <w:r w:rsidR="00A175A9">
        <w:rPr>
          <w:rFonts w:ascii="Times New Roman" w:eastAsia="PMingLiU" w:hAnsi="Times New Roman" w:cs="Times New Roman"/>
          <w:kern w:val="0"/>
          <w:sz w:val="24"/>
          <w:szCs w:val="24"/>
          <w:lang w:eastAsia="zh-TW"/>
        </w:rPr>
        <w:t>.</w:t>
      </w:r>
    </w:p>
    <w:p w14:paraId="30412A59" w14:textId="77777777" w:rsidR="005030AF" w:rsidRDefault="005030AF" w:rsidP="00D852B0">
      <w:pPr>
        <w:adjustRightInd w:val="0"/>
        <w:spacing w:line="360" w:lineRule="auto"/>
        <w:ind w:leftChars="100" w:left="210"/>
        <w:textAlignment w:val="baseline"/>
        <w:rPr>
          <w:rFonts w:ascii="Times New Roman" w:hAnsi="Times New Roman" w:cs="Times New Roman"/>
          <w:b/>
          <w:color w:val="000000"/>
          <w:kern w:val="0"/>
          <w:sz w:val="24"/>
          <w:szCs w:val="24"/>
        </w:rPr>
      </w:pPr>
    </w:p>
    <w:p w14:paraId="4741B033" w14:textId="51CC9371" w:rsidR="00D852B0" w:rsidRDefault="00D852B0" w:rsidP="00D852B0">
      <w:pPr>
        <w:adjustRightInd w:val="0"/>
        <w:spacing w:line="360" w:lineRule="auto"/>
        <w:ind w:leftChars="100" w:left="210"/>
        <w:textAlignment w:val="baseline"/>
        <w:rPr>
          <w:rFonts w:ascii="Times New Roman" w:hAnsi="Times New Roman" w:cs="Times New Roman"/>
          <w:b/>
          <w:color w:val="000000"/>
          <w:kern w:val="0"/>
          <w:sz w:val="24"/>
          <w:szCs w:val="24"/>
        </w:rPr>
      </w:pPr>
      <w:r>
        <w:rPr>
          <w:rFonts w:ascii="Times New Roman" w:hAnsi="Times New Roman" w:cs="Times New Roman" w:hint="eastAsia"/>
          <w:b/>
          <w:color w:val="000000"/>
          <w:kern w:val="0"/>
          <w:sz w:val="24"/>
          <w:szCs w:val="24"/>
        </w:rPr>
        <w:t>4</w:t>
      </w:r>
      <w:r>
        <w:rPr>
          <w:rFonts w:ascii="Times New Roman" w:hAnsi="Times New Roman" w:cs="Times New Roman"/>
          <w:b/>
          <w:color w:val="000000"/>
          <w:kern w:val="0"/>
          <w:sz w:val="24"/>
          <w:szCs w:val="24"/>
        </w:rPr>
        <w:t xml:space="preserve">.3.2 </w:t>
      </w:r>
      <w:r w:rsidR="00344F33">
        <w:rPr>
          <w:rFonts w:ascii="Times New Roman" w:hAnsi="Times New Roman" w:cs="Times New Roman"/>
          <w:b/>
          <w:color w:val="000000"/>
          <w:kern w:val="0"/>
          <w:sz w:val="24"/>
          <w:szCs w:val="24"/>
        </w:rPr>
        <w:t xml:space="preserve">Heterogenous </w:t>
      </w:r>
      <w:r>
        <w:rPr>
          <w:rFonts w:ascii="Times New Roman" w:hAnsi="Times New Roman" w:cs="Times New Roman"/>
          <w:b/>
          <w:color w:val="000000"/>
          <w:kern w:val="0"/>
          <w:sz w:val="24"/>
          <w:szCs w:val="24"/>
        </w:rPr>
        <w:t>Model</w:t>
      </w:r>
      <w:r w:rsidR="00344F33">
        <w:rPr>
          <w:rFonts w:ascii="Times New Roman" w:hAnsi="Times New Roman" w:cs="Times New Roman"/>
          <w:b/>
          <w:color w:val="000000"/>
          <w:kern w:val="0"/>
          <w:sz w:val="24"/>
          <w:szCs w:val="24"/>
        </w:rPr>
        <w:t>s</w:t>
      </w:r>
      <w:r>
        <w:rPr>
          <w:rFonts w:ascii="Times New Roman" w:hAnsi="Times New Roman" w:cs="Times New Roman"/>
          <w:b/>
          <w:color w:val="000000"/>
          <w:kern w:val="0"/>
          <w:sz w:val="24"/>
          <w:szCs w:val="24"/>
        </w:rPr>
        <w:t xml:space="preserve"> for Different Type </w:t>
      </w:r>
      <w:r w:rsidR="00344F33">
        <w:rPr>
          <w:rFonts w:ascii="Times New Roman" w:hAnsi="Times New Roman" w:cs="Times New Roman"/>
          <w:b/>
          <w:color w:val="000000"/>
          <w:kern w:val="0"/>
          <w:sz w:val="24"/>
          <w:szCs w:val="24"/>
        </w:rPr>
        <w:t xml:space="preserve">of </w:t>
      </w:r>
      <w:r>
        <w:rPr>
          <w:rFonts w:ascii="Times New Roman" w:hAnsi="Times New Roman" w:cs="Times New Roman"/>
          <w:b/>
          <w:color w:val="000000"/>
          <w:kern w:val="0"/>
          <w:sz w:val="24"/>
          <w:szCs w:val="24"/>
        </w:rPr>
        <w:t>Banks</w:t>
      </w:r>
    </w:p>
    <w:p w14:paraId="546BFCEB" w14:textId="2B2D234D" w:rsidR="00295489" w:rsidRDefault="00295489" w:rsidP="00D852B0">
      <w:pPr>
        <w:adjustRightInd w:val="0"/>
        <w:spacing w:line="360" w:lineRule="auto"/>
        <w:ind w:leftChars="100" w:left="210"/>
        <w:textAlignment w:val="baseline"/>
        <w:rPr>
          <w:rFonts w:ascii="Times New Roman" w:hAnsi="Times New Roman" w:cs="Times New Roman"/>
          <w:bCs/>
          <w:color w:val="000000"/>
          <w:kern w:val="0"/>
          <w:sz w:val="24"/>
          <w:szCs w:val="24"/>
        </w:rPr>
      </w:pPr>
      <w:r>
        <w:rPr>
          <w:rFonts w:ascii="Times New Roman" w:hAnsi="Times New Roman" w:cs="Times New Roman"/>
          <w:bCs/>
          <w:color w:val="000000"/>
          <w:kern w:val="0"/>
          <w:sz w:val="24"/>
          <w:szCs w:val="24"/>
        </w:rPr>
        <w:t xml:space="preserve">On the basis of Model </w:t>
      </w:r>
      <m:oMath>
        <m:d>
          <m:dPr>
            <m:ctrlPr>
              <w:rPr>
                <w:rFonts w:ascii="Cambria Math" w:hAnsi="Cambria Math" w:cs="Times New Roman"/>
                <w:bCs/>
                <w:i/>
                <w:color w:val="000000"/>
                <w:kern w:val="0"/>
                <w:sz w:val="24"/>
                <w:szCs w:val="24"/>
              </w:rPr>
            </m:ctrlPr>
          </m:dPr>
          <m:e>
            <m:r>
              <w:rPr>
                <w:rFonts w:ascii="Cambria Math" w:hAnsi="Cambria Math" w:cs="Times New Roman"/>
                <w:color w:val="000000"/>
                <w:kern w:val="0"/>
                <w:sz w:val="24"/>
                <w:szCs w:val="24"/>
              </w:rPr>
              <m:t>1</m:t>
            </m:r>
          </m:e>
        </m:d>
      </m:oMath>
      <w:r>
        <w:rPr>
          <w:rFonts w:ascii="Times New Roman" w:hAnsi="Times New Roman" w:cs="Times New Roman" w:hint="eastAsia"/>
          <w:bCs/>
          <w:color w:val="000000"/>
          <w:kern w:val="0"/>
          <w:sz w:val="24"/>
          <w:szCs w:val="24"/>
        </w:rPr>
        <w:t>,</w:t>
      </w:r>
      <w:r>
        <w:rPr>
          <w:rFonts w:ascii="Times New Roman" w:hAnsi="Times New Roman" w:cs="Times New Roman"/>
          <w:bCs/>
          <w:color w:val="000000"/>
          <w:kern w:val="0"/>
          <w:sz w:val="24"/>
          <w:szCs w:val="24"/>
        </w:rPr>
        <w:t xml:space="preserve"> we add 3 virtual variables </w:t>
      </w:r>
      <m:oMath>
        <m:sSub>
          <m:sSubPr>
            <m:ctrlPr>
              <w:rPr>
                <w:rFonts w:ascii="Cambria Math" w:hAnsi="Cambria Math" w:cs="Times New Roman"/>
                <w:bCs/>
                <w:i/>
                <w:color w:val="000000"/>
                <w:kern w:val="0"/>
                <w:sz w:val="24"/>
                <w:szCs w:val="24"/>
              </w:rPr>
            </m:ctrlPr>
          </m:sSubPr>
          <m:e>
            <m:r>
              <w:rPr>
                <w:rFonts w:ascii="Cambria Math" w:hAnsi="Cambria Math" w:cs="Times New Roman"/>
                <w:color w:val="000000"/>
                <w:kern w:val="0"/>
                <w:sz w:val="24"/>
                <w:szCs w:val="24"/>
              </w:rPr>
              <m:t>T</m:t>
            </m:r>
          </m:e>
          <m:sub>
            <m:r>
              <w:rPr>
                <w:rFonts w:ascii="Cambria Math" w:hAnsi="Cambria Math" w:cs="Times New Roman"/>
                <w:color w:val="000000"/>
                <w:kern w:val="0"/>
                <w:sz w:val="24"/>
                <w:szCs w:val="24"/>
              </w:rPr>
              <m:t>1</m:t>
            </m:r>
          </m:sub>
        </m:sSub>
      </m:oMath>
      <w:r>
        <w:rPr>
          <w:rFonts w:ascii="Times New Roman" w:hAnsi="Times New Roman" w:cs="Times New Roman" w:hint="eastAsia"/>
          <w:bCs/>
          <w:color w:val="000000"/>
          <w:kern w:val="0"/>
          <w:sz w:val="24"/>
          <w:szCs w:val="24"/>
        </w:rPr>
        <w:t xml:space="preserve">, </w:t>
      </w:r>
      <m:oMath>
        <m:r>
          <w:rPr>
            <w:rFonts w:ascii="Cambria Math" w:hAnsi="Cambria Math" w:cs="Times New Roman"/>
            <w:color w:val="000000"/>
            <w:kern w:val="0"/>
            <w:sz w:val="24"/>
            <w:szCs w:val="24"/>
          </w:rPr>
          <m:t xml:space="preserve"> </m:t>
        </m:r>
        <m:sSub>
          <m:sSubPr>
            <m:ctrlPr>
              <w:rPr>
                <w:rFonts w:ascii="Cambria Math" w:hAnsi="Cambria Math" w:cs="Times New Roman"/>
                <w:bCs/>
                <w:i/>
                <w:color w:val="000000"/>
                <w:kern w:val="0"/>
                <w:sz w:val="24"/>
                <w:szCs w:val="24"/>
              </w:rPr>
            </m:ctrlPr>
          </m:sSubPr>
          <m:e>
            <m:r>
              <w:rPr>
                <w:rFonts w:ascii="Cambria Math" w:hAnsi="Cambria Math" w:cs="Times New Roman"/>
                <w:color w:val="000000"/>
                <w:kern w:val="0"/>
                <w:sz w:val="24"/>
                <w:szCs w:val="24"/>
              </w:rPr>
              <m:t>T</m:t>
            </m:r>
          </m:e>
          <m:sub>
            <m:r>
              <w:rPr>
                <w:rFonts w:ascii="Cambria Math" w:hAnsi="Cambria Math" w:cs="Times New Roman"/>
                <w:color w:val="000000"/>
                <w:kern w:val="0"/>
                <w:sz w:val="24"/>
                <w:szCs w:val="24"/>
              </w:rPr>
              <m:t>2</m:t>
            </m:r>
          </m:sub>
        </m:sSub>
      </m:oMath>
      <w:r>
        <w:rPr>
          <w:rFonts w:ascii="Times New Roman" w:hAnsi="Times New Roman" w:cs="Times New Roman"/>
          <w:bCs/>
          <w:color w:val="000000"/>
          <w:kern w:val="0"/>
          <w:sz w:val="24"/>
          <w:szCs w:val="24"/>
        </w:rPr>
        <w:t xml:space="preserve"> and</w:t>
      </w:r>
      <m:oMath>
        <m:r>
          <w:rPr>
            <w:rFonts w:ascii="Cambria Math" w:hAnsi="Cambria Math" w:cs="Times New Roman"/>
            <w:color w:val="000000"/>
            <w:kern w:val="0"/>
            <w:sz w:val="24"/>
            <w:szCs w:val="24"/>
          </w:rPr>
          <m:t xml:space="preserve"> </m:t>
        </m:r>
        <m:sSub>
          <m:sSubPr>
            <m:ctrlPr>
              <w:rPr>
                <w:rFonts w:ascii="Cambria Math" w:hAnsi="Cambria Math" w:cs="Times New Roman"/>
                <w:bCs/>
                <w:i/>
                <w:color w:val="000000"/>
                <w:kern w:val="0"/>
                <w:sz w:val="24"/>
                <w:szCs w:val="24"/>
              </w:rPr>
            </m:ctrlPr>
          </m:sSubPr>
          <m:e>
            <m:r>
              <w:rPr>
                <w:rFonts w:ascii="Cambria Math" w:hAnsi="Cambria Math" w:cs="Times New Roman"/>
                <w:color w:val="000000"/>
                <w:kern w:val="0"/>
                <w:sz w:val="24"/>
                <w:szCs w:val="24"/>
              </w:rPr>
              <m:t>T</m:t>
            </m:r>
          </m:e>
          <m:sub>
            <m:r>
              <w:rPr>
                <w:rFonts w:ascii="Cambria Math" w:hAnsi="Cambria Math" w:cs="Times New Roman"/>
                <w:color w:val="000000"/>
                <w:kern w:val="0"/>
                <w:sz w:val="24"/>
                <w:szCs w:val="24"/>
              </w:rPr>
              <m:t>3</m:t>
            </m:r>
          </m:sub>
        </m:sSub>
      </m:oMath>
      <w:r>
        <w:rPr>
          <w:rFonts w:ascii="Times New Roman" w:hAnsi="Times New Roman" w:cs="Times New Roman"/>
          <w:bCs/>
          <w:color w:val="000000"/>
          <w:kern w:val="0"/>
          <w:sz w:val="24"/>
          <w:szCs w:val="24"/>
        </w:rPr>
        <w:t xml:space="preserve"> into it to heterogeneity of the factor impact. Moreover, we notice that the </w:t>
      </w:r>
      <w:r w:rsidR="004C6EDF">
        <w:rPr>
          <w:rFonts w:ascii="Times New Roman" w:hAnsi="Times New Roman" w:cs="Times New Roman"/>
          <w:bCs/>
          <w:color w:val="000000"/>
          <w:kern w:val="0"/>
          <w:sz w:val="24"/>
          <w:szCs w:val="24"/>
        </w:rPr>
        <w:t>RCB</w:t>
      </w:r>
      <w:r>
        <w:rPr>
          <w:rFonts w:ascii="Times New Roman" w:hAnsi="Times New Roman" w:cs="Times New Roman"/>
          <w:bCs/>
          <w:color w:val="000000"/>
          <w:kern w:val="0"/>
          <w:sz w:val="24"/>
          <w:szCs w:val="24"/>
        </w:rPr>
        <w:t xml:space="preserve">s usually make less SPV investment than the one of the </w:t>
      </w:r>
      <w:r w:rsidR="004C6EDF">
        <w:rPr>
          <w:rFonts w:ascii="Times New Roman" w:hAnsi="Times New Roman" w:cs="Times New Roman"/>
          <w:bCs/>
          <w:color w:val="000000"/>
          <w:kern w:val="0"/>
          <w:sz w:val="24"/>
          <w:szCs w:val="24"/>
        </w:rPr>
        <w:t>CCBs</w:t>
      </w:r>
      <w:r>
        <w:rPr>
          <w:rFonts w:ascii="Times New Roman" w:hAnsi="Times New Roman" w:cs="Times New Roman"/>
          <w:bCs/>
          <w:color w:val="000000"/>
          <w:kern w:val="0"/>
          <w:sz w:val="24"/>
          <w:szCs w:val="24"/>
        </w:rPr>
        <w:t xml:space="preserve">, the </w:t>
      </w:r>
      <w:r w:rsidR="004C6EDF">
        <w:rPr>
          <w:rFonts w:ascii="Times New Roman" w:hAnsi="Times New Roman" w:cs="Times New Roman"/>
          <w:bCs/>
          <w:color w:val="000000"/>
          <w:kern w:val="0"/>
          <w:sz w:val="24"/>
          <w:szCs w:val="24"/>
        </w:rPr>
        <w:t>NJSCBs</w:t>
      </w:r>
      <w:r>
        <w:rPr>
          <w:rFonts w:ascii="Times New Roman" w:hAnsi="Times New Roman" w:cs="Times New Roman"/>
          <w:bCs/>
          <w:color w:val="000000"/>
          <w:kern w:val="0"/>
          <w:sz w:val="24"/>
          <w:szCs w:val="24"/>
        </w:rPr>
        <w:t xml:space="preserve">, as well as the </w:t>
      </w:r>
      <w:r w:rsidR="004C6EDF">
        <w:rPr>
          <w:rFonts w:ascii="Times New Roman" w:hAnsi="Times New Roman" w:cs="Times New Roman"/>
          <w:bCs/>
          <w:color w:val="000000"/>
          <w:kern w:val="0"/>
          <w:sz w:val="24"/>
          <w:szCs w:val="24"/>
        </w:rPr>
        <w:t>LCBs</w:t>
      </w:r>
      <w:r>
        <w:rPr>
          <w:rFonts w:ascii="Times New Roman" w:hAnsi="Times New Roman" w:cs="Times New Roman"/>
          <w:bCs/>
          <w:color w:val="000000"/>
          <w:kern w:val="0"/>
          <w:sz w:val="24"/>
          <w:szCs w:val="24"/>
        </w:rPr>
        <w:t xml:space="preserve">. We consequently take the </w:t>
      </w:r>
      <w:r w:rsidR="004C6EDF">
        <w:rPr>
          <w:rFonts w:ascii="Times New Roman" w:hAnsi="Times New Roman" w:cs="Times New Roman"/>
          <w:bCs/>
          <w:color w:val="000000"/>
          <w:kern w:val="0"/>
          <w:sz w:val="24"/>
          <w:szCs w:val="24"/>
        </w:rPr>
        <w:t>RCB</w:t>
      </w:r>
      <w:r>
        <w:rPr>
          <w:rFonts w:ascii="Times New Roman" w:hAnsi="Times New Roman" w:cs="Times New Roman"/>
          <w:bCs/>
          <w:color w:val="000000"/>
          <w:kern w:val="0"/>
          <w:sz w:val="24"/>
          <w:szCs w:val="24"/>
        </w:rPr>
        <w:t>s as the benchmark type, resulting in the values of virtual variables as follows.</w:t>
      </w:r>
    </w:p>
    <w:p w14:paraId="2F582640" w14:textId="30B092D6" w:rsidR="00295489" w:rsidRPr="00944327" w:rsidRDefault="004B50A1" w:rsidP="00D852B0">
      <w:pPr>
        <w:adjustRightInd w:val="0"/>
        <w:spacing w:line="360" w:lineRule="auto"/>
        <w:ind w:leftChars="100" w:left="210"/>
        <w:textAlignment w:val="baseline"/>
        <w:rPr>
          <w:rFonts w:ascii="Times New Roman" w:hAnsi="Times New Roman" w:cs="Times New Roman"/>
          <w:bCs/>
          <w:color w:val="000000"/>
          <w:kern w:val="0"/>
          <w:sz w:val="24"/>
          <w:szCs w:val="24"/>
        </w:rPr>
      </w:pPr>
      <m:oMathPara>
        <m:oMath>
          <m:d>
            <m:dPr>
              <m:begChr m:val="{"/>
              <m:endChr m:val=""/>
              <m:ctrlPr>
                <w:rPr>
                  <w:rFonts w:ascii="Cambria Math" w:hAnsi="Cambria Math" w:cs="Times New Roman"/>
                  <w:bCs/>
                  <w:i/>
                  <w:color w:val="000000"/>
                  <w:kern w:val="0"/>
                  <w:sz w:val="24"/>
                  <w:szCs w:val="24"/>
                </w:rPr>
              </m:ctrlPr>
            </m:dPr>
            <m:e>
              <m:m>
                <m:mPr>
                  <m:cGp m:val="8"/>
                  <m:mcs>
                    <m:mc>
                      <m:mcPr>
                        <m:count m:val="1"/>
                        <m:mcJc m:val="left"/>
                      </m:mcPr>
                    </m:mc>
                  </m:mcs>
                  <m:ctrlPr>
                    <w:rPr>
                      <w:rFonts w:ascii="Cambria Math" w:hAnsi="Cambria Math" w:cs="Times New Roman"/>
                      <w:bCs/>
                      <w:i/>
                      <w:color w:val="000000"/>
                      <w:kern w:val="0"/>
                      <w:sz w:val="24"/>
                      <w:szCs w:val="24"/>
                    </w:rPr>
                  </m:ctrlPr>
                </m:mPr>
                <m:mr>
                  <m:e>
                    <m:m>
                      <m:mPr>
                        <m:cGp m:val="8"/>
                        <m:mcs>
                          <m:mc>
                            <m:mcPr>
                              <m:count m:val="1"/>
                              <m:mcJc m:val="center"/>
                            </m:mcPr>
                          </m:mc>
                          <m:mc>
                            <m:mcPr>
                              <m:count m:val="1"/>
                              <m:mcJc m:val="right"/>
                            </m:mcPr>
                          </m:mc>
                          <m:mc>
                            <m:mcPr>
                              <m:count m:val="1"/>
                              <m:mcJc m:val="left"/>
                            </m:mcPr>
                          </m:mc>
                        </m:mcs>
                        <m:ctrlPr>
                          <w:rPr>
                            <w:rFonts w:ascii="Cambria Math" w:hAnsi="Cambria Math" w:cs="Times New Roman"/>
                            <w:bCs/>
                            <w:i/>
                            <w:color w:val="000000"/>
                            <w:kern w:val="0"/>
                            <w:sz w:val="24"/>
                            <w:szCs w:val="24"/>
                          </w:rPr>
                        </m:ctrlPr>
                      </m:mPr>
                      <m:mr>
                        <m:e>
                          <m:sSub>
                            <m:sSubPr>
                              <m:ctrlPr>
                                <w:rPr>
                                  <w:rFonts w:ascii="Cambria Math" w:hAnsi="Cambria Math" w:cs="Times New Roman"/>
                                  <w:bCs/>
                                  <w:i/>
                                  <w:color w:val="000000"/>
                                  <w:kern w:val="0"/>
                                  <w:sz w:val="24"/>
                                  <w:szCs w:val="24"/>
                                </w:rPr>
                              </m:ctrlPr>
                            </m:sSubPr>
                            <m:e>
                              <m:r>
                                <w:rPr>
                                  <w:rFonts w:ascii="Cambria Math" w:hAnsi="Cambria Math" w:cs="Times New Roman"/>
                                  <w:color w:val="000000"/>
                                  <w:kern w:val="0"/>
                                  <w:sz w:val="24"/>
                                  <w:szCs w:val="24"/>
                                </w:rPr>
                                <m:t>T</m:t>
                              </m:r>
                            </m:e>
                            <m:sub>
                              <m:r>
                                <w:rPr>
                                  <w:rFonts w:ascii="Cambria Math" w:hAnsi="Cambria Math" w:cs="Times New Roman"/>
                                  <w:color w:val="000000"/>
                                  <w:kern w:val="0"/>
                                  <w:sz w:val="24"/>
                                  <w:szCs w:val="24"/>
                                </w:rPr>
                                <m:t>1</m:t>
                              </m:r>
                            </m:sub>
                          </m:sSub>
                          <m:r>
                            <w:rPr>
                              <w:rFonts w:ascii="Cambria Math" w:hAnsi="Cambria Math" w:cs="Times New Roman"/>
                              <w:color w:val="000000"/>
                              <w:kern w:val="0"/>
                              <w:sz w:val="24"/>
                              <w:szCs w:val="24"/>
                            </w:rPr>
                            <m:t>=1</m:t>
                          </m:r>
                        </m:e>
                        <m:e>
                          <m:r>
                            <w:rPr>
                              <w:rFonts w:ascii="Cambria Math" w:hAnsi="Cambria Math" w:cs="Times New Roman"/>
                              <w:color w:val="000000"/>
                              <w:kern w:val="0"/>
                              <w:sz w:val="24"/>
                              <w:szCs w:val="24"/>
                            </w:rPr>
                            <m:t>if</m:t>
                          </m:r>
                        </m:e>
                        <m:e>
                          <m:r>
                            <w:rPr>
                              <w:rFonts w:ascii="Cambria Math" w:hAnsi="Cambria Math" w:cs="Times New Roman"/>
                              <w:color w:val="000000"/>
                              <w:kern w:val="0"/>
                              <w:sz w:val="24"/>
                              <w:szCs w:val="24"/>
                            </w:rPr>
                            <m:t>CCBs</m:t>
                          </m:r>
                        </m:e>
                      </m:mr>
                      <m:mr>
                        <m:e>
                          <w:bookmarkStart w:id="14" w:name="_Hlk37366409"/>
                          <m:sSub>
                            <m:sSubPr>
                              <m:ctrlPr>
                                <w:rPr>
                                  <w:rFonts w:ascii="Cambria Math" w:hAnsi="Cambria Math" w:cs="Times New Roman"/>
                                  <w:bCs/>
                                  <w:i/>
                                  <w:color w:val="000000"/>
                                  <w:kern w:val="0"/>
                                  <w:sz w:val="24"/>
                                  <w:szCs w:val="24"/>
                                </w:rPr>
                              </m:ctrlPr>
                            </m:sSubPr>
                            <m:e>
                              <m:r>
                                <w:rPr>
                                  <w:rFonts w:ascii="Cambria Math" w:hAnsi="Cambria Math" w:cs="Times New Roman"/>
                                  <w:color w:val="000000"/>
                                  <w:kern w:val="0"/>
                                  <w:sz w:val="24"/>
                                  <w:szCs w:val="24"/>
                                </w:rPr>
                                <m:t>T</m:t>
                              </m:r>
                            </m:e>
                            <m:sub>
                              <m:r>
                                <w:rPr>
                                  <w:rFonts w:ascii="Cambria Math" w:hAnsi="Cambria Math" w:cs="Times New Roman"/>
                                  <w:color w:val="000000"/>
                                  <w:kern w:val="0"/>
                                  <w:sz w:val="24"/>
                                  <w:szCs w:val="24"/>
                                </w:rPr>
                                <m:t>2</m:t>
                              </m:r>
                            </m:sub>
                          </m:sSub>
                          <m:r>
                            <w:rPr>
                              <w:rFonts w:ascii="Cambria Math" w:hAnsi="Cambria Math" w:cs="Times New Roman"/>
                              <w:color w:val="000000"/>
                              <w:kern w:val="0"/>
                              <w:sz w:val="24"/>
                              <w:szCs w:val="24"/>
                            </w:rPr>
                            <m:t>=1</m:t>
                          </m:r>
                          <w:bookmarkEnd w:id="14"/>
                        </m:e>
                        <m:e>
                          <m:r>
                            <w:rPr>
                              <w:rFonts w:ascii="Cambria Math" w:hAnsi="Cambria Math" w:cs="Times New Roman"/>
                              <w:color w:val="000000"/>
                              <w:kern w:val="0"/>
                              <w:sz w:val="24"/>
                              <w:szCs w:val="24"/>
                            </w:rPr>
                            <m:t>if</m:t>
                          </m:r>
                        </m:e>
                        <m:e>
                          <m:r>
                            <w:rPr>
                              <w:rFonts w:ascii="Cambria Math" w:hAnsi="Cambria Math" w:cs="Times New Roman"/>
                              <w:color w:val="000000"/>
                              <w:kern w:val="0"/>
                              <w:sz w:val="24"/>
                              <w:szCs w:val="24"/>
                            </w:rPr>
                            <m:t>NJSCBs</m:t>
                          </m:r>
                        </m:e>
                      </m:mr>
                    </m:m>
                  </m:e>
                </m:mr>
                <m:mr>
                  <m:e>
                    <m:m>
                      <m:mPr>
                        <m:cGp m:val="8"/>
                        <m:mcs>
                          <m:mc>
                            <m:mcPr>
                              <m:count m:val="1"/>
                              <m:mcJc m:val="left"/>
                            </m:mcPr>
                          </m:mc>
                          <m:mc>
                            <m:mcPr>
                              <m:count m:val="1"/>
                              <m:mcJc m:val="center"/>
                            </m:mcPr>
                          </m:mc>
                          <m:mc>
                            <m:mcPr>
                              <m:count m:val="1"/>
                              <m:mcJc m:val="left"/>
                            </m:mcPr>
                          </m:mc>
                        </m:mcs>
                        <m:ctrlPr>
                          <w:rPr>
                            <w:rFonts w:ascii="Cambria Math" w:hAnsi="Cambria Math" w:cs="Times New Roman"/>
                            <w:bCs/>
                            <w:i/>
                            <w:color w:val="000000"/>
                            <w:kern w:val="0"/>
                            <w:sz w:val="24"/>
                            <w:szCs w:val="24"/>
                          </w:rPr>
                        </m:ctrlPr>
                      </m:mPr>
                      <m:mr>
                        <m:e>
                          <m:sSub>
                            <m:sSubPr>
                              <m:ctrlPr>
                                <w:rPr>
                                  <w:rFonts w:ascii="Cambria Math" w:hAnsi="Cambria Math" w:cs="Times New Roman"/>
                                  <w:bCs/>
                                  <w:i/>
                                  <w:color w:val="000000"/>
                                  <w:kern w:val="0"/>
                                  <w:sz w:val="24"/>
                                  <w:szCs w:val="24"/>
                                </w:rPr>
                              </m:ctrlPr>
                            </m:sSubPr>
                            <m:e>
                              <m:r>
                                <w:rPr>
                                  <w:rFonts w:ascii="Cambria Math" w:hAnsi="Cambria Math" w:cs="Times New Roman"/>
                                  <w:color w:val="000000"/>
                                  <w:kern w:val="0"/>
                                  <w:sz w:val="24"/>
                                  <w:szCs w:val="24"/>
                                </w:rPr>
                                <m:t>T</m:t>
                              </m:r>
                            </m:e>
                            <m:sub>
                              <m:r>
                                <w:rPr>
                                  <w:rFonts w:ascii="Cambria Math" w:hAnsi="Cambria Math" w:cs="Times New Roman"/>
                                  <w:color w:val="000000"/>
                                  <w:kern w:val="0"/>
                                  <w:sz w:val="24"/>
                                  <w:szCs w:val="24"/>
                                </w:rPr>
                                <m:t>3</m:t>
                              </m:r>
                            </m:sub>
                          </m:sSub>
                          <m:r>
                            <w:rPr>
                              <w:rFonts w:ascii="Cambria Math" w:hAnsi="Cambria Math" w:cs="Times New Roman"/>
                              <w:color w:val="000000"/>
                              <w:kern w:val="0"/>
                              <w:sz w:val="24"/>
                              <w:szCs w:val="24"/>
                            </w:rPr>
                            <m:t>=1</m:t>
                          </m:r>
                        </m:e>
                        <m:e>
                          <m:r>
                            <w:rPr>
                              <w:rFonts w:ascii="Cambria Math" w:hAnsi="Cambria Math" w:cs="Times New Roman"/>
                              <w:color w:val="000000"/>
                              <w:kern w:val="0"/>
                              <w:sz w:val="24"/>
                              <w:szCs w:val="24"/>
                            </w:rPr>
                            <m:t>if</m:t>
                          </m:r>
                        </m:e>
                        <m:e>
                          <m:r>
                            <w:rPr>
                              <w:rFonts w:ascii="Cambria Math" w:hAnsi="Cambria Math" w:cs="Times New Roman"/>
                              <w:color w:val="000000"/>
                              <w:kern w:val="0"/>
                              <w:sz w:val="24"/>
                              <w:szCs w:val="24"/>
                            </w:rPr>
                            <m:t>LCBs</m:t>
                          </m:r>
                        </m:e>
                      </m:mr>
                      <m:mr>
                        <m:e>
                          <m:sSub>
                            <m:sSubPr>
                              <m:ctrlPr>
                                <w:rPr>
                                  <w:rFonts w:ascii="Cambria Math" w:hAnsi="Cambria Math" w:cs="Times New Roman"/>
                                  <w:bCs/>
                                  <w:i/>
                                  <w:color w:val="000000"/>
                                  <w:kern w:val="0"/>
                                  <w:sz w:val="24"/>
                                  <w:szCs w:val="24"/>
                                </w:rPr>
                              </m:ctrlPr>
                            </m:sSubPr>
                            <m:e>
                              <m:r>
                                <w:rPr>
                                  <w:rFonts w:ascii="Cambria Math" w:hAnsi="Cambria Math" w:cs="Times New Roman"/>
                                  <w:color w:val="000000"/>
                                  <w:kern w:val="0"/>
                                  <w:sz w:val="24"/>
                                  <w:szCs w:val="24"/>
                                </w:rPr>
                                <m:t>T</m:t>
                              </m:r>
                            </m:e>
                            <m:sub>
                              <m:r>
                                <w:rPr>
                                  <w:rFonts w:ascii="Cambria Math" w:hAnsi="Cambria Math" w:cs="Times New Roman"/>
                                  <w:color w:val="000000"/>
                                  <w:kern w:val="0"/>
                                  <w:sz w:val="24"/>
                                  <w:szCs w:val="24"/>
                                </w:rPr>
                                <m:t>i</m:t>
                              </m:r>
                            </m:sub>
                          </m:sSub>
                          <m:r>
                            <w:rPr>
                              <w:rFonts w:ascii="Cambria Math" w:hAnsi="Cambria Math" w:cs="Times New Roman"/>
                              <w:color w:val="000000"/>
                              <w:kern w:val="0"/>
                              <w:sz w:val="24"/>
                              <w:szCs w:val="24"/>
                            </w:rPr>
                            <m:t>=</m:t>
                          </m:r>
                          <m:r>
                            <w:rPr>
                              <w:rFonts w:ascii="Cambria Math" w:hAnsi="Cambria Math" w:cs="Times New Roman" w:hint="eastAsia"/>
                              <w:color w:val="000000"/>
                              <w:kern w:val="0"/>
                              <w:sz w:val="24"/>
                              <w:szCs w:val="24"/>
                            </w:rPr>
                            <m:t>0</m:t>
                          </m:r>
                        </m:e>
                        <m:e>
                          <m:r>
                            <w:rPr>
                              <w:rFonts w:ascii="Cambria Math" w:hAnsi="Cambria Math" w:cs="Times New Roman"/>
                              <w:color w:val="000000"/>
                              <w:kern w:val="0"/>
                              <w:sz w:val="24"/>
                              <w:szCs w:val="24"/>
                            </w:rPr>
                            <m:t>if</m:t>
                          </m:r>
                        </m:e>
                        <m:e>
                          <m:r>
                            <w:rPr>
                              <w:rFonts w:ascii="Cambria Math" w:hAnsi="Cambria Math" w:cs="Times New Roman"/>
                              <w:color w:val="000000"/>
                              <w:kern w:val="0"/>
                              <w:sz w:val="24"/>
                              <w:szCs w:val="24"/>
                            </w:rPr>
                            <m:t>RCBs (i=1,2,3)</m:t>
                          </m:r>
                        </m:e>
                      </m:mr>
                    </m:m>
                  </m:e>
                </m:mr>
              </m:m>
            </m:e>
          </m:d>
        </m:oMath>
      </m:oMathPara>
    </w:p>
    <w:p w14:paraId="52C956E9" w14:textId="3868D34A" w:rsidR="00944327" w:rsidRDefault="00944327" w:rsidP="00D852B0">
      <w:pPr>
        <w:adjustRightInd w:val="0"/>
        <w:spacing w:line="360" w:lineRule="auto"/>
        <w:ind w:leftChars="100" w:left="210"/>
        <w:textAlignment w:val="baseline"/>
        <w:rPr>
          <w:rFonts w:ascii="Times New Roman" w:hAnsi="Times New Roman" w:cs="Times New Roman"/>
          <w:bCs/>
          <w:color w:val="000000"/>
          <w:kern w:val="0"/>
          <w:sz w:val="24"/>
          <w:szCs w:val="24"/>
        </w:rPr>
      </w:pPr>
      <w:r>
        <w:rPr>
          <w:rFonts w:ascii="Times New Roman" w:hAnsi="Times New Roman" w:cs="Times New Roman"/>
          <w:bCs/>
          <w:color w:val="000000"/>
          <w:kern w:val="0"/>
          <w:sz w:val="24"/>
          <w:szCs w:val="24"/>
        </w:rPr>
        <w:t>And we have following 8 heterogeneous specification models:</w:t>
      </w:r>
    </w:p>
    <w:p w14:paraId="7459864D" w14:textId="2EADE85E" w:rsidR="00944327" w:rsidRPr="0039453C" w:rsidRDefault="004B50A1" w:rsidP="00944327">
      <w:pPr>
        <w:adjustRightInd w:val="0"/>
        <w:spacing w:line="360" w:lineRule="auto"/>
        <w:jc w:val="left"/>
        <w:textAlignment w:val="baseline"/>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m:rPr>
              <m:sty m:val="p"/>
            </m:rPr>
            <w:rPr>
              <w:rFonts w:ascii="Cambria Math" w:hAnsi="Cambria Math" w:cs="Times New Roman"/>
              <w:sz w:val="24"/>
              <w:szCs w:val="24"/>
            </w:rPr>
            <m:t>=c+α</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CAR</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sz w:val="24"/>
                  <w:szCs w:val="24"/>
                </w:rPr>
              </m:ctrlPr>
            </m:sSubPr>
            <m:e>
              <m:r>
                <w:rPr>
                  <w:rFonts w:ascii="Cambria Math" w:hAnsi="Cambria Math" w:cs="Times New Roman"/>
                  <w:sz w:val="24"/>
                  <w:szCs w:val="24"/>
                </w:rPr>
                <m:t>NPL</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NIM</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sz w:val="24"/>
                  <w:szCs w:val="24"/>
                </w:rPr>
              </m:ctrlPr>
            </m:sSubPr>
            <m:e>
              <m:r>
                <w:rPr>
                  <w:rFonts w:ascii="Cambria Math" w:hAnsi="Cambria Math" w:cs="Times New Roman"/>
                  <w:sz w:val="24"/>
                  <w:szCs w:val="24"/>
                </w:rPr>
                <m:t>LDR</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sz w:val="24"/>
                  <w:szCs w:val="24"/>
                </w:rPr>
              </m:ctrlPr>
            </m:sSubPr>
            <m:e>
              <m:r>
                <w:rPr>
                  <w:rFonts w:ascii="Cambria Math" w:hAnsi="Cambria Math" w:cs="Times New Roman"/>
                  <w:sz w:val="24"/>
                  <w:szCs w:val="24"/>
                </w:rPr>
                <m:t>LL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sz w:val="24"/>
                  <w:szCs w:val="24"/>
                </w:rPr>
              </m:ctrlPr>
            </m:sSubPr>
            <m:e>
              <m:r>
                <w:rPr>
                  <w:rFonts w:ascii="Cambria Math" w:hAnsi="Cambria Math" w:cs="Times New Roman"/>
                  <w:sz w:val="24"/>
                  <w:szCs w:val="24"/>
                </w:rPr>
                <m:t>CBL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sSub>
            <m:sSubPr>
              <m:ctrlPr>
                <w:rPr>
                  <w:rFonts w:ascii="Cambria Math" w:hAnsi="Cambria Math" w:cs="Times New Roman"/>
                  <w:sz w:val="24"/>
                  <w:szCs w:val="24"/>
                </w:rPr>
              </m:ctrlPr>
            </m:sSubPr>
            <m:e>
              <m:r>
                <w:rPr>
                  <w:rFonts w:ascii="Cambria Math" w:hAnsi="Cambria Math" w:cs="Times New Roman"/>
                  <w:sz w:val="24"/>
                  <w:szCs w:val="24"/>
                </w:rPr>
                <m:t>IA</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sSub>
            <m:sSubPr>
              <m:ctrlPr>
                <w:rPr>
                  <w:rFonts w:ascii="Cambria Math" w:hAnsi="Cambria Math" w:cs="Times New Roman"/>
                  <w:sz w:val="24"/>
                  <w:szCs w:val="24"/>
                </w:rPr>
              </m:ctrlPr>
            </m:sSubPr>
            <m:e>
              <m:r>
                <w:rPr>
                  <w:rFonts w:ascii="Cambria Math" w:hAnsi="Cambria Math" w:cs="Times New Roman"/>
                  <w:sz w:val="24"/>
                  <w:szCs w:val="24"/>
                </w:rPr>
                <m:t>LP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CAR</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i,t</m:t>
              </m:r>
            </m:sub>
          </m:sSub>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e>
              <m:e>
                <m:r>
                  <w:rPr>
                    <w:rFonts w:ascii="Cambria Math" w:hAnsi="Cambria Math" w:cs="Times New Roman"/>
                    <w:sz w:val="24"/>
                    <w:szCs w:val="24"/>
                  </w:rPr>
                  <m:t xml:space="preserve"> </m:t>
                </m:r>
              </m:e>
            </m:mr>
          </m:m>
          <m:r>
            <w:rPr>
              <w:rFonts w:ascii="Cambria Math" w:hAnsi="Cambria Math" w:cs="Times New Roman"/>
              <w:sz w:val="24"/>
              <w:szCs w:val="24"/>
            </w:rPr>
            <m:t xml:space="preserve">                    </m:t>
          </m:r>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2</m:t>
                    </m:r>
                  </m:e>
                </m:d>
              </m:e>
            </m:mr>
          </m:m>
        </m:oMath>
      </m:oMathPara>
    </w:p>
    <w:p w14:paraId="103BCDD4" w14:textId="42CA9C9B" w:rsidR="00944327" w:rsidRPr="0039453C" w:rsidRDefault="004B50A1" w:rsidP="00944327">
      <w:pPr>
        <w:adjustRightInd w:val="0"/>
        <w:spacing w:line="360" w:lineRule="auto"/>
        <w:jc w:val="left"/>
        <w:textAlignment w:val="baseline"/>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m:rPr>
              <m:sty m:val="p"/>
            </m:rPr>
            <w:rPr>
              <w:rFonts w:ascii="Cambria Math" w:hAnsi="Cambria Math" w:cs="Times New Roman"/>
              <w:sz w:val="24"/>
              <w:szCs w:val="24"/>
            </w:rPr>
            <m:t>=c+α</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CAR</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sz w:val="24"/>
                  <w:szCs w:val="24"/>
                </w:rPr>
              </m:ctrlPr>
            </m:sSubPr>
            <m:e>
              <m:r>
                <w:rPr>
                  <w:rFonts w:ascii="Cambria Math" w:hAnsi="Cambria Math" w:cs="Times New Roman"/>
                  <w:sz w:val="24"/>
                  <w:szCs w:val="24"/>
                </w:rPr>
                <m:t>NPL</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NIM</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sz w:val="24"/>
                  <w:szCs w:val="24"/>
                </w:rPr>
              </m:ctrlPr>
            </m:sSubPr>
            <m:e>
              <m:r>
                <w:rPr>
                  <w:rFonts w:ascii="Cambria Math" w:hAnsi="Cambria Math" w:cs="Times New Roman"/>
                  <w:sz w:val="24"/>
                  <w:szCs w:val="24"/>
                </w:rPr>
                <m:t>LDR</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sz w:val="24"/>
                  <w:szCs w:val="24"/>
                </w:rPr>
              </m:ctrlPr>
            </m:sSubPr>
            <m:e>
              <m:r>
                <w:rPr>
                  <w:rFonts w:ascii="Cambria Math" w:hAnsi="Cambria Math" w:cs="Times New Roman"/>
                  <w:sz w:val="24"/>
                  <w:szCs w:val="24"/>
                </w:rPr>
                <m:t>LL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sz w:val="24"/>
                  <w:szCs w:val="24"/>
                </w:rPr>
              </m:ctrlPr>
            </m:sSubPr>
            <m:e>
              <m:r>
                <w:rPr>
                  <w:rFonts w:ascii="Cambria Math" w:hAnsi="Cambria Math" w:cs="Times New Roman"/>
                  <w:sz w:val="24"/>
                  <w:szCs w:val="24"/>
                </w:rPr>
                <m:t>CBL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sSub>
            <m:sSubPr>
              <m:ctrlPr>
                <w:rPr>
                  <w:rFonts w:ascii="Cambria Math" w:hAnsi="Cambria Math" w:cs="Times New Roman"/>
                  <w:sz w:val="24"/>
                  <w:szCs w:val="24"/>
                </w:rPr>
              </m:ctrlPr>
            </m:sSubPr>
            <m:e>
              <m:r>
                <w:rPr>
                  <w:rFonts w:ascii="Cambria Math" w:hAnsi="Cambria Math" w:cs="Times New Roman"/>
                  <w:sz w:val="24"/>
                  <w:szCs w:val="24"/>
                </w:rPr>
                <m:t>IA</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sSub>
            <m:sSubPr>
              <m:ctrlPr>
                <w:rPr>
                  <w:rFonts w:ascii="Cambria Math" w:hAnsi="Cambria Math" w:cs="Times New Roman"/>
                  <w:sz w:val="24"/>
                  <w:szCs w:val="24"/>
                </w:rPr>
              </m:ctrlPr>
            </m:sSubPr>
            <m:e>
              <m:r>
                <w:rPr>
                  <w:rFonts w:ascii="Cambria Math" w:hAnsi="Cambria Math" w:cs="Times New Roman"/>
                  <w:sz w:val="24"/>
                  <w:szCs w:val="24"/>
                </w:rPr>
                <m:t>LP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NPL</m:t>
              </m:r>
            </m:e>
            <m:sub>
              <m:r>
                <w:rPr>
                  <w:rFonts w:ascii="Cambria Math" w:hAnsi="Cambria Math" w:cs="Times New Roman"/>
                  <w:sz w:val="24"/>
                  <w:szCs w:val="24"/>
                </w:rPr>
                <m:t>i.t-1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i,t</m:t>
              </m:r>
            </m:sub>
          </m:sSub>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e>
              <m:e>
                <m:r>
                  <w:rPr>
                    <w:rFonts w:ascii="Cambria Math" w:hAnsi="Cambria Math" w:cs="Times New Roman"/>
                    <w:sz w:val="24"/>
                    <w:szCs w:val="24"/>
                  </w:rPr>
                  <m:t xml:space="preserve"> </m:t>
                </m:r>
              </m:e>
            </m:mr>
          </m:m>
          <m:r>
            <w:rPr>
              <w:rFonts w:ascii="Cambria Math" w:hAnsi="Cambria Math" w:cs="Times New Roman"/>
              <w:sz w:val="24"/>
              <w:szCs w:val="24"/>
            </w:rPr>
            <m:t xml:space="preserve">                    </m:t>
          </m:r>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3</m:t>
                    </m:r>
                  </m:e>
                </m:d>
              </m:e>
            </m:mr>
          </m:m>
        </m:oMath>
      </m:oMathPara>
    </w:p>
    <w:p w14:paraId="61540545" w14:textId="01D8ABD0" w:rsidR="00944327" w:rsidRPr="0039453C" w:rsidRDefault="004B50A1" w:rsidP="00944327">
      <w:pPr>
        <w:adjustRightInd w:val="0"/>
        <w:spacing w:line="360" w:lineRule="auto"/>
        <w:jc w:val="left"/>
        <w:textAlignment w:val="baseline"/>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m:rPr>
              <m:sty m:val="p"/>
            </m:rPr>
            <w:rPr>
              <w:rFonts w:ascii="Cambria Math" w:hAnsi="Cambria Math" w:cs="Times New Roman"/>
              <w:sz w:val="24"/>
              <w:szCs w:val="24"/>
            </w:rPr>
            <m:t>=c+α</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CAR</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sz w:val="24"/>
                  <w:szCs w:val="24"/>
                </w:rPr>
              </m:ctrlPr>
            </m:sSubPr>
            <m:e>
              <m:r>
                <w:rPr>
                  <w:rFonts w:ascii="Cambria Math" w:hAnsi="Cambria Math" w:cs="Times New Roman"/>
                  <w:sz w:val="24"/>
                  <w:szCs w:val="24"/>
                </w:rPr>
                <m:t>NPL</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NIM</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sz w:val="24"/>
                  <w:szCs w:val="24"/>
                </w:rPr>
              </m:ctrlPr>
            </m:sSubPr>
            <m:e>
              <m:r>
                <w:rPr>
                  <w:rFonts w:ascii="Cambria Math" w:hAnsi="Cambria Math" w:cs="Times New Roman"/>
                  <w:sz w:val="24"/>
                  <w:szCs w:val="24"/>
                </w:rPr>
                <m:t>LDR</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sz w:val="24"/>
                  <w:szCs w:val="24"/>
                </w:rPr>
              </m:ctrlPr>
            </m:sSubPr>
            <m:e>
              <m:r>
                <w:rPr>
                  <w:rFonts w:ascii="Cambria Math" w:hAnsi="Cambria Math" w:cs="Times New Roman"/>
                  <w:sz w:val="24"/>
                  <w:szCs w:val="24"/>
                </w:rPr>
                <m:t>LL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sz w:val="24"/>
                  <w:szCs w:val="24"/>
                </w:rPr>
              </m:ctrlPr>
            </m:sSubPr>
            <m:e>
              <m:r>
                <w:rPr>
                  <w:rFonts w:ascii="Cambria Math" w:hAnsi="Cambria Math" w:cs="Times New Roman"/>
                  <w:sz w:val="24"/>
                  <w:szCs w:val="24"/>
                </w:rPr>
                <m:t>CBL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sSub>
            <m:sSubPr>
              <m:ctrlPr>
                <w:rPr>
                  <w:rFonts w:ascii="Cambria Math" w:hAnsi="Cambria Math" w:cs="Times New Roman"/>
                  <w:sz w:val="24"/>
                  <w:szCs w:val="24"/>
                </w:rPr>
              </m:ctrlPr>
            </m:sSubPr>
            <m:e>
              <m:r>
                <w:rPr>
                  <w:rFonts w:ascii="Cambria Math" w:hAnsi="Cambria Math" w:cs="Times New Roman"/>
                  <w:sz w:val="24"/>
                  <w:szCs w:val="24"/>
                </w:rPr>
                <m:t>IA</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sSub>
            <m:sSubPr>
              <m:ctrlPr>
                <w:rPr>
                  <w:rFonts w:ascii="Cambria Math" w:hAnsi="Cambria Math" w:cs="Times New Roman"/>
                  <w:sz w:val="24"/>
                  <w:szCs w:val="24"/>
                </w:rPr>
              </m:ctrlPr>
            </m:sSubPr>
            <m:e>
              <m:r>
                <w:rPr>
                  <w:rFonts w:ascii="Cambria Math" w:hAnsi="Cambria Math" w:cs="Times New Roman"/>
                  <w:sz w:val="24"/>
                  <w:szCs w:val="24"/>
                </w:rPr>
                <m:t>LP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NIM</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i,t</m:t>
              </m:r>
            </m:sub>
          </m:sSub>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e>
              <m:e>
                <m:r>
                  <w:rPr>
                    <w:rFonts w:ascii="Cambria Math" w:hAnsi="Cambria Math" w:cs="Times New Roman"/>
                    <w:sz w:val="24"/>
                    <w:szCs w:val="24"/>
                  </w:rPr>
                  <m:t xml:space="preserve"> </m:t>
                </m:r>
              </m:e>
            </m:mr>
          </m:m>
          <m:r>
            <w:rPr>
              <w:rFonts w:ascii="Cambria Math" w:hAnsi="Cambria Math" w:cs="Times New Roman"/>
              <w:sz w:val="24"/>
              <w:szCs w:val="24"/>
            </w:rPr>
            <m:t xml:space="preserve">                    </m:t>
          </m:r>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4</m:t>
                    </m:r>
                  </m:e>
                </m:d>
              </m:e>
            </m:mr>
          </m:m>
        </m:oMath>
      </m:oMathPara>
    </w:p>
    <w:p w14:paraId="6F5B1E4D" w14:textId="7B16D4F1" w:rsidR="00944327" w:rsidRPr="0039453C" w:rsidRDefault="004B50A1" w:rsidP="00944327">
      <w:pPr>
        <w:adjustRightInd w:val="0"/>
        <w:spacing w:line="360" w:lineRule="auto"/>
        <w:jc w:val="left"/>
        <w:textAlignment w:val="baseline"/>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m:rPr>
              <m:sty m:val="p"/>
            </m:rPr>
            <w:rPr>
              <w:rFonts w:ascii="Cambria Math" w:hAnsi="Cambria Math" w:cs="Times New Roman"/>
              <w:sz w:val="24"/>
              <w:szCs w:val="24"/>
            </w:rPr>
            <m:t>=c+α</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CAR</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sz w:val="24"/>
                  <w:szCs w:val="24"/>
                </w:rPr>
              </m:ctrlPr>
            </m:sSubPr>
            <m:e>
              <m:r>
                <w:rPr>
                  <w:rFonts w:ascii="Cambria Math" w:hAnsi="Cambria Math" w:cs="Times New Roman"/>
                  <w:sz w:val="24"/>
                  <w:szCs w:val="24"/>
                </w:rPr>
                <m:t>NPL</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NIM</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sz w:val="24"/>
                  <w:szCs w:val="24"/>
                </w:rPr>
              </m:ctrlPr>
            </m:sSubPr>
            <m:e>
              <m:r>
                <w:rPr>
                  <w:rFonts w:ascii="Cambria Math" w:hAnsi="Cambria Math" w:cs="Times New Roman"/>
                  <w:sz w:val="24"/>
                  <w:szCs w:val="24"/>
                </w:rPr>
                <m:t>LDR</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sz w:val="24"/>
                  <w:szCs w:val="24"/>
                </w:rPr>
              </m:ctrlPr>
            </m:sSubPr>
            <m:e>
              <m:r>
                <w:rPr>
                  <w:rFonts w:ascii="Cambria Math" w:hAnsi="Cambria Math" w:cs="Times New Roman"/>
                  <w:sz w:val="24"/>
                  <w:szCs w:val="24"/>
                </w:rPr>
                <m:t>LL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sz w:val="24"/>
                  <w:szCs w:val="24"/>
                </w:rPr>
              </m:ctrlPr>
            </m:sSubPr>
            <m:e>
              <m:r>
                <w:rPr>
                  <w:rFonts w:ascii="Cambria Math" w:hAnsi="Cambria Math" w:cs="Times New Roman"/>
                  <w:sz w:val="24"/>
                  <w:szCs w:val="24"/>
                </w:rPr>
                <m:t>CBL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sSub>
            <m:sSubPr>
              <m:ctrlPr>
                <w:rPr>
                  <w:rFonts w:ascii="Cambria Math" w:hAnsi="Cambria Math" w:cs="Times New Roman"/>
                  <w:sz w:val="24"/>
                  <w:szCs w:val="24"/>
                </w:rPr>
              </m:ctrlPr>
            </m:sSubPr>
            <m:e>
              <m:r>
                <w:rPr>
                  <w:rFonts w:ascii="Cambria Math" w:hAnsi="Cambria Math" w:cs="Times New Roman"/>
                  <w:sz w:val="24"/>
                  <w:szCs w:val="24"/>
                </w:rPr>
                <m:t>IA</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sSub>
            <m:sSubPr>
              <m:ctrlPr>
                <w:rPr>
                  <w:rFonts w:ascii="Cambria Math" w:hAnsi="Cambria Math" w:cs="Times New Roman"/>
                  <w:sz w:val="24"/>
                  <w:szCs w:val="24"/>
                </w:rPr>
              </m:ctrlPr>
            </m:sSubPr>
            <m:e>
              <m:r>
                <w:rPr>
                  <w:rFonts w:ascii="Cambria Math" w:hAnsi="Cambria Math" w:cs="Times New Roman"/>
                  <w:sz w:val="24"/>
                  <w:szCs w:val="24"/>
                </w:rPr>
                <m:t>LP</m:t>
              </m:r>
            </m:e>
            <m:sub>
              <m:r>
                <w:rPr>
                  <w:rFonts w:ascii="Cambria Math" w:hAnsi="Cambria Math" w:cs="Times New Roman"/>
                  <w:sz w:val="24"/>
                  <w:szCs w:val="24"/>
                </w:rPr>
                <m:t>t</m:t>
              </m:r>
            </m:sub>
          </m:sSub>
          <w:bookmarkStart w:id="15" w:name="_Hlk37367472"/>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LDR</m:t>
              </m:r>
            </m:e>
            <m:sub>
              <m:r>
                <w:rPr>
                  <w:rFonts w:ascii="Cambria Math" w:hAnsi="Cambria Math" w:cs="Times New Roman"/>
                  <w:sz w:val="24"/>
                  <w:szCs w:val="24"/>
                </w:rPr>
                <m:t>i.t</m:t>
              </m:r>
            </m:sub>
          </m:sSub>
          <w:bookmarkEnd w:id="15"/>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i,t</m:t>
              </m:r>
            </m:sub>
          </m:sSub>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e>
              <m:e>
                <m:r>
                  <w:rPr>
                    <w:rFonts w:ascii="Cambria Math" w:hAnsi="Cambria Math" w:cs="Times New Roman"/>
                    <w:sz w:val="24"/>
                    <w:szCs w:val="24"/>
                  </w:rPr>
                  <m:t xml:space="preserve"> </m:t>
                </m:r>
              </m:e>
            </m:mr>
          </m:m>
          <m:r>
            <w:rPr>
              <w:rFonts w:ascii="Cambria Math" w:hAnsi="Cambria Math" w:cs="Times New Roman"/>
              <w:sz w:val="24"/>
              <w:szCs w:val="24"/>
            </w:rPr>
            <m:t xml:space="preserve">                    </m:t>
          </m:r>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5</m:t>
                    </m:r>
                  </m:e>
                </m:d>
              </m:e>
            </m:mr>
          </m:m>
        </m:oMath>
      </m:oMathPara>
    </w:p>
    <w:p w14:paraId="15A661F1" w14:textId="35F415EA" w:rsidR="00944327" w:rsidRPr="0039453C" w:rsidRDefault="004B50A1" w:rsidP="00944327">
      <w:pPr>
        <w:adjustRightInd w:val="0"/>
        <w:spacing w:line="360" w:lineRule="auto"/>
        <w:jc w:val="left"/>
        <w:textAlignment w:val="baseline"/>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m:rPr>
              <m:sty m:val="p"/>
            </m:rPr>
            <w:rPr>
              <w:rFonts w:ascii="Cambria Math" w:hAnsi="Cambria Math" w:cs="Times New Roman"/>
              <w:sz w:val="24"/>
              <w:szCs w:val="24"/>
            </w:rPr>
            <m:t>=c+α</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CAR</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sz w:val="24"/>
                  <w:szCs w:val="24"/>
                </w:rPr>
              </m:ctrlPr>
            </m:sSubPr>
            <m:e>
              <m:r>
                <w:rPr>
                  <w:rFonts w:ascii="Cambria Math" w:hAnsi="Cambria Math" w:cs="Times New Roman"/>
                  <w:sz w:val="24"/>
                  <w:szCs w:val="24"/>
                </w:rPr>
                <m:t>NPL</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NIM</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sz w:val="24"/>
                  <w:szCs w:val="24"/>
                </w:rPr>
              </m:ctrlPr>
            </m:sSubPr>
            <m:e>
              <m:r>
                <w:rPr>
                  <w:rFonts w:ascii="Cambria Math" w:hAnsi="Cambria Math" w:cs="Times New Roman"/>
                  <w:sz w:val="24"/>
                  <w:szCs w:val="24"/>
                </w:rPr>
                <m:t>LDR</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sz w:val="24"/>
                  <w:szCs w:val="24"/>
                </w:rPr>
              </m:ctrlPr>
            </m:sSubPr>
            <m:e>
              <m:r>
                <w:rPr>
                  <w:rFonts w:ascii="Cambria Math" w:hAnsi="Cambria Math" w:cs="Times New Roman"/>
                  <w:sz w:val="24"/>
                  <w:szCs w:val="24"/>
                </w:rPr>
                <m:t>LL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sz w:val="24"/>
                  <w:szCs w:val="24"/>
                </w:rPr>
              </m:ctrlPr>
            </m:sSubPr>
            <m:e>
              <m:r>
                <w:rPr>
                  <w:rFonts w:ascii="Cambria Math" w:hAnsi="Cambria Math" w:cs="Times New Roman"/>
                  <w:sz w:val="24"/>
                  <w:szCs w:val="24"/>
                </w:rPr>
                <m:t>CBL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sSub>
            <m:sSubPr>
              <m:ctrlPr>
                <w:rPr>
                  <w:rFonts w:ascii="Cambria Math" w:hAnsi="Cambria Math" w:cs="Times New Roman"/>
                  <w:sz w:val="24"/>
                  <w:szCs w:val="24"/>
                </w:rPr>
              </m:ctrlPr>
            </m:sSubPr>
            <m:e>
              <m:r>
                <w:rPr>
                  <w:rFonts w:ascii="Cambria Math" w:hAnsi="Cambria Math" w:cs="Times New Roman"/>
                  <w:sz w:val="24"/>
                  <w:szCs w:val="24"/>
                </w:rPr>
                <m:t>IA</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sSub>
            <m:sSubPr>
              <m:ctrlPr>
                <w:rPr>
                  <w:rFonts w:ascii="Cambria Math" w:hAnsi="Cambria Math" w:cs="Times New Roman"/>
                  <w:sz w:val="24"/>
                  <w:szCs w:val="24"/>
                </w:rPr>
              </m:ctrlPr>
            </m:sSubPr>
            <m:e>
              <m:r>
                <w:rPr>
                  <w:rFonts w:ascii="Cambria Math" w:hAnsi="Cambria Math" w:cs="Times New Roman"/>
                  <w:sz w:val="24"/>
                  <w:szCs w:val="24"/>
                </w:rPr>
                <m:t>LP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LL</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i,t</m:t>
              </m:r>
            </m:sub>
          </m:sSub>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e>
              <m:e>
                <m:r>
                  <w:rPr>
                    <w:rFonts w:ascii="Cambria Math" w:hAnsi="Cambria Math" w:cs="Times New Roman"/>
                    <w:sz w:val="24"/>
                    <w:szCs w:val="24"/>
                  </w:rPr>
                  <m:t xml:space="preserve"> </m:t>
                </m:r>
              </m:e>
            </m:mr>
          </m:m>
          <m:r>
            <w:rPr>
              <w:rFonts w:ascii="Cambria Math" w:hAnsi="Cambria Math" w:cs="Times New Roman"/>
              <w:sz w:val="24"/>
              <w:szCs w:val="24"/>
            </w:rPr>
            <m:t xml:space="preserve">                    </m:t>
          </m:r>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6</m:t>
                    </m:r>
                  </m:e>
                </m:d>
              </m:e>
            </m:mr>
          </m:m>
        </m:oMath>
      </m:oMathPara>
    </w:p>
    <w:p w14:paraId="2B0818AB" w14:textId="6FF98F4A" w:rsidR="00944327" w:rsidRPr="0039453C" w:rsidRDefault="004B50A1" w:rsidP="00944327">
      <w:pPr>
        <w:adjustRightInd w:val="0"/>
        <w:spacing w:line="360" w:lineRule="auto"/>
        <w:jc w:val="left"/>
        <w:textAlignment w:val="baseline"/>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m:rPr>
              <m:sty m:val="p"/>
            </m:rPr>
            <w:rPr>
              <w:rFonts w:ascii="Cambria Math" w:hAnsi="Cambria Math" w:cs="Times New Roman"/>
              <w:sz w:val="24"/>
              <w:szCs w:val="24"/>
            </w:rPr>
            <m:t>=c+α</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CAR</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sz w:val="24"/>
                  <w:szCs w:val="24"/>
                </w:rPr>
              </m:ctrlPr>
            </m:sSubPr>
            <m:e>
              <m:r>
                <w:rPr>
                  <w:rFonts w:ascii="Cambria Math" w:hAnsi="Cambria Math" w:cs="Times New Roman"/>
                  <w:sz w:val="24"/>
                  <w:szCs w:val="24"/>
                </w:rPr>
                <m:t>NPL</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NIM</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sz w:val="24"/>
                  <w:szCs w:val="24"/>
                </w:rPr>
              </m:ctrlPr>
            </m:sSubPr>
            <m:e>
              <m:r>
                <w:rPr>
                  <w:rFonts w:ascii="Cambria Math" w:hAnsi="Cambria Math" w:cs="Times New Roman"/>
                  <w:sz w:val="24"/>
                  <w:szCs w:val="24"/>
                </w:rPr>
                <m:t>LDR</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sz w:val="24"/>
                  <w:szCs w:val="24"/>
                </w:rPr>
              </m:ctrlPr>
            </m:sSubPr>
            <m:e>
              <m:r>
                <w:rPr>
                  <w:rFonts w:ascii="Cambria Math" w:hAnsi="Cambria Math" w:cs="Times New Roman"/>
                  <w:sz w:val="24"/>
                  <w:szCs w:val="24"/>
                </w:rPr>
                <m:t>LL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sz w:val="24"/>
                  <w:szCs w:val="24"/>
                </w:rPr>
              </m:ctrlPr>
            </m:sSubPr>
            <m:e>
              <m:r>
                <w:rPr>
                  <w:rFonts w:ascii="Cambria Math" w:hAnsi="Cambria Math" w:cs="Times New Roman"/>
                  <w:sz w:val="24"/>
                  <w:szCs w:val="24"/>
                </w:rPr>
                <m:t>CBL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sSub>
            <m:sSubPr>
              <m:ctrlPr>
                <w:rPr>
                  <w:rFonts w:ascii="Cambria Math" w:hAnsi="Cambria Math" w:cs="Times New Roman"/>
                  <w:sz w:val="24"/>
                  <w:szCs w:val="24"/>
                </w:rPr>
              </m:ctrlPr>
            </m:sSubPr>
            <m:e>
              <m:r>
                <w:rPr>
                  <w:rFonts w:ascii="Cambria Math" w:hAnsi="Cambria Math" w:cs="Times New Roman"/>
                  <w:sz w:val="24"/>
                  <w:szCs w:val="24"/>
                </w:rPr>
                <m:t>IA</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sSub>
            <m:sSubPr>
              <m:ctrlPr>
                <w:rPr>
                  <w:rFonts w:ascii="Cambria Math" w:hAnsi="Cambria Math" w:cs="Times New Roman"/>
                  <w:sz w:val="24"/>
                  <w:szCs w:val="24"/>
                </w:rPr>
              </m:ctrlPr>
            </m:sSubPr>
            <m:e>
              <m:r>
                <w:rPr>
                  <w:rFonts w:ascii="Cambria Math" w:hAnsi="Cambria Math" w:cs="Times New Roman"/>
                  <w:sz w:val="24"/>
                  <w:szCs w:val="24"/>
                </w:rPr>
                <m:t>LP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CBL</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i,t</m:t>
              </m:r>
            </m:sub>
          </m:sSub>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e>
              <m:e>
                <m:r>
                  <w:rPr>
                    <w:rFonts w:ascii="Cambria Math" w:hAnsi="Cambria Math" w:cs="Times New Roman"/>
                    <w:sz w:val="24"/>
                    <w:szCs w:val="24"/>
                  </w:rPr>
                  <m:t xml:space="preserve"> </m:t>
                </m:r>
              </m:e>
            </m:mr>
          </m:m>
          <m:r>
            <w:rPr>
              <w:rFonts w:ascii="Cambria Math" w:hAnsi="Cambria Math" w:cs="Times New Roman"/>
              <w:sz w:val="24"/>
              <w:szCs w:val="24"/>
            </w:rPr>
            <m:t xml:space="preserve">                    </m:t>
          </m:r>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7</m:t>
                    </m:r>
                  </m:e>
                </m:d>
              </m:e>
            </m:mr>
          </m:m>
        </m:oMath>
      </m:oMathPara>
    </w:p>
    <w:p w14:paraId="70A721D9" w14:textId="53FB0F8E" w:rsidR="00944327" w:rsidRPr="0039453C" w:rsidRDefault="004B50A1" w:rsidP="00944327">
      <w:pPr>
        <w:adjustRightInd w:val="0"/>
        <w:spacing w:line="360" w:lineRule="auto"/>
        <w:jc w:val="left"/>
        <w:textAlignment w:val="baseline"/>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m:rPr>
              <m:sty m:val="p"/>
            </m:rPr>
            <w:rPr>
              <w:rFonts w:ascii="Cambria Math" w:hAnsi="Cambria Math" w:cs="Times New Roman"/>
              <w:sz w:val="24"/>
              <w:szCs w:val="24"/>
            </w:rPr>
            <m:t>=c+α</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CAR</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sz w:val="24"/>
                  <w:szCs w:val="24"/>
                </w:rPr>
              </m:ctrlPr>
            </m:sSubPr>
            <m:e>
              <m:r>
                <w:rPr>
                  <w:rFonts w:ascii="Cambria Math" w:hAnsi="Cambria Math" w:cs="Times New Roman"/>
                  <w:sz w:val="24"/>
                  <w:szCs w:val="24"/>
                </w:rPr>
                <m:t>NPL</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NIM</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sz w:val="24"/>
                  <w:szCs w:val="24"/>
                </w:rPr>
              </m:ctrlPr>
            </m:sSubPr>
            <m:e>
              <m:r>
                <w:rPr>
                  <w:rFonts w:ascii="Cambria Math" w:hAnsi="Cambria Math" w:cs="Times New Roman"/>
                  <w:sz w:val="24"/>
                  <w:szCs w:val="24"/>
                </w:rPr>
                <m:t>LDR</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sz w:val="24"/>
                  <w:szCs w:val="24"/>
                </w:rPr>
              </m:ctrlPr>
            </m:sSubPr>
            <m:e>
              <m:r>
                <w:rPr>
                  <w:rFonts w:ascii="Cambria Math" w:hAnsi="Cambria Math" w:cs="Times New Roman"/>
                  <w:sz w:val="24"/>
                  <w:szCs w:val="24"/>
                </w:rPr>
                <m:t>LL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sz w:val="24"/>
                  <w:szCs w:val="24"/>
                </w:rPr>
              </m:ctrlPr>
            </m:sSubPr>
            <m:e>
              <m:r>
                <w:rPr>
                  <w:rFonts w:ascii="Cambria Math" w:hAnsi="Cambria Math" w:cs="Times New Roman"/>
                  <w:sz w:val="24"/>
                  <w:szCs w:val="24"/>
                </w:rPr>
                <m:t>CBL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sSub>
            <m:sSubPr>
              <m:ctrlPr>
                <w:rPr>
                  <w:rFonts w:ascii="Cambria Math" w:hAnsi="Cambria Math" w:cs="Times New Roman"/>
                  <w:sz w:val="24"/>
                  <w:szCs w:val="24"/>
                </w:rPr>
              </m:ctrlPr>
            </m:sSubPr>
            <m:e>
              <m:r>
                <w:rPr>
                  <w:rFonts w:ascii="Cambria Math" w:hAnsi="Cambria Math" w:cs="Times New Roman"/>
                  <w:sz w:val="24"/>
                  <w:szCs w:val="24"/>
                </w:rPr>
                <m:t>IA</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sSub>
            <m:sSubPr>
              <m:ctrlPr>
                <w:rPr>
                  <w:rFonts w:ascii="Cambria Math" w:hAnsi="Cambria Math" w:cs="Times New Roman"/>
                  <w:sz w:val="24"/>
                  <w:szCs w:val="24"/>
                </w:rPr>
              </m:ctrlPr>
            </m:sSubPr>
            <m:e>
              <m:r>
                <w:rPr>
                  <w:rFonts w:ascii="Cambria Math" w:hAnsi="Cambria Math" w:cs="Times New Roman"/>
                  <w:sz w:val="24"/>
                  <w:szCs w:val="24"/>
                </w:rPr>
                <m:t>LP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IA</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i,t</m:t>
              </m:r>
            </m:sub>
          </m:sSub>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e>
              <m:e>
                <m:r>
                  <w:rPr>
                    <w:rFonts w:ascii="Cambria Math" w:hAnsi="Cambria Math" w:cs="Times New Roman"/>
                    <w:sz w:val="24"/>
                    <w:szCs w:val="24"/>
                  </w:rPr>
                  <m:t xml:space="preserve"> </m:t>
                </m:r>
              </m:e>
            </m:mr>
          </m:m>
          <m:r>
            <w:rPr>
              <w:rFonts w:ascii="Cambria Math" w:hAnsi="Cambria Math" w:cs="Times New Roman"/>
              <w:sz w:val="24"/>
              <w:szCs w:val="24"/>
            </w:rPr>
            <m:t xml:space="preserve">                    </m:t>
          </m:r>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8</m:t>
                    </m:r>
                  </m:e>
                </m:d>
              </m:e>
            </m:mr>
          </m:m>
        </m:oMath>
      </m:oMathPara>
    </w:p>
    <w:p w14:paraId="56CA77D8" w14:textId="61909639" w:rsidR="00944327" w:rsidRPr="0039453C" w:rsidRDefault="004B50A1" w:rsidP="00944327">
      <w:pPr>
        <w:adjustRightInd w:val="0"/>
        <w:spacing w:line="360" w:lineRule="auto"/>
        <w:jc w:val="left"/>
        <w:textAlignment w:val="baseline"/>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m:rPr>
              <m:sty m:val="p"/>
            </m:rPr>
            <w:rPr>
              <w:rFonts w:ascii="Cambria Math" w:hAnsi="Cambria Math" w:cs="Times New Roman"/>
              <w:sz w:val="24"/>
              <w:szCs w:val="24"/>
            </w:rPr>
            <m:t>=c+α</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sz w:val="24"/>
                  <w:szCs w:val="24"/>
                </w:rPr>
              </m:ctrlPr>
            </m:sSubPr>
            <m:e>
              <m:r>
                <w:rPr>
                  <w:rFonts w:ascii="Cambria Math" w:hAnsi="Cambria Math" w:cs="Times New Roman"/>
                  <w:sz w:val="24"/>
                  <w:szCs w:val="24"/>
                </w:rPr>
                <m:t>CAR</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sz w:val="24"/>
                  <w:szCs w:val="24"/>
                </w:rPr>
              </m:ctrlPr>
            </m:sSubPr>
            <m:e>
              <m:r>
                <w:rPr>
                  <w:rFonts w:ascii="Cambria Math" w:hAnsi="Cambria Math" w:cs="Times New Roman"/>
                  <w:sz w:val="24"/>
                  <w:szCs w:val="24"/>
                </w:rPr>
                <m:t>NPL</m:t>
              </m:r>
            </m:e>
            <m:sub>
              <m:r>
                <w:rPr>
                  <w:rFonts w:ascii="Cambria Math" w:hAnsi="Cambria Math" w:cs="Times New Roman"/>
                  <w:sz w:val="24"/>
                  <w:szCs w:val="24"/>
                </w:rPr>
                <m:t>i.t-1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Δ</m:t>
              </m:r>
              <m:r>
                <w:rPr>
                  <w:rFonts w:ascii="Cambria Math" w:hAnsi="Cambria Math" w:cs="Times New Roman"/>
                  <w:sz w:val="24"/>
                  <w:szCs w:val="24"/>
                </w:rPr>
                <m:t>NIM</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sz w:val="24"/>
                  <w:szCs w:val="24"/>
                </w:rPr>
              </m:ctrlPr>
            </m:sSubPr>
            <m:e>
              <m:r>
                <w:rPr>
                  <w:rFonts w:ascii="Cambria Math" w:hAnsi="Cambria Math" w:cs="Times New Roman"/>
                  <w:sz w:val="24"/>
                  <w:szCs w:val="24"/>
                </w:rPr>
                <m:t>LDR</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sz w:val="24"/>
                  <w:szCs w:val="24"/>
                </w:rPr>
              </m:ctrlPr>
            </m:sSubPr>
            <m:e>
              <m:r>
                <w:rPr>
                  <w:rFonts w:ascii="Cambria Math" w:hAnsi="Cambria Math" w:cs="Times New Roman"/>
                  <w:sz w:val="24"/>
                  <w:szCs w:val="24"/>
                </w:rPr>
                <m:t>LL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sSub>
            <m:sSubPr>
              <m:ctrlPr>
                <w:rPr>
                  <w:rFonts w:ascii="Cambria Math" w:hAnsi="Cambria Math" w:cs="Times New Roman"/>
                  <w:sz w:val="24"/>
                  <w:szCs w:val="24"/>
                </w:rPr>
              </m:ctrlPr>
            </m:sSubPr>
            <m:e>
              <m:r>
                <w:rPr>
                  <w:rFonts w:ascii="Cambria Math" w:hAnsi="Cambria Math" w:cs="Times New Roman"/>
                  <w:sz w:val="24"/>
                  <w:szCs w:val="24"/>
                </w:rPr>
                <m:t>CBL</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sSub>
            <m:sSubPr>
              <m:ctrlPr>
                <w:rPr>
                  <w:rFonts w:ascii="Cambria Math" w:hAnsi="Cambria Math" w:cs="Times New Roman"/>
                  <w:sz w:val="24"/>
                  <w:szCs w:val="24"/>
                </w:rPr>
              </m:ctrlPr>
            </m:sSubPr>
            <m:e>
              <m:r>
                <w:rPr>
                  <w:rFonts w:ascii="Cambria Math" w:hAnsi="Cambria Math" w:cs="Times New Roman"/>
                  <w:sz w:val="24"/>
                  <w:szCs w:val="24"/>
                </w:rPr>
                <m:t>IA</m:t>
              </m:r>
            </m:e>
            <m:sub>
              <m: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w:bookmarkStart w:id="16" w:name="OLE_LINK3"/>
          <m:sSub>
            <m:sSubPr>
              <m:ctrlPr>
                <w:rPr>
                  <w:rFonts w:ascii="Cambria Math" w:hAnsi="Cambria Math" w:cs="Times New Roman"/>
                  <w:sz w:val="24"/>
                  <w:szCs w:val="24"/>
                </w:rPr>
              </m:ctrlPr>
            </m:sSubPr>
            <m:e>
              <m:r>
                <w:rPr>
                  <w:rFonts w:ascii="Cambria Math" w:hAnsi="Cambria Math" w:cs="Times New Roman"/>
                  <w:sz w:val="24"/>
                  <w:szCs w:val="24"/>
                </w:rPr>
                <m:t>LP</m:t>
              </m:r>
            </m:e>
            <m:sub>
              <m:r>
                <w:rPr>
                  <w:rFonts w:ascii="Cambria Math" w:hAnsi="Cambria Math" w:cs="Times New Roman"/>
                  <w:sz w:val="24"/>
                  <w:szCs w:val="24"/>
                </w:rPr>
                <m:t>t</m:t>
              </m:r>
            </m:sub>
          </m:sSub>
          <w:bookmarkEnd w:id="16"/>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9</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10</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11</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LP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i,t</m:t>
              </m:r>
            </m:sub>
          </m:sSub>
          <m:m>
            <m:mPr>
              <m:mcs>
                <m:mc>
                  <m:mcPr>
                    <m:count m:val="3"/>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e>
              <m:e>
                <m:r>
                  <w:rPr>
                    <w:rFonts w:ascii="Cambria Math" w:hAnsi="Cambria Math" w:cs="Times New Roman"/>
                    <w:sz w:val="24"/>
                    <w:szCs w:val="24"/>
                  </w:rPr>
                  <m:t xml:space="preserve"> </m:t>
                </m:r>
              </m:e>
            </m:mr>
          </m:m>
          <m:r>
            <w:rPr>
              <w:rFonts w:ascii="Cambria Math" w:hAnsi="Cambria Math" w:cs="Times New Roman"/>
              <w:sz w:val="24"/>
              <w:szCs w:val="24"/>
            </w:rPr>
            <m:t xml:space="preserve">                    </m:t>
          </m:r>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 xml:space="preserve"> </m:t>
                </m:r>
              </m:e>
              <m:e>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9</m:t>
                    </m:r>
                  </m:e>
                </m:d>
              </m:e>
            </m:mr>
          </m:m>
        </m:oMath>
      </m:oMathPara>
    </w:p>
    <w:p w14:paraId="3D116DC4" w14:textId="77777777" w:rsidR="00562F61" w:rsidRDefault="00562F61" w:rsidP="009651B4">
      <w:pPr>
        <w:adjustRightInd w:val="0"/>
        <w:spacing w:line="360" w:lineRule="auto"/>
        <w:textAlignment w:val="baseline"/>
        <w:rPr>
          <w:rFonts w:ascii="Times New Roman" w:hAnsi="Times New Roman" w:cs="Times New Roman"/>
          <w:bCs/>
          <w:color w:val="000000"/>
          <w:kern w:val="0"/>
          <w:sz w:val="24"/>
          <w:szCs w:val="24"/>
        </w:rPr>
      </w:pPr>
    </w:p>
    <w:p w14:paraId="2ACFCCB4" w14:textId="7BDF26A6" w:rsidR="009651B4" w:rsidRPr="009651B4" w:rsidRDefault="009651B4" w:rsidP="009651B4">
      <w:pPr>
        <w:pStyle w:val="a3"/>
        <w:spacing w:line="360" w:lineRule="auto"/>
        <w:rPr>
          <w:rFonts w:ascii="Times New Roman" w:hAnsi="Times New Roman" w:cs="Times New Roman"/>
          <w:bCs/>
          <w:color w:val="000000"/>
          <w:kern w:val="0"/>
          <w:sz w:val="24"/>
          <w:szCs w:val="24"/>
        </w:rPr>
      </w:pPr>
      <w:r>
        <w:rPr>
          <w:rFonts w:ascii="Times New Roman" w:hAnsi="Times New Roman" w:cs="Times New Roman" w:hint="eastAsia"/>
          <w:bCs/>
          <w:color w:val="000000"/>
          <w:kern w:val="0"/>
          <w:sz w:val="24"/>
          <w:szCs w:val="24"/>
        </w:rPr>
        <w:t>T</w:t>
      </w:r>
      <w:r>
        <w:rPr>
          <w:rFonts w:ascii="Times New Roman" w:hAnsi="Times New Roman" w:cs="Times New Roman"/>
          <w:bCs/>
          <w:color w:val="000000"/>
          <w:kern w:val="0"/>
          <w:sz w:val="24"/>
          <w:szCs w:val="24"/>
        </w:rPr>
        <w:t>he GMM estimation for model (2) to (9) is in table 5. Table 6 shows t</w:t>
      </w:r>
      <w:r w:rsidRPr="009651B4">
        <w:rPr>
          <w:rFonts w:ascii="Times New Roman" w:hAnsi="Times New Roman" w:cs="Times New Roman"/>
          <w:bCs/>
          <w:color w:val="000000"/>
          <w:kern w:val="0"/>
          <w:sz w:val="24"/>
          <w:szCs w:val="24"/>
        </w:rPr>
        <w:t>he instruments variables are effective</w:t>
      </w:r>
      <w:r>
        <w:rPr>
          <w:rStyle w:val="a5"/>
          <w:rFonts w:ascii="Times New Roman" w:hAnsi="Times New Roman" w:cs="Times New Roman"/>
          <w:bCs/>
          <w:color w:val="000000"/>
          <w:kern w:val="0"/>
          <w:sz w:val="24"/>
          <w:szCs w:val="24"/>
        </w:rPr>
        <w:footnoteReference w:id="21"/>
      </w:r>
      <w:r w:rsidRPr="009651B4">
        <w:rPr>
          <w:rFonts w:ascii="Times New Roman" w:hAnsi="Times New Roman" w:cs="Times New Roman"/>
          <w:bCs/>
          <w:color w:val="000000"/>
          <w:kern w:val="0"/>
          <w:sz w:val="24"/>
          <w:szCs w:val="24"/>
        </w:rPr>
        <w:t>.</w:t>
      </w:r>
    </w:p>
    <w:p w14:paraId="416E969A" w14:textId="00ECEF9C" w:rsidR="009651B4" w:rsidRPr="009651B4" w:rsidRDefault="009651B4" w:rsidP="009651B4">
      <w:pPr>
        <w:adjustRightInd w:val="0"/>
        <w:spacing w:line="360" w:lineRule="auto"/>
        <w:textAlignment w:val="baseline"/>
        <w:rPr>
          <w:rFonts w:ascii="Times New Roman" w:hAnsi="Times New Roman" w:cs="Times New Roman"/>
          <w:bCs/>
          <w:color w:val="000000"/>
          <w:kern w:val="0"/>
          <w:sz w:val="24"/>
          <w:szCs w:val="24"/>
        </w:rPr>
        <w:sectPr w:rsidR="009651B4" w:rsidRPr="009651B4" w:rsidSect="00FD7A8B">
          <w:footerReference w:type="default" r:id="rId9"/>
          <w:pgSz w:w="11906" w:h="16838"/>
          <w:pgMar w:top="1440" w:right="1800" w:bottom="1440" w:left="1800" w:header="851" w:footer="992" w:gutter="0"/>
          <w:cols w:space="425"/>
          <w:docGrid w:type="lines" w:linePitch="312"/>
        </w:sectPr>
      </w:pPr>
    </w:p>
    <w:p w14:paraId="647DA425" w14:textId="077076FA" w:rsidR="00A2047C" w:rsidRPr="00180DAA" w:rsidRDefault="00180DAA" w:rsidP="00A2047C">
      <w:pPr>
        <w:tabs>
          <w:tab w:val="center" w:pos="6979"/>
          <w:tab w:val="left" w:pos="11438"/>
        </w:tabs>
        <w:spacing w:beforeLines="50" w:before="156" w:afterLines="50" w:after="156" w:line="360" w:lineRule="auto"/>
        <w:jc w:val="center"/>
        <w:rPr>
          <w:rFonts w:ascii="Times New Roman" w:eastAsia="宋体" w:hAnsi="Times New Roman" w:cs="Times New Roman"/>
          <w:b/>
          <w:szCs w:val="21"/>
        </w:rPr>
      </w:pPr>
      <w:bookmarkStart w:id="17" w:name="OLE_LINK9"/>
      <w:r w:rsidRPr="00180DAA">
        <w:rPr>
          <w:rFonts w:ascii="Times New Roman" w:eastAsia="宋体" w:hAnsi="Times New Roman" w:cs="Times New Roman"/>
          <w:b/>
          <w:szCs w:val="21"/>
        </w:rPr>
        <w:lastRenderedPageBreak/>
        <w:t xml:space="preserve">Table 5 </w:t>
      </w:r>
      <w:r w:rsidR="00A2047C" w:rsidRPr="00180DAA">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H</w:t>
      </w:r>
      <w:r>
        <w:rPr>
          <w:rFonts w:ascii="Times New Roman" w:eastAsia="宋体" w:hAnsi="Times New Roman" w:cs="Times New Roman"/>
          <w:b/>
          <w:szCs w:val="21"/>
        </w:rPr>
        <w:t>eterogeneous Analysis</w:t>
      </w:r>
      <w:r w:rsidR="004220D3">
        <w:rPr>
          <w:rStyle w:val="a5"/>
          <w:rFonts w:ascii="Times New Roman" w:eastAsia="宋体" w:hAnsi="Times New Roman" w:cs="Times New Roman"/>
          <w:b/>
          <w:szCs w:val="21"/>
        </w:rPr>
        <w:footnoteReference w:id="22"/>
      </w:r>
    </w:p>
    <w:tbl>
      <w:tblPr>
        <w:tblW w:w="13603" w:type="dxa"/>
        <w:jc w:val="center"/>
        <w:tblLayout w:type="fixed"/>
        <w:tblCellMar>
          <w:top w:w="15" w:type="dxa"/>
          <w:left w:w="15" w:type="dxa"/>
          <w:bottom w:w="15" w:type="dxa"/>
          <w:right w:w="15" w:type="dxa"/>
        </w:tblCellMar>
        <w:tblLook w:val="0000" w:firstRow="0" w:lastRow="0" w:firstColumn="0" w:lastColumn="0" w:noHBand="0" w:noVBand="0"/>
      </w:tblPr>
      <w:tblGrid>
        <w:gridCol w:w="988"/>
        <w:gridCol w:w="567"/>
        <w:gridCol w:w="992"/>
        <w:gridCol w:w="567"/>
        <w:gridCol w:w="992"/>
        <w:gridCol w:w="567"/>
        <w:gridCol w:w="992"/>
        <w:gridCol w:w="567"/>
        <w:gridCol w:w="993"/>
        <w:gridCol w:w="567"/>
        <w:gridCol w:w="992"/>
        <w:gridCol w:w="567"/>
        <w:gridCol w:w="992"/>
        <w:gridCol w:w="567"/>
        <w:gridCol w:w="992"/>
        <w:gridCol w:w="709"/>
        <w:gridCol w:w="992"/>
      </w:tblGrid>
      <w:tr w:rsidR="00A2047C" w:rsidRPr="00A2047C" w14:paraId="6F4A4A8E" w14:textId="77777777" w:rsidTr="00344F33">
        <w:trPr>
          <w:trHeight w:val="540"/>
          <w:jc w:val="center"/>
        </w:trPr>
        <w:tc>
          <w:tcPr>
            <w:tcW w:w="988" w:type="dxa"/>
            <w:vMerge w:val="restart"/>
            <w:tcBorders>
              <w:top w:val="single" w:sz="4" w:space="0" w:color="auto"/>
              <w:bottom w:val="single" w:sz="4" w:space="0" w:color="auto"/>
            </w:tcBorders>
            <w:shd w:val="clear" w:color="auto" w:fill="auto"/>
            <w:vAlign w:val="center"/>
          </w:tcPr>
          <w:p w14:paraId="430F01E6" w14:textId="76820B60" w:rsidR="00A2047C" w:rsidRPr="00A2047C" w:rsidRDefault="007F37FA" w:rsidP="00180DAA">
            <w:pPr>
              <w:spacing w:line="360" w:lineRule="auto"/>
              <w:jc w:val="center"/>
              <w:textAlignment w:val="center"/>
              <w:rPr>
                <w:rFonts w:ascii="Times New Roman" w:eastAsia="宋体" w:hAnsi="Times New Roman" w:cs="Times New Roman"/>
                <w:b/>
                <w:sz w:val="18"/>
                <w:szCs w:val="18"/>
              </w:rPr>
            </w:pPr>
            <w:r>
              <w:rPr>
                <w:rFonts w:ascii="Times New Roman" w:eastAsia="宋体" w:hAnsi="宋体" w:cs="Times New Roman" w:hint="eastAsia"/>
                <w:b/>
                <w:kern w:val="0"/>
                <w:sz w:val="18"/>
                <w:szCs w:val="18"/>
              </w:rPr>
              <w:t>V</w:t>
            </w:r>
            <w:r>
              <w:rPr>
                <w:rFonts w:ascii="Times New Roman" w:eastAsia="宋体" w:hAnsi="宋体" w:cs="Times New Roman"/>
                <w:b/>
                <w:kern w:val="0"/>
                <w:sz w:val="18"/>
                <w:szCs w:val="18"/>
              </w:rPr>
              <w:t>ariables</w:t>
            </w:r>
          </w:p>
        </w:tc>
        <w:tc>
          <w:tcPr>
            <w:tcW w:w="1559" w:type="dxa"/>
            <w:gridSpan w:val="2"/>
            <w:tcBorders>
              <w:top w:val="single" w:sz="4" w:space="0" w:color="auto"/>
              <w:left w:val="nil"/>
              <w:bottom w:val="single" w:sz="4" w:space="0" w:color="auto"/>
            </w:tcBorders>
            <w:shd w:val="clear" w:color="auto" w:fill="auto"/>
            <w:vAlign w:val="center"/>
          </w:tcPr>
          <w:p w14:paraId="31C8A1F5" w14:textId="12535269" w:rsidR="00A2047C" w:rsidRPr="00A2047C" w:rsidRDefault="007F37FA" w:rsidP="00180DAA">
            <w:pPr>
              <w:spacing w:line="360" w:lineRule="auto"/>
              <w:jc w:val="center"/>
              <w:rPr>
                <w:rFonts w:ascii="Times New Roman" w:eastAsia="宋体" w:hAnsi="Times New Roman" w:cs="Times New Roman"/>
                <w:b/>
                <w:sz w:val="18"/>
                <w:szCs w:val="18"/>
              </w:rPr>
            </w:pPr>
            <w:r>
              <w:rPr>
                <w:rFonts w:ascii="Times New Roman" w:eastAsia="宋体" w:hAnsi="宋体" w:cs="Times New Roman" w:hint="eastAsia"/>
                <w:b/>
                <w:kern w:val="0"/>
                <w:sz w:val="18"/>
                <w:szCs w:val="18"/>
              </w:rPr>
              <w:t>M</w:t>
            </w:r>
            <w:r>
              <w:rPr>
                <w:rFonts w:ascii="Times New Roman" w:eastAsia="宋体" w:hAnsi="宋体" w:cs="Times New Roman"/>
                <w:b/>
                <w:kern w:val="0"/>
                <w:sz w:val="18"/>
                <w:szCs w:val="18"/>
              </w:rPr>
              <w:t xml:space="preserve">odel </w:t>
            </w:r>
            <w:r w:rsidR="00A2047C" w:rsidRPr="00A2047C">
              <w:rPr>
                <w:rFonts w:ascii="Times New Roman" w:eastAsia="宋体" w:hAnsi="Times New Roman" w:cs="Times New Roman"/>
                <w:b/>
                <w:sz w:val="18"/>
                <w:szCs w:val="18"/>
              </w:rPr>
              <w:t>2</w:t>
            </w:r>
          </w:p>
        </w:tc>
        <w:tc>
          <w:tcPr>
            <w:tcW w:w="1559" w:type="dxa"/>
            <w:gridSpan w:val="2"/>
            <w:tcBorders>
              <w:top w:val="single" w:sz="4" w:space="0" w:color="auto"/>
              <w:bottom w:val="single" w:sz="4" w:space="0" w:color="auto"/>
            </w:tcBorders>
            <w:shd w:val="clear" w:color="auto" w:fill="auto"/>
            <w:vAlign w:val="center"/>
          </w:tcPr>
          <w:p w14:paraId="78F9FFD4" w14:textId="0FBA21D1" w:rsidR="00A2047C" w:rsidRPr="00A2047C" w:rsidRDefault="007F37FA" w:rsidP="00180DAA">
            <w:pPr>
              <w:spacing w:line="360" w:lineRule="auto"/>
              <w:jc w:val="center"/>
              <w:rPr>
                <w:rFonts w:ascii="Times New Roman" w:eastAsia="宋体" w:hAnsi="Times New Roman" w:cs="Times New Roman"/>
                <w:sz w:val="18"/>
                <w:szCs w:val="18"/>
              </w:rPr>
            </w:pPr>
            <w:r>
              <w:rPr>
                <w:rFonts w:ascii="Times New Roman" w:eastAsia="宋体" w:hAnsi="宋体" w:cs="Times New Roman" w:hint="eastAsia"/>
                <w:b/>
                <w:kern w:val="0"/>
                <w:sz w:val="18"/>
                <w:szCs w:val="18"/>
              </w:rPr>
              <w:t>M</w:t>
            </w:r>
            <w:r>
              <w:rPr>
                <w:rFonts w:ascii="Times New Roman" w:eastAsia="宋体" w:hAnsi="宋体" w:cs="Times New Roman"/>
                <w:b/>
                <w:kern w:val="0"/>
                <w:sz w:val="18"/>
                <w:szCs w:val="18"/>
              </w:rPr>
              <w:t xml:space="preserve">odel </w:t>
            </w:r>
            <w:r w:rsidR="00180DAA">
              <w:rPr>
                <w:rFonts w:ascii="Times New Roman" w:eastAsia="宋体" w:hAnsi="Times New Roman" w:cs="Times New Roman"/>
                <w:b/>
                <w:sz w:val="18"/>
                <w:szCs w:val="18"/>
              </w:rPr>
              <w:t>3</w:t>
            </w:r>
          </w:p>
        </w:tc>
        <w:tc>
          <w:tcPr>
            <w:tcW w:w="1559" w:type="dxa"/>
            <w:gridSpan w:val="2"/>
            <w:tcBorders>
              <w:top w:val="single" w:sz="4" w:space="0" w:color="auto"/>
              <w:bottom w:val="single" w:sz="4" w:space="0" w:color="auto"/>
            </w:tcBorders>
            <w:shd w:val="clear" w:color="auto" w:fill="auto"/>
            <w:vAlign w:val="center"/>
          </w:tcPr>
          <w:p w14:paraId="29D86154" w14:textId="67D9FE3F" w:rsidR="00A2047C" w:rsidRPr="00A2047C" w:rsidRDefault="007F37FA" w:rsidP="00180DAA">
            <w:pPr>
              <w:spacing w:line="360" w:lineRule="auto"/>
              <w:jc w:val="center"/>
              <w:rPr>
                <w:rFonts w:ascii="Times New Roman" w:eastAsia="宋体" w:hAnsi="Times New Roman" w:cs="Times New Roman"/>
                <w:b/>
                <w:sz w:val="18"/>
                <w:szCs w:val="18"/>
              </w:rPr>
            </w:pPr>
            <w:r>
              <w:rPr>
                <w:rFonts w:ascii="Times New Roman" w:eastAsia="宋体" w:hAnsi="宋体" w:cs="Times New Roman" w:hint="eastAsia"/>
                <w:b/>
                <w:kern w:val="0"/>
                <w:sz w:val="18"/>
                <w:szCs w:val="18"/>
              </w:rPr>
              <w:t>M</w:t>
            </w:r>
            <w:r>
              <w:rPr>
                <w:rFonts w:ascii="Times New Roman" w:eastAsia="宋体" w:hAnsi="宋体" w:cs="Times New Roman"/>
                <w:b/>
                <w:kern w:val="0"/>
                <w:sz w:val="18"/>
                <w:szCs w:val="18"/>
              </w:rPr>
              <w:t xml:space="preserve">odel </w:t>
            </w:r>
            <w:r w:rsidR="00180DAA">
              <w:rPr>
                <w:rFonts w:ascii="Times New Roman" w:eastAsia="宋体" w:hAnsi="Times New Roman" w:cs="Times New Roman"/>
                <w:b/>
                <w:sz w:val="18"/>
                <w:szCs w:val="18"/>
              </w:rPr>
              <w:t>4</w:t>
            </w:r>
          </w:p>
        </w:tc>
        <w:tc>
          <w:tcPr>
            <w:tcW w:w="1560" w:type="dxa"/>
            <w:gridSpan w:val="2"/>
            <w:tcBorders>
              <w:top w:val="single" w:sz="4" w:space="0" w:color="auto"/>
              <w:bottom w:val="single" w:sz="4" w:space="0" w:color="auto"/>
            </w:tcBorders>
            <w:shd w:val="clear" w:color="auto" w:fill="auto"/>
            <w:vAlign w:val="center"/>
          </w:tcPr>
          <w:p w14:paraId="6D1A89FC" w14:textId="43DF7CB3" w:rsidR="00A2047C" w:rsidRPr="00A2047C" w:rsidRDefault="007F37FA" w:rsidP="00180DAA">
            <w:pPr>
              <w:spacing w:line="360" w:lineRule="auto"/>
              <w:jc w:val="center"/>
              <w:rPr>
                <w:rFonts w:ascii="Times New Roman" w:eastAsia="宋体" w:hAnsi="Times New Roman" w:cs="Times New Roman"/>
                <w:sz w:val="18"/>
                <w:szCs w:val="18"/>
              </w:rPr>
            </w:pPr>
            <w:r>
              <w:rPr>
                <w:rFonts w:ascii="Times New Roman" w:eastAsia="宋体" w:hAnsi="宋体" w:cs="Times New Roman" w:hint="eastAsia"/>
                <w:b/>
                <w:kern w:val="0"/>
                <w:sz w:val="18"/>
                <w:szCs w:val="18"/>
              </w:rPr>
              <w:t>M</w:t>
            </w:r>
            <w:r>
              <w:rPr>
                <w:rFonts w:ascii="Times New Roman" w:eastAsia="宋体" w:hAnsi="宋体" w:cs="Times New Roman"/>
                <w:b/>
                <w:kern w:val="0"/>
                <w:sz w:val="18"/>
                <w:szCs w:val="18"/>
              </w:rPr>
              <w:t xml:space="preserve">odel </w:t>
            </w:r>
            <w:r w:rsidR="00180DAA">
              <w:rPr>
                <w:rFonts w:ascii="Times New Roman" w:eastAsia="宋体" w:hAnsi="Times New Roman" w:cs="Times New Roman"/>
                <w:b/>
                <w:sz w:val="18"/>
                <w:szCs w:val="18"/>
              </w:rPr>
              <w:t>5</w:t>
            </w:r>
          </w:p>
        </w:tc>
        <w:tc>
          <w:tcPr>
            <w:tcW w:w="1559" w:type="dxa"/>
            <w:gridSpan w:val="2"/>
            <w:tcBorders>
              <w:top w:val="single" w:sz="4" w:space="0" w:color="auto"/>
              <w:bottom w:val="single" w:sz="4" w:space="0" w:color="auto"/>
            </w:tcBorders>
            <w:shd w:val="clear" w:color="auto" w:fill="auto"/>
            <w:vAlign w:val="center"/>
          </w:tcPr>
          <w:p w14:paraId="2E2C8AC6" w14:textId="29746AB3" w:rsidR="00A2047C" w:rsidRPr="00A2047C" w:rsidRDefault="007F37FA" w:rsidP="00180DAA">
            <w:pPr>
              <w:spacing w:line="360" w:lineRule="auto"/>
              <w:jc w:val="center"/>
              <w:rPr>
                <w:rFonts w:ascii="Times New Roman" w:eastAsia="宋体" w:hAnsi="Times New Roman" w:cs="Times New Roman"/>
                <w:sz w:val="18"/>
                <w:szCs w:val="18"/>
              </w:rPr>
            </w:pPr>
            <w:r>
              <w:rPr>
                <w:rFonts w:ascii="Times New Roman" w:eastAsia="宋体" w:hAnsi="宋体" w:cs="Times New Roman" w:hint="eastAsia"/>
                <w:b/>
                <w:kern w:val="0"/>
                <w:sz w:val="18"/>
                <w:szCs w:val="18"/>
              </w:rPr>
              <w:t>M</w:t>
            </w:r>
            <w:r>
              <w:rPr>
                <w:rFonts w:ascii="Times New Roman" w:eastAsia="宋体" w:hAnsi="宋体" w:cs="Times New Roman"/>
                <w:b/>
                <w:kern w:val="0"/>
                <w:sz w:val="18"/>
                <w:szCs w:val="18"/>
              </w:rPr>
              <w:t xml:space="preserve">odel </w:t>
            </w:r>
            <w:r w:rsidR="00180DAA">
              <w:rPr>
                <w:rFonts w:ascii="Times New Roman" w:eastAsia="宋体" w:hAnsi="Times New Roman" w:cs="Times New Roman"/>
                <w:b/>
                <w:sz w:val="18"/>
                <w:szCs w:val="18"/>
              </w:rPr>
              <w:t>6</w:t>
            </w:r>
          </w:p>
        </w:tc>
        <w:tc>
          <w:tcPr>
            <w:tcW w:w="1559" w:type="dxa"/>
            <w:gridSpan w:val="2"/>
            <w:tcBorders>
              <w:top w:val="single" w:sz="4" w:space="0" w:color="auto"/>
              <w:bottom w:val="single" w:sz="4" w:space="0" w:color="auto"/>
            </w:tcBorders>
            <w:shd w:val="clear" w:color="auto" w:fill="auto"/>
            <w:vAlign w:val="center"/>
          </w:tcPr>
          <w:p w14:paraId="7DD49C14" w14:textId="144ED422" w:rsidR="00A2047C" w:rsidRPr="00A2047C" w:rsidRDefault="007F37FA" w:rsidP="00180DAA">
            <w:pPr>
              <w:spacing w:line="360" w:lineRule="auto"/>
              <w:jc w:val="center"/>
              <w:rPr>
                <w:rFonts w:ascii="Times New Roman" w:eastAsia="宋体" w:hAnsi="Times New Roman" w:cs="Times New Roman"/>
                <w:b/>
                <w:sz w:val="18"/>
                <w:szCs w:val="18"/>
              </w:rPr>
            </w:pPr>
            <w:r>
              <w:rPr>
                <w:rFonts w:ascii="Times New Roman" w:eastAsia="宋体" w:hAnsi="宋体" w:cs="Times New Roman" w:hint="eastAsia"/>
                <w:b/>
                <w:kern w:val="0"/>
                <w:sz w:val="18"/>
                <w:szCs w:val="18"/>
              </w:rPr>
              <w:t>M</w:t>
            </w:r>
            <w:r>
              <w:rPr>
                <w:rFonts w:ascii="Times New Roman" w:eastAsia="宋体" w:hAnsi="宋体" w:cs="Times New Roman"/>
                <w:b/>
                <w:kern w:val="0"/>
                <w:sz w:val="18"/>
                <w:szCs w:val="18"/>
              </w:rPr>
              <w:t xml:space="preserve">odel </w:t>
            </w:r>
            <w:r w:rsidR="00180DAA">
              <w:rPr>
                <w:rFonts w:ascii="Times New Roman" w:eastAsia="宋体" w:hAnsi="Times New Roman" w:cs="Times New Roman"/>
                <w:b/>
                <w:sz w:val="18"/>
                <w:szCs w:val="18"/>
              </w:rPr>
              <w:t>7</w:t>
            </w:r>
          </w:p>
        </w:tc>
        <w:tc>
          <w:tcPr>
            <w:tcW w:w="1559" w:type="dxa"/>
            <w:gridSpan w:val="2"/>
            <w:tcBorders>
              <w:top w:val="single" w:sz="4" w:space="0" w:color="auto"/>
              <w:bottom w:val="single" w:sz="4" w:space="0" w:color="auto"/>
            </w:tcBorders>
            <w:shd w:val="clear" w:color="auto" w:fill="auto"/>
            <w:vAlign w:val="center"/>
          </w:tcPr>
          <w:p w14:paraId="60749669" w14:textId="671C3371" w:rsidR="00A2047C" w:rsidRPr="00A2047C" w:rsidRDefault="007F37FA" w:rsidP="00180DAA">
            <w:pPr>
              <w:spacing w:line="360" w:lineRule="auto"/>
              <w:jc w:val="center"/>
              <w:rPr>
                <w:rFonts w:ascii="Times New Roman" w:eastAsia="宋体" w:hAnsi="Times New Roman" w:cs="Times New Roman"/>
                <w:b/>
                <w:sz w:val="18"/>
                <w:szCs w:val="18"/>
              </w:rPr>
            </w:pPr>
            <w:r>
              <w:rPr>
                <w:rFonts w:ascii="Times New Roman" w:eastAsia="宋体" w:hAnsi="宋体" w:cs="Times New Roman" w:hint="eastAsia"/>
                <w:b/>
                <w:kern w:val="0"/>
                <w:sz w:val="18"/>
                <w:szCs w:val="18"/>
              </w:rPr>
              <w:t>M</w:t>
            </w:r>
            <w:r>
              <w:rPr>
                <w:rFonts w:ascii="Times New Roman" w:eastAsia="宋体" w:hAnsi="宋体" w:cs="Times New Roman"/>
                <w:b/>
                <w:kern w:val="0"/>
                <w:sz w:val="18"/>
                <w:szCs w:val="18"/>
              </w:rPr>
              <w:t xml:space="preserve">odel </w:t>
            </w:r>
            <w:r w:rsidR="00180DAA">
              <w:rPr>
                <w:rFonts w:ascii="Times New Roman" w:eastAsia="宋体" w:hAnsi="Times New Roman" w:cs="Times New Roman"/>
                <w:b/>
                <w:sz w:val="18"/>
                <w:szCs w:val="18"/>
              </w:rPr>
              <w:t>8</w:t>
            </w:r>
          </w:p>
        </w:tc>
        <w:tc>
          <w:tcPr>
            <w:tcW w:w="1701" w:type="dxa"/>
            <w:gridSpan w:val="2"/>
            <w:tcBorders>
              <w:top w:val="single" w:sz="4" w:space="0" w:color="auto"/>
              <w:bottom w:val="single" w:sz="4" w:space="0" w:color="auto"/>
            </w:tcBorders>
            <w:shd w:val="clear" w:color="auto" w:fill="auto"/>
            <w:vAlign w:val="center"/>
          </w:tcPr>
          <w:p w14:paraId="73BB30C1" w14:textId="376CCD9E" w:rsidR="00A2047C" w:rsidRPr="00A2047C" w:rsidRDefault="007F37FA" w:rsidP="00180DAA">
            <w:pPr>
              <w:spacing w:line="360" w:lineRule="auto"/>
              <w:jc w:val="center"/>
              <w:rPr>
                <w:rFonts w:ascii="Times New Roman" w:eastAsia="宋体" w:hAnsi="Times New Roman" w:cs="Times New Roman"/>
                <w:b/>
                <w:sz w:val="18"/>
                <w:szCs w:val="18"/>
              </w:rPr>
            </w:pPr>
            <w:r>
              <w:rPr>
                <w:rFonts w:ascii="Times New Roman" w:eastAsia="宋体" w:hAnsi="宋体" w:cs="Times New Roman" w:hint="eastAsia"/>
                <w:b/>
                <w:kern w:val="0"/>
                <w:sz w:val="18"/>
                <w:szCs w:val="18"/>
              </w:rPr>
              <w:t>M</w:t>
            </w:r>
            <w:r>
              <w:rPr>
                <w:rFonts w:ascii="Times New Roman" w:eastAsia="宋体" w:hAnsi="宋体" w:cs="Times New Roman"/>
                <w:b/>
                <w:kern w:val="0"/>
                <w:sz w:val="18"/>
                <w:szCs w:val="18"/>
              </w:rPr>
              <w:t xml:space="preserve">odel </w:t>
            </w:r>
            <w:r w:rsidR="00180DAA">
              <w:rPr>
                <w:rFonts w:ascii="Times New Roman" w:eastAsia="宋体" w:hAnsi="Times New Roman" w:cs="Times New Roman"/>
                <w:b/>
                <w:sz w:val="18"/>
                <w:szCs w:val="18"/>
              </w:rPr>
              <w:t>9</w:t>
            </w:r>
          </w:p>
        </w:tc>
      </w:tr>
      <w:tr w:rsidR="00F4257F" w:rsidRPr="00A2047C" w14:paraId="0A837C4F" w14:textId="77777777" w:rsidTr="00344F33">
        <w:trPr>
          <w:trHeight w:val="285"/>
          <w:jc w:val="center"/>
        </w:trPr>
        <w:tc>
          <w:tcPr>
            <w:tcW w:w="988" w:type="dxa"/>
            <w:vMerge/>
            <w:tcBorders>
              <w:top w:val="single" w:sz="4" w:space="0" w:color="auto"/>
              <w:bottom w:val="single" w:sz="4" w:space="0" w:color="auto"/>
            </w:tcBorders>
            <w:shd w:val="clear" w:color="auto" w:fill="auto"/>
            <w:vAlign w:val="center"/>
          </w:tcPr>
          <w:p w14:paraId="101B1FE7" w14:textId="77777777" w:rsidR="00A2047C" w:rsidRPr="00A2047C" w:rsidRDefault="00A2047C" w:rsidP="00180DAA">
            <w:pPr>
              <w:widowControl/>
              <w:spacing w:line="360" w:lineRule="auto"/>
              <w:jc w:val="center"/>
              <w:textAlignment w:val="center"/>
              <w:rPr>
                <w:rFonts w:ascii="Times New Roman" w:eastAsia="宋体" w:hAnsi="Times New Roman" w:cs="Times New Roman"/>
                <w:b/>
                <w:sz w:val="18"/>
                <w:szCs w:val="18"/>
              </w:rPr>
            </w:pPr>
            <w:bookmarkStart w:id="18" w:name="_Hlk37621944"/>
          </w:p>
        </w:tc>
        <w:tc>
          <w:tcPr>
            <w:tcW w:w="567" w:type="dxa"/>
            <w:tcBorders>
              <w:top w:val="single" w:sz="4" w:space="0" w:color="auto"/>
              <w:left w:val="nil"/>
              <w:bottom w:val="single" w:sz="4" w:space="0" w:color="auto"/>
            </w:tcBorders>
            <w:shd w:val="clear" w:color="auto" w:fill="auto"/>
            <w:vAlign w:val="center"/>
          </w:tcPr>
          <w:p w14:paraId="7BA38D33" w14:textId="7FBC3E21" w:rsidR="00A2047C" w:rsidRPr="00A2047C" w:rsidRDefault="004B50A1" w:rsidP="00180DAA">
            <w:pPr>
              <w:widowControl/>
              <w:spacing w:line="360" w:lineRule="auto"/>
              <w:jc w:val="center"/>
              <w:textAlignment w:val="center"/>
              <w:rPr>
                <w:rFonts w:ascii="Times New Roman" w:eastAsia="宋体" w:hAnsi="Times New Roman" w:cs="Times New Roman"/>
                <w:sz w:val="18"/>
                <w:szCs w:val="18"/>
              </w:rPr>
            </w:pPr>
            <m:oMathPara>
              <m:oMath>
                <m:sSub>
                  <m:sSubPr>
                    <m:ctrlPr>
                      <w:rPr>
                        <w:rFonts w:ascii="Cambria Math" w:eastAsia="宋体" w:hAnsi="Cambria Math" w:cs="Times New Roman"/>
                        <w:i/>
                        <w:sz w:val="18"/>
                        <w:szCs w:val="18"/>
                      </w:rPr>
                    </m:ctrlPr>
                  </m:sSubPr>
                  <m:e>
                    <m:r>
                      <w:rPr>
                        <w:rFonts w:ascii="Cambria Math" w:eastAsia="宋体" w:hAnsi="Cambria Math" w:cs="Times New Roman"/>
                        <w:sz w:val="18"/>
                        <w:szCs w:val="18"/>
                      </w:rPr>
                      <m:t>β</m:t>
                    </m:r>
                  </m:e>
                  <m:sub>
                    <m:r>
                      <w:rPr>
                        <w:rFonts w:ascii="Cambria Math" w:eastAsia="宋体" w:hAnsi="Cambria Math" w:cs="Times New Roman"/>
                        <w:sz w:val="18"/>
                        <w:szCs w:val="18"/>
                      </w:rPr>
                      <m:t>i</m:t>
                    </m:r>
                  </m:sub>
                </m:sSub>
              </m:oMath>
            </m:oMathPara>
          </w:p>
        </w:tc>
        <w:tc>
          <w:tcPr>
            <w:tcW w:w="992" w:type="dxa"/>
            <w:tcBorders>
              <w:top w:val="single" w:sz="4" w:space="0" w:color="auto"/>
              <w:bottom w:val="single" w:sz="4" w:space="0" w:color="auto"/>
            </w:tcBorders>
            <w:shd w:val="clear" w:color="auto" w:fill="auto"/>
            <w:vAlign w:val="center"/>
          </w:tcPr>
          <w:p w14:paraId="4C6CC4C7" w14:textId="70C08324" w:rsidR="00A2047C" w:rsidRPr="00A2047C" w:rsidRDefault="007F37FA" w:rsidP="00180DAA">
            <w:pPr>
              <w:widowControl/>
              <w:spacing w:line="360" w:lineRule="auto"/>
              <w:jc w:val="center"/>
              <w:textAlignment w:val="center"/>
              <w:rPr>
                <w:rFonts w:ascii="Times New Roman" w:eastAsia="宋体" w:hAnsi="Times New Roman" w:cs="Times New Roman"/>
                <w:sz w:val="18"/>
                <w:szCs w:val="18"/>
              </w:rPr>
            </w:pPr>
            <w:r>
              <w:rPr>
                <w:rFonts w:ascii="Times New Roman" w:eastAsia="宋体" w:hAnsi="宋体" w:cs="Times New Roman" w:hint="eastAsia"/>
                <w:kern w:val="0"/>
                <w:sz w:val="18"/>
                <w:szCs w:val="18"/>
              </w:rPr>
              <w:t>S</w:t>
            </w:r>
            <w:r>
              <w:rPr>
                <w:rFonts w:ascii="Times New Roman" w:eastAsia="宋体" w:hAnsi="宋体" w:cs="Times New Roman"/>
                <w:kern w:val="0"/>
                <w:sz w:val="18"/>
                <w:szCs w:val="18"/>
              </w:rPr>
              <w:t xml:space="preserve">td. </w:t>
            </w:r>
            <w:r w:rsidR="00612CF8">
              <w:rPr>
                <w:rFonts w:ascii="Times New Roman" w:eastAsia="宋体" w:hAnsi="宋体" w:cs="Times New Roman"/>
                <w:kern w:val="0"/>
                <w:sz w:val="18"/>
                <w:szCs w:val="18"/>
              </w:rPr>
              <w:t>Dev.</w:t>
            </w:r>
          </w:p>
        </w:tc>
        <w:tc>
          <w:tcPr>
            <w:tcW w:w="567" w:type="dxa"/>
            <w:tcBorders>
              <w:top w:val="single" w:sz="4" w:space="0" w:color="auto"/>
              <w:bottom w:val="single" w:sz="4" w:space="0" w:color="auto"/>
            </w:tcBorders>
            <w:shd w:val="clear" w:color="auto" w:fill="auto"/>
            <w:vAlign w:val="center"/>
          </w:tcPr>
          <w:p w14:paraId="03C5EBD3" w14:textId="2E899D33" w:rsidR="00A2047C" w:rsidRPr="00A2047C" w:rsidRDefault="004B50A1" w:rsidP="00180DAA">
            <w:pPr>
              <w:widowControl/>
              <w:spacing w:line="360" w:lineRule="auto"/>
              <w:jc w:val="center"/>
              <w:textAlignment w:val="center"/>
              <w:rPr>
                <w:rFonts w:ascii="Times New Roman" w:eastAsia="宋体" w:hAnsi="Times New Roman" w:cs="Times New Roman"/>
                <w:sz w:val="18"/>
                <w:szCs w:val="18"/>
              </w:rPr>
            </w:pPr>
            <m:oMathPara>
              <m:oMath>
                <m:sSub>
                  <m:sSubPr>
                    <m:ctrlPr>
                      <w:rPr>
                        <w:rFonts w:ascii="Cambria Math" w:eastAsia="宋体" w:hAnsi="Cambria Math" w:cs="Times New Roman"/>
                        <w:i/>
                        <w:sz w:val="18"/>
                        <w:szCs w:val="18"/>
                      </w:rPr>
                    </m:ctrlPr>
                  </m:sSubPr>
                  <m:e>
                    <m:r>
                      <w:rPr>
                        <w:rFonts w:ascii="Cambria Math" w:eastAsia="宋体" w:hAnsi="Cambria Math" w:cs="Times New Roman"/>
                        <w:sz w:val="18"/>
                        <w:szCs w:val="18"/>
                      </w:rPr>
                      <m:t>β</m:t>
                    </m:r>
                  </m:e>
                  <m:sub>
                    <m:r>
                      <w:rPr>
                        <w:rFonts w:ascii="Cambria Math" w:eastAsia="宋体" w:hAnsi="Cambria Math" w:cs="Times New Roman"/>
                        <w:sz w:val="18"/>
                        <w:szCs w:val="18"/>
                      </w:rPr>
                      <m:t>i</m:t>
                    </m:r>
                  </m:sub>
                </m:sSub>
              </m:oMath>
            </m:oMathPara>
          </w:p>
        </w:tc>
        <w:tc>
          <w:tcPr>
            <w:tcW w:w="992" w:type="dxa"/>
            <w:tcBorders>
              <w:top w:val="single" w:sz="4" w:space="0" w:color="auto"/>
              <w:bottom w:val="single" w:sz="4" w:space="0" w:color="auto"/>
            </w:tcBorders>
            <w:shd w:val="clear" w:color="auto" w:fill="auto"/>
            <w:vAlign w:val="center"/>
          </w:tcPr>
          <w:p w14:paraId="5AF4B5D9" w14:textId="3E9615A9" w:rsidR="00A2047C" w:rsidRPr="00A2047C" w:rsidRDefault="00612CF8" w:rsidP="00180DAA">
            <w:pPr>
              <w:widowControl/>
              <w:spacing w:line="360" w:lineRule="auto"/>
              <w:jc w:val="center"/>
              <w:textAlignment w:val="center"/>
              <w:rPr>
                <w:rFonts w:ascii="Times New Roman" w:eastAsia="宋体" w:hAnsi="Times New Roman" w:cs="Times New Roman"/>
                <w:sz w:val="18"/>
                <w:szCs w:val="18"/>
              </w:rPr>
            </w:pPr>
            <w:r>
              <w:rPr>
                <w:rFonts w:ascii="Times New Roman" w:eastAsia="宋体" w:hAnsi="宋体" w:cs="Times New Roman" w:hint="eastAsia"/>
                <w:kern w:val="0"/>
                <w:sz w:val="18"/>
                <w:szCs w:val="18"/>
              </w:rPr>
              <w:t>S</w:t>
            </w:r>
            <w:r>
              <w:rPr>
                <w:rFonts w:ascii="Times New Roman" w:eastAsia="宋体" w:hAnsi="宋体" w:cs="Times New Roman"/>
                <w:kern w:val="0"/>
                <w:sz w:val="18"/>
                <w:szCs w:val="18"/>
              </w:rPr>
              <w:t>td. Dev.</w:t>
            </w:r>
          </w:p>
        </w:tc>
        <w:tc>
          <w:tcPr>
            <w:tcW w:w="567" w:type="dxa"/>
            <w:tcBorders>
              <w:top w:val="single" w:sz="4" w:space="0" w:color="auto"/>
              <w:bottom w:val="single" w:sz="4" w:space="0" w:color="auto"/>
            </w:tcBorders>
            <w:shd w:val="clear" w:color="auto" w:fill="auto"/>
            <w:vAlign w:val="center"/>
          </w:tcPr>
          <w:p w14:paraId="78F12882" w14:textId="3CFB3B17" w:rsidR="00A2047C" w:rsidRPr="00A2047C" w:rsidRDefault="004B50A1" w:rsidP="00180DAA">
            <w:pPr>
              <w:widowControl/>
              <w:spacing w:line="360" w:lineRule="auto"/>
              <w:jc w:val="center"/>
              <w:textAlignment w:val="center"/>
              <w:rPr>
                <w:rFonts w:ascii="Times New Roman" w:eastAsia="宋体" w:hAnsi="Times New Roman" w:cs="Times New Roman"/>
                <w:sz w:val="18"/>
                <w:szCs w:val="18"/>
              </w:rPr>
            </w:pPr>
            <m:oMathPara>
              <m:oMath>
                <m:sSub>
                  <m:sSubPr>
                    <m:ctrlPr>
                      <w:rPr>
                        <w:rFonts w:ascii="Cambria Math" w:eastAsia="宋体" w:hAnsi="Cambria Math" w:cs="Times New Roman"/>
                        <w:i/>
                        <w:sz w:val="18"/>
                        <w:szCs w:val="18"/>
                      </w:rPr>
                    </m:ctrlPr>
                  </m:sSubPr>
                  <m:e>
                    <m:r>
                      <w:rPr>
                        <w:rFonts w:ascii="Cambria Math" w:eastAsia="宋体" w:hAnsi="Cambria Math" w:cs="Times New Roman"/>
                        <w:sz w:val="18"/>
                        <w:szCs w:val="18"/>
                      </w:rPr>
                      <m:t>β</m:t>
                    </m:r>
                  </m:e>
                  <m:sub>
                    <m:r>
                      <w:rPr>
                        <w:rFonts w:ascii="Cambria Math" w:eastAsia="宋体" w:hAnsi="Cambria Math" w:cs="Times New Roman"/>
                        <w:sz w:val="18"/>
                        <w:szCs w:val="18"/>
                      </w:rPr>
                      <m:t>i</m:t>
                    </m:r>
                  </m:sub>
                </m:sSub>
              </m:oMath>
            </m:oMathPara>
          </w:p>
        </w:tc>
        <w:tc>
          <w:tcPr>
            <w:tcW w:w="992" w:type="dxa"/>
            <w:tcBorders>
              <w:top w:val="single" w:sz="4" w:space="0" w:color="auto"/>
              <w:bottom w:val="single" w:sz="4" w:space="0" w:color="auto"/>
            </w:tcBorders>
            <w:shd w:val="clear" w:color="auto" w:fill="auto"/>
            <w:vAlign w:val="center"/>
          </w:tcPr>
          <w:p w14:paraId="56AC0BE5" w14:textId="40D9AFDF" w:rsidR="00A2047C" w:rsidRPr="00A2047C" w:rsidRDefault="00612CF8" w:rsidP="00180DAA">
            <w:pPr>
              <w:widowControl/>
              <w:spacing w:line="360" w:lineRule="auto"/>
              <w:jc w:val="center"/>
              <w:textAlignment w:val="center"/>
              <w:rPr>
                <w:rFonts w:ascii="Times New Roman" w:eastAsia="宋体" w:hAnsi="Times New Roman" w:cs="Times New Roman"/>
                <w:sz w:val="18"/>
                <w:szCs w:val="18"/>
              </w:rPr>
            </w:pPr>
            <w:r>
              <w:rPr>
                <w:rFonts w:ascii="Times New Roman" w:eastAsia="宋体" w:hAnsi="宋体" w:cs="Times New Roman" w:hint="eastAsia"/>
                <w:kern w:val="0"/>
                <w:sz w:val="18"/>
                <w:szCs w:val="18"/>
              </w:rPr>
              <w:t>S</w:t>
            </w:r>
            <w:r>
              <w:rPr>
                <w:rFonts w:ascii="Times New Roman" w:eastAsia="宋体" w:hAnsi="宋体" w:cs="Times New Roman"/>
                <w:kern w:val="0"/>
                <w:sz w:val="18"/>
                <w:szCs w:val="18"/>
              </w:rPr>
              <w:t>td. Dev.</w:t>
            </w:r>
          </w:p>
        </w:tc>
        <w:tc>
          <w:tcPr>
            <w:tcW w:w="567" w:type="dxa"/>
            <w:tcBorders>
              <w:top w:val="single" w:sz="4" w:space="0" w:color="auto"/>
              <w:bottom w:val="single" w:sz="4" w:space="0" w:color="auto"/>
            </w:tcBorders>
            <w:shd w:val="clear" w:color="auto" w:fill="auto"/>
            <w:vAlign w:val="center"/>
          </w:tcPr>
          <w:p w14:paraId="21513605" w14:textId="3AD08D94" w:rsidR="00A2047C" w:rsidRPr="00A2047C" w:rsidRDefault="004B50A1" w:rsidP="00180DAA">
            <w:pPr>
              <w:widowControl/>
              <w:spacing w:line="360" w:lineRule="auto"/>
              <w:jc w:val="center"/>
              <w:textAlignment w:val="center"/>
              <w:rPr>
                <w:rFonts w:ascii="Times New Roman" w:eastAsia="宋体" w:hAnsi="Times New Roman" w:cs="Times New Roman"/>
                <w:sz w:val="18"/>
                <w:szCs w:val="18"/>
              </w:rPr>
            </w:pPr>
            <m:oMathPara>
              <m:oMath>
                <m:sSub>
                  <m:sSubPr>
                    <m:ctrlPr>
                      <w:rPr>
                        <w:rFonts w:ascii="Cambria Math" w:eastAsia="宋体" w:hAnsi="Cambria Math" w:cs="Times New Roman"/>
                        <w:i/>
                        <w:sz w:val="18"/>
                        <w:szCs w:val="18"/>
                      </w:rPr>
                    </m:ctrlPr>
                  </m:sSubPr>
                  <m:e>
                    <m:r>
                      <w:rPr>
                        <w:rFonts w:ascii="Cambria Math" w:eastAsia="宋体" w:hAnsi="Cambria Math" w:cs="Times New Roman"/>
                        <w:sz w:val="18"/>
                        <w:szCs w:val="18"/>
                      </w:rPr>
                      <m:t>β</m:t>
                    </m:r>
                  </m:e>
                  <m:sub>
                    <m:r>
                      <w:rPr>
                        <w:rFonts w:ascii="Cambria Math" w:eastAsia="宋体" w:hAnsi="Cambria Math" w:cs="Times New Roman"/>
                        <w:sz w:val="18"/>
                        <w:szCs w:val="18"/>
                      </w:rPr>
                      <m:t>i</m:t>
                    </m:r>
                  </m:sub>
                </m:sSub>
              </m:oMath>
            </m:oMathPara>
          </w:p>
        </w:tc>
        <w:tc>
          <w:tcPr>
            <w:tcW w:w="993" w:type="dxa"/>
            <w:tcBorders>
              <w:top w:val="single" w:sz="4" w:space="0" w:color="auto"/>
              <w:bottom w:val="single" w:sz="4" w:space="0" w:color="auto"/>
            </w:tcBorders>
            <w:shd w:val="clear" w:color="auto" w:fill="auto"/>
            <w:vAlign w:val="center"/>
          </w:tcPr>
          <w:p w14:paraId="439231E3" w14:textId="0B7974A3" w:rsidR="00A2047C" w:rsidRPr="00A2047C" w:rsidRDefault="00612CF8" w:rsidP="00180DAA">
            <w:pPr>
              <w:widowControl/>
              <w:spacing w:line="360" w:lineRule="auto"/>
              <w:jc w:val="center"/>
              <w:textAlignment w:val="center"/>
              <w:rPr>
                <w:rFonts w:ascii="Times New Roman" w:eastAsia="宋体" w:hAnsi="Times New Roman" w:cs="Times New Roman"/>
                <w:sz w:val="18"/>
                <w:szCs w:val="18"/>
              </w:rPr>
            </w:pPr>
            <w:r>
              <w:rPr>
                <w:rFonts w:ascii="Times New Roman" w:eastAsia="宋体" w:hAnsi="宋体" w:cs="Times New Roman" w:hint="eastAsia"/>
                <w:kern w:val="0"/>
                <w:sz w:val="18"/>
                <w:szCs w:val="18"/>
              </w:rPr>
              <w:t>S</w:t>
            </w:r>
            <w:r>
              <w:rPr>
                <w:rFonts w:ascii="Times New Roman" w:eastAsia="宋体" w:hAnsi="宋体" w:cs="Times New Roman"/>
                <w:kern w:val="0"/>
                <w:sz w:val="18"/>
                <w:szCs w:val="18"/>
              </w:rPr>
              <w:t>td. Dev.</w:t>
            </w:r>
          </w:p>
        </w:tc>
        <w:tc>
          <w:tcPr>
            <w:tcW w:w="567" w:type="dxa"/>
            <w:tcBorders>
              <w:top w:val="single" w:sz="4" w:space="0" w:color="auto"/>
              <w:bottom w:val="single" w:sz="4" w:space="0" w:color="auto"/>
            </w:tcBorders>
            <w:shd w:val="clear" w:color="auto" w:fill="auto"/>
            <w:vAlign w:val="center"/>
          </w:tcPr>
          <w:p w14:paraId="5A90A3A9" w14:textId="04183C77" w:rsidR="00A2047C" w:rsidRPr="00A2047C" w:rsidRDefault="004B50A1" w:rsidP="00180DAA">
            <w:pPr>
              <w:widowControl/>
              <w:spacing w:line="360" w:lineRule="auto"/>
              <w:jc w:val="center"/>
              <w:textAlignment w:val="center"/>
              <w:rPr>
                <w:rFonts w:ascii="Times New Roman" w:eastAsia="宋体" w:hAnsi="Times New Roman" w:cs="Times New Roman"/>
                <w:sz w:val="18"/>
                <w:szCs w:val="18"/>
              </w:rPr>
            </w:pPr>
            <m:oMathPara>
              <m:oMath>
                <m:sSub>
                  <m:sSubPr>
                    <m:ctrlPr>
                      <w:rPr>
                        <w:rFonts w:ascii="Cambria Math" w:eastAsia="宋体" w:hAnsi="Cambria Math" w:cs="Times New Roman"/>
                        <w:i/>
                        <w:sz w:val="18"/>
                        <w:szCs w:val="18"/>
                      </w:rPr>
                    </m:ctrlPr>
                  </m:sSubPr>
                  <m:e>
                    <m:r>
                      <w:rPr>
                        <w:rFonts w:ascii="Cambria Math" w:eastAsia="宋体" w:hAnsi="Cambria Math" w:cs="Times New Roman"/>
                        <w:sz w:val="18"/>
                        <w:szCs w:val="18"/>
                      </w:rPr>
                      <m:t>β</m:t>
                    </m:r>
                  </m:e>
                  <m:sub>
                    <m:r>
                      <w:rPr>
                        <w:rFonts w:ascii="Cambria Math" w:eastAsia="宋体" w:hAnsi="Cambria Math" w:cs="Times New Roman"/>
                        <w:sz w:val="18"/>
                        <w:szCs w:val="18"/>
                      </w:rPr>
                      <m:t>i</m:t>
                    </m:r>
                  </m:sub>
                </m:sSub>
              </m:oMath>
            </m:oMathPara>
          </w:p>
        </w:tc>
        <w:tc>
          <w:tcPr>
            <w:tcW w:w="992" w:type="dxa"/>
            <w:tcBorders>
              <w:top w:val="single" w:sz="4" w:space="0" w:color="auto"/>
              <w:bottom w:val="single" w:sz="4" w:space="0" w:color="auto"/>
            </w:tcBorders>
            <w:shd w:val="clear" w:color="auto" w:fill="auto"/>
            <w:vAlign w:val="center"/>
          </w:tcPr>
          <w:p w14:paraId="79E36E32" w14:textId="352477CC" w:rsidR="00A2047C" w:rsidRPr="00A2047C" w:rsidRDefault="00612CF8" w:rsidP="00180DAA">
            <w:pPr>
              <w:widowControl/>
              <w:spacing w:line="360" w:lineRule="auto"/>
              <w:jc w:val="center"/>
              <w:textAlignment w:val="center"/>
              <w:rPr>
                <w:rFonts w:ascii="Times New Roman" w:eastAsia="宋体" w:hAnsi="Times New Roman" w:cs="Times New Roman"/>
                <w:sz w:val="18"/>
                <w:szCs w:val="18"/>
              </w:rPr>
            </w:pPr>
            <w:r>
              <w:rPr>
                <w:rFonts w:ascii="Times New Roman" w:eastAsia="宋体" w:hAnsi="宋体" w:cs="Times New Roman" w:hint="eastAsia"/>
                <w:kern w:val="0"/>
                <w:sz w:val="18"/>
                <w:szCs w:val="18"/>
              </w:rPr>
              <w:t>S</w:t>
            </w:r>
            <w:r>
              <w:rPr>
                <w:rFonts w:ascii="Times New Roman" w:eastAsia="宋体" w:hAnsi="宋体" w:cs="Times New Roman"/>
                <w:kern w:val="0"/>
                <w:sz w:val="18"/>
                <w:szCs w:val="18"/>
              </w:rPr>
              <w:t>td. Dev.</w:t>
            </w:r>
          </w:p>
        </w:tc>
        <w:tc>
          <w:tcPr>
            <w:tcW w:w="567" w:type="dxa"/>
            <w:tcBorders>
              <w:top w:val="single" w:sz="4" w:space="0" w:color="auto"/>
              <w:bottom w:val="single" w:sz="4" w:space="0" w:color="auto"/>
            </w:tcBorders>
            <w:shd w:val="clear" w:color="auto" w:fill="auto"/>
            <w:vAlign w:val="center"/>
          </w:tcPr>
          <w:p w14:paraId="25077245" w14:textId="5D57EEB3" w:rsidR="00A2047C" w:rsidRPr="00A2047C" w:rsidRDefault="004B50A1" w:rsidP="00180DAA">
            <w:pPr>
              <w:widowControl/>
              <w:spacing w:line="360" w:lineRule="auto"/>
              <w:jc w:val="center"/>
              <w:textAlignment w:val="center"/>
              <w:rPr>
                <w:rFonts w:ascii="Times New Roman" w:eastAsia="宋体" w:hAnsi="Times New Roman" w:cs="Times New Roman"/>
                <w:sz w:val="18"/>
                <w:szCs w:val="18"/>
              </w:rPr>
            </w:pPr>
            <m:oMathPara>
              <m:oMath>
                <m:sSub>
                  <m:sSubPr>
                    <m:ctrlPr>
                      <w:rPr>
                        <w:rFonts w:ascii="Cambria Math" w:eastAsia="宋体" w:hAnsi="Cambria Math" w:cs="Times New Roman"/>
                        <w:i/>
                        <w:sz w:val="18"/>
                        <w:szCs w:val="18"/>
                      </w:rPr>
                    </m:ctrlPr>
                  </m:sSubPr>
                  <m:e>
                    <m:r>
                      <w:rPr>
                        <w:rFonts w:ascii="Cambria Math" w:eastAsia="宋体" w:hAnsi="Cambria Math" w:cs="Times New Roman"/>
                        <w:sz w:val="18"/>
                        <w:szCs w:val="18"/>
                      </w:rPr>
                      <m:t>β</m:t>
                    </m:r>
                  </m:e>
                  <m:sub>
                    <m:r>
                      <w:rPr>
                        <w:rFonts w:ascii="Cambria Math" w:eastAsia="宋体" w:hAnsi="Cambria Math" w:cs="Times New Roman"/>
                        <w:sz w:val="18"/>
                        <w:szCs w:val="18"/>
                      </w:rPr>
                      <m:t>i</m:t>
                    </m:r>
                  </m:sub>
                </m:sSub>
              </m:oMath>
            </m:oMathPara>
          </w:p>
        </w:tc>
        <w:tc>
          <w:tcPr>
            <w:tcW w:w="992" w:type="dxa"/>
            <w:tcBorders>
              <w:top w:val="single" w:sz="4" w:space="0" w:color="auto"/>
              <w:bottom w:val="single" w:sz="4" w:space="0" w:color="auto"/>
            </w:tcBorders>
            <w:shd w:val="clear" w:color="auto" w:fill="auto"/>
            <w:vAlign w:val="center"/>
          </w:tcPr>
          <w:p w14:paraId="29B78F85" w14:textId="5BA8BAB0" w:rsidR="00A2047C" w:rsidRPr="00A2047C" w:rsidRDefault="00612CF8" w:rsidP="00180DAA">
            <w:pPr>
              <w:widowControl/>
              <w:spacing w:line="360" w:lineRule="auto"/>
              <w:jc w:val="center"/>
              <w:textAlignment w:val="center"/>
              <w:rPr>
                <w:rFonts w:ascii="Times New Roman" w:eastAsia="宋体" w:hAnsi="Times New Roman" w:cs="Times New Roman"/>
                <w:sz w:val="18"/>
                <w:szCs w:val="18"/>
              </w:rPr>
            </w:pPr>
            <w:r>
              <w:rPr>
                <w:rFonts w:ascii="Times New Roman" w:eastAsia="宋体" w:hAnsi="宋体" w:cs="Times New Roman" w:hint="eastAsia"/>
                <w:kern w:val="0"/>
                <w:sz w:val="18"/>
                <w:szCs w:val="18"/>
              </w:rPr>
              <w:t>S</w:t>
            </w:r>
            <w:r>
              <w:rPr>
                <w:rFonts w:ascii="Times New Roman" w:eastAsia="宋体" w:hAnsi="宋体" w:cs="Times New Roman"/>
                <w:kern w:val="0"/>
                <w:sz w:val="18"/>
                <w:szCs w:val="18"/>
              </w:rPr>
              <w:t>td. Dev.</w:t>
            </w:r>
          </w:p>
        </w:tc>
        <w:tc>
          <w:tcPr>
            <w:tcW w:w="567" w:type="dxa"/>
            <w:tcBorders>
              <w:top w:val="single" w:sz="4" w:space="0" w:color="auto"/>
              <w:bottom w:val="single" w:sz="4" w:space="0" w:color="auto"/>
            </w:tcBorders>
            <w:shd w:val="clear" w:color="auto" w:fill="auto"/>
            <w:vAlign w:val="center"/>
          </w:tcPr>
          <w:p w14:paraId="02099B9D" w14:textId="150ACC45" w:rsidR="00A2047C" w:rsidRPr="00A2047C" w:rsidRDefault="004B50A1" w:rsidP="00180DAA">
            <w:pPr>
              <w:widowControl/>
              <w:spacing w:line="360" w:lineRule="auto"/>
              <w:jc w:val="center"/>
              <w:textAlignment w:val="center"/>
              <w:rPr>
                <w:rFonts w:ascii="Times New Roman" w:eastAsia="宋体" w:hAnsi="Times New Roman" w:cs="Times New Roman"/>
                <w:sz w:val="18"/>
                <w:szCs w:val="18"/>
              </w:rPr>
            </w:pPr>
            <m:oMathPara>
              <m:oMath>
                <m:sSub>
                  <m:sSubPr>
                    <m:ctrlPr>
                      <w:rPr>
                        <w:rFonts w:ascii="Cambria Math" w:eastAsia="宋体" w:hAnsi="Cambria Math" w:cs="Times New Roman"/>
                        <w:i/>
                        <w:sz w:val="18"/>
                        <w:szCs w:val="18"/>
                      </w:rPr>
                    </m:ctrlPr>
                  </m:sSubPr>
                  <m:e>
                    <m:r>
                      <w:rPr>
                        <w:rFonts w:ascii="Cambria Math" w:eastAsia="宋体" w:hAnsi="Cambria Math" w:cs="Times New Roman"/>
                        <w:sz w:val="18"/>
                        <w:szCs w:val="18"/>
                      </w:rPr>
                      <m:t>β</m:t>
                    </m:r>
                  </m:e>
                  <m:sub>
                    <m:r>
                      <w:rPr>
                        <w:rFonts w:ascii="Cambria Math" w:eastAsia="宋体" w:hAnsi="Cambria Math" w:cs="Times New Roman"/>
                        <w:sz w:val="18"/>
                        <w:szCs w:val="18"/>
                      </w:rPr>
                      <m:t>i</m:t>
                    </m:r>
                  </m:sub>
                </m:sSub>
              </m:oMath>
            </m:oMathPara>
          </w:p>
        </w:tc>
        <w:tc>
          <w:tcPr>
            <w:tcW w:w="992" w:type="dxa"/>
            <w:tcBorders>
              <w:top w:val="single" w:sz="4" w:space="0" w:color="auto"/>
              <w:bottom w:val="single" w:sz="4" w:space="0" w:color="auto"/>
            </w:tcBorders>
            <w:shd w:val="clear" w:color="auto" w:fill="auto"/>
            <w:vAlign w:val="center"/>
          </w:tcPr>
          <w:p w14:paraId="45A395A6" w14:textId="1B784E46" w:rsidR="00A2047C" w:rsidRPr="00A2047C" w:rsidRDefault="00612CF8" w:rsidP="00180DAA">
            <w:pPr>
              <w:widowControl/>
              <w:spacing w:line="360" w:lineRule="auto"/>
              <w:jc w:val="center"/>
              <w:textAlignment w:val="center"/>
              <w:rPr>
                <w:rFonts w:ascii="Times New Roman" w:eastAsia="宋体" w:hAnsi="Times New Roman" w:cs="Times New Roman"/>
                <w:sz w:val="18"/>
                <w:szCs w:val="18"/>
              </w:rPr>
            </w:pPr>
            <w:r>
              <w:rPr>
                <w:rFonts w:ascii="Times New Roman" w:eastAsia="宋体" w:hAnsi="宋体" w:cs="Times New Roman" w:hint="eastAsia"/>
                <w:kern w:val="0"/>
                <w:sz w:val="18"/>
                <w:szCs w:val="18"/>
              </w:rPr>
              <w:t>S</w:t>
            </w:r>
            <w:r>
              <w:rPr>
                <w:rFonts w:ascii="Times New Roman" w:eastAsia="宋体" w:hAnsi="宋体" w:cs="Times New Roman"/>
                <w:kern w:val="0"/>
                <w:sz w:val="18"/>
                <w:szCs w:val="18"/>
              </w:rPr>
              <w:t>td. Dev.</w:t>
            </w:r>
          </w:p>
        </w:tc>
        <w:tc>
          <w:tcPr>
            <w:tcW w:w="709" w:type="dxa"/>
            <w:tcBorders>
              <w:top w:val="single" w:sz="4" w:space="0" w:color="auto"/>
              <w:bottom w:val="single" w:sz="4" w:space="0" w:color="auto"/>
            </w:tcBorders>
            <w:shd w:val="clear" w:color="auto" w:fill="auto"/>
            <w:vAlign w:val="center"/>
          </w:tcPr>
          <w:p w14:paraId="2FB0E351" w14:textId="0EED415D" w:rsidR="00A2047C" w:rsidRPr="00A2047C" w:rsidRDefault="004B50A1" w:rsidP="00180DAA">
            <w:pPr>
              <w:widowControl/>
              <w:spacing w:line="360" w:lineRule="auto"/>
              <w:jc w:val="center"/>
              <w:textAlignment w:val="center"/>
              <w:rPr>
                <w:rFonts w:ascii="Times New Roman" w:eastAsia="宋体" w:hAnsi="Times New Roman" w:cs="Times New Roman"/>
                <w:sz w:val="18"/>
                <w:szCs w:val="18"/>
              </w:rPr>
            </w:pPr>
            <m:oMathPara>
              <m:oMath>
                <m:sSub>
                  <m:sSubPr>
                    <m:ctrlPr>
                      <w:rPr>
                        <w:rFonts w:ascii="Cambria Math" w:eastAsia="宋体" w:hAnsi="Cambria Math" w:cs="Times New Roman"/>
                        <w:i/>
                        <w:sz w:val="18"/>
                        <w:szCs w:val="18"/>
                      </w:rPr>
                    </m:ctrlPr>
                  </m:sSubPr>
                  <m:e>
                    <m:r>
                      <w:rPr>
                        <w:rFonts w:ascii="Cambria Math" w:eastAsia="宋体" w:hAnsi="Cambria Math" w:cs="Times New Roman"/>
                        <w:sz w:val="18"/>
                        <w:szCs w:val="18"/>
                      </w:rPr>
                      <m:t>β</m:t>
                    </m:r>
                  </m:e>
                  <m:sub>
                    <m:r>
                      <w:rPr>
                        <w:rFonts w:ascii="Cambria Math" w:eastAsia="宋体" w:hAnsi="Cambria Math" w:cs="Times New Roman"/>
                        <w:sz w:val="18"/>
                        <w:szCs w:val="18"/>
                      </w:rPr>
                      <m:t>i</m:t>
                    </m:r>
                  </m:sub>
                </m:sSub>
              </m:oMath>
            </m:oMathPara>
          </w:p>
        </w:tc>
        <w:tc>
          <w:tcPr>
            <w:tcW w:w="992" w:type="dxa"/>
            <w:tcBorders>
              <w:top w:val="single" w:sz="4" w:space="0" w:color="auto"/>
              <w:bottom w:val="single" w:sz="4" w:space="0" w:color="auto"/>
            </w:tcBorders>
            <w:shd w:val="clear" w:color="auto" w:fill="auto"/>
            <w:vAlign w:val="center"/>
          </w:tcPr>
          <w:p w14:paraId="300D5505" w14:textId="7D678EAB" w:rsidR="00A2047C" w:rsidRPr="00A2047C" w:rsidRDefault="00612CF8" w:rsidP="00180DAA">
            <w:pPr>
              <w:widowControl/>
              <w:spacing w:line="360" w:lineRule="auto"/>
              <w:jc w:val="center"/>
              <w:textAlignment w:val="center"/>
              <w:rPr>
                <w:rFonts w:ascii="Times New Roman" w:eastAsia="宋体" w:hAnsi="Times New Roman" w:cs="Times New Roman"/>
                <w:sz w:val="18"/>
                <w:szCs w:val="18"/>
              </w:rPr>
            </w:pPr>
            <w:r>
              <w:rPr>
                <w:rFonts w:ascii="Times New Roman" w:eastAsia="宋体" w:hAnsi="宋体" w:cs="Times New Roman" w:hint="eastAsia"/>
                <w:kern w:val="0"/>
                <w:sz w:val="18"/>
                <w:szCs w:val="18"/>
              </w:rPr>
              <w:t>S</w:t>
            </w:r>
            <w:r>
              <w:rPr>
                <w:rFonts w:ascii="Times New Roman" w:eastAsia="宋体" w:hAnsi="宋体" w:cs="Times New Roman"/>
                <w:kern w:val="0"/>
                <w:sz w:val="18"/>
                <w:szCs w:val="18"/>
              </w:rPr>
              <w:t>td. Dev.</w:t>
            </w:r>
          </w:p>
        </w:tc>
      </w:tr>
      <w:bookmarkEnd w:id="18"/>
      <w:tr w:rsidR="00D5541E" w:rsidRPr="00A2047C" w14:paraId="14FA65BD" w14:textId="77777777" w:rsidTr="00F4257F">
        <w:trPr>
          <w:trHeight w:val="510"/>
          <w:jc w:val="center"/>
        </w:trPr>
        <w:tc>
          <w:tcPr>
            <w:tcW w:w="988" w:type="dxa"/>
            <w:tcBorders>
              <w:top w:val="single" w:sz="4" w:space="0" w:color="auto"/>
              <w:bottom w:val="single" w:sz="4" w:space="0" w:color="auto"/>
            </w:tcBorders>
            <w:shd w:val="clear" w:color="auto" w:fill="auto"/>
            <w:vAlign w:val="center"/>
          </w:tcPr>
          <w:p w14:paraId="71448DDB" w14:textId="77777777" w:rsidR="00D5541E" w:rsidRPr="00A2047C" w:rsidRDefault="00D5541E" w:rsidP="00D5541E">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Y(-1)</w:t>
            </w:r>
          </w:p>
        </w:tc>
        <w:tc>
          <w:tcPr>
            <w:tcW w:w="567" w:type="dxa"/>
            <w:tcBorders>
              <w:top w:val="single" w:sz="4" w:space="0" w:color="auto"/>
              <w:bottom w:val="single" w:sz="4" w:space="0" w:color="auto"/>
            </w:tcBorders>
            <w:shd w:val="clear" w:color="auto" w:fill="auto"/>
            <w:vAlign w:val="center"/>
          </w:tcPr>
          <w:p w14:paraId="6E02FC5F" w14:textId="1B6803D2"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65B0F">
              <w:rPr>
                <w:rFonts w:ascii="Times New Roman" w:hAnsi="Times New Roman" w:cs="Times New Roman"/>
                <w:color w:val="000000"/>
                <w:sz w:val="20"/>
                <w:szCs w:val="20"/>
              </w:rPr>
              <w:t>20</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0398C56C" w14:textId="34ADDF7C"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B65B0F">
              <w:rPr>
                <w:rFonts w:ascii="Times New Roman" w:hAnsi="Times New Roman" w:cs="Times New Roman"/>
                <w:color w:val="000000"/>
                <w:sz w:val="20"/>
                <w:szCs w:val="20"/>
              </w:rPr>
              <w:t>010</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16DA6BEC" w14:textId="0B6D4D1D"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9E3C0B">
              <w:rPr>
                <w:rFonts w:ascii="Times New Roman" w:hAnsi="Times New Roman" w:cs="Times New Roman"/>
                <w:color w:val="000000"/>
                <w:sz w:val="20"/>
                <w:szCs w:val="20"/>
              </w:rPr>
              <w:t>43</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546AEC3D" w14:textId="33DB3106"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9E3C0B">
              <w:rPr>
                <w:rFonts w:ascii="Times New Roman" w:hAnsi="Times New Roman" w:cs="Times New Roman"/>
                <w:color w:val="000000"/>
                <w:sz w:val="20"/>
                <w:szCs w:val="20"/>
              </w:rPr>
              <w:t>0022</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24F5C025" w14:textId="48232B6F" w:rsidR="00D5541E" w:rsidRPr="00A2047C" w:rsidRDefault="00D5541E" w:rsidP="003E6EE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3E6EE7">
              <w:rPr>
                <w:rFonts w:ascii="Times New Roman" w:hAnsi="Times New Roman" w:cs="Times New Roman"/>
                <w:color w:val="000000"/>
                <w:sz w:val="20"/>
                <w:szCs w:val="20"/>
              </w:rPr>
              <w:t>43</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02D91912" w14:textId="0AA8FE20" w:rsidR="00D5541E" w:rsidRPr="00A2047C" w:rsidRDefault="00D5541E" w:rsidP="003E6EE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3E6EE7">
              <w:rPr>
                <w:rFonts w:ascii="Times New Roman" w:hAnsi="Times New Roman" w:cs="Times New Roman"/>
                <w:color w:val="000000"/>
                <w:sz w:val="20"/>
                <w:szCs w:val="20"/>
              </w:rPr>
              <w:t>032</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5DA381E8" w14:textId="25B3F5B3" w:rsidR="00D5541E" w:rsidRPr="00A2047C" w:rsidRDefault="00D5541E" w:rsidP="00524C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524CC6">
              <w:rPr>
                <w:rFonts w:ascii="Times New Roman" w:hAnsi="Times New Roman" w:cs="Times New Roman"/>
                <w:color w:val="000000"/>
                <w:sz w:val="20"/>
                <w:szCs w:val="20"/>
              </w:rPr>
              <w:t>19</w:t>
            </w:r>
            <w:r>
              <w:rPr>
                <w:rFonts w:ascii="Times New Roman" w:hAnsi="Times New Roman" w:cs="Times New Roman"/>
                <w:color w:val="000000"/>
                <w:sz w:val="20"/>
                <w:szCs w:val="20"/>
              </w:rPr>
              <w:t xml:space="preserve"> </w:t>
            </w:r>
          </w:p>
        </w:tc>
        <w:tc>
          <w:tcPr>
            <w:tcW w:w="993" w:type="dxa"/>
            <w:tcBorders>
              <w:top w:val="single" w:sz="4" w:space="0" w:color="auto"/>
              <w:bottom w:val="single" w:sz="4" w:space="0" w:color="auto"/>
            </w:tcBorders>
            <w:shd w:val="clear" w:color="auto" w:fill="auto"/>
            <w:vAlign w:val="center"/>
          </w:tcPr>
          <w:p w14:paraId="64BB8E3A" w14:textId="3FA196C1" w:rsidR="00D5541E" w:rsidRPr="00A2047C" w:rsidRDefault="00D5541E" w:rsidP="00524C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524CC6">
              <w:rPr>
                <w:rFonts w:ascii="Times New Roman" w:hAnsi="Times New Roman" w:cs="Times New Roman"/>
                <w:color w:val="000000"/>
                <w:sz w:val="20"/>
                <w:szCs w:val="20"/>
              </w:rPr>
              <w:t>024</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0A4C3BF6" w14:textId="538289B5" w:rsidR="00D5541E" w:rsidRPr="00A2047C" w:rsidRDefault="00D5541E" w:rsidP="00FE58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E58C6">
              <w:rPr>
                <w:rFonts w:ascii="Times New Roman" w:hAnsi="Times New Roman" w:cs="Times New Roman"/>
                <w:color w:val="000000"/>
                <w:sz w:val="20"/>
                <w:szCs w:val="20"/>
              </w:rPr>
              <w:t>3</w:t>
            </w:r>
            <w:r>
              <w:rPr>
                <w:rFonts w:ascii="Times New Roman" w:hAnsi="Times New Roman" w:cs="Times New Roman"/>
                <w:color w:val="000000"/>
                <w:sz w:val="20"/>
                <w:szCs w:val="20"/>
              </w:rPr>
              <w:t xml:space="preserve">8 </w:t>
            </w:r>
          </w:p>
        </w:tc>
        <w:tc>
          <w:tcPr>
            <w:tcW w:w="992" w:type="dxa"/>
            <w:tcBorders>
              <w:top w:val="single" w:sz="4" w:space="0" w:color="auto"/>
              <w:bottom w:val="single" w:sz="4" w:space="0" w:color="auto"/>
            </w:tcBorders>
            <w:shd w:val="clear" w:color="auto" w:fill="auto"/>
            <w:vAlign w:val="center"/>
          </w:tcPr>
          <w:p w14:paraId="29A50DA2" w14:textId="07891E83" w:rsidR="00D5541E" w:rsidRPr="00A2047C" w:rsidRDefault="00D5541E" w:rsidP="00FE58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FE58C6">
              <w:rPr>
                <w:rFonts w:ascii="Times New Roman" w:hAnsi="Times New Roman" w:cs="Times New Roman"/>
                <w:color w:val="000000"/>
                <w:sz w:val="20"/>
                <w:szCs w:val="20"/>
              </w:rPr>
              <w:t>028</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3C08BB58" w14:textId="20463800" w:rsidR="00D5541E" w:rsidRPr="00A2047C" w:rsidRDefault="00D5541E" w:rsidP="00B53FF1">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65B0F">
              <w:rPr>
                <w:rFonts w:ascii="Times New Roman" w:hAnsi="Times New Roman" w:cs="Times New Roman"/>
                <w:color w:val="000000"/>
                <w:sz w:val="20"/>
                <w:szCs w:val="20"/>
              </w:rPr>
              <w:t>20</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3608015A" w14:textId="7CC682A8" w:rsidR="00D5541E" w:rsidRPr="00A2047C" w:rsidRDefault="00D5541E" w:rsidP="00B53FF1">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B65B0F">
              <w:rPr>
                <w:rFonts w:ascii="Times New Roman" w:hAnsi="Times New Roman" w:cs="Times New Roman"/>
                <w:color w:val="000000"/>
                <w:sz w:val="20"/>
                <w:szCs w:val="20"/>
              </w:rPr>
              <w:t>017</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6C28A020" w14:textId="7DBA3418" w:rsidR="00D5541E" w:rsidRPr="00A2047C" w:rsidRDefault="00D5541E" w:rsidP="00FE164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E1647">
              <w:rPr>
                <w:rFonts w:ascii="Times New Roman" w:hAnsi="Times New Roman" w:cs="Times New Roman"/>
                <w:color w:val="000000"/>
                <w:sz w:val="20"/>
                <w:szCs w:val="20"/>
              </w:rPr>
              <w:t>44</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6D93E1EF" w14:textId="52FDD8C0" w:rsidR="00D5541E" w:rsidRPr="00A2047C" w:rsidRDefault="00D5541E" w:rsidP="00FE164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E1647">
              <w:rPr>
                <w:rFonts w:ascii="Times New Roman" w:hAnsi="Times New Roman" w:cs="Times New Roman"/>
                <w:color w:val="000000"/>
                <w:sz w:val="20"/>
                <w:szCs w:val="20"/>
              </w:rPr>
              <w:t>0053</w:t>
            </w:r>
            <w:r>
              <w:rPr>
                <w:rFonts w:ascii="Times New Roman" w:hAnsi="Times New Roman" w:cs="Times New Roman"/>
                <w:color w:val="000000"/>
                <w:sz w:val="20"/>
                <w:szCs w:val="20"/>
              </w:rPr>
              <w:t>***</w:t>
            </w:r>
          </w:p>
        </w:tc>
        <w:tc>
          <w:tcPr>
            <w:tcW w:w="709" w:type="dxa"/>
            <w:tcBorders>
              <w:top w:val="single" w:sz="4" w:space="0" w:color="auto"/>
              <w:bottom w:val="single" w:sz="4" w:space="0" w:color="auto"/>
            </w:tcBorders>
            <w:shd w:val="clear" w:color="auto" w:fill="auto"/>
            <w:vAlign w:val="center"/>
          </w:tcPr>
          <w:p w14:paraId="5D4F86D5" w14:textId="53009C6B"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3772FD">
              <w:rPr>
                <w:rFonts w:ascii="Times New Roman" w:hAnsi="Times New Roman" w:cs="Times New Roman"/>
                <w:color w:val="000000"/>
                <w:sz w:val="20"/>
                <w:szCs w:val="20"/>
              </w:rPr>
              <w:t>3</w:t>
            </w:r>
            <w:r>
              <w:rPr>
                <w:rFonts w:ascii="Times New Roman" w:hAnsi="Times New Roman" w:cs="Times New Roman"/>
                <w:color w:val="000000"/>
                <w:sz w:val="20"/>
                <w:szCs w:val="20"/>
              </w:rPr>
              <w:t xml:space="preserve">8 </w:t>
            </w:r>
          </w:p>
        </w:tc>
        <w:tc>
          <w:tcPr>
            <w:tcW w:w="992" w:type="dxa"/>
            <w:tcBorders>
              <w:top w:val="single" w:sz="4" w:space="0" w:color="auto"/>
              <w:bottom w:val="single" w:sz="4" w:space="0" w:color="auto"/>
            </w:tcBorders>
            <w:shd w:val="clear" w:color="auto" w:fill="auto"/>
            <w:vAlign w:val="center"/>
          </w:tcPr>
          <w:p w14:paraId="4EF480B4" w14:textId="71645E7F"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3772FD">
              <w:rPr>
                <w:rFonts w:ascii="Times New Roman" w:hAnsi="Times New Roman" w:cs="Times New Roman"/>
                <w:color w:val="000000"/>
                <w:sz w:val="20"/>
                <w:szCs w:val="20"/>
              </w:rPr>
              <w:t>02</w:t>
            </w:r>
            <w:r>
              <w:rPr>
                <w:rFonts w:ascii="Times New Roman" w:hAnsi="Times New Roman" w:cs="Times New Roman"/>
                <w:color w:val="000000"/>
                <w:sz w:val="20"/>
                <w:szCs w:val="20"/>
              </w:rPr>
              <w:t>7***</w:t>
            </w:r>
          </w:p>
        </w:tc>
      </w:tr>
      <w:tr w:rsidR="00F4257F" w:rsidRPr="00A2047C" w14:paraId="274079BD" w14:textId="77777777" w:rsidTr="00F4257F">
        <w:trPr>
          <w:trHeight w:val="510"/>
          <w:jc w:val="center"/>
        </w:trPr>
        <w:tc>
          <w:tcPr>
            <w:tcW w:w="988" w:type="dxa"/>
            <w:tcBorders>
              <w:top w:val="single" w:sz="4" w:space="0" w:color="auto"/>
              <w:bottom w:val="single" w:sz="4" w:space="0" w:color="auto"/>
            </w:tcBorders>
            <w:shd w:val="clear" w:color="auto" w:fill="auto"/>
            <w:vAlign w:val="center"/>
          </w:tcPr>
          <w:p w14:paraId="651DD029" w14:textId="77777777" w:rsidR="00D5541E" w:rsidRPr="00A2047C" w:rsidRDefault="00D5541E" w:rsidP="00D5541E">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CAR</w:t>
            </w:r>
          </w:p>
        </w:tc>
        <w:tc>
          <w:tcPr>
            <w:tcW w:w="567" w:type="dxa"/>
            <w:tcBorders>
              <w:top w:val="single" w:sz="4" w:space="0" w:color="auto"/>
              <w:bottom w:val="single" w:sz="4" w:space="0" w:color="auto"/>
            </w:tcBorders>
            <w:shd w:val="clear" w:color="auto" w:fill="auto"/>
            <w:vAlign w:val="center"/>
          </w:tcPr>
          <w:p w14:paraId="43C7A031" w14:textId="2C829195"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w:t>
            </w:r>
            <w:r w:rsidR="00B65B0F">
              <w:rPr>
                <w:rFonts w:ascii="Times New Roman" w:hAnsi="Times New Roman" w:cs="Times New Roman"/>
                <w:color w:val="000000"/>
                <w:sz w:val="20"/>
                <w:szCs w:val="20"/>
              </w:rPr>
              <w:t>0.23</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5C5955D6" w14:textId="1DE72BB1"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65B0F">
              <w:rPr>
                <w:rFonts w:ascii="Times New Roman" w:hAnsi="Times New Roman" w:cs="Times New Roman"/>
                <w:color w:val="000000"/>
                <w:sz w:val="20"/>
                <w:szCs w:val="20"/>
              </w:rPr>
              <w:t>0332</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6A3ECB01" w14:textId="7DD3F324"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w:t>
            </w:r>
            <w:r w:rsidR="009E3C0B">
              <w:rPr>
                <w:rFonts w:ascii="Times New Roman" w:hAnsi="Times New Roman" w:cs="Times New Roman"/>
                <w:color w:val="000000"/>
                <w:sz w:val="20"/>
                <w:szCs w:val="20"/>
              </w:rPr>
              <w:t>0.21</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05FEE485" w14:textId="4E2B763B"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9E3C0B">
              <w:rPr>
                <w:rFonts w:ascii="Times New Roman" w:hAnsi="Times New Roman" w:cs="Times New Roman"/>
                <w:color w:val="000000"/>
                <w:sz w:val="20"/>
                <w:szCs w:val="20"/>
              </w:rPr>
              <w:t>0124</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1E917F29" w14:textId="6399758E" w:rsidR="00D5541E" w:rsidRPr="00A2047C" w:rsidRDefault="00D5541E" w:rsidP="003E6EE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w:t>
            </w:r>
            <w:r w:rsidR="003E6EE7">
              <w:rPr>
                <w:rFonts w:ascii="Times New Roman" w:hAnsi="Times New Roman" w:cs="Times New Roman"/>
                <w:color w:val="000000"/>
                <w:sz w:val="20"/>
                <w:szCs w:val="20"/>
              </w:rPr>
              <w:t>0.16</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4EC80E40" w14:textId="362C12BE" w:rsidR="00D5541E" w:rsidRPr="00A2047C" w:rsidRDefault="00D5541E" w:rsidP="003E6EE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3E6EE7">
              <w:rPr>
                <w:rFonts w:ascii="Times New Roman" w:hAnsi="Times New Roman" w:cs="Times New Roman"/>
                <w:color w:val="000000"/>
                <w:sz w:val="20"/>
                <w:szCs w:val="20"/>
              </w:rPr>
              <w:t>0176</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6BD79C97" w14:textId="72823106" w:rsidR="00D5541E" w:rsidRPr="00A2047C" w:rsidRDefault="00D5541E" w:rsidP="00524C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w:t>
            </w:r>
            <w:r w:rsidR="00524CC6">
              <w:rPr>
                <w:rFonts w:ascii="Times New Roman" w:hAnsi="Times New Roman" w:cs="Times New Roman"/>
                <w:color w:val="000000"/>
                <w:sz w:val="20"/>
                <w:szCs w:val="20"/>
              </w:rPr>
              <w:t>0.1</w:t>
            </w:r>
            <w:r>
              <w:rPr>
                <w:rFonts w:ascii="Times New Roman" w:hAnsi="Times New Roman" w:cs="Times New Roman"/>
                <w:color w:val="000000"/>
                <w:sz w:val="20"/>
                <w:szCs w:val="20"/>
              </w:rPr>
              <w:t xml:space="preserve">6 </w:t>
            </w:r>
          </w:p>
        </w:tc>
        <w:tc>
          <w:tcPr>
            <w:tcW w:w="993" w:type="dxa"/>
            <w:tcBorders>
              <w:top w:val="single" w:sz="4" w:space="0" w:color="auto"/>
              <w:bottom w:val="single" w:sz="4" w:space="0" w:color="auto"/>
            </w:tcBorders>
            <w:shd w:val="clear" w:color="auto" w:fill="auto"/>
            <w:vAlign w:val="center"/>
          </w:tcPr>
          <w:p w14:paraId="499F49E9" w14:textId="3ECACCA4" w:rsidR="00D5541E" w:rsidRPr="00A2047C" w:rsidRDefault="00D5541E" w:rsidP="00524C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524CC6">
              <w:rPr>
                <w:rFonts w:ascii="Times New Roman" w:hAnsi="Times New Roman" w:cs="Times New Roman"/>
                <w:color w:val="000000"/>
                <w:sz w:val="20"/>
                <w:szCs w:val="20"/>
              </w:rPr>
              <w:t>0384</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7EE34FA0" w14:textId="63275C2F" w:rsidR="00D5541E" w:rsidRPr="00A2047C" w:rsidRDefault="00D5541E" w:rsidP="00FE58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w:t>
            </w:r>
            <w:r w:rsidR="00FE58C6">
              <w:rPr>
                <w:rFonts w:ascii="Times New Roman" w:hAnsi="Times New Roman" w:cs="Times New Roman"/>
                <w:color w:val="000000"/>
                <w:sz w:val="20"/>
                <w:szCs w:val="20"/>
              </w:rPr>
              <w:t>0.14</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7172A11C" w14:textId="3D0992FF" w:rsidR="00D5541E" w:rsidRPr="00A2047C" w:rsidRDefault="00D5541E" w:rsidP="00FE58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E58C6">
              <w:rPr>
                <w:rFonts w:ascii="Times New Roman" w:hAnsi="Times New Roman" w:cs="Times New Roman"/>
                <w:color w:val="000000"/>
                <w:sz w:val="20"/>
                <w:szCs w:val="20"/>
              </w:rPr>
              <w:t>0181</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559BB644" w14:textId="2A5CF2F4" w:rsidR="00D5541E" w:rsidRPr="00A2047C" w:rsidRDefault="00D5541E" w:rsidP="00B53FF1">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w:t>
            </w:r>
            <w:r w:rsidR="00B65B0F">
              <w:rPr>
                <w:rFonts w:ascii="Times New Roman" w:hAnsi="Times New Roman" w:cs="Times New Roman"/>
                <w:color w:val="000000"/>
                <w:sz w:val="20"/>
                <w:szCs w:val="20"/>
              </w:rPr>
              <w:t>0.12</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51AC3BB9" w14:textId="304150F8" w:rsidR="00D5541E" w:rsidRPr="00A2047C" w:rsidRDefault="00D5541E" w:rsidP="00B53FF1">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65B0F">
              <w:rPr>
                <w:rFonts w:ascii="Times New Roman" w:hAnsi="Times New Roman" w:cs="Times New Roman"/>
                <w:color w:val="000000"/>
                <w:sz w:val="20"/>
                <w:szCs w:val="20"/>
              </w:rPr>
              <w:t>0208</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577C0D0F" w14:textId="0D6D9438" w:rsidR="00D5541E" w:rsidRPr="00A2047C" w:rsidRDefault="00D5541E" w:rsidP="00FE164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w:t>
            </w:r>
            <w:r w:rsidR="00FE1647">
              <w:rPr>
                <w:rFonts w:ascii="Times New Roman" w:hAnsi="Times New Roman" w:cs="Times New Roman"/>
                <w:color w:val="000000"/>
                <w:sz w:val="20"/>
                <w:szCs w:val="20"/>
              </w:rPr>
              <w:t>0.16</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4D0DE505" w14:textId="0100D2FD" w:rsidR="00D5541E" w:rsidRPr="00A2047C" w:rsidRDefault="00D5541E" w:rsidP="00FE164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E1647">
              <w:rPr>
                <w:rFonts w:ascii="Times New Roman" w:hAnsi="Times New Roman" w:cs="Times New Roman"/>
                <w:color w:val="000000"/>
                <w:sz w:val="20"/>
                <w:szCs w:val="20"/>
              </w:rPr>
              <w:t>0199</w:t>
            </w:r>
            <w:r>
              <w:rPr>
                <w:rFonts w:ascii="Times New Roman" w:hAnsi="Times New Roman" w:cs="Times New Roman"/>
                <w:color w:val="000000"/>
                <w:sz w:val="20"/>
                <w:szCs w:val="20"/>
              </w:rPr>
              <w:t>***</w:t>
            </w:r>
          </w:p>
        </w:tc>
        <w:tc>
          <w:tcPr>
            <w:tcW w:w="709" w:type="dxa"/>
            <w:tcBorders>
              <w:top w:val="single" w:sz="4" w:space="0" w:color="auto"/>
              <w:bottom w:val="single" w:sz="4" w:space="0" w:color="auto"/>
            </w:tcBorders>
            <w:shd w:val="clear" w:color="auto" w:fill="auto"/>
            <w:vAlign w:val="center"/>
          </w:tcPr>
          <w:p w14:paraId="2917D23A" w14:textId="17EE7BE0"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3772FD">
              <w:rPr>
                <w:rFonts w:ascii="Times New Roman" w:hAnsi="Times New Roman" w:cs="Times New Roman"/>
                <w:color w:val="000000"/>
                <w:sz w:val="20"/>
                <w:szCs w:val="20"/>
              </w:rPr>
              <w:t>17</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11E8B3A5" w14:textId="61515138"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3772FD">
              <w:rPr>
                <w:rFonts w:ascii="Times New Roman" w:hAnsi="Times New Roman" w:cs="Times New Roman"/>
                <w:color w:val="000000"/>
                <w:sz w:val="20"/>
                <w:szCs w:val="20"/>
              </w:rPr>
              <w:t>0152</w:t>
            </w:r>
            <w:r>
              <w:rPr>
                <w:rFonts w:ascii="Times New Roman" w:hAnsi="Times New Roman" w:cs="Times New Roman"/>
                <w:color w:val="000000"/>
                <w:sz w:val="20"/>
                <w:szCs w:val="20"/>
              </w:rPr>
              <w:t>***</w:t>
            </w:r>
          </w:p>
        </w:tc>
      </w:tr>
      <w:tr w:rsidR="00D5541E" w:rsidRPr="00A2047C" w14:paraId="2D509A71" w14:textId="77777777" w:rsidTr="00FB363B">
        <w:trPr>
          <w:trHeight w:val="510"/>
          <w:jc w:val="center"/>
        </w:trPr>
        <w:tc>
          <w:tcPr>
            <w:tcW w:w="988" w:type="dxa"/>
            <w:tcBorders>
              <w:top w:val="single" w:sz="4" w:space="0" w:color="auto"/>
              <w:bottom w:val="single" w:sz="4" w:space="0" w:color="auto"/>
            </w:tcBorders>
            <w:shd w:val="clear" w:color="auto" w:fill="auto"/>
            <w:vAlign w:val="center"/>
          </w:tcPr>
          <w:p w14:paraId="6F8B155C" w14:textId="77777777" w:rsidR="00D5541E" w:rsidRPr="00A2047C" w:rsidRDefault="00D5541E" w:rsidP="00D5541E">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NPL(-1)</w:t>
            </w:r>
          </w:p>
        </w:tc>
        <w:tc>
          <w:tcPr>
            <w:tcW w:w="567" w:type="dxa"/>
            <w:tcBorders>
              <w:top w:val="single" w:sz="4" w:space="0" w:color="auto"/>
              <w:bottom w:val="single" w:sz="4" w:space="0" w:color="auto"/>
            </w:tcBorders>
            <w:shd w:val="clear" w:color="auto" w:fill="auto"/>
            <w:vAlign w:val="center"/>
          </w:tcPr>
          <w:p w14:paraId="45BF521F" w14:textId="0571F0F8" w:rsidR="00D5541E" w:rsidRPr="00A2047C" w:rsidRDefault="00B65B0F"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1.44</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57BE5816" w14:textId="41E166E2"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65B0F">
              <w:rPr>
                <w:rFonts w:ascii="Times New Roman" w:hAnsi="Times New Roman" w:cs="Times New Roman"/>
                <w:color w:val="000000"/>
                <w:sz w:val="20"/>
                <w:szCs w:val="20"/>
              </w:rPr>
              <w:t>0516</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3C462241" w14:textId="7D2235C1" w:rsidR="00D5541E" w:rsidRPr="00A2047C" w:rsidRDefault="009E3C0B"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0.67</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699CDE6B" w14:textId="3A324B21"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9E3C0B">
              <w:rPr>
                <w:rFonts w:ascii="Times New Roman" w:hAnsi="Times New Roman" w:cs="Times New Roman"/>
                <w:color w:val="000000"/>
                <w:sz w:val="20"/>
                <w:szCs w:val="20"/>
              </w:rPr>
              <w:t>0709</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420DA1A9" w14:textId="25E23F04" w:rsidR="00D5541E" w:rsidRPr="00A2047C" w:rsidRDefault="003E6EE7" w:rsidP="003E6EE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0.79</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1FFFB4BA" w14:textId="521D2FB8" w:rsidR="00D5541E" w:rsidRPr="00A2047C" w:rsidRDefault="00D5541E" w:rsidP="003E6EE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3E6EE7">
              <w:rPr>
                <w:rFonts w:ascii="Times New Roman" w:hAnsi="Times New Roman" w:cs="Times New Roman"/>
                <w:color w:val="000000"/>
                <w:sz w:val="20"/>
                <w:szCs w:val="20"/>
              </w:rPr>
              <w:t>0361</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2FC4FF5D" w14:textId="6287D5B8" w:rsidR="00D5541E" w:rsidRPr="00A2047C" w:rsidRDefault="00524CC6" w:rsidP="00524C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1.35</w:t>
            </w:r>
            <w:r w:rsidR="00D5541E">
              <w:rPr>
                <w:rFonts w:ascii="Times New Roman" w:hAnsi="Times New Roman" w:cs="Times New Roman"/>
                <w:color w:val="000000"/>
                <w:sz w:val="20"/>
                <w:szCs w:val="20"/>
              </w:rPr>
              <w:t xml:space="preserve"> </w:t>
            </w:r>
          </w:p>
        </w:tc>
        <w:tc>
          <w:tcPr>
            <w:tcW w:w="993" w:type="dxa"/>
            <w:tcBorders>
              <w:top w:val="single" w:sz="4" w:space="0" w:color="auto"/>
              <w:bottom w:val="single" w:sz="4" w:space="0" w:color="auto"/>
            </w:tcBorders>
            <w:shd w:val="clear" w:color="auto" w:fill="auto"/>
            <w:vAlign w:val="center"/>
          </w:tcPr>
          <w:p w14:paraId="33856AAD" w14:textId="144C43AA" w:rsidR="00D5541E" w:rsidRPr="00A2047C" w:rsidRDefault="00D5541E" w:rsidP="00524C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524CC6">
              <w:rPr>
                <w:rFonts w:ascii="Times New Roman" w:hAnsi="Times New Roman" w:cs="Times New Roman"/>
                <w:color w:val="000000"/>
                <w:sz w:val="20"/>
                <w:szCs w:val="20"/>
              </w:rPr>
              <w:t>0941</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205A4B29" w14:textId="5D20693D" w:rsidR="00D5541E" w:rsidRPr="00A2047C" w:rsidRDefault="00FE58C6" w:rsidP="00FE58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1.14</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43023557" w14:textId="2851E363" w:rsidR="00D5541E" w:rsidRPr="00A2047C" w:rsidRDefault="00D5541E" w:rsidP="00FE58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E58C6">
              <w:rPr>
                <w:rFonts w:ascii="Times New Roman" w:hAnsi="Times New Roman" w:cs="Times New Roman"/>
                <w:color w:val="000000"/>
                <w:sz w:val="20"/>
                <w:szCs w:val="20"/>
              </w:rPr>
              <w:t>0352</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46C53574" w14:textId="62550E57" w:rsidR="00D5541E" w:rsidRPr="00A2047C" w:rsidRDefault="00B65B0F" w:rsidP="00B53FF1">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1.44</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16A07DBB" w14:textId="62AE3D5A" w:rsidR="00D5541E" w:rsidRPr="00A2047C" w:rsidRDefault="00D5541E" w:rsidP="00B53FF1">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65B0F">
              <w:rPr>
                <w:rFonts w:ascii="Times New Roman" w:hAnsi="Times New Roman" w:cs="Times New Roman"/>
                <w:color w:val="000000"/>
                <w:sz w:val="20"/>
                <w:szCs w:val="20"/>
              </w:rPr>
              <w:t>0730</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26043990" w14:textId="0FE5175F" w:rsidR="00D5541E" w:rsidRPr="00A2047C" w:rsidRDefault="00FE1647" w:rsidP="00FE164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1.02</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0B211FDC" w14:textId="1552D0A1" w:rsidR="00D5541E" w:rsidRPr="00A2047C" w:rsidRDefault="00D5541E" w:rsidP="00FE164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E1647">
              <w:rPr>
                <w:rFonts w:ascii="Times New Roman" w:hAnsi="Times New Roman" w:cs="Times New Roman"/>
                <w:color w:val="000000"/>
                <w:sz w:val="20"/>
                <w:szCs w:val="20"/>
              </w:rPr>
              <w:t>0720</w:t>
            </w:r>
            <w:r>
              <w:rPr>
                <w:rFonts w:ascii="Times New Roman" w:hAnsi="Times New Roman" w:cs="Times New Roman"/>
                <w:color w:val="000000"/>
                <w:sz w:val="20"/>
                <w:szCs w:val="20"/>
              </w:rPr>
              <w:t>***</w:t>
            </w:r>
          </w:p>
        </w:tc>
        <w:tc>
          <w:tcPr>
            <w:tcW w:w="709" w:type="dxa"/>
            <w:tcBorders>
              <w:top w:val="single" w:sz="4" w:space="0" w:color="auto"/>
              <w:bottom w:val="single" w:sz="4" w:space="0" w:color="auto"/>
            </w:tcBorders>
            <w:shd w:val="clear" w:color="auto" w:fill="auto"/>
            <w:vAlign w:val="center"/>
          </w:tcPr>
          <w:p w14:paraId="10CFE689" w14:textId="5BE43318" w:rsidR="00D5541E" w:rsidRPr="00A2047C" w:rsidRDefault="003772FD"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1.04</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12CBBE4F" w14:textId="06F338AB"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3772FD">
              <w:rPr>
                <w:rFonts w:ascii="Times New Roman" w:hAnsi="Times New Roman" w:cs="Times New Roman"/>
                <w:color w:val="000000"/>
                <w:sz w:val="20"/>
                <w:szCs w:val="20"/>
              </w:rPr>
              <w:t>0464</w:t>
            </w:r>
            <w:r>
              <w:rPr>
                <w:rFonts w:ascii="Times New Roman" w:hAnsi="Times New Roman" w:cs="Times New Roman"/>
                <w:color w:val="000000"/>
                <w:sz w:val="20"/>
                <w:szCs w:val="20"/>
              </w:rPr>
              <w:t>***</w:t>
            </w:r>
          </w:p>
        </w:tc>
      </w:tr>
      <w:tr w:rsidR="00F4257F" w:rsidRPr="00A2047C" w14:paraId="715896A1" w14:textId="77777777" w:rsidTr="000D1363">
        <w:trPr>
          <w:trHeight w:val="510"/>
          <w:jc w:val="center"/>
        </w:trPr>
        <w:tc>
          <w:tcPr>
            <w:tcW w:w="988" w:type="dxa"/>
            <w:tcBorders>
              <w:top w:val="single" w:sz="4" w:space="0" w:color="auto"/>
              <w:bottom w:val="single" w:sz="4" w:space="0" w:color="auto"/>
            </w:tcBorders>
            <w:shd w:val="clear" w:color="auto" w:fill="auto"/>
            <w:vAlign w:val="center"/>
          </w:tcPr>
          <w:p w14:paraId="0841AE4E" w14:textId="7C5CDD15" w:rsidR="00D5541E" w:rsidRPr="00A2047C" w:rsidRDefault="00D5541E" w:rsidP="00D5541E">
            <w:pPr>
              <w:widowControl/>
              <w:spacing w:line="360" w:lineRule="auto"/>
              <w:jc w:val="center"/>
              <w:textAlignment w:val="center"/>
              <w:rPr>
                <w:rFonts w:ascii="Times New Roman" w:eastAsia="宋体" w:hAnsi="Times New Roman" w:cs="Times New Roman"/>
                <w:b/>
                <w:i/>
                <w:sz w:val="18"/>
                <w:szCs w:val="18"/>
              </w:rPr>
            </w:pPr>
            <m:oMath>
              <m:r>
                <m:rPr>
                  <m:sty m:val="b"/>
                </m:rPr>
                <w:rPr>
                  <w:rFonts w:ascii="Cambria Math" w:eastAsia="宋体" w:hAnsi="Cambria Math" w:cs="Times New Roman"/>
                  <w:kern w:val="0"/>
                  <w:sz w:val="18"/>
                  <w:szCs w:val="18"/>
                </w:rPr>
                <m:t>Δ</m:t>
              </m:r>
            </m:oMath>
            <w:r>
              <w:rPr>
                <w:rFonts w:ascii="Times New Roman" w:eastAsia="宋体" w:hAnsi="Times New Roman" w:cs="Times New Roman"/>
                <w:b/>
                <w:i/>
                <w:kern w:val="0"/>
                <w:sz w:val="18"/>
                <w:szCs w:val="18"/>
              </w:rPr>
              <w:t>NIM</w:t>
            </w:r>
          </w:p>
        </w:tc>
        <w:tc>
          <w:tcPr>
            <w:tcW w:w="567" w:type="dxa"/>
            <w:tcBorders>
              <w:top w:val="single" w:sz="4" w:space="0" w:color="auto"/>
              <w:bottom w:val="single" w:sz="4" w:space="0" w:color="auto"/>
            </w:tcBorders>
            <w:shd w:val="clear" w:color="auto" w:fill="auto"/>
            <w:vAlign w:val="center"/>
          </w:tcPr>
          <w:p w14:paraId="5AC8A43A" w14:textId="557F5113" w:rsidR="00D5541E" w:rsidRPr="00A2047C" w:rsidRDefault="00B65B0F"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0.01</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5E512042" w14:textId="64DD1442"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65B0F">
              <w:rPr>
                <w:rFonts w:ascii="Times New Roman" w:hAnsi="Times New Roman" w:cs="Times New Roman"/>
                <w:color w:val="000000"/>
                <w:sz w:val="20"/>
                <w:szCs w:val="20"/>
              </w:rPr>
              <w:t>0130</w:t>
            </w:r>
          </w:p>
        </w:tc>
        <w:tc>
          <w:tcPr>
            <w:tcW w:w="567" w:type="dxa"/>
            <w:tcBorders>
              <w:top w:val="single" w:sz="4" w:space="0" w:color="auto"/>
              <w:bottom w:val="single" w:sz="4" w:space="0" w:color="auto"/>
            </w:tcBorders>
            <w:shd w:val="clear" w:color="auto" w:fill="auto"/>
            <w:vAlign w:val="center"/>
          </w:tcPr>
          <w:p w14:paraId="694F5FFC" w14:textId="74423485"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9E3C0B">
              <w:rPr>
                <w:rFonts w:ascii="Times New Roman" w:hAnsi="Times New Roman" w:cs="Times New Roman"/>
                <w:color w:val="000000"/>
                <w:sz w:val="20"/>
                <w:szCs w:val="20"/>
              </w:rPr>
              <w:t>10</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252248D9" w14:textId="64804A3D"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9E3C0B">
              <w:rPr>
                <w:rFonts w:ascii="Times New Roman" w:hAnsi="Times New Roman" w:cs="Times New Roman"/>
                <w:color w:val="000000"/>
                <w:sz w:val="20"/>
                <w:szCs w:val="20"/>
              </w:rPr>
              <w:t>0096</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2F5181CD" w14:textId="683318C1" w:rsidR="00D5541E" w:rsidRPr="00A2047C" w:rsidRDefault="00D5541E" w:rsidP="003E6EE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17923">
              <w:rPr>
                <w:rFonts w:ascii="Times New Roman" w:hAnsi="Times New Roman" w:cs="Times New Roman"/>
                <w:color w:val="000000"/>
                <w:sz w:val="20"/>
                <w:szCs w:val="20"/>
              </w:rPr>
              <w:t>00</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64ED6E8F" w14:textId="67FA3835" w:rsidR="00D5541E" w:rsidRPr="00A2047C" w:rsidRDefault="00D5541E" w:rsidP="00F17923">
            <w:pPr>
              <w:widowControl/>
              <w:wordWrap w:val="0"/>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17923">
              <w:rPr>
                <w:rFonts w:ascii="Times New Roman" w:hAnsi="Times New Roman" w:cs="Times New Roman"/>
                <w:color w:val="000000"/>
                <w:sz w:val="20"/>
                <w:szCs w:val="20"/>
              </w:rPr>
              <w:t xml:space="preserve">0219   </w:t>
            </w:r>
          </w:p>
        </w:tc>
        <w:tc>
          <w:tcPr>
            <w:tcW w:w="567" w:type="dxa"/>
            <w:tcBorders>
              <w:top w:val="single" w:sz="4" w:space="0" w:color="auto"/>
              <w:bottom w:val="single" w:sz="4" w:space="0" w:color="auto"/>
            </w:tcBorders>
            <w:shd w:val="clear" w:color="auto" w:fill="auto"/>
            <w:vAlign w:val="center"/>
          </w:tcPr>
          <w:p w14:paraId="03B76308" w14:textId="6D9AC910" w:rsidR="00D5541E" w:rsidRPr="00A2047C" w:rsidRDefault="00D5541E" w:rsidP="00524C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524CC6">
              <w:rPr>
                <w:rFonts w:ascii="Times New Roman" w:hAnsi="Times New Roman" w:cs="Times New Roman"/>
                <w:color w:val="000000"/>
                <w:sz w:val="20"/>
                <w:szCs w:val="20"/>
              </w:rPr>
              <w:t>11</w:t>
            </w:r>
            <w:r>
              <w:rPr>
                <w:rFonts w:ascii="Times New Roman" w:hAnsi="Times New Roman" w:cs="Times New Roman"/>
                <w:color w:val="000000"/>
                <w:sz w:val="20"/>
                <w:szCs w:val="20"/>
              </w:rPr>
              <w:t xml:space="preserve"> </w:t>
            </w:r>
          </w:p>
        </w:tc>
        <w:tc>
          <w:tcPr>
            <w:tcW w:w="993" w:type="dxa"/>
            <w:tcBorders>
              <w:top w:val="single" w:sz="4" w:space="0" w:color="auto"/>
              <w:bottom w:val="single" w:sz="4" w:space="0" w:color="auto"/>
            </w:tcBorders>
            <w:shd w:val="clear" w:color="auto" w:fill="auto"/>
            <w:vAlign w:val="center"/>
          </w:tcPr>
          <w:p w14:paraId="2D5EDFC8" w14:textId="0A82B1FF" w:rsidR="00D5541E" w:rsidRPr="00A2047C" w:rsidRDefault="00D5541E" w:rsidP="00524C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524CC6">
              <w:rPr>
                <w:rFonts w:ascii="Times New Roman" w:hAnsi="Times New Roman" w:cs="Times New Roman"/>
                <w:color w:val="000000"/>
                <w:sz w:val="20"/>
                <w:szCs w:val="20"/>
              </w:rPr>
              <w:t>0106</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2BBBC623" w14:textId="053136E6" w:rsidR="00D5541E" w:rsidRPr="00A2047C" w:rsidRDefault="00D5541E" w:rsidP="00FE58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E58C6">
              <w:rPr>
                <w:rFonts w:ascii="Times New Roman" w:hAnsi="Times New Roman" w:cs="Times New Roman"/>
                <w:color w:val="000000"/>
                <w:sz w:val="20"/>
                <w:szCs w:val="20"/>
              </w:rPr>
              <w:t>1</w:t>
            </w:r>
            <w:r>
              <w:rPr>
                <w:rFonts w:ascii="Times New Roman" w:hAnsi="Times New Roman" w:cs="Times New Roman"/>
                <w:color w:val="000000"/>
                <w:sz w:val="20"/>
                <w:szCs w:val="20"/>
              </w:rPr>
              <w:t xml:space="preserve">5 </w:t>
            </w:r>
          </w:p>
        </w:tc>
        <w:tc>
          <w:tcPr>
            <w:tcW w:w="992" w:type="dxa"/>
            <w:tcBorders>
              <w:top w:val="single" w:sz="4" w:space="0" w:color="auto"/>
              <w:bottom w:val="single" w:sz="4" w:space="0" w:color="auto"/>
            </w:tcBorders>
            <w:shd w:val="clear" w:color="auto" w:fill="auto"/>
            <w:vAlign w:val="center"/>
          </w:tcPr>
          <w:p w14:paraId="5DACF552" w14:textId="38F49C20" w:rsidR="00D5541E" w:rsidRPr="00A2047C" w:rsidRDefault="00D5541E" w:rsidP="00FE58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E58C6">
              <w:rPr>
                <w:rFonts w:ascii="Times New Roman" w:hAnsi="Times New Roman" w:cs="Times New Roman"/>
                <w:color w:val="000000"/>
                <w:sz w:val="20"/>
                <w:szCs w:val="20"/>
              </w:rPr>
              <w:t>0153</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4F4C2501" w14:textId="3C31AE7D" w:rsidR="00D5541E" w:rsidRPr="00A2047C" w:rsidRDefault="00B53FF1" w:rsidP="00B53FF1">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D5541E">
              <w:rPr>
                <w:rFonts w:ascii="Times New Roman" w:hAnsi="Times New Roman" w:cs="Times New Roman"/>
                <w:color w:val="000000"/>
                <w:sz w:val="20"/>
                <w:szCs w:val="20"/>
              </w:rPr>
              <w:t>0</w:t>
            </w:r>
            <w:r>
              <w:rPr>
                <w:rFonts w:ascii="Times New Roman" w:hAnsi="Times New Roman" w:cs="Times New Roman"/>
                <w:color w:val="000000"/>
                <w:sz w:val="20"/>
                <w:szCs w:val="20"/>
              </w:rPr>
              <w:t>8</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37346584" w14:textId="19089B80" w:rsidR="00D5541E" w:rsidRPr="00A2047C" w:rsidRDefault="00D5541E" w:rsidP="00B53FF1">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53FF1">
              <w:rPr>
                <w:rFonts w:ascii="Times New Roman" w:hAnsi="Times New Roman" w:cs="Times New Roman"/>
                <w:color w:val="000000"/>
                <w:sz w:val="20"/>
                <w:szCs w:val="20"/>
              </w:rPr>
              <w:t>0093</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70273DBC" w14:textId="34FC10CA" w:rsidR="00D5541E" w:rsidRPr="00A2047C" w:rsidRDefault="00D5541E" w:rsidP="00FE164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E1647">
              <w:rPr>
                <w:rFonts w:ascii="Times New Roman" w:hAnsi="Times New Roman" w:cs="Times New Roman"/>
                <w:color w:val="000000"/>
                <w:sz w:val="20"/>
                <w:szCs w:val="20"/>
              </w:rPr>
              <w:t>18</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2C784BC3" w14:textId="09968F7E" w:rsidR="00D5541E" w:rsidRPr="00A2047C" w:rsidRDefault="00D5541E" w:rsidP="00FE164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E1647">
              <w:rPr>
                <w:rFonts w:ascii="Times New Roman" w:hAnsi="Times New Roman" w:cs="Times New Roman"/>
                <w:color w:val="000000"/>
                <w:sz w:val="20"/>
                <w:szCs w:val="20"/>
              </w:rPr>
              <w:t>0204*</w:t>
            </w:r>
            <w:r>
              <w:rPr>
                <w:rFonts w:ascii="Times New Roman" w:hAnsi="Times New Roman" w:cs="Times New Roman"/>
                <w:color w:val="000000"/>
                <w:sz w:val="20"/>
                <w:szCs w:val="20"/>
              </w:rPr>
              <w:t>**</w:t>
            </w:r>
          </w:p>
        </w:tc>
        <w:tc>
          <w:tcPr>
            <w:tcW w:w="709" w:type="dxa"/>
            <w:tcBorders>
              <w:top w:val="single" w:sz="4" w:space="0" w:color="auto"/>
              <w:bottom w:val="single" w:sz="4" w:space="0" w:color="auto"/>
            </w:tcBorders>
            <w:shd w:val="clear" w:color="auto" w:fill="auto"/>
            <w:vAlign w:val="center"/>
          </w:tcPr>
          <w:p w14:paraId="1DFF3210" w14:textId="35AB1A6C"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3772FD">
              <w:rPr>
                <w:rFonts w:ascii="Times New Roman" w:hAnsi="Times New Roman" w:cs="Times New Roman"/>
                <w:color w:val="000000"/>
                <w:sz w:val="20"/>
                <w:szCs w:val="20"/>
              </w:rPr>
              <w:t>11</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62304875" w14:textId="2352C32F"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3772FD">
              <w:rPr>
                <w:rFonts w:ascii="Times New Roman" w:hAnsi="Times New Roman" w:cs="Times New Roman"/>
                <w:color w:val="000000"/>
                <w:sz w:val="20"/>
                <w:szCs w:val="20"/>
              </w:rPr>
              <w:t>0139</w:t>
            </w:r>
            <w:r>
              <w:rPr>
                <w:rFonts w:ascii="Times New Roman" w:hAnsi="Times New Roman" w:cs="Times New Roman"/>
                <w:color w:val="000000"/>
                <w:sz w:val="20"/>
                <w:szCs w:val="20"/>
              </w:rPr>
              <w:t>***</w:t>
            </w:r>
          </w:p>
        </w:tc>
      </w:tr>
      <w:tr w:rsidR="00D5541E" w:rsidRPr="00A2047C" w14:paraId="2F7DCE58" w14:textId="77777777" w:rsidTr="000D1363">
        <w:trPr>
          <w:trHeight w:val="510"/>
          <w:jc w:val="center"/>
        </w:trPr>
        <w:tc>
          <w:tcPr>
            <w:tcW w:w="988" w:type="dxa"/>
            <w:tcBorders>
              <w:top w:val="single" w:sz="4" w:space="0" w:color="auto"/>
              <w:bottom w:val="single" w:sz="4" w:space="0" w:color="auto"/>
            </w:tcBorders>
            <w:shd w:val="clear" w:color="auto" w:fill="auto"/>
            <w:vAlign w:val="center"/>
          </w:tcPr>
          <w:p w14:paraId="6E978E6E" w14:textId="77777777" w:rsidR="00D5541E" w:rsidRPr="00A2047C" w:rsidRDefault="00D5541E" w:rsidP="00D5541E">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LDR</w:t>
            </w:r>
          </w:p>
        </w:tc>
        <w:tc>
          <w:tcPr>
            <w:tcW w:w="567" w:type="dxa"/>
            <w:tcBorders>
              <w:top w:val="single" w:sz="4" w:space="0" w:color="auto"/>
              <w:bottom w:val="single" w:sz="4" w:space="0" w:color="auto"/>
            </w:tcBorders>
            <w:shd w:val="clear" w:color="auto" w:fill="auto"/>
            <w:vAlign w:val="center"/>
          </w:tcPr>
          <w:p w14:paraId="473FFA30" w14:textId="078D9D12"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65B0F">
              <w:rPr>
                <w:rFonts w:ascii="Times New Roman" w:hAnsi="Times New Roman" w:cs="Times New Roman"/>
                <w:color w:val="000000"/>
                <w:sz w:val="20"/>
                <w:szCs w:val="20"/>
              </w:rPr>
              <w:t>54</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7C6DD063" w14:textId="6A898DFE"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B65B0F">
              <w:rPr>
                <w:rFonts w:ascii="Times New Roman" w:hAnsi="Times New Roman" w:cs="Times New Roman"/>
                <w:color w:val="000000"/>
                <w:sz w:val="20"/>
                <w:szCs w:val="20"/>
              </w:rPr>
              <w:t>033</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1BE054B6" w14:textId="7FCF3596"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9E3C0B">
              <w:rPr>
                <w:rFonts w:ascii="Times New Roman" w:hAnsi="Times New Roman" w:cs="Times New Roman"/>
                <w:color w:val="000000"/>
                <w:sz w:val="20"/>
                <w:szCs w:val="20"/>
              </w:rPr>
              <w:t>39</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081E8F94" w14:textId="65B9DBE2"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9E3C0B">
              <w:rPr>
                <w:rFonts w:ascii="Times New Roman" w:hAnsi="Times New Roman" w:cs="Times New Roman"/>
                <w:color w:val="000000"/>
                <w:sz w:val="20"/>
                <w:szCs w:val="20"/>
              </w:rPr>
              <w:t>040</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1776E2DB" w14:textId="529E7E5D" w:rsidR="00D5541E" w:rsidRPr="00A2047C" w:rsidRDefault="00D5541E" w:rsidP="003E6EE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-0.4</w:t>
            </w:r>
            <w:r w:rsidR="00F17923">
              <w:rPr>
                <w:rFonts w:ascii="Times New Roman" w:hAnsi="Times New Roman" w:cs="Times New Roman"/>
                <w:color w:val="000000"/>
                <w:sz w:val="20"/>
                <w:szCs w:val="20"/>
              </w:rPr>
              <w:t>0</w:t>
            </w:r>
          </w:p>
        </w:tc>
        <w:tc>
          <w:tcPr>
            <w:tcW w:w="992" w:type="dxa"/>
            <w:tcBorders>
              <w:top w:val="single" w:sz="4" w:space="0" w:color="auto"/>
              <w:bottom w:val="single" w:sz="4" w:space="0" w:color="auto"/>
            </w:tcBorders>
            <w:shd w:val="clear" w:color="auto" w:fill="auto"/>
            <w:vAlign w:val="center"/>
          </w:tcPr>
          <w:p w14:paraId="46E9A6FA" w14:textId="360CEE2A" w:rsidR="00D5541E" w:rsidRPr="00A2047C" w:rsidRDefault="00D5541E" w:rsidP="003E6EE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F17923">
              <w:rPr>
                <w:rFonts w:ascii="Times New Roman" w:hAnsi="Times New Roman" w:cs="Times New Roman"/>
                <w:color w:val="000000"/>
                <w:sz w:val="20"/>
                <w:szCs w:val="20"/>
              </w:rPr>
              <w:t>057</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0CB7A03C" w14:textId="11762484" w:rsidR="00D5541E" w:rsidRPr="00A2047C" w:rsidRDefault="00D5541E" w:rsidP="00524C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524CC6">
              <w:rPr>
                <w:rFonts w:ascii="Times New Roman" w:hAnsi="Times New Roman" w:cs="Times New Roman"/>
                <w:color w:val="000000"/>
                <w:sz w:val="20"/>
                <w:szCs w:val="20"/>
              </w:rPr>
              <w:t>67</w:t>
            </w:r>
            <w:r>
              <w:rPr>
                <w:rFonts w:ascii="Times New Roman" w:hAnsi="Times New Roman" w:cs="Times New Roman"/>
                <w:color w:val="000000"/>
                <w:sz w:val="20"/>
                <w:szCs w:val="20"/>
              </w:rPr>
              <w:t xml:space="preserve"> </w:t>
            </w:r>
          </w:p>
        </w:tc>
        <w:tc>
          <w:tcPr>
            <w:tcW w:w="993" w:type="dxa"/>
            <w:tcBorders>
              <w:top w:val="single" w:sz="4" w:space="0" w:color="auto"/>
              <w:bottom w:val="single" w:sz="4" w:space="0" w:color="auto"/>
            </w:tcBorders>
            <w:shd w:val="clear" w:color="auto" w:fill="auto"/>
            <w:vAlign w:val="center"/>
          </w:tcPr>
          <w:p w14:paraId="7B8AE859" w14:textId="64339A94" w:rsidR="00D5541E" w:rsidRPr="00A2047C" w:rsidRDefault="00D5541E" w:rsidP="00524C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524CC6">
              <w:rPr>
                <w:rFonts w:ascii="Times New Roman" w:hAnsi="Times New Roman" w:cs="Times New Roman"/>
                <w:color w:val="000000"/>
                <w:sz w:val="20"/>
                <w:szCs w:val="20"/>
              </w:rPr>
              <w:t>117</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1B009446" w14:textId="25460C91" w:rsidR="00D5541E" w:rsidRPr="00A2047C" w:rsidRDefault="00D5541E" w:rsidP="00FE58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E58C6">
              <w:rPr>
                <w:rFonts w:ascii="Times New Roman" w:hAnsi="Times New Roman" w:cs="Times New Roman"/>
                <w:color w:val="000000"/>
                <w:sz w:val="20"/>
                <w:szCs w:val="20"/>
              </w:rPr>
              <w:t>45</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0044F150" w14:textId="70752103" w:rsidR="00D5541E" w:rsidRPr="00A2047C" w:rsidRDefault="00D5541E" w:rsidP="00FE58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FE58C6">
              <w:rPr>
                <w:rFonts w:ascii="Times New Roman" w:hAnsi="Times New Roman" w:cs="Times New Roman"/>
                <w:color w:val="000000"/>
                <w:sz w:val="20"/>
                <w:szCs w:val="20"/>
              </w:rPr>
              <w:t>046</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6FEA4028" w14:textId="792182E1" w:rsidR="00D5541E" w:rsidRPr="00A2047C" w:rsidRDefault="00D5541E" w:rsidP="00B53FF1">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53FF1">
              <w:rPr>
                <w:rFonts w:ascii="Times New Roman" w:hAnsi="Times New Roman" w:cs="Times New Roman"/>
                <w:color w:val="000000"/>
                <w:sz w:val="20"/>
                <w:szCs w:val="20"/>
              </w:rPr>
              <w:t>53</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08AC4449" w14:textId="48D3AB43" w:rsidR="00D5541E" w:rsidRPr="00A2047C" w:rsidRDefault="00D5541E" w:rsidP="00B53FF1">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B53FF1">
              <w:rPr>
                <w:rFonts w:ascii="Times New Roman" w:hAnsi="Times New Roman" w:cs="Times New Roman"/>
                <w:color w:val="000000"/>
                <w:sz w:val="20"/>
                <w:szCs w:val="20"/>
              </w:rPr>
              <w:t>034</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53C448DC" w14:textId="2E305B16" w:rsidR="00D5541E" w:rsidRPr="00A2047C" w:rsidRDefault="00D5541E" w:rsidP="00FE164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E1647">
              <w:rPr>
                <w:rFonts w:ascii="Times New Roman" w:hAnsi="Times New Roman" w:cs="Times New Roman"/>
                <w:color w:val="000000"/>
                <w:sz w:val="20"/>
                <w:szCs w:val="20"/>
              </w:rPr>
              <w:t>38</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2C2BFD6F" w14:textId="478FD12D" w:rsidR="00D5541E" w:rsidRPr="00A2047C" w:rsidRDefault="00D5541E" w:rsidP="00FE164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FE1647">
              <w:rPr>
                <w:rFonts w:ascii="Times New Roman" w:hAnsi="Times New Roman" w:cs="Times New Roman"/>
                <w:color w:val="000000"/>
                <w:sz w:val="20"/>
                <w:szCs w:val="20"/>
              </w:rPr>
              <w:t>062</w:t>
            </w:r>
            <w:r>
              <w:rPr>
                <w:rFonts w:ascii="Times New Roman" w:hAnsi="Times New Roman" w:cs="Times New Roman"/>
                <w:color w:val="000000"/>
                <w:sz w:val="20"/>
                <w:szCs w:val="20"/>
              </w:rPr>
              <w:t>***</w:t>
            </w:r>
          </w:p>
        </w:tc>
        <w:tc>
          <w:tcPr>
            <w:tcW w:w="709" w:type="dxa"/>
            <w:tcBorders>
              <w:top w:val="single" w:sz="4" w:space="0" w:color="auto"/>
              <w:bottom w:val="single" w:sz="4" w:space="0" w:color="auto"/>
            </w:tcBorders>
            <w:shd w:val="clear" w:color="auto" w:fill="auto"/>
            <w:vAlign w:val="center"/>
          </w:tcPr>
          <w:p w14:paraId="2EA6592D" w14:textId="36A163C9"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-0.4</w:t>
            </w:r>
            <w:r w:rsidR="003772FD">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3EB7E29F" w14:textId="00F26C7A"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3772FD">
              <w:rPr>
                <w:rFonts w:ascii="Times New Roman" w:hAnsi="Times New Roman" w:cs="Times New Roman"/>
                <w:color w:val="000000"/>
                <w:sz w:val="20"/>
                <w:szCs w:val="20"/>
              </w:rPr>
              <w:t>047</w:t>
            </w:r>
            <w:r>
              <w:rPr>
                <w:rFonts w:ascii="Times New Roman" w:hAnsi="Times New Roman" w:cs="Times New Roman"/>
                <w:color w:val="000000"/>
                <w:sz w:val="20"/>
                <w:szCs w:val="20"/>
              </w:rPr>
              <w:t>***</w:t>
            </w:r>
          </w:p>
        </w:tc>
      </w:tr>
      <w:tr w:rsidR="00F4257F" w:rsidRPr="00A2047C" w14:paraId="0CD5F6F2" w14:textId="77777777" w:rsidTr="000D1363">
        <w:trPr>
          <w:trHeight w:val="510"/>
          <w:jc w:val="center"/>
        </w:trPr>
        <w:tc>
          <w:tcPr>
            <w:tcW w:w="988" w:type="dxa"/>
            <w:tcBorders>
              <w:top w:val="single" w:sz="4" w:space="0" w:color="auto"/>
              <w:bottom w:val="single" w:sz="4" w:space="0" w:color="auto"/>
            </w:tcBorders>
            <w:shd w:val="clear" w:color="auto" w:fill="auto"/>
            <w:vAlign w:val="center"/>
          </w:tcPr>
          <w:p w14:paraId="0861E4FB" w14:textId="77777777" w:rsidR="00D5541E" w:rsidRPr="00A2047C" w:rsidRDefault="00D5541E" w:rsidP="00D5541E">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LL</w:t>
            </w:r>
          </w:p>
        </w:tc>
        <w:tc>
          <w:tcPr>
            <w:tcW w:w="567" w:type="dxa"/>
            <w:tcBorders>
              <w:top w:val="single" w:sz="4" w:space="0" w:color="auto"/>
              <w:bottom w:val="single" w:sz="4" w:space="0" w:color="auto"/>
            </w:tcBorders>
            <w:shd w:val="clear" w:color="auto" w:fill="auto"/>
            <w:vAlign w:val="center"/>
          </w:tcPr>
          <w:p w14:paraId="2E9A30F3" w14:textId="1FAE7167"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65B0F">
              <w:rPr>
                <w:rFonts w:ascii="Times New Roman" w:hAnsi="Times New Roman" w:cs="Times New Roman"/>
                <w:color w:val="000000"/>
                <w:sz w:val="20"/>
                <w:szCs w:val="20"/>
              </w:rPr>
              <w:t>61</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6C54A3DB" w14:textId="2585AAB7"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B65B0F">
              <w:rPr>
                <w:rFonts w:ascii="Times New Roman" w:hAnsi="Times New Roman" w:cs="Times New Roman"/>
                <w:color w:val="000000"/>
                <w:sz w:val="20"/>
                <w:szCs w:val="20"/>
              </w:rPr>
              <w:t>036</w:t>
            </w:r>
            <w:r>
              <w:rPr>
                <w:rFonts w:ascii="Times New Roman" w:hAnsi="Times New Roman" w:cs="Times New Roman"/>
                <w:color w:val="000000"/>
                <w:sz w:val="20"/>
                <w:szCs w:val="20"/>
              </w:rPr>
              <w:t>**</w:t>
            </w:r>
            <w:r w:rsidR="00B65B0F">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061EF0A3" w14:textId="65065C30"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9E3C0B">
              <w:rPr>
                <w:rFonts w:ascii="Times New Roman" w:hAnsi="Times New Roman" w:cs="Times New Roman"/>
                <w:color w:val="000000"/>
                <w:sz w:val="20"/>
                <w:szCs w:val="20"/>
              </w:rPr>
              <w:t>4</w:t>
            </w:r>
            <w:r>
              <w:rPr>
                <w:rFonts w:ascii="Times New Roman" w:hAnsi="Times New Roman" w:cs="Times New Roman"/>
                <w:color w:val="000000"/>
                <w:sz w:val="20"/>
                <w:szCs w:val="20"/>
              </w:rPr>
              <w:t xml:space="preserve">9 </w:t>
            </w:r>
          </w:p>
        </w:tc>
        <w:tc>
          <w:tcPr>
            <w:tcW w:w="992" w:type="dxa"/>
            <w:tcBorders>
              <w:top w:val="single" w:sz="4" w:space="0" w:color="auto"/>
              <w:bottom w:val="single" w:sz="4" w:space="0" w:color="auto"/>
            </w:tcBorders>
            <w:shd w:val="clear" w:color="auto" w:fill="auto"/>
            <w:vAlign w:val="center"/>
          </w:tcPr>
          <w:p w14:paraId="6C025C3A" w14:textId="5730C58F"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9E3C0B">
              <w:rPr>
                <w:rFonts w:ascii="Times New Roman" w:hAnsi="Times New Roman" w:cs="Times New Roman"/>
                <w:color w:val="000000"/>
                <w:sz w:val="20"/>
                <w:szCs w:val="20"/>
              </w:rPr>
              <w:t>022</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3199140F" w14:textId="5596D729" w:rsidR="00D5541E" w:rsidRPr="00A2047C" w:rsidRDefault="00D5541E" w:rsidP="003E6EE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17923">
              <w:rPr>
                <w:rFonts w:ascii="Times New Roman" w:hAnsi="Times New Roman" w:cs="Times New Roman"/>
                <w:color w:val="000000"/>
                <w:sz w:val="20"/>
                <w:szCs w:val="20"/>
              </w:rPr>
              <w:t>50</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58A34802" w14:textId="14EB3492" w:rsidR="00D5541E" w:rsidRPr="00A2047C" w:rsidRDefault="00D5541E" w:rsidP="003E6EE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F17923">
              <w:rPr>
                <w:rFonts w:ascii="Times New Roman" w:hAnsi="Times New Roman" w:cs="Times New Roman"/>
                <w:color w:val="000000"/>
                <w:sz w:val="20"/>
                <w:szCs w:val="20"/>
              </w:rPr>
              <w:t>030</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0B0E5649" w14:textId="7936D19D" w:rsidR="00D5541E" w:rsidRPr="00A2047C" w:rsidRDefault="00D5541E" w:rsidP="00524C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524CC6">
              <w:rPr>
                <w:rFonts w:ascii="Times New Roman" w:hAnsi="Times New Roman" w:cs="Times New Roman"/>
                <w:color w:val="000000"/>
                <w:sz w:val="20"/>
                <w:szCs w:val="20"/>
              </w:rPr>
              <w:t>62</w:t>
            </w:r>
            <w:r>
              <w:rPr>
                <w:rFonts w:ascii="Times New Roman" w:hAnsi="Times New Roman" w:cs="Times New Roman"/>
                <w:color w:val="000000"/>
                <w:sz w:val="20"/>
                <w:szCs w:val="20"/>
              </w:rPr>
              <w:t xml:space="preserve"> </w:t>
            </w:r>
          </w:p>
        </w:tc>
        <w:tc>
          <w:tcPr>
            <w:tcW w:w="993" w:type="dxa"/>
            <w:tcBorders>
              <w:top w:val="single" w:sz="4" w:space="0" w:color="auto"/>
              <w:bottom w:val="single" w:sz="4" w:space="0" w:color="auto"/>
            </w:tcBorders>
            <w:shd w:val="clear" w:color="auto" w:fill="auto"/>
            <w:vAlign w:val="center"/>
          </w:tcPr>
          <w:p w14:paraId="4010F507" w14:textId="50C92DF1" w:rsidR="00D5541E" w:rsidRPr="00A2047C" w:rsidRDefault="00D5541E" w:rsidP="00524C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524CC6">
              <w:rPr>
                <w:rFonts w:ascii="Times New Roman" w:hAnsi="Times New Roman" w:cs="Times New Roman"/>
                <w:color w:val="000000"/>
                <w:sz w:val="20"/>
                <w:szCs w:val="20"/>
              </w:rPr>
              <w:t>038</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6594E475" w14:textId="623F3FE0" w:rsidR="00D5541E" w:rsidRPr="00A2047C" w:rsidRDefault="00D5541E" w:rsidP="00FE58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E58C6">
              <w:rPr>
                <w:rFonts w:ascii="Times New Roman" w:hAnsi="Times New Roman" w:cs="Times New Roman"/>
                <w:color w:val="000000"/>
                <w:sz w:val="20"/>
                <w:szCs w:val="20"/>
              </w:rPr>
              <w:t>42</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1C0D5152" w14:textId="422D435D" w:rsidR="00D5541E" w:rsidRPr="00A2047C" w:rsidRDefault="00D5541E" w:rsidP="00FE58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FE58C6">
              <w:rPr>
                <w:rFonts w:ascii="Times New Roman" w:hAnsi="Times New Roman" w:cs="Times New Roman"/>
                <w:color w:val="000000"/>
                <w:sz w:val="20"/>
                <w:szCs w:val="20"/>
              </w:rPr>
              <w:t>067</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45F57115" w14:textId="3D69951C" w:rsidR="00D5541E" w:rsidRPr="00A2047C" w:rsidRDefault="00D5541E" w:rsidP="00B53FF1">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53FF1">
              <w:rPr>
                <w:rFonts w:ascii="Times New Roman" w:hAnsi="Times New Roman" w:cs="Times New Roman"/>
                <w:color w:val="000000"/>
                <w:sz w:val="20"/>
                <w:szCs w:val="20"/>
              </w:rPr>
              <w:t>63</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7400189A" w14:textId="1048154F" w:rsidR="00D5541E" w:rsidRPr="00A2047C" w:rsidRDefault="00D5541E" w:rsidP="00B53FF1">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B53FF1">
              <w:rPr>
                <w:rFonts w:ascii="Times New Roman" w:hAnsi="Times New Roman" w:cs="Times New Roman"/>
                <w:color w:val="000000"/>
                <w:sz w:val="20"/>
                <w:szCs w:val="20"/>
              </w:rPr>
              <w:t>033</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42BCD451" w14:textId="67F0FCE2" w:rsidR="00D5541E" w:rsidRPr="00A2047C" w:rsidRDefault="00D5541E" w:rsidP="00FE164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647BCA">
              <w:rPr>
                <w:rFonts w:ascii="Times New Roman" w:hAnsi="Times New Roman" w:cs="Times New Roman"/>
                <w:color w:val="000000"/>
                <w:sz w:val="20"/>
                <w:szCs w:val="20"/>
              </w:rPr>
              <w:t>50</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6129F161" w14:textId="6E516121" w:rsidR="00D5541E" w:rsidRPr="00A2047C" w:rsidRDefault="00D5541E" w:rsidP="00FE164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647BCA">
              <w:rPr>
                <w:rFonts w:ascii="Times New Roman" w:hAnsi="Times New Roman" w:cs="Times New Roman"/>
                <w:color w:val="000000"/>
                <w:sz w:val="20"/>
                <w:szCs w:val="20"/>
              </w:rPr>
              <w:t>042</w:t>
            </w:r>
            <w:r>
              <w:rPr>
                <w:rFonts w:ascii="Times New Roman" w:hAnsi="Times New Roman" w:cs="Times New Roman"/>
                <w:color w:val="000000"/>
                <w:sz w:val="20"/>
                <w:szCs w:val="20"/>
              </w:rPr>
              <w:t>***</w:t>
            </w:r>
          </w:p>
        </w:tc>
        <w:tc>
          <w:tcPr>
            <w:tcW w:w="709" w:type="dxa"/>
            <w:tcBorders>
              <w:top w:val="single" w:sz="4" w:space="0" w:color="auto"/>
              <w:bottom w:val="single" w:sz="4" w:space="0" w:color="auto"/>
            </w:tcBorders>
            <w:shd w:val="clear" w:color="auto" w:fill="auto"/>
            <w:vAlign w:val="center"/>
          </w:tcPr>
          <w:p w14:paraId="211DFACB" w14:textId="451BB0F2"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024915">
              <w:rPr>
                <w:rFonts w:ascii="Times New Roman" w:hAnsi="Times New Roman" w:cs="Times New Roman"/>
                <w:color w:val="000000"/>
                <w:sz w:val="20"/>
                <w:szCs w:val="20"/>
              </w:rPr>
              <w:t>52</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162B0E72" w14:textId="36F5FE32"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024915">
              <w:rPr>
                <w:rFonts w:ascii="Times New Roman" w:hAnsi="Times New Roman" w:cs="Times New Roman"/>
                <w:color w:val="000000"/>
                <w:sz w:val="20"/>
                <w:szCs w:val="20"/>
              </w:rPr>
              <w:t>025</w:t>
            </w:r>
            <w:r>
              <w:rPr>
                <w:rFonts w:ascii="Times New Roman" w:hAnsi="Times New Roman" w:cs="Times New Roman"/>
                <w:color w:val="000000"/>
                <w:sz w:val="20"/>
                <w:szCs w:val="20"/>
              </w:rPr>
              <w:t>***</w:t>
            </w:r>
          </w:p>
        </w:tc>
      </w:tr>
      <w:tr w:rsidR="00D5541E" w:rsidRPr="00A2047C" w14:paraId="0DE3B30C"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076F58FD" w14:textId="77777777" w:rsidR="00D5541E" w:rsidRPr="00A2047C" w:rsidRDefault="00D5541E" w:rsidP="00D5541E">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hint="eastAsia"/>
                <w:b/>
                <w:i/>
                <w:kern w:val="0"/>
                <w:sz w:val="18"/>
                <w:szCs w:val="18"/>
              </w:rPr>
              <w:t>CBL</w:t>
            </w:r>
          </w:p>
        </w:tc>
        <w:tc>
          <w:tcPr>
            <w:tcW w:w="567" w:type="dxa"/>
            <w:tcBorders>
              <w:top w:val="single" w:sz="4" w:space="0" w:color="auto"/>
              <w:bottom w:val="single" w:sz="4" w:space="0" w:color="auto"/>
            </w:tcBorders>
            <w:shd w:val="clear" w:color="auto" w:fill="auto"/>
            <w:vAlign w:val="center"/>
          </w:tcPr>
          <w:p w14:paraId="55B5A8CB" w14:textId="73E61165"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65B0F">
              <w:rPr>
                <w:rFonts w:ascii="Times New Roman" w:hAnsi="Times New Roman" w:cs="Times New Roman"/>
                <w:color w:val="000000"/>
                <w:sz w:val="20"/>
                <w:szCs w:val="20"/>
              </w:rPr>
              <w:t>10</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35194724" w14:textId="373AA2AE"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65B0F">
              <w:rPr>
                <w:rFonts w:ascii="Times New Roman" w:hAnsi="Times New Roman" w:cs="Times New Roman"/>
                <w:color w:val="000000"/>
                <w:sz w:val="20"/>
                <w:szCs w:val="20"/>
              </w:rPr>
              <w:t>0081***</w:t>
            </w:r>
          </w:p>
        </w:tc>
        <w:tc>
          <w:tcPr>
            <w:tcW w:w="567" w:type="dxa"/>
            <w:tcBorders>
              <w:top w:val="single" w:sz="4" w:space="0" w:color="auto"/>
              <w:bottom w:val="single" w:sz="4" w:space="0" w:color="auto"/>
            </w:tcBorders>
            <w:shd w:val="clear" w:color="auto" w:fill="auto"/>
            <w:vAlign w:val="center"/>
          </w:tcPr>
          <w:p w14:paraId="25CB104A" w14:textId="658171B8"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9E3C0B">
              <w:rPr>
                <w:rFonts w:ascii="Times New Roman" w:hAnsi="Times New Roman" w:cs="Times New Roman"/>
                <w:color w:val="000000"/>
                <w:sz w:val="20"/>
                <w:szCs w:val="20"/>
              </w:rPr>
              <w:t>13</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7A3CA30C" w14:textId="7A72481B" w:rsidR="00D5541E" w:rsidRPr="00A2047C" w:rsidRDefault="009E3C0B"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0.0059***</w:t>
            </w:r>
            <w:r w:rsidR="00D5541E">
              <w:rPr>
                <w:rFonts w:ascii="Times New Roman" w:hAnsi="Times New Roman" w:cs="Times New Roman"/>
                <w:color w:val="000000"/>
                <w:sz w:val="20"/>
                <w:szCs w:val="20"/>
              </w:rPr>
              <w:t xml:space="preserve"> </w:t>
            </w:r>
          </w:p>
        </w:tc>
        <w:tc>
          <w:tcPr>
            <w:tcW w:w="567" w:type="dxa"/>
            <w:tcBorders>
              <w:top w:val="single" w:sz="4" w:space="0" w:color="auto"/>
              <w:bottom w:val="single" w:sz="4" w:space="0" w:color="auto"/>
            </w:tcBorders>
            <w:shd w:val="clear" w:color="auto" w:fill="auto"/>
            <w:vAlign w:val="center"/>
          </w:tcPr>
          <w:p w14:paraId="0347FE19" w14:textId="5E46FB4B" w:rsidR="00D5541E" w:rsidRPr="00A2047C" w:rsidRDefault="00D5541E" w:rsidP="003E6EE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0.1</w:t>
            </w:r>
            <w:r w:rsidR="00F17923">
              <w:rPr>
                <w:rFonts w:ascii="Times New Roman" w:hAnsi="Times New Roman" w:cs="Times New Roman"/>
                <w:color w:val="000000"/>
                <w:sz w:val="20"/>
                <w:szCs w:val="20"/>
              </w:rPr>
              <w:t>6</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7BEBA692" w14:textId="1B529C28" w:rsidR="00D5541E" w:rsidRPr="00A2047C" w:rsidRDefault="00D5541E" w:rsidP="003E6EE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17923">
              <w:rPr>
                <w:rFonts w:ascii="Times New Roman" w:hAnsi="Times New Roman" w:cs="Times New Roman"/>
                <w:color w:val="000000"/>
                <w:sz w:val="20"/>
                <w:szCs w:val="20"/>
              </w:rPr>
              <w:t>0106***</w:t>
            </w:r>
            <w:r>
              <w:rPr>
                <w:rFonts w:ascii="Times New Roman" w:hAnsi="Times New Roman" w:cs="Times New Roman"/>
                <w:color w:val="000000"/>
                <w:sz w:val="20"/>
                <w:szCs w:val="20"/>
              </w:rPr>
              <w:t xml:space="preserve"> </w:t>
            </w:r>
          </w:p>
        </w:tc>
        <w:tc>
          <w:tcPr>
            <w:tcW w:w="567" w:type="dxa"/>
            <w:tcBorders>
              <w:top w:val="single" w:sz="4" w:space="0" w:color="auto"/>
              <w:bottom w:val="single" w:sz="4" w:space="0" w:color="auto"/>
            </w:tcBorders>
            <w:shd w:val="clear" w:color="auto" w:fill="auto"/>
            <w:vAlign w:val="center"/>
          </w:tcPr>
          <w:p w14:paraId="1A6236AA" w14:textId="5F7B6390" w:rsidR="00D5541E" w:rsidRPr="00A2047C" w:rsidRDefault="00524CC6" w:rsidP="00524C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0.08</w:t>
            </w:r>
            <w:r w:rsidR="00D5541E">
              <w:rPr>
                <w:rFonts w:ascii="Times New Roman" w:hAnsi="Times New Roman" w:cs="Times New Roman"/>
                <w:color w:val="000000"/>
                <w:sz w:val="20"/>
                <w:szCs w:val="20"/>
              </w:rPr>
              <w:t xml:space="preserve"> </w:t>
            </w:r>
          </w:p>
        </w:tc>
        <w:tc>
          <w:tcPr>
            <w:tcW w:w="993" w:type="dxa"/>
            <w:tcBorders>
              <w:top w:val="single" w:sz="4" w:space="0" w:color="auto"/>
              <w:bottom w:val="single" w:sz="4" w:space="0" w:color="auto"/>
            </w:tcBorders>
            <w:shd w:val="clear" w:color="auto" w:fill="auto"/>
            <w:vAlign w:val="center"/>
          </w:tcPr>
          <w:p w14:paraId="44D7D978" w14:textId="0160C578" w:rsidR="00D5541E" w:rsidRPr="00A2047C" w:rsidRDefault="00524CC6" w:rsidP="00524C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0.0107***</w:t>
            </w:r>
            <w:r w:rsidR="00D5541E">
              <w:rPr>
                <w:rFonts w:ascii="Times New Roman" w:hAnsi="Times New Roman" w:cs="Times New Roman"/>
                <w:color w:val="000000"/>
                <w:sz w:val="20"/>
                <w:szCs w:val="20"/>
              </w:rPr>
              <w:t xml:space="preserve"> </w:t>
            </w:r>
          </w:p>
        </w:tc>
        <w:tc>
          <w:tcPr>
            <w:tcW w:w="567" w:type="dxa"/>
            <w:tcBorders>
              <w:top w:val="single" w:sz="4" w:space="0" w:color="auto"/>
              <w:bottom w:val="single" w:sz="4" w:space="0" w:color="auto"/>
            </w:tcBorders>
            <w:shd w:val="clear" w:color="auto" w:fill="auto"/>
            <w:vAlign w:val="center"/>
          </w:tcPr>
          <w:p w14:paraId="27BEB5E6" w14:textId="4912BEAE" w:rsidR="00D5541E" w:rsidRPr="00A2047C" w:rsidRDefault="00D5541E" w:rsidP="00FE58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0.1</w:t>
            </w:r>
            <w:r w:rsidR="00FE58C6">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5A550235" w14:textId="483749E0" w:rsidR="00D5541E" w:rsidRPr="00A2047C" w:rsidRDefault="00D5541E" w:rsidP="00FE58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FE58C6">
              <w:rPr>
                <w:rFonts w:ascii="Times New Roman" w:hAnsi="Times New Roman" w:cs="Times New Roman"/>
                <w:color w:val="000000"/>
                <w:sz w:val="20"/>
                <w:szCs w:val="20"/>
              </w:rPr>
              <w:t>0073***</w:t>
            </w:r>
            <w:r>
              <w:rPr>
                <w:rFonts w:ascii="Times New Roman" w:hAnsi="Times New Roman" w:cs="Times New Roman"/>
                <w:color w:val="000000"/>
                <w:sz w:val="20"/>
                <w:szCs w:val="20"/>
              </w:rPr>
              <w:t xml:space="preserve"> </w:t>
            </w:r>
          </w:p>
        </w:tc>
        <w:tc>
          <w:tcPr>
            <w:tcW w:w="567" w:type="dxa"/>
            <w:tcBorders>
              <w:top w:val="single" w:sz="4" w:space="0" w:color="auto"/>
              <w:bottom w:val="single" w:sz="4" w:space="0" w:color="auto"/>
            </w:tcBorders>
            <w:shd w:val="clear" w:color="auto" w:fill="auto"/>
            <w:vAlign w:val="center"/>
          </w:tcPr>
          <w:p w14:paraId="0A429A4D" w14:textId="511AC2DA" w:rsidR="00D5541E" w:rsidRPr="00A2047C" w:rsidRDefault="00B53FF1" w:rsidP="00B53FF1">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0.51</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382636CB" w14:textId="0F35FAF7" w:rsidR="00D5541E" w:rsidRPr="00A2047C" w:rsidRDefault="00B53FF1" w:rsidP="00B53FF1">
            <w:pPr>
              <w:widowControl/>
              <w:spacing w:line="360" w:lineRule="auto"/>
              <w:ind w:firstLineChars="50" w:firstLine="100"/>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0.0671***</w:t>
            </w:r>
          </w:p>
        </w:tc>
        <w:tc>
          <w:tcPr>
            <w:tcW w:w="567" w:type="dxa"/>
            <w:tcBorders>
              <w:top w:val="single" w:sz="4" w:space="0" w:color="auto"/>
              <w:bottom w:val="single" w:sz="4" w:space="0" w:color="auto"/>
            </w:tcBorders>
            <w:shd w:val="clear" w:color="auto" w:fill="auto"/>
            <w:vAlign w:val="center"/>
          </w:tcPr>
          <w:p w14:paraId="2D10D3C7" w14:textId="3C355EDC" w:rsidR="00D5541E" w:rsidRPr="00A2047C" w:rsidRDefault="00647BCA" w:rsidP="00647BCA">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0.12</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79993E73" w14:textId="2F3CD86C" w:rsidR="00D5541E" w:rsidRPr="00A2047C" w:rsidRDefault="00647BCA" w:rsidP="00FE164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0.0106***</w:t>
            </w:r>
            <w:r w:rsidR="00D5541E">
              <w:rPr>
                <w:rFonts w:ascii="Times New Roman" w:hAnsi="Times New Roman" w:cs="Times New Roman"/>
                <w:color w:val="000000"/>
                <w:sz w:val="20"/>
                <w:szCs w:val="20"/>
              </w:rPr>
              <w:t xml:space="preserve"> </w:t>
            </w:r>
          </w:p>
        </w:tc>
        <w:tc>
          <w:tcPr>
            <w:tcW w:w="709" w:type="dxa"/>
            <w:tcBorders>
              <w:top w:val="single" w:sz="4" w:space="0" w:color="auto"/>
              <w:bottom w:val="single" w:sz="4" w:space="0" w:color="auto"/>
            </w:tcBorders>
            <w:shd w:val="clear" w:color="auto" w:fill="auto"/>
            <w:vAlign w:val="center"/>
          </w:tcPr>
          <w:p w14:paraId="06FDB4B9" w14:textId="7EDBE46E" w:rsidR="00D5541E" w:rsidRPr="00A2047C" w:rsidRDefault="00024915"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0.10</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4E0AC2E5" w14:textId="6A369D81" w:rsidR="00D5541E" w:rsidRPr="00A2047C" w:rsidRDefault="00024915"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0.0073***</w:t>
            </w:r>
            <w:r w:rsidR="00D5541E">
              <w:rPr>
                <w:rFonts w:ascii="Times New Roman" w:hAnsi="Times New Roman" w:cs="Times New Roman"/>
                <w:color w:val="000000"/>
                <w:sz w:val="20"/>
                <w:szCs w:val="20"/>
              </w:rPr>
              <w:t xml:space="preserve"> </w:t>
            </w:r>
          </w:p>
        </w:tc>
      </w:tr>
      <w:tr w:rsidR="00F4257F" w:rsidRPr="00A2047C" w14:paraId="09A6F61E" w14:textId="77777777" w:rsidTr="000D1363">
        <w:trPr>
          <w:trHeight w:val="510"/>
          <w:jc w:val="center"/>
        </w:trPr>
        <w:tc>
          <w:tcPr>
            <w:tcW w:w="988" w:type="dxa"/>
            <w:tcBorders>
              <w:top w:val="single" w:sz="4" w:space="0" w:color="auto"/>
              <w:bottom w:val="single" w:sz="4" w:space="0" w:color="auto"/>
            </w:tcBorders>
            <w:shd w:val="clear" w:color="auto" w:fill="auto"/>
            <w:vAlign w:val="center"/>
          </w:tcPr>
          <w:p w14:paraId="73587D64" w14:textId="6A3F0E48" w:rsidR="00D5541E" w:rsidRPr="00A2047C" w:rsidRDefault="00D5541E" w:rsidP="00D5541E">
            <w:pPr>
              <w:widowControl/>
              <w:spacing w:line="360" w:lineRule="auto"/>
              <w:jc w:val="center"/>
              <w:textAlignment w:val="center"/>
              <w:rPr>
                <w:rFonts w:ascii="Times New Roman" w:eastAsia="宋体" w:hAnsi="Times New Roman" w:cs="Times New Roman"/>
                <w:b/>
                <w:i/>
                <w:sz w:val="18"/>
                <w:szCs w:val="18"/>
              </w:rPr>
            </w:pPr>
            <w:r>
              <w:rPr>
                <w:rFonts w:ascii="Times New Roman" w:eastAsia="宋体" w:hAnsi="Times New Roman" w:cs="Times New Roman"/>
                <w:b/>
                <w:i/>
                <w:kern w:val="0"/>
                <w:sz w:val="18"/>
                <w:szCs w:val="18"/>
              </w:rPr>
              <w:t>I</w:t>
            </w:r>
            <w:r w:rsidRPr="00A2047C">
              <w:rPr>
                <w:rFonts w:ascii="Times New Roman" w:eastAsia="宋体" w:hAnsi="Times New Roman" w:cs="Times New Roman"/>
                <w:b/>
                <w:i/>
                <w:kern w:val="0"/>
                <w:sz w:val="18"/>
                <w:szCs w:val="18"/>
              </w:rPr>
              <w:t>A</w:t>
            </w:r>
          </w:p>
        </w:tc>
        <w:tc>
          <w:tcPr>
            <w:tcW w:w="567" w:type="dxa"/>
            <w:tcBorders>
              <w:top w:val="single" w:sz="4" w:space="0" w:color="auto"/>
              <w:bottom w:val="single" w:sz="4" w:space="0" w:color="auto"/>
            </w:tcBorders>
            <w:shd w:val="clear" w:color="auto" w:fill="auto"/>
            <w:vAlign w:val="center"/>
          </w:tcPr>
          <w:p w14:paraId="24CF61B6" w14:textId="29BCDFF2"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65B0F">
              <w:rPr>
                <w:rFonts w:ascii="Times New Roman" w:hAnsi="Times New Roman" w:cs="Times New Roman"/>
                <w:color w:val="000000"/>
                <w:sz w:val="20"/>
                <w:szCs w:val="20"/>
              </w:rPr>
              <w:t>86</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42E44AAD" w14:textId="013943DD"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65B0F">
              <w:rPr>
                <w:rFonts w:ascii="Times New Roman" w:hAnsi="Times New Roman" w:cs="Times New Roman"/>
                <w:color w:val="000000"/>
                <w:sz w:val="20"/>
                <w:szCs w:val="20"/>
              </w:rPr>
              <w:t>0028</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4B11943B" w14:textId="13772F17"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9E3C0B">
              <w:rPr>
                <w:rFonts w:ascii="Times New Roman" w:hAnsi="Times New Roman" w:cs="Times New Roman"/>
                <w:color w:val="000000"/>
                <w:sz w:val="20"/>
                <w:szCs w:val="20"/>
              </w:rPr>
              <w:t>72</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7C707CE9" w14:textId="14A28973"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9E3C0B">
              <w:rPr>
                <w:rFonts w:ascii="Times New Roman" w:hAnsi="Times New Roman" w:cs="Times New Roman"/>
                <w:color w:val="000000"/>
                <w:sz w:val="20"/>
                <w:szCs w:val="20"/>
              </w:rPr>
              <w:t>027</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027502EA" w14:textId="0FDB7B68" w:rsidR="00D5541E" w:rsidRPr="00A2047C" w:rsidRDefault="00D5541E" w:rsidP="003E6EE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-0.7</w:t>
            </w:r>
            <w:r w:rsidR="00F17923">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5DFD7FAE" w14:textId="3EB0F266" w:rsidR="00D5541E" w:rsidRPr="00A2047C" w:rsidRDefault="00D5541E" w:rsidP="003E6EE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F17923">
              <w:rPr>
                <w:rFonts w:ascii="Times New Roman" w:hAnsi="Times New Roman" w:cs="Times New Roman"/>
                <w:color w:val="000000"/>
                <w:sz w:val="20"/>
                <w:szCs w:val="20"/>
              </w:rPr>
              <w:t>049</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61182AA6" w14:textId="11A1CE32" w:rsidR="00D5541E" w:rsidRPr="00A2047C" w:rsidRDefault="00D5541E" w:rsidP="00524C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524CC6">
              <w:rPr>
                <w:rFonts w:ascii="Times New Roman" w:hAnsi="Times New Roman" w:cs="Times New Roman"/>
                <w:color w:val="000000"/>
                <w:sz w:val="20"/>
                <w:szCs w:val="20"/>
              </w:rPr>
              <w:t>87</w:t>
            </w:r>
            <w:r>
              <w:rPr>
                <w:rFonts w:ascii="Times New Roman" w:hAnsi="Times New Roman" w:cs="Times New Roman"/>
                <w:color w:val="000000"/>
                <w:sz w:val="20"/>
                <w:szCs w:val="20"/>
              </w:rPr>
              <w:t xml:space="preserve"> </w:t>
            </w:r>
          </w:p>
        </w:tc>
        <w:tc>
          <w:tcPr>
            <w:tcW w:w="993" w:type="dxa"/>
            <w:tcBorders>
              <w:top w:val="single" w:sz="4" w:space="0" w:color="auto"/>
              <w:bottom w:val="single" w:sz="4" w:space="0" w:color="auto"/>
            </w:tcBorders>
            <w:shd w:val="clear" w:color="auto" w:fill="auto"/>
            <w:vAlign w:val="center"/>
          </w:tcPr>
          <w:p w14:paraId="77291D7C" w14:textId="70AB2732" w:rsidR="00D5541E" w:rsidRPr="00A2047C" w:rsidRDefault="00D5541E" w:rsidP="00524C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524CC6">
              <w:rPr>
                <w:rFonts w:ascii="Times New Roman" w:hAnsi="Times New Roman" w:cs="Times New Roman"/>
                <w:color w:val="000000"/>
                <w:sz w:val="20"/>
                <w:szCs w:val="20"/>
              </w:rPr>
              <w:t>0</w:t>
            </w:r>
            <w:r>
              <w:rPr>
                <w:rFonts w:ascii="Times New Roman" w:hAnsi="Times New Roman" w:cs="Times New Roman"/>
                <w:color w:val="000000"/>
                <w:sz w:val="20"/>
                <w:szCs w:val="20"/>
              </w:rPr>
              <w:t>44***</w:t>
            </w:r>
          </w:p>
        </w:tc>
        <w:tc>
          <w:tcPr>
            <w:tcW w:w="567" w:type="dxa"/>
            <w:tcBorders>
              <w:top w:val="single" w:sz="4" w:space="0" w:color="auto"/>
              <w:bottom w:val="single" w:sz="4" w:space="0" w:color="auto"/>
            </w:tcBorders>
            <w:shd w:val="clear" w:color="auto" w:fill="auto"/>
            <w:vAlign w:val="center"/>
          </w:tcPr>
          <w:p w14:paraId="7F5D0F8F" w14:textId="584CB4BB" w:rsidR="00D5541E" w:rsidRPr="00A2047C" w:rsidRDefault="00D5541E" w:rsidP="00FE58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-0.7</w:t>
            </w:r>
            <w:r w:rsidR="00FE58C6">
              <w:rPr>
                <w:rFonts w:ascii="Times New Roman" w:hAnsi="Times New Roman" w:cs="Times New Roman"/>
                <w:color w:val="000000"/>
                <w:sz w:val="20"/>
                <w:szCs w:val="20"/>
              </w:rPr>
              <w:t>5</w:t>
            </w:r>
            <w:r>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302AE859" w14:textId="2FE4D472" w:rsidR="00D5541E" w:rsidRPr="00A2047C" w:rsidRDefault="00D5541E" w:rsidP="00FE58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FE58C6">
              <w:rPr>
                <w:rFonts w:ascii="Times New Roman" w:hAnsi="Times New Roman" w:cs="Times New Roman"/>
                <w:color w:val="000000"/>
                <w:sz w:val="20"/>
                <w:szCs w:val="20"/>
              </w:rPr>
              <w:t>034</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79205A7F" w14:textId="2F63DADD" w:rsidR="00D5541E" w:rsidRPr="00A2047C" w:rsidRDefault="00D5541E" w:rsidP="00B53FF1">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53FF1">
              <w:rPr>
                <w:rFonts w:ascii="Times New Roman" w:hAnsi="Times New Roman" w:cs="Times New Roman"/>
                <w:color w:val="000000"/>
                <w:sz w:val="20"/>
                <w:szCs w:val="20"/>
              </w:rPr>
              <w:t>8</w:t>
            </w:r>
            <w:r>
              <w:rPr>
                <w:rFonts w:ascii="Times New Roman" w:hAnsi="Times New Roman" w:cs="Times New Roman"/>
                <w:color w:val="000000"/>
                <w:sz w:val="20"/>
                <w:szCs w:val="20"/>
              </w:rPr>
              <w:t xml:space="preserve">5 </w:t>
            </w:r>
          </w:p>
        </w:tc>
        <w:tc>
          <w:tcPr>
            <w:tcW w:w="992" w:type="dxa"/>
            <w:tcBorders>
              <w:top w:val="single" w:sz="4" w:space="0" w:color="auto"/>
              <w:bottom w:val="single" w:sz="4" w:space="0" w:color="auto"/>
            </w:tcBorders>
            <w:shd w:val="clear" w:color="auto" w:fill="auto"/>
            <w:vAlign w:val="center"/>
          </w:tcPr>
          <w:p w14:paraId="693CB4DE" w14:textId="271F02FD" w:rsidR="00D5541E" w:rsidRPr="00A2047C" w:rsidRDefault="00D5541E" w:rsidP="00B53FF1">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B53FF1">
              <w:rPr>
                <w:rFonts w:ascii="Times New Roman" w:hAnsi="Times New Roman" w:cs="Times New Roman"/>
                <w:color w:val="000000"/>
                <w:sz w:val="20"/>
                <w:szCs w:val="20"/>
              </w:rPr>
              <w:t>037</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58F396DE" w14:textId="6C217F3D" w:rsidR="00D5541E" w:rsidRPr="00A2047C" w:rsidRDefault="00D5541E" w:rsidP="00FE164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647BCA">
              <w:rPr>
                <w:rFonts w:ascii="Times New Roman" w:hAnsi="Times New Roman" w:cs="Times New Roman"/>
                <w:color w:val="000000"/>
                <w:sz w:val="20"/>
                <w:szCs w:val="20"/>
              </w:rPr>
              <w:t>7</w:t>
            </w:r>
            <w:r>
              <w:rPr>
                <w:rFonts w:ascii="Times New Roman" w:hAnsi="Times New Roman" w:cs="Times New Roman"/>
                <w:color w:val="000000"/>
                <w:sz w:val="20"/>
                <w:szCs w:val="20"/>
              </w:rPr>
              <w:t xml:space="preserve">5 </w:t>
            </w:r>
          </w:p>
        </w:tc>
        <w:tc>
          <w:tcPr>
            <w:tcW w:w="992" w:type="dxa"/>
            <w:tcBorders>
              <w:top w:val="single" w:sz="4" w:space="0" w:color="auto"/>
              <w:bottom w:val="single" w:sz="4" w:space="0" w:color="auto"/>
            </w:tcBorders>
            <w:shd w:val="clear" w:color="auto" w:fill="auto"/>
            <w:vAlign w:val="center"/>
          </w:tcPr>
          <w:p w14:paraId="13EFA3E9" w14:textId="27B56780" w:rsidR="00D5541E" w:rsidRPr="00A2047C" w:rsidRDefault="00D5541E" w:rsidP="00FE164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647BCA">
              <w:rPr>
                <w:rFonts w:ascii="Times New Roman" w:hAnsi="Times New Roman" w:cs="Times New Roman"/>
                <w:color w:val="000000"/>
                <w:sz w:val="20"/>
                <w:szCs w:val="20"/>
              </w:rPr>
              <w:t>079</w:t>
            </w:r>
            <w:r>
              <w:rPr>
                <w:rFonts w:ascii="Times New Roman" w:hAnsi="Times New Roman" w:cs="Times New Roman"/>
                <w:color w:val="000000"/>
                <w:sz w:val="20"/>
                <w:szCs w:val="20"/>
              </w:rPr>
              <w:t>***</w:t>
            </w:r>
          </w:p>
        </w:tc>
        <w:tc>
          <w:tcPr>
            <w:tcW w:w="709" w:type="dxa"/>
            <w:tcBorders>
              <w:top w:val="single" w:sz="4" w:space="0" w:color="auto"/>
              <w:bottom w:val="single" w:sz="4" w:space="0" w:color="auto"/>
            </w:tcBorders>
            <w:shd w:val="clear" w:color="auto" w:fill="auto"/>
            <w:vAlign w:val="center"/>
          </w:tcPr>
          <w:p w14:paraId="6B6FCC47" w14:textId="17EF5520"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024915">
              <w:rPr>
                <w:rFonts w:ascii="Times New Roman" w:hAnsi="Times New Roman" w:cs="Times New Roman"/>
                <w:color w:val="000000"/>
                <w:sz w:val="20"/>
                <w:szCs w:val="20"/>
              </w:rPr>
              <w:t>7</w:t>
            </w:r>
            <w:r>
              <w:rPr>
                <w:rFonts w:ascii="Times New Roman" w:hAnsi="Times New Roman" w:cs="Times New Roman"/>
                <w:color w:val="000000"/>
                <w:sz w:val="20"/>
                <w:szCs w:val="20"/>
              </w:rPr>
              <w:t xml:space="preserve">5 </w:t>
            </w:r>
          </w:p>
        </w:tc>
        <w:tc>
          <w:tcPr>
            <w:tcW w:w="992" w:type="dxa"/>
            <w:tcBorders>
              <w:top w:val="single" w:sz="4" w:space="0" w:color="auto"/>
              <w:bottom w:val="single" w:sz="4" w:space="0" w:color="auto"/>
            </w:tcBorders>
            <w:shd w:val="clear" w:color="auto" w:fill="auto"/>
            <w:vAlign w:val="center"/>
          </w:tcPr>
          <w:p w14:paraId="3AFCA732" w14:textId="6B609C07"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w:t>
            </w:r>
            <w:r w:rsidR="00024915">
              <w:rPr>
                <w:rFonts w:ascii="Times New Roman" w:hAnsi="Times New Roman" w:cs="Times New Roman"/>
                <w:color w:val="000000"/>
                <w:sz w:val="20"/>
                <w:szCs w:val="20"/>
              </w:rPr>
              <w:t>035</w:t>
            </w:r>
            <w:r>
              <w:rPr>
                <w:rFonts w:ascii="Times New Roman" w:hAnsi="Times New Roman" w:cs="Times New Roman"/>
                <w:color w:val="000000"/>
                <w:sz w:val="20"/>
                <w:szCs w:val="20"/>
              </w:rPr>
              <w:t>***</w:t>
            </w:r>
          </w:p>
        </w:tc>
      </w:tr>
      <w:tr w:rsidR="00D5541E" w:rsidRPr="00A2047C" w14:paraId="4E916BF3" w14:textId="77777777" w:rsidTr="000D1363">
        <w:trPr>
          <w:trHeight w:val="510"/>
          <w:jc w:val="center"/>
        </w:trPr>
        <w:tc>
          <w:tcPr>
            <w:tcW w:w="988" w:type="dxa"/>
            <w:tcBorders>
              <w:top w:val="single" w:sz="4" w:space="0" w:color="auto"/>
              <w:bottom w:val="single" w:sz="4" w:space="0" w:color="auto"/>
            </w:tcBorders>
            <w:shd w:val="clear" w:color="auto" w:fill="auto"/>
            <w:vAlign w:val="center"/>
          </w:tcPr>
          <w:p w14:paraId="653CA547" w14:textId="29DFEE0A" w:rsidR="00D5541E" w:rsidRPr="00A2047C" w:rsidRDefault="00D5541E" w:rsidP="00D5541E">
            <w:pPr>
              <w:widowControl/>
              <w:spacing w:line="360" w:lineRule="auto"/>
              <w:jc w:val="center"/>
              <w:textAlignment w:val="center"/>
              <w:rPr>
                <w:rFonts w:ascii="Times New Roman" w:eastAsia="宋体" w:hAnsi="Times New Roman" w:cs="Times New Roman"/>
                <w:b/>
                <w:i/>
                <w:sz w:val="18"/>
                <w:szCs w:val="18"/>
              </w:rPr>
            </w:pPr>
            <w:r>
              <w:rPr>
                <w:rFonts w:ascii="Times New Roman" w:eastAsia="宋体" w:hAnsi="Times New Roman" w:cs="Times New Roman"/>
                <w:b/>
                <w:i/>
                <w:kern w:val="0"/>
                <w:sz w:val="18"/>
                <w:szCs w:val="18"/>
              </w:rPr>
              <w:t>LP</w:t>
            </w:r>
          </w:p>
        </w:tc>
        <w:tc>
          <w:tcPr>
            <w:tcW w:w="567" w:type="dxa"/>
            <w:tcBorders>
              <w:top w:val="single" w:sz="4" w:space="0" w:color="auto"/>
              <w:bottom w:val="single" w:sz="4" w:space="0" w:color="auto"/>
            </w:tcBorders>
            <w:shd w:val="clear" w:color="auto" w:fill="auto"/>
            <w:vAlign w:val="center"/>
          </w:tcPr>
          <w:p w14:paraId="629D8077" w14:textId="5C49E65C" w:rsidR="00D5541E" w:rsidRPr="00A2047C" w:rsidRDefault="00B65B0F"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-0.01</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4F562FBE" w14:textId="4432FD45"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0.00</w:t>
            </w:r>
            <w:r w:rsidR="00B65B0F">
              <w:rPr>
                <w:rFonts w:ascii="Times New Roman" w:hAnsi="Times New Roman" w:cs="Times New Roman"/>
                <w:color w:val="000000"/>
                <w:sz w:val="20"/>
                <w:szCs w:val="20"/>
              </w:rPr>
              <w:t>03***</w:t>
            </w:r>
          </w:p>
        </w:tc>
        <w:tc>
          <w:tcPr>
            <w:tcW w:w="567" w:type="dxa"/>
            <w:tcBorders>
              <w:top w:val="single" w:sz="4" w:space="0" w:color="auto"/>
              <w:bottom w:val="single" w:sz="4" w:space="0" w:color="auto"/>
            </w:tcBorders>
            <w:shd w:val="clear" w:color="auto" w:fill="auto"/>
            <w:vAlign w:val="center"/>
          </w:tcPr>
          <w:p w14:paraId="3872760C" w14:textId="7E8E96AE" w:rsidR="00D5541E" w:rsidRPr="00A2047C" w:rsidRDefault="009E3C0B"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w:t>
            </w:r>
            <w:r w:rsidR="00D5541E">
              <w:rPr>
                <w:rFonts w:ascii="Times New Roman" w:hAnsi="Times New Roman" w:cs="Times New Roman"/>
                <w:color w:val="000000"/>
                <w:sz w:val="20"/>
                <w:szCs w:val="20"/>
              </w:rPr>
              <w:t>0.0</w:t>
            </w:r>
            <w:r>
              <w:rPr>
                <w:rFonts w:ascii="Times New Roman" w:hAnsi="Times New Roman" w:cs="Times New Roman"/>
                <w:color w:val="000000"/>
                <w:sz w:val="20"/>
                <w:szCs w:val="20"/>
              </w:rPr>
              <w:t>1</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1A278506" w14:textId="2C4DB704"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0.00</w:t>
            </w:r>
            <w:r w:rsidR="009E3C0B">
              <w:rPr>
                <w:rFonts w:ascii="Times New Roman" w:hAnsi="Times New Roman" w:cs="Times New Roman"/>
                <w:color w:val="000000"/>
                <w:sz w:val="20"/>
                <w:szCs w:val="20"/>
              </w:rPr>
              <w:t>01***</w:t>
            </w:r>
            <w:r>
              <w:rPr>
                <w:rFonts w:ascii="Times New Roman" w:hAnsi="Times New Roman" w:cs="Times New Roman"/>
                <w:color w:val="000000"/>
                <w:sz w:val="20"/>
                <w:szCs w:val="20"/>
              </w:rPr>
              <w:t xml:space="preserve"> </w:t>
            </w:r>
          </w:p>
        </w:tc>
        <w:tc>
          <w:tcPr>
            <w:tcW w:w="567" w:type="dxa"/>
            <w:tcBorders>
              <w:top w:val="single" w:sz="4" w:space="0" w:color="auto"/>
              <w:bottom w:val="single" w:sz="4" w:space="0" w:color="auto"/>
            </w:tcBorders>
            <w:shd w:val="clear" w:color="auto" w:fill="auto"/>
            <w:vAlign w:val="center"/>
          </w:tcPr>
          <w:p w14:paraId="792708C6" w14:textId="3DE4B6C2" w:rsidR="00D5541E" w:rsidRPr="00A2047C" w:rsidRDefault="00F17923" w:rsidP="003E6EE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w:t>
            </w:r>
            <w:r w:rsidR="00D5541E">
              <w:rPr>
                <w:rFonts w:ascii="Times New Roman" w:hAnsi="Times New Roman" w:cs="Times New Roman"/>
                <w:color w:val="000000"/>
                <w:sz w:val="20"/>
                <w:szCs w:val="20"/>
              </w:rPr>
              <w:t>0.0</w:t>
            </w:r>
            <w:r>
              <w:rPr>
                <w:rFonts w:ascii="Times New Roman" w:hAnsi="Times New Roman" w:cs="Times New Roman"/>
                <w:color w:val="000000"/>
                <w:sz w:val="20"/>
                <w:szCs w:val="20"/>
              </w:rPr>
              <w:t>1</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69888CB6" w14:textId="62112208" w:rsidR="00D5541E" w:rsidRPr="00A2047C" w:rsidRDefault="00D5541E" w:rsidP="003E6EE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0.00</w:t>
            </w:r>
            <w:r w:rsidR="00F17923">
              <w:rPr>
                <w:rFonts w:ascii="Times New Roman" w:hAnsi="Times New Roman" w:cs="Times New Roman"/>
                <w:color w:val="000000"/>
                <w:sz w:val="20"/>
                <w:szCs w:val="20"/>
              </w:rPr>
              <w:t>01***</w:t>
            </w:r>
            <w:r>
              <w:rPr>
                <w:rFonts w:ascii="Times New Roman" w:hAnsi="Times New Roman" w:cs="Times New Roman"/>
                <w:color w:val="000000"/>
                <w:sz w:val="20"/>
                <w:szCs w:val="20"/>
              </w:rPr>
              <w:t xml:space="preserve"> </w:t>
            </w:r>
          </w:p>
        </w:tc>
        <w:tc>
          <w:tcPr>
            <w:tcW w:w="567" w:type="dxa"/>
            <w:tcBorders>
              <w:top w:val="single" w:sz="4" w:space="0" w:color="auto"/>
              <w:bottom w:val="single" w:sz="4" w:space="0" w:color="auto"/>
            </w:tcBorders>
            <w:shd w:val="clear" w:color="auto" w:fill="auto"/>
            <w:vAlign w:val="center"/>
          </w:tcPr>
          <w:p w14:paraId="368B1AD4" w14:textId="3C5B4B5D" w:rsidR="00D5541E" w:rsidRPr="00A2047C" w:rsidRDefault="00524CC6" w:rsidP="00524C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w:t>
            </w:r>
            <w:r w:rsidR="00D5541E">
              <w:rPr>
                <w:rFonts w:ascii="Times New Roman" w:hAnsi="Times New Roman" w:cs="Times New Roman"/>
                <w:color w:val="000000"/>
                <w:sz w:val="20"/>
                <w:szCs w:val="20"/>
              </w:rPr>
              <w:t>0.0</w:t>
            </w:r>
            <w:r>
              <w:rPr>
                <w:rFonts w:ascii="Times New Roman" w:hAnsi="Times New Roman" w:cs="Times New Roman"/>
                <w:color w:val="000000"/>
                <w:sz w:val="20"/>
                <w:szCs w:val="20"/>
              </w:rPr>
              <w:t>1</w:t>
            </w:r>
            <w:r w:rsidR="00D5541E">
              <w:rPr>
                <w:rFonts w:ascii="Times New Roman" w:hAnsi="Times New Roman" w:cs="Times New Roman"/>
                <w:color w:val="000000"/>
                <w:sz w:val="20"/>
                <w:szCs w:val="20"/>
              </w:rPr>
              <w:t xml:space="preserve"> </w:t>
            </w:r>
          </w:p>
        </w:tc>
        <w:tc>
          <w:tcPr>
            <w:tcW w:w="993" w:type="dxa"/>
            <w:tcBorders>
              <w:top w:val="single" w:sz="4" w:space="0" w:color="auto"/>
              <w:bottom w:val="single" w:sz="4" w:space="0" w:color="auto"/>
            </w:tcBorders>
            <w:shd w:val="clear" w:color="auto" w:fill="auto"/>
            <w:vAlign w:val="center"/>
          </w:tcPr>
          <w:p w14:paraId="11910266" w14:textId="52CD290F" w:rsidR="00D5541E" w:rsidRPr="00A2047C" w:rsidRDefault="00D5541E" w:rsidP="00524C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0.00</w:t>
            </w:r>
            <w:r w:rsidR="00524CC6">
              <w:rPr>
                <w:rFonts w:ascii="Times New Roman" w:hAnsi="Times New Roman" w:cs="Times New Roman"/>
                <w:color w:val="000000"/>
                <w:sz w:val="20"/>
                <w:szCs w:val="20"/>
              </w:rPr>
              <w:t>04***</w:t>
            </w:r>
            <w:r>
              <w:rPr>
                <w:rFonts w:ascii="Times New Roman" w:hAnsi="Times New Roman" w:cs="Times New Roman"/>
                <w:color w:val="000000"/>
                <w:sz w:val="20"/>
                <w:szCs w:val="20"/>
              </w:rPr>
              <w:t xml:space="preserve"> </w:t>
            </w:r>
          </w:p>
        </w:tc>
        <w:tc>
          <w:tcPr>
            <w:tcW w:w="567" w:type="dxa"/>
            <w:tcBorders>
              <w:top w:val="single" w:sz="4" w:space="0" w:color="auto"/>
              <w:bottom w:val="single" w:sz="4" w:space="0" w:color="auto"/>
            </w:tcBorders>
            <w:shd w:val="clear" w:color="auto" w:fill="auto"/>
            <w:vAlign w:val="center"/>
          </w:tcPr>
          <w:p w14:paraId="0315AC32" w14:textId="2184128D" w:rsidR="00D5541E" w:rsidRPr="00A2047C" w:rsidRDefault="00FE58C6" w:rsidP="00FE58C6">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w:t>
            </w:r>
            <w:r w:rsidR="00D5541E">
              <w:rPr>
                <w:rFonts w:ascii="Times New Roman" w:hAnsi="Times New Roman" w:cs="Times New Roman"/>
                <w:color w:val="000000"/>
                <w:sz w:val="20"/>
                <w:szCs w:val="20"/>
              </w:rPr>
              <w:t>0.0</w:t>
            </w:r>
            <w:r>
              <w:rPr>
                <w:rFonts w:ascii="Times New Roman" w:hAnsi="Times New Roman" w:cs="Times New Roman"/>
                <w:color w:val="000000"/>
                <w:sz w:val="20"/>
                <w:szCs w:val="20"/>
              </w:rPr>
              <w:t>1</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717BA2EC" w14:textId="4031D92C" w:rsidR="00D5541E" w:rsidRPr="00A2047C" w:rsidRDefault="00D5541E" w:rsidP="00FE58C6">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0.00</w:t>
            </w:r>
            <w:r w:rsidR="00FE58C6">
              <w:rPr>
                <w:rFonts w:ascii="Times New Roman" w:hAnsi="Times New Roman" w:cs="Times New Roman"/>
                <w:color w:val="000000"/>
                <w:sz w:val="20"/>
                <w:szCs w:val="20"/>
              </w:rPr>
              <w:t>02***</w:t>
            </w:r>
            <w:r>
              <w:rPr>
                <w:rFonts w:ascii="Times New Roman" w:hAnsi="Times New Roman" w:cs="Times New Roman"/>
                <w:color w:val="000000"/>
                <w:sz w:val="20"/>
                <w:szCs w:val="20"/>
              </w:rPr>
              <w:t xml:space="preserve"> </w:t>
            </w:r>
          </w:p>
        </w:tc>
        <w:tc>
          <w:tcPr>
            <w:tcW w:w="567" w:type="dxa"/>
            <w:tcBorders>
              <w:top w:val="single" w:sz="4" w:space="0" w:color="auto"/>
              <w:bottom w:val="single" w:sz="4" w:space="0" w:color="auto"/>
            </w:tcBorders>
            <w:shd w:val="clear" w:color="auto" w:fill="auto"/>
            <w:vAlign w:val="center"/>
          </w:tcPr>
          <w:p w14:paraId="2F2630BF" w14:textId="7F63FE44" w:rsidR="00D5541E" w:rsidRPr="00A2047C" w:rsidRDefault="00B53FF1" w:rsidP="00B53FF1">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w:t>
            </w:r>
            <w:r w:rsidR="00D5541E">
              <w:rPr>
                <w:rFonts w:ascii="Times New Roman" w:hAnsi="Times New Roman" w:cs="Times New Roman"/>
                <w:color w:val="000000"/>
                <w:sz w:val="20"/>
                <w:szCs w:val="20"/>
              </w:rPr>
              <w:t>0.0</w:t>
            </w:r>
            <w:r>
              <w:rPr>
                <w:rFonts w:ascii="Times New Roman" w:hAnsi="Times New Roman" w:cs="Times New Roman"/>
                <w:color w:val="000000"/>
                <w:sz w:val="20"/>
                <w:szCs w:val="20"/>
              </w:rPr>
              <w:t>1</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6728E747" w14:textId="1114A773" w:rsidR="00D5541E" w:rsidRPr="00A2047C" w:rsidRDefault="00D5541E" w:rsidP="00B53FF1">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0.00</w:t>
            </w:r>
            <w:r w:rsidR="00B53FF1">
              <w:rPr>
                <w:rFonts w:ascii="Times New Roman" w:hAnsi="Times New Roman" w:cs="Times New Roman"/>
                <w:color w:val="000000"/>
                <w:sz w:val="20"/>
                <w:szCs w:val="20"/>
              </w:rPr>
              <w:t>03***</w:t>
            </w:r>
            <w:r>
              <w:rPr>
                <w:rFonts w:ascii="Times New Roman" w:hAnsi="Times New Roman" w:cs="Times New Roman"/>
                <w:color w:val="000000"/>
                <w:sz w:val="20"/>
                <w:szCs w:val="20"/>
              </w:rPr>
              <w:t xml:space="preserve"> </w:t>
            </w:r>
          </w:p>
        </w:tc>
        <w:tc>
          <w:tcPr>
            <w:tcW w:w="567" w:type="dxa"/>
            <w:tcBorders>
              <w:top w:val="single" w:sz="4" w:space="0" w:color="auto"/>
              <w:bottom w:val="single" w:sz="4" w:space="0" w:color="auto"/>
            </w:tcBorders>
            <w:shd w:val="clear" w:color="auto" w:fill="auto"/>
            <w:vAlign w:val="center"/>
          </w:tcPr>
          <w:p w14:paraId="273D6B1B" w14:textId="0EEA3A43" w:rsidR="00D5541E" w:rsidRPr="00A2047C" w:rsidRDefault="00647BCA" w:rsidP="00FE1647">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w:t>
            </w:r>
            <w:r w:rsidR="00D5541E">
              <w:rPr>
                <w:rFonts w:ascii="Times New Roman" w:hAnsi="Times New Roman" w:cs="Times New Roman"/>
                <w:color w:val="000000"/>
                <w:sz w:val="20"/>
                <w:szCs w:val="20"/>
              </w:rPr>
              <w:t>0.0</w:t>
            </w:r>
            <w:r>
              <w:rPr>
                <w:rFonts w:ascii="Times New Roman" w:hAnsi="Times New Roman" w:cs="Times New Roman"/>
                <w:color w:val="000000"/>
                <w:sz w:val="20"/>
                <w:szCs w:val="20"/>
              </w:rPr>
              <w:t>1</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7A42BC41" w14:textId="7F2CEED5" w:rsidR="00D5541E" w:rsidRPr="00A2047C" w:rsidRDefault="00D5541E" w:rsidP="00FE1647">
            <w:pPr>
              <w:widowControl/>
              <w:spacing w:line="360" w:lineRule="auto"/>
              <w:jc w:val="righ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0.00</w:t>
            </w:r>
            <w:r w:rsidR="00647BCA">
              <w:rPr>
                <w:rFonts w:ascii="Times New Roman" w:hAnsi="Times New Roman" w:cs="Times New Roman"/>
                <w:color w:val="000000"/>
                <w:sz w:val="20"/>
                <w:szCs w:val="20"/>
              </w:rPr>
              <w:t>0</w:t>
            </w:r>
            <w:r>
              <w:rPr>
                <w:rFonts w:ascii="Times New Roman" w:hAnsi="Times New Roman" w:cs="Times New Roman"/>
                <w:color w:val="000000"/>
                <w:sz w:val="20"/>
                <w:szCs w:val="20"/>
              </w:rPr>
              <w:t>2</w:t>
            </w:r>
            <w:r w:rsidR="00647BCA">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709" w:type="dxa"/>
            <w:tcBorders>
              <w:top w:val="single" w:sz="4" w:space="0" w:color="auto"/>
              <w:bottom w:val="single" w:sz="4" w:space="0" w:color="auto"/>
            </w:tcBorders>
            <w:shd w:val="clear" w:color="auto" w:fill="auto"/>
            <w:vAlign w:val="center"/>
          </w:tcPr>
          <w:p w14:paraId="6D3CF475" w14:textId="3E95779E"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 xml:space="preserve">-0.01 </w:t>
            </w:r>
          </w:p>
        </w:tc>
        <w:tc>
          <w:tcPr>
            <w:tcW w:w="992" w:type="dxa"/>
            <w:tcBorders>
              <w:top w:val="single" w:sz="4" w:space="0" w:color="auto"/>
              <w:bottom w:val="single" w:sz="4" w:space="0" w:color="auto"/>
            </w:tcBorders>
            <w:shd w:val="clear" w:color="auto" w:fill="auto"/>
            <w:vAlign w:val="center"/>
          </w:tcPr>
          <w:p w14:paraId="567B2D9B" w14:textId="2DA73BA1" w:rsidR="00D5541E" w:rsidRPr="00A2047C" w:rsidRDefault="00D5541E" w:rsidP="00D5541E">
            <w:pPr>
              <w:widowControl/>
              <w:spacing w:line="360" w:lineRule="auto"/>
              <w:jc w:val="center"/>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0.00</w:t>
            </w:r>
            <w:r w:rsidR="00024915">
              <w:rPr>
                <w:rFonts w:ascii="Times New Roman" w:hAnsi="Times New Roman" w:cs="Times New Roman"/>
                <w:color w:val="000000"/>
                <w:sz w:val="20"/>
                <w:szCs w:val="20"/>
              </w:rPr>
              <w:t>06</w:t>
            </w:r>
            <w:r>
              <w:rPr>
                <w:rFonts w:ascii="Times New Roman" w:hAnsi="Times New Roman" w:cs="Times New Roman"/>
                <w:color w:val="000000"/>
                <w:sz w:val="20"/>
                <w:szCs w:val="20"/>
              </w:rPr>
              <w:t>**</w:t>
            </w:r>
          </w:p>
        </w:tc>
      </w:tr>
      <w:tr w:rsidR="00D5541E" w:rsidRPr="00A2047C" w14:paraId="6D5ACB78"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3BE71E8C" w14:textId="77777777" w:rsidR="00D5541E" w:rsidRPr="00A2047C" w:rsidRDefault="00D5541E" w:rsidP="00D5541E">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CAR*b1</w:t>
            </w:r>
          </w:p>
        </w:tc>
        <w:tc>
          <w:tcPr>
            <w:tcW w:w="567" w:type="dxa"/>
            <w:tcBorders>
              <w:top w:val="single" w:sz="4" w:space="0" w:color="auto"/>
              <w:bottom w:val="single" w:sz="4" w:space="0" w:color="auto"/>
            </w:tcBorders>
            <w:shd w:val="clear" w:color="auto" w:fill="auto"/>
            <w:vAlign w:val="center"/>
          </w:tcPr>
          <w:p w14:paraId="2C8BAF76" w14:textId="6D9E6B0C" w:rsidR="00D5541E" w:rsidRPr="00A2047C" w:rsidRDefault="00B65B0F"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0.38</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05D70A1A" w14:textId="5ACD3037"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65B0F">
              <w:rPr>
                <w:rFonts w:ascii="Times New Roman" w:hAnsi="Times New Roman" w:cs="Times New Roman"/>
                <w:color w:val="000000"/>
                <w:sz w:val="20"/>
                <w:szCs w:val="20"/>
              </w:rPr>
              <w:t>0356</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25AB3ED2" w14:textId="77777777" w:rsidR="00D5541E" w:rsidRPr="00A2047C" w:rsidRDefault="00D5541E" w:rsidP="00D5541E">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595BAAF" w14:textId="77777777" w:rsidR="00D5541E" w:rsidRPr="00A2047C" w:rsidRDefault="00D5541E" w:rsidP="00D5541E">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4C278E7C" w14:textId="77777777" w:rsidR="00D5541E" w:rsidRPr="00A2047C" w:rsidRDefault="00D5541E"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4920CC1" w14:textId="77777777" w:rsidR="00D5541E" w:rsidRPr="00A2047C" w:rsidRDefault="00D5541E"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2001C90" w14:textId="77777777" w:rsidR="00D5541E" w:rsidRPr="00A2047C" w:rsidRDefault="00D5541E"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295468A0" w14:textId="77777777" w:rsidR="00D5541E" w:rsidRPr="00A2047C" w:rsidRDefault="00D5541E"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63E9153" w14:textId="77777777" w:rsidR="00D5541E" w:rsidRPr="00A2047C" w:rsidRDefault="00D5541E"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959F6C4" w14:textId="77777777" w:rsidR="00D5541E" w:rsidRPr="00A2047C" w:rsidRDefault="00D5541E"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B5CA056" w14:textId="77777777" w:rsidR="00D5541E" w:rsidRPr="00A2047C" w:rsidRDefault="00D5541E"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B7FC2A2" w14:textId="77777777" w:rsidR="00D5541E" w:rsidRPr="00A2047C" w:rsidRDefault="00D5541E"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F5A8DF3" w14:textId="77777777" w:rsidR="00D5541E" w:rsidRPr="00A2047C" w:rsidRDefault="00D5541E"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0049FF5" w14:textId="77777777" w:rsidR="00D5541E" w:rsidRPr="00A2047C" w:rsidRDefault="00D5541E"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5C795D6F" w14:textId="77777777" w:rsidR="00D5541E" w:rsidRPr="00A2047C" w:rsidRDefault="00D5541E" w:rsidP="00D5541E">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7024696" w14:textId="77777777" w:rsidR="00D5541E" w:rsidRPr="00A2047C" w:rsidRDefault="00D5541E" w:rsidP="00D5541E">
            <w:pPr>
              <w:spacing w:line="360" w:lineRule="auto"/>
              <w:jc w:val="center"/>
              <w:rPr>
                <w:rFonts w:ascii="Times New Roman" w:eastAsia="宋体" w:hAnsi="Times New Roman" w:cs="Times New Roman"/>
                <w:sz w:val="18"/>
                <w:szCs w:val="18"/>
              </w:rPr>
            </w:pPr>
          </w:p>
        </w:tc>
      </w:tr>
      <w:tr w:rsidR="00D5541E" w:rsidRPr="00A2047C" w14:paraId="004F47DD"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4F3CB8C6" w14:textId="77777777" w:rsidR="00D5541E" w:rsidRPr="00A2047C" w:rsidRDefault="00D5541E" w:rsidP="00D5541E">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CAR*b2</w:t>
            </w:r>
          </w:p>
        </w:tc>
        <w:tc>
          <w:tcPr>
            <w:tcW w:w="567" w:type="dxa"/>
            <w:tcBorders>
              <w:top w:val="single" w:sz="4" w:space="0" w:color="auto"/>
              <w:bottom w:val="single" w:sz="4" w:space="0" w:color="auto"/>
            </w:tcBorders>
            <w:shd w:val="clear" w:color="auto" w:fill="auto"/>
            <w:vAlign w:val="center"/>
          </w:tcPr>
          <w:p w14:paraId="67895945" w14:textId="411D35DF" w:rsidR="00D5541E" w:rsidRPr="00A2047C" w:rsidRDefault="00B65B0F"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1.08</w:t>
            </w:r>
            <w:r w:rsidR="00D5541E">
              <w:rPr>
                <w:rFonts w:ascii="Times New Roman" w:hAnsi="Times New Roman" w:cs="Times New Roman"/>
                <w:color w:val="000000"/>
                <w:sz w:val="20"/>
                <w:szCs w:val="20"/>
              </w:rPr>
              <w:t xml:space="preserve"> </w:t>
            </w:r>
          </w:p>
        </w:tc>
        <w:tc>
          <w:tcPr>
            <w:tcW w:w="992" w:type="dxa"/>
            <w:tcBorders>
              <w:top w:val="single" w:sz="4" w:space="0" w:color="auto"/>
              <w:bottom w:val="single" w:sz="4" w:space="0" w:color="auto"/>
            </w:tcBorders>
            <w:shd w:val="clear" w:color="auto" w:fill="auto"/>
            <w:vAlign w:val="center"/>
          </w:tcPr>
          <w:p w14:paraId="1B32A800" w14:textId="5FD8AC66" w:rsidR="00D5541E" w:rsidRPr="00A2047C" w:rsidRDefault="00D5541E" w:rsidP="00B65B0F">
            <w:pPr>
              <w:widowControl/>
              <w:spacing w:line="360" w:lineRule="auto"/>
              <w:jc w:val="left"/>
              <w:textAlignment w:val="center"/>
              <w:rPr>
                <w:rFonts w:ascii="Times New Roman" w:eastAsia="宋体" w:hAnsi="Times New Roman" w:cs="Times New Roman"/>
                <w:sz w:val="18"/>
                <w:szCs w:val="18"/>
              </w:rPr>
            </w:pPr>
            <w:r>
              <w:rPr>
                <w:rFonts w:ascii="Times New Roman" w:hAnsi="Times New Roman" w:cs="Times New Roman"/>
                <w:color w:val="000000"/>
                <w:sz w:val="20"/>
                <w:szCs w:val="20"/>
              </w:rPr>
              <w:t>0.</w:t>
            </w:r>
            <w:r w:rsidR="00B65B0F">
              <w:rPr>
                <w:rFonts w:ascii="Times New Roman" w:hAnsi="Times New Roman" w:cs="Times New Roman"/>
                <w:color w:val="000000"/>
                <w:sz w:val="20"/>
                <w:szCs w:val="20"/>
              </w:rPr>
              <w:t>1716</w:t>
            </w:r>
            <w:r>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0163CC1D" w14:textId="77777777" w:rsidR="00D5541E" w:rsidRPr="00A2047C" w:rsidRDefault="00D5541E" w:rsidP="00D5541E">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6C9A2C48" w14:textId="77777777" w:rsidR="00D5541E" w:rsidRPr="00A2047C" w:rsidRDefault="00D5541E" w:rsidP="00D5541E">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1A1A563" w14:textId="77777777" w:rsidR="00D5541E" w:rsidRPr="00A2047C" w:rsidRDefault="00D5541E"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6152CD9C" w14:textId="77777777" w:rsidR="00D5541E" w:rsidRPr="00A2047C" w:rsidRDefault="00D5541E"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40A6C33F" w14:textId="77777777" w:rsidR="00D5541E" w:rsidRPr="00A2047C" w:rsidRDefault="00D5541E"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589D1F1A" w14:textId="77777777" w:rsidR="00D5541E" w:rsidRPr="00A2047C" w:rsidRDefault="00D5541E"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EBF12C5" w14:textId="77777777" w:rsidR="00D5541E" w:rsidRPr="00A2047C" w:rsidRDefault="00D5541E"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33FDFBE" w14:textId="77777777" w:rsidR="00D5541E" w:rsidRPr="00A2047C" w:rsidRDefault="00D5541E"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64773D22" w14:textId="77777777" w:rsidR="00D5541E" w:rsidRPr="00A2047C" w:rsidRDefault="00D5541E"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D713BA2" w14:textId="77777777" w:rsidR="00D5541E" w:rsidRPr="00A2047C" w:rsidRDefault="00D5541E"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C09A07A" w14:textId="77777777" w:rsidR="00D5541E" w:rsidRPr="00A2047C" w:rsidRDefault="00D5541E"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685E2E00" w14:textId="77777777" w:rsidR="00D5541E" w:rsidRPr="00A2047C" w:rsidRDefault="00D5541E"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0017B35C" w14:textId="77777777" w:rsidR="00D5541E" w:rsidRPr="00A2047C" w:rsidRDefault="00D5541E" w:rsidP="00D5541E">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8487F7B" w14:textId="77777777" w:rsidR="00D5541E" w:rsidRPr="00A2047C" w:rsidRDefault="00D5541E" w:rsidP="00D5541E">
            <w:pPr>
              <w:spacing w:line="360" w:lineRule="auto"/>
              <w:jc w:val="center"/>
              <w:rPr>
                <w:rFonts w:ascii="Times New Roman" w:eastAsia="宋体" w:hAnsi="Times New Roman" w:cs="Times New Roman"/>
                <w:sz w:val="18"/>
                <w:szCs w:val="18"/>
              </w:rPr>
            </w:pPr>
          </w:p>
        </w:tc>
      </w:tr>
      <w:tr w:rsidR="00D5541E" w:rsidRPr="00A2047C" w14:paraId="78380535"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7C84908B" w14:textId="77777777" w:rsidR="00D5541E" w:rsidRPr="00A2047C" w:rsidRDefault="00D5541E" w:rsidP="00D5541E">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lastRenderedPageBreak/>
              <w:t>CAR*b3</w:t>
            </w:r>
          </w:p>
        </w:tc>
        <w:tc>
          <w:tcPr>
            <w:tcW w:w="567" w:type="dxa"/>
            <w:tcBorders>
              <w:top w:val="single" w:sz="4" w:space="0" w:color="auto"/>
              <w:bottom w:val="single" w:sz="4" w:space="0" w:color="auto"/>
            </w:tcBorders>
            <w:shd w:val="clear" w:color="auto" w:fill="auto"/>
            <w:vAlign w:val="center"/>
          </w:tcPr>
          <w:p w14:paraId="04AA2B99" w14:textId="257527F8" w:rsidR="00D5541E" w:rsidRPr="00A2047C" w:rsidRDefault="00B65B0F" w:rsidP="00B65B0F">
            <w:pPr>
              <w:spacing w:line="360" w:lineRule="auto"/>
              <w:jc w:val="left"/>
              <w:rPr>
                <w:rFonts w:ascii="Times New Roman" w:eastAsia="宋体" w:hAnsi="Times New Roman" w:cs="Times New Roman"/>
                <w:sz w:val="18"/>
                <w:szCs w:val="18"/>
              </w:rPr>
            </w:pPr>
            <w:r>
              <w:rPr>
                <w:rFonts w:ascii="Times New Roman" w:eastAsia="宋体" w:hAnsi="Times New Roman" w:cs="Times New Roman"/>
                <w:sz w:val="18"/>
                <w:szCs w:val="18"/>
              </w:rPr>
              <w:t>0.95</w:t>
            </w:r>
            <w:r w:rsidR="00D5541E" w:rsidRPr="00D5541E">
              <w:rPr>
                <w:rFonts w:ascii="Times New Roman" w:eastAsia="宋体" w:hAnsi="Times New Roman" w:cs="Times New Roman"/>
                <w:sz w:val="18"/>
                <w:szCs w:val="18"/>
              </w:rPr>
              <w:t xml:space="preserve"> </w:t>
            </w:r>
          </w:p>
        </w:tc>
        <w:tc>
          <w:tcPr>
            <w:tcW w:w="992" w:type="dxa"/>
            <w:tcBorders>
              <w:top w:val="single" w:sz="4" w:space="0" w:color="auto"/>
              <w:bottom w:val="single" w:sz="4" w:space="0" w:color="auto"/>
            </w:tcBorders>
            <w:shd w:val="clear" w:color="auto" w:fill="auto"/>
            <w:vAlign w:val="center"/>
          </w:tcPr>
          <w:p w14:paraId="0F573B44" w14:textId="1783EFBA" w:rsidR="00D5541E" w:rsidRPr="00A2047C" w:rsidRDefault="00D5541E" w:rsidP="00B65B0F">
            <w:pPr>
              <w:spacing w:line="360" w:lineRule="auto"/>
              <w:jc w:val="left"/>
              <w:rPr>
                <w:rFonts w:ascii="Times New Roman" w:eastAsia="宋体" w:hAnsi="Times New Roman" w:cs="Times New Roman"/>
                <w:sz w:val="18"/>
                <w:szCs w:val="18"/>
              </w:rPr>
            </w:pPr>
            <w:r w:rsidRPr="00D5541E">
              <w:rPr>
                <w:rFonts w:ascii="Times New Roman" w:eastAsia="宋体" w:hAnsi="Times New Roman" w:cs="Times New Roman"/>
                <w:sz w:val="18"/>
                <w:szCs w:val="18"/>
              </w:rPr>
              <w:t>0.</w:t>
            </w:r>
            <w:r w:rsidR="00B65B0F">
              <w:rPr>
                <w:rFonts w:ascii="Times New Roman" w:eastAsia="宋体" w:hAnsi="Times New Roman" w:cs="Times New Roman"/>
                <w:sz w:val="18"/>
                <w:szCs w:val="18"/>
              </w:rPr>
              <w:t>8391</w:t>
            </w:r>
          </w:p>
        </w:tc>
        <w:tc>
          <w:tcPr>
            <w:tcW w:w="567" w:type="dxa"/>
            <w:tcBorders>
              <w:top w:val="single" w:sz="4" w:space="0" w:color="auto"/>
              <w:bottom w:val="single" w:sz="4" w:space="0" w:color="auto"/>
            </w:tcBorders>
            <w:shd w:val="clear" w:color="auto" w:fill="auto"/>
            <w:vAlign w:val="center"/>
          </w:tcPr>
          <w:p w14:paraId="20895966" w14:textId="77777777" w:rsidR="00D5541E" w:rsidRPr="00A2047C" w:rsidRDefault="00D5541E" w:rsidP="00D5541E">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03772A6" w14:textId="77777777" w:rsidR="00D5541E" w:rsidRPr="00A2047C" w:rsidRDefault="00D5541E" w:rsidP="00D5541E">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A3626EA" w14:textId="77777777" w:rsidR="00D5541E" w:rsidRPr="00A2047C" w:rsidRDefault="00D5541E"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0A7FCC55" w14:textId="77777777" w:rsidR="00D5541E" w:rsidRPr="00A2047C" w:rsidRDefault="00D5541E"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63CE8CF4" w14:textId="77777777" w:rsidR="00D5541E" w:rsidRPr="00A2047C" w:rsidRDefault="00D5541E"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06024FB3" w14:textId="77777777" w:rsidR="00D5541E" w:rsidRPr="00A2047C" w:rsidRDefault="00D5541E"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1B83E73" w14:textId="77777777" w:rsidR="00D5541E" w:rsidRPr="00A2047C" w:rsidRDefault="00D5541E"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4409300" w14:textId="77777777" w:rsidR="00D5541E" w:rsidRPr="00A2047C" w:rsidRDefault="00D5541E"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C543CF2" w14:textId="77777777" w:rsidR="00D5541E" w:rsidRPr="00A2047C" w:rsidRDefault="00D5541E"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6B2D081" w14:textId="77777777" w:rsidR="00D5541E" w:rsidRPr="00A2047C" w:rsidRDefault="00D5541E"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4F5AE5F" w14:textId="77777777" w:rsidR="00D5541E" w:rsidRPr="00A2047C" w:rsidRDefault="00D5541E"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602F2D41" w14:textId="77777777" w:rsidR="00D5541E" w:rsidRPr="00A2047C" w:rsidRDefault="00D5541E"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0CE8000A" w14:textId="77777777" w:rsidR="00D5541E" w:rsidRPr="00A2047C" w:rsidRDefault="00D5541E" w:rsidP="00D5541E">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B5648EA" w14:textId="77777777" w:rsidR="00D5541E" w:rsidRPr="00A2047C" w:rsidRDefault="00D5541E" w:rsidP="00D5541E">
            <w:pPr>
              <w:spacing w:line="360" w:lineRule="auto"/>
              <w:jc w:val="center"/>
              <w:rPr>
                <w:rFonts w:ascii="Times New Roman" w:eastAsia="宋体" w:hAnsi="Times New Roman" w:cs="Times New Roman"/>
                <w:sz w:val="18"/>
                <w:szCs w:val="18"/>
              </w:rPr>
            </w:pPr>
          </w:p>
        </w:tc>
      </w:tr>
      <w:tr w:rsidR="00612CF8" w:rsidRPr="00A2047C" w14:paraId="1C1B720A"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182CB80B" w14:textId="77777777" w:rsidR="00A2047C" w:rsidRPr="00A2047C" w:rsidRDefault="00A2047C" w:rsidP="00180DAA">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NPL(-1)*b1</w:t>
            </w:r>
          </w:p>
        </w:tc>
        <w:tc>
          <w:tcPr>
            <w:tcW w:w="567" w:type="dxa"/>
            <w:tcBorders>
              <w:top w:val="single" w:sz="4" w:space="0" w:color="auto"/>
              <w:bottom w:val="single" w:sz="4" w:space="0" w:color="auto"/>
            </w:tcBorders>
            <w:shd w:val="clear" w:color="auto" w:fill="auto"/>
            <w:vAlign w:val="center"/>
          </w:tcPr>
          <w:p w14:paraId="069D4628"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A991CEF"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3EF7E3B3" w14:textId="61055AE6" w:rsidR="00A2047C" w:rsidRPr="00A2047C" w:rsidRDefault="00A2047C" w:rsidP="009E3C0B">
            <w:pPr>
              <w:widowControl/>
              <w:spacing w:line="360" w:lineRule="auto"/>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w:t>
            </w:r>
            <w:r w:rsidR="009E3C0B">
              <w:rPr>
                <w:rFonts w:ascii="Times New Roman" w:eastAsia="宋体" w:hAnsi="Times New Roman" w:cs="Times New Roman"/>
                <w:kern w:val="0"/>
                <w:sz w:val="18"/>
                <w:szCs w:val="18"/>
              </w:rPr>
              <w:t>0.13</w:t>
            </w:r>
          </w:p>
        </w:tc>
        <w:tc>
          <w:tcPr>
            <w:tcW w:w="992" w:type="dxa"/>
            <w:tcBorders>
              <w:top w:val="single" w:sz="4" w:space="0" w:color="auto"/>
              <w:bottom w:val="single" w:sz="4" w:space="0" w:color="auto"/>
            </w:tcBorders>
            <w:shd w:val="clear" w:color="auto" w:fill="auto"/>
            <w:vAlign w:val="center"/>
          </w:tcPr>
          <w:p w14:paraId="46E732ED" w14:textId="009C577A" w:rsidR="00A2047C" w:rsidRPr="00A2047C" w:rsidRDefault="00A2047C" w:rsidP="00180DAA">
            <w:pPr>
              <w:widowControl/>
              <w:spacing w:line="360" w:lineRule="auto"/>
              <w:jc w:val="center"/>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w:t>
            </w:r>
            <w:r w:rsidR="009E3C0B">
              <w:rPr>
                <w:rFonts w:ascii="Times New Roman" w:eastAsia="宋体" w:hAnsi="Times New Roman" w:cs="Times New Roman"/>
                <w:kern w:val="0"/>
                <w:sz w:val="18"/>
                <w:szCs w:val="18"/>
              </w:rPr>
              <w:t>0770</w:t>
            </w:r>
            <w:r w:rsidRPr="00A2047C">
              <w:rPr>
                <w:rFonts w:ascii="Times New Roman" w:eastAsia="宋体" w:hAnsi="Times New Roman" w:cs="Times New Roman"/>
                <w:kern w:val="0"/>
                <w:sz w:val="18"/>
                <w:szCs w:val="18"/>
              </w:rPr>
              <w:t>*</w:t>
            </w:r>
            <w:r w:rsidR="009E3C0B">
              <w:rPr>
                <w:rFonts w:ascii="Times New Roman" w:eastAsia="宋体" w:hAnsi="Times New Roman" w:cs="Times New Roman"/>
                <w:kern w:val="0"/>
                <w:sz w:val="18"/>
                <w:szCs w:val="18"/>
              </w:rPr>
              <w:t xml:space="preserve">  </w:t>
            </w:r>
          </w:p>
        </w:tc>
        <w:tc>
          <w:tcPr>
            <w:tcW w:w="567" w:type="dxa"/>
            <w:tcBorders>
              <w:top w:val="single" w:sz="4" w:space="0" w:color="auto"/>
              <w:bottom w:val="single" w:sz="4" w:space="0" w:color="auto"/>
            </w:tcBorders>
            <w:shd w:val="clear" w:color="auto" w:fill="auto"/>
            <w:vAlign w:val="center"/>
          </w:tcPr>
          <w:p w14:paraId="2E999354"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4B5C033"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5B9B57B1"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7180021B"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56DDB9B9"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32AC80D"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6B494607"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5107A4B"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43083EA"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4415471" w14:textId="77777777" w:rsidR="00A2047C" w:rsidRPr="00A2047C" w:rsidRDefault="00A2047C"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795141DF"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D590B83"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F4257F" w:rsidRPr="00A2047C" w14:paraId="1320D8B9"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63F2AE1E" w14:textId="77777777" w:rsidR="00A2047C" w:rsidRPr="00A2047C" w:rsidRDefault="00A2047C" w:rsidP="00180DAA">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NPL(-1)*b2</w:t>
            </w:r>
          </w:p>
        </w:tc>
        <w:tc>
          <w:tcPr>
            <w:tcW w:w="567" w:type="dxa"/>
            <w:tcBorders>
              <w:top w:val="single" w:sz="4" w:space="0" w:color="auto"/>
              <w:bottom w:val="single" w:sz="4" w:space="0" w:color="auto"/>
            </w:tcBorders>
            <w:shd w:val="clear" w:color="auto" w:fill="auto"/>
            <w:vAlign w:val="center"/>
          </w:tcPr>
          <w:p w14:paraId="700E8F7C"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9A37909"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F674B2E" w14:textId="4BBB6025" w:rsidR="00A2047C" w:rsidRPr="00A2047C" w:rsidRDefault="009E3C0B" w:rsidP="009E3C0B">
            <w:pPr>
              <w:widowControl/>
              <w:spacing w:line="360" w:lineRule="auto"/>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1.70</w:t>
            </w:r>
          </w:p>
        </w:tc>
        <w:tc>
          <w:tcPr>
            <w:tcW w:w="992" w:type="dxa"/>
            <w:tcBorders>
              <w:top w:val="single" w:sz="4" w:space="0" w:color="auto"/>
              <w:bottom w:val="single" w:sz="4" w:space="0" w:color="auto"/>
            </w:tcBorders>
            <w:shd w:val="clear" w:color="auto" w:fill="auto"/>
            <w:vAlign w:val="center"/>
          </w:tcPr>
          <w:p w14:paraId="08BBCF66" w14:textId="08AA2F2A" w:rsidR="00A2047C" w:rsidRPr="00A2047C" w:rsidRDefault="009E3C0B" w:rsidP="009E3C0B">
            <w:pPr>
              <w:widowControl/>
              <w:spacing w:line="360" w:lineRule="auto"/>
              <w:ind w:firstLineChars="100" w:firstLine="180"/>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 xml:space="preserve">1.1491    </w:t>
            </w:r>
          </w:p>
        </w:tc>
        <w:tc>
          <w:tcPr>
            <w:tcW w:w="567" w:type="dxa"/>
            <w:tcBorders>
              <w:top w:val="single" w:sz="4" w:space="0" w:color="auto"/>
              <w:bottom w:val="single" w:sz="4" w:space="0" w:color="auto"/>
            </w:tcBorders>
            <w:shd w:val="clear" w:color="auto" w:fill="auto"/>
            <w:vAlign w:val="center"/>
          </w:tcPr>
          <w:p w14:paraId="28102B90"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0F63ECF0"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7855A74"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21EBCE83"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6E5E3E2B"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083FBDF"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5262646A"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3B31E83"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9A63F90"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69E14516" w14:textId="77777777" w:rsidR="00A2047C" w:rsidRPr="00A2047C" w:rsidRDefault="00A2047C"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02244BAA"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5777719"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612CF8" w:rsidRPr="00A2047C" w14:paraId="5A1F0A0C"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6E26E521" w14:textId="77777777" w:rsidR="00A2047C" w:rsidRPr="00A2047C" w:rsidRDefault="00A2047C" w:rsidP="00180DAA">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NPL(-1)*b3</w:t>
            </w:r>
          </w:p>
        </w:tc>
        <w:tc>
          <w:tcPr>
            <w:tcW w:w="567" w:type="dxa"/>
            <w:tcBorders>
              <w:top w:val="single" w:sz="4" w:space="0" w:color="auto"/>
              <w:bottom w:val="single" w:sz="4" w:space="0" w:color="auto"/>
            </w:tcBorders>
            <w:shd w:val="clear" w:color="auto" w:fill="auto"/>
            <w:vAlign w:val="center"/>
          </w:tcPr>
          <w:p w14:paraId="65311E78"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86AC89F"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39F4C3D" w14:textId="0A2CC625" w:rsidR="00A2047C" w:rsidRPr="00A2047C" w:rsidRDefault="009E3C0B" w:rsidP="009E3C0B">
            <w:pPr>
              <w:widowControl/>
              <w:spacing w:line="360" w:lineRule="auto"/>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-0.98</w:t>
            </w:r>
          </w:p>
        </w:tc>
        <w:tc>
          <w:tcPr>
            <w:tcW w:w="992" w:type="dxa"/>
            <w:tcBorders>
              <w:top w:val="single" w:sz="4" w:space="0" w:color="auto"/>
              <w:bottom w:val="single" w:sz="4" w:space="0" w:color="auto"/>
            </w:tcBorders>
            <w:shd w:val="clear" w:color="auto" w:fill="auto"/>
            <w:vAlign w:val="center"/>
          </w:tcPr>
          <w:p w14:paraId="313C76C9" w14:textId="594E65E0" w:rsidR="00A2047C" w:rsidRPr="00A2047C" w:rsidRDefault="009E3C0B" w:rsidP="009E3C0B">
            <w:pPr>
              <w:widowControl/>
              <w:spacing w:line="360" w:lineRule="auto"/>
              <w:ind w:firstLineChars="100" w:firstLine="180"/>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2.1729</w:t>
            </w:r>
          </w:p>
        </w:tc>
        <w:tc>
          <w:tcPr>
            <w:tcW w:w="567" w:type="dxa"/>
            <w:tcBorders>
              <w:top w:val="single" w:sz="4" w:space="0" w:color="auto"/>
              <w:bottom w:val="single" w:sz="4" w:space="0" w:color="auto"/>
            </w:tcBorders>
            <w:shd w:val="clear" w:color="auto" w:fill="auto"/>
            <w:vAlign w:val="center"/>
          </w:tcPr>
          <w:p w14:paraId="77A5C074"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CD50E43"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490FE61"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497B8124"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2161ADF"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51199DA"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4F482CEA"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EEFFC5B"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7B0DF62"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776B8DF" w14:textId="77777777" w:rsidR="00A2047C" w:rsidRPr="00A2047C" w:rsidRDefault="00A2047C"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009F3009"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60287C2"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F4257F" w:rsidRPr="00A2047C" w14:paraId="2D307A4D"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73D15B61" w14:textId="61E99F92" w:rsidR="00A2047C" w:rsidRPr="00A2047C" w:rsidRDefault="00612CF8" w:rsidP="00180DAA">
            <w:pPr>
              <w:widowControl/>
              <w:spacing w:line="360" w:lineRule="auto"/>
              <w:jc w:val="center"/>
              <w:textAlignment w:val="center"/>
              <w:rPr>
                <w:rFonts w:ascii="Times New Roman" w:eastAsia="宋体" w:hAnsi="Times New Roman" w:cs="Times New Roman"/>
                <w:b/>
                <w:i/>
                <w:sz w:val="18"/>
                <w:szCs w:val="18"/>
              </w:rPr>
            </w:pPr>
            <m:oMath>
              <m:r>
                <m:rPr>
                  <m:sty m:val="b"/>
                </m:rPr>
                <w:rPr>
                  <w:rFonts w:ascii="Cambria Math" w:eastAsia="宋体" w:hAnsi="Cambria Math" w:cs="Times New Roman"/>
                  <w:kern w:val="0"/>
                  <w:sz w:val="18"/>
                  <w:szCs w:val="18"/>
                </w:rPr>
                <m:t>Δ</m:t>
              </m:r>
            </m:oMath>
            <w:r w:rsidR="00A2047C" w:rsidRPr="00A2047C">
              <w:rPr>
                <w:rFonts w:ascii="Times New Roman" w:eastAsia="宋体" w:hAnsi="Times New Roman" w:cs="Times New Roman"/>
                <w:b/>
                <w:i/>
                <w:kern w:val="0"/>
                <w:sz w:val="18"/>
                <w:szCs w:val="18"/>
              </w:rPr>
              <w:t>NI</w:t>
            </w:r>
            <w:r>
              <w:rPr>
                <w:rFonts w:ascii="Times New Roman" w:eastAsia="宋体" w:hAnsi="Times New Roman" w:cs="Times New Roman"/>
                <w:b/>
                <w:i/>
                <w:kern w:val="0"/>
                <w:sz w:val="18"/>
                <w:szCs w:val="18"/>
              </w:rPr>
              <w:t>M</w:t>
            </w:r>
            <w:r w:rsidR="00A2047C" w:rsidRPr="00A2047C">
              <w:rPr>
                <w:rFonts w:ascii="Times New Roman" w:eastAsia="宋体" w:hAnsi="Times New Roman" w:cs="Times New Roman"/>
                <w:b/>
                <w:i/>
                <w:kern w:val="0"/>
                <w:sz w:val="18"/>
                <w:szCs w:val="18"/>
              </w:rPr>
              <w:t>*b1</w:t>
            </w:r>
          </w:p>
        </w:tc>
        <w:tc>
          <w:tcPr>
            <w:tcW w:w="567" w:type="dxa"/>
            <w:tcBorders>
              <w:top w:val="single" w:sz="4" w:space="0" w:color="auto"/>
              <w:bottom w:val="single" w:sz="4" w:space="0" w:color="auto"/>
            </w:tcBorders>
            <w:shd w:val="clear" w:color="auto" w:fill="auto"/>
            <w:vAlign w:val="center"/>
          </w:tcPr>
          <w:p w14:paraId="41AB7D18"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6AEAC813"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4C0A703F"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780F7BA"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39AC886A" w14:textId="7EA9245E" w:rsidR="00A2047C" w:rsidRPr="00A2047C" w:rsidRDefault="00A2047C" w:rsidP="003E6EE7">
            <w:pPr>
              <w:widowControl/>
              <w:spacing w:line="360" w:lineRule="auto"/>
              <w:jc w:val="left"/>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w:t>
            </w:r>
            <w:r w:rsidR="00F17923">
              <w:rPr>
                <w:rFonts w:ascii="Times New Roman" w:eastAsia="宋体" w:hAnsi="Times New Roman" w:cs="Times New Roman"/>
                <w:kern w:val="0"/>
                <w:sz w:val="18"/>
                <w:szCs w:val="18"/>
              </w:rPr>
              <w:t>13</w:t>
            </w:r>
          </w:p>
        </w:tc>
        <w:tc>
          <w:tcPr>
            <w:tcW w:w="992" w:type="dxa"/>
            <w:tcBorders>
              <w:top w:val="single" w:sz="4" w:space="0" w:color="auto"/>
              <w:bottom w:val="single" w:sz="4" w:space="0" w:color="auto"/>
            </w:tcBorders>
            <w:shd w:val="clear" w:color="auto" w:fill="auto"/>
            <w:vAlign w:val="center"/>
          </w:tcPr>
          <w:p w14:paraId="2AFA2F4A" w14:textId="55B7ABEB" w:rsidR="00A2047C" w:rsidRPr="00A2047C" w:rsidRDefault="00A2047C" w:rsidP="003E6EE7">
            <w:pPr>
              <w:widowControl/>
              <w:spacing w:line="360" w:lineRule="auto"/>
              <w:jc w:val="right"/>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w:t>
            </w:r>
            <w:r w:rsidR="00F17923">
              <w:rPr>
                <w:rFonts w:ascii="Times New Roman" w:eastAsia="宋体" w:hAnsi="Times New Roman" w:cs="Times New Roman"/>
                <w:kern w:val="0"/>
                <w:sz w:val="18"/>
                <w:szCs w:val="18"/>
              </w:rPr>
              <w:t>0199</w:t>
            </w:r>
            <w:r w:rsidRPr="00A2047C">
              <w:rPr>
                <w:rFonts w:ascii="Times New Roman" w:eastAsia="宋体" w:hAnsi="Times New Roman" w:cs="Times New Roman"/>
                <w:kern w:val="0"/>
                <w:sz w:val="18"/>
                <w:szCs w:val="18"/>
              </w:rPr>
              <w:t>***</w:t>
            </w:r>
          </w:p>
        </w:tc>
        <w:tc>
          <w:tcPr>
            <w:tcW w:w="567" w:type="dxa"/>
            <w:tcBorders>
              <w:top w:val="single" w:sz="4" w:space="0" w:color="auto"/>
              <w:bottom w:val="single" w:sz="4" w:space="0" w:color="auto"/>
            </w:tcBorders>
            <w:shd w:val="clear" w:color="auto" w:fill="auto"/>
            <w:vAlign w:val="center"/>
          </w:tcPr>
          <w:p w14:paraId="5AF4E91F"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00A02FCB"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C5636F2"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2869E3C"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1712B3D"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D94B7A3"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6D55BCCE"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0D392DD0" w14:textId="77777777" w:rsidR="00A2047C" w:rsidRPr="00A2047C" w:rsidRDefault="00A2047C"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659F4B85"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B2107AE"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612CF8" w:rsidRPr="00A2047C" w14:paraId="33D5CA7A"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37D09884" w14:textId="1E57E2F3" w:rsidR="00A2047C" w:rsidRPr="00A2047C" w:rsidRDefault="00612CF8" w:rsidP="00180DAA">
            <w:pPr>
              <w:widowControl/>
              <w:spacing w:line="360" w:lineRule="auto"/>
              <w:jc w:val="center"/>
              <w:textAlignment w:val="center"/>
              <w:rPr>
                <w:rFonts w:ascii="Times New Roman" w:eastAsia="宋体" w:hAnsi="Times New Roman" w:cs="Times New Roman"/>
                <w:b/>
                <w:i/>
                <w:sz w:val="18"/>
                <w:szCs w:val="18"/>
              </w:rPr>
            </w:pPr>
            <m:oMath>
              <m:r>
                <m:rPr>
                  <m:sty m:val="b"/>
                </m:rPr>
                <w:rPr>
                  <w:rFonts w:ascii="Cambria Math" w:eastAsia="宋体" w:hAnsi="Cambria Math" w:cs="Times New Roman"/>
                  <w:kern w:val="0"/>
                  <w:sz w:val="18"/>
                  <w:szCs w:val="18"/>
                </w:rPr>
                <m:t>Δ</m:t>
              </m:r>
            </m:oMath>
            <w:r w:rsidR="00A2047C" w:rsidRPr="00A2047C">
              <w:rPr>
                <w:rFonts w:ascii="Times New Roman" w:eastAsia="宋体" w:hAnsi="Times New Roman" w:cs="Times New Roman"/>
                <w:b/>
                <w:i/>
                <w:kern w:val="0"/>
                <w:sz w:val="18"/>
                <w:szCs w:val="18"/>
              </w:rPr>
              <w:t>NI</w:t>
            </w:r>
            <w:r>
              <w:rPr>
                <w:rFonts w:ascii="Times New Roman" w:eastAsia="宋体" w:hAnsi="Times New Roman" w:cs="Times New Roman"/>
                <w:b/>
                <w:i/>
                <w:kern w:val="0"/>
                <w:sz w:val="18"/>
                <w:szCs w:val="18"/>
              </w:rPr>
              <w:t>M</w:t>
            </w:r>
            <w:r w:rsidR="00A2047C" w:rsidRPr="00A2047C">
              <w:rPr>
                <w:rFonts w:ascii="Times New Roman" w:eastAsia="宋体" w:hAnsi="Times New Roman" w:cs="Times New Roman"/>
                <w:b/>
                <w:i/>
                <w:kern w:val="0"/>
                <w:sz w:val="18"/>
                <w:szCs w:val="18"/>
              </w:rPr>
              <w:t>*b2</w:t>
            </w:r>
          </w:p>
        </w:tc>
        <w:tc>
          <w:tcPr>
            <w:tcW w:w="567" w:type="dxa"/>
            <w:tcBorders>
              <w:top w:val="single" w:sz="4" w:space="0" w:color="auto"/>
              <w:bottom w:val="single" w:sz="4" w:space="0" w:color="auto"/>
            </w:tcBorders>
            <w:shd w:val="clear" w:color="auto" w:fill="auto"/>
            <w:vAlign w:val="center"/>
          </w:tcPr>
          <w:p w14:paraId="5877D0CD"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079221F1"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C2CC962"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D367C3C"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E48D627" w14:textId="0B8AC042" w:rsidR="00A2047C" w:rsidRPr="00A2047C" w:rsidRDefault="00F17923" w:rsidP="003E6EE7">
            <w:pPr>
              <w:widowControl/>
              <w:spacing w:line="360" w:lineRule="auto"/>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-2.83</w:t>
            </w:r>
          </w:p>
        </w:tc>
        <w:tc>
          <w:tcPr>
            <w:tcW w:w="992" w:type="dxa"/>
            <w:tcBorders>
              <w:top w:val="single" w:sz="4" w:space="0" w:color="auto"/>
              <w:bottom w:val="single" w:sz="4" w:space="0" w:color="auto"/>
            </w:tcBorders>
            <w:shd w:val="clear" w:color="auto" w:fill="auto"/>
            <w:vAlign w:val="center"/>
          </w:tcPr>
          <w:p w14:paraId="6B4C4D2A" w14:textId="21EBA4F5" w:rsidR="00A2047C" w:rsidRPr="00A2047C" w:rsidRDefault="00F17923" w:rsidP="003E6EE7">
            <w:pPr>
              <w:widowControl/>
              <w:spacing w:line="360" w:lineRule="auto"/>
              <w:jc w:val="righ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0.6643***</w:t>
            </w:r>
          </w:p>
        </w:tc>
        <w:tc>
          <w:tcPr>
            <w:tcW w:w="567" w:type="dxa"/>
            <w:tcBorders>
              <w:top w:val="single" w:sz="4" w:space="0" w:color="auto"/>
              <w:bottom w:val="single" w:sz="4" w:space="0" w:color="auto"/>
            </w:tcBorders>
            <w:shd w:val="clear" w:color="auto" w:fill="auto"/>
            <w:vAlign w:val="center"/>
          </w:tcPr>
          <w:p w14:paraId="69392A88"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5121A15C"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2382D3A"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02BC5A4"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A49E790"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004567FE"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1B32550"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0AB1DB8" w14:textId="77777777" w:rsidR="00A2047C" w:rsidRPr="00A2047C" w:rsidRDefault="00A2047C"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4F9FF1C6"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60B1FF5"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F4257F" w:rsidRPr="00A2047C" w14:paraId="3B6B340E"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2BC5874F" w14:textId="1C68736A" w:rsidR="00A2047C" w:rsidRPr="00A2047C" w:rsidRDefault="00612CF8" w:rsidP="00180DAA">
            <w:pPr>
              <w:widowControl/>
              <w:spacing w:line="360" w:lineRule="auto"/>
              <w:jc w:val="center"/>
              <w:textAlignment w:val="center"/>
              <w:rPr>
                <w:rFonts w:ascii="Times New Roman" w:eastAsia="宋体" w:hAnsi="Times New Roman" w:cs="Times New Roman"/>
                <w:b/>
                <w:i/>
                <w:sz w:val="18"/>
                <w:szCs w:val="18"/>
              </w:rPr>
            </w:pPr>
            <m:oMath>
              <m:r>
                <m:rPr>
                  <m:sty m:val="b"/>
                </m:rPr>
                <w:rPr>
                  <w:rFonts w:ascii="Cambria Math" w:eastAsia="宋体" w:hAnsi="Cambria Math" w:cs="Times New Roman"/>
                  <w:kern w:val="0"/>
                  <w:sz w:val="18"/>
                  <w:szCs w:val="18"/>
                </w:rPr>
                <m:t>Δ</m:t>
              </m:r>
            </m:oMath>
            <w:r w:rsidR="00A2047C" w:rsidRPr="00A2047C">
              <w:rPr>
                <w:rFonts w:ascii="Times New Roman" w:eastAsia="宋体" w:hAnsi="Times New Roman" w:cs="Times New Roman"/>
                <w:b/>
                <w:i/>
                <w:kern w:val="0"/>
                <w:sz w:val="18"/>
                <w:szCs w:val="18"/>
              </w:rPr>
              <w:t>NI</w:t>
            </w:r>
            <w:r>
              <w:rPr>
                <w:rFonts w:ascii="Times New Roman" w:eastAsia="宋体" w:hAnsi="Times New Roman" w:cs="Times New Roman"/>
                <w:b/>
                <w:i/>
                <w:kern w:val="0"/>
                <w:sz w:val="18"/>
                <w:szCs w:val="18"/>
              </w:rPr>
              <w:t>M</w:t>
            </w:r>
            <w:r w:rsidR="00A2047C" w:rsidRPr="00A2047C">
              <w:rPr>
                <w:rFonts w:ascii="Times New Roman" w:eastAsia="宋体" w:hAnsi="Times New Roman" w:cs="Times New Roman"/>
                <w:b/>
                <w:i/>
                <w:kern w:val="0"/>
                <w:sz w:val="18"/>
                <w:szCs w:val="18"/>
              </w:rPr>
              <w:t>*b3</w:t>
            </w:r>
          </w:p>
        </w:tc>
        <w:tc>
          <w:tcPr>
            <w:tcW w:w="567" w:type="dxa"/>
            <w:tcBorders>
              <w:top w:val="single" w:sz="4" w:space="0" w:color="auto"/>
              <w:bottom w:val="single" w:sz="4" w:space="0" w:color="auto"/>
            </w:tcBorders>
            <w:shd w:val="clear" w:color="auto" w:fill="auto"/>
            <w:vAlign w:val="center"/>
          </w:tcPr>
          <w:p w14:paraId="53E4A522"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059FF57A"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649900EA"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CC508AB"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DEA6509" w14:textId="2929AAC8" w:rsidR="00A2047C" w:rsidRPr="00A2047C" w:rsidRDefault="00F17923" w:rsidP="003E6EE7">
            <w:pPr>
              <w:widowControl/>
              <w:spacing w:line="360" w:lineRule="auto"/>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4.96</w:t>
            </w:r>
          </w:p>
        </w:tc>
        <w:tc>
          <w:tcPr>
            <w:tcW w:w="992" w:type="dxa"/>
            <w:tcBorders>
              <w:top w:val="single" w:sz="4" w:space="0" w:color="auto"/>
              <w:bottom w:val="single" w:sz="4" w:space="0" w:color="auto"/>
            </w:tcBorders>
            <w:shd w:val="clear" w:color="auto" w:fill="auto"/>
            <w:vAlign w:val="center"/>
          </w:tcPr>
          <w:p w14:paraId="7432C6BC" w14:textId="34C78375" w:rsidR="00A2047C" w:rsidRPr="00A2047C" w:rsidRDefault="00F17923" w:rsidP="00F17923">
            <w:pPr>
              <w:widowControl/>
              <w:wordWrap w:val="0"/>
              <w:spacing w:line="360" w:lineRule="auto"/>
              <w:jc w:val="righ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 xml:space="preserve">6.2677   </w:t>
            </w:r>
          </w:p>
        </w:tc>
        <w:tc>
          <w:tcPr>
            <w:tcW w:w="567" w:type="dxa"/>
            <w:tcBorders>
              <w:top w:val="single" w:sz="4" w:space="0" w:color="auto"/>
              <w:bottom w:val="single" w:sz="4" w:space="0" w:color="auto"/>
            </w:tcBorders>
            <w:shd w:val="clear" w:color="auto" w:fill="auto"/>
            <w:vAlign w:val="center"/>
          </w:tcPr>
          <w:p w14:paraId="5AFF0A8A"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05442DDF"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3A08068"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F6AD8B1"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107E002"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629812C"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414D43A9"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C297998" w14:textId="77777777" w:rsidR="00A2047C" w:rsidRPr="00A2047C" w:rsidRDefault="00A2047C"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6E2A95D5"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2C2EF82"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612CF8" w:rsidRPr="00A2047C" w14:paraId="3138075B"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1AB8D13C" w14:textId="77777777" w:rsidR="00A2047C" w:rsidRPr="00A2047C" w:rsidRDefault="00A2047C" w:rsidP="00180DAA">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LDR*b1</w:t>
            </w:r>
          </w:p>
        </w:tc>
        <w:tc>
          <w:tcPr>
            <w:tcW w:w="567" w:type="dxa"/>
            <w:tcBorders>
              <w:top w:val="single" w:sz="4" w:space="0" w:color="auto"/>
              <w:bottom w:val="single" w:sz="4" w:space="0" w:color="auto"/>
            </w:tcBorders>
            <w:shd w:val="clear" w:color="auto" w:fill="auto"/>
            <w:vAlign w:val="center"/>
          </w:tcPr>
          <w:p w14:paraId="3F3F9D99"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068DD645"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A61C6D3"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64153124"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C0B1D87"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17889A6"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38459BB1" w14:textId="3E6D9103" w:rsidR="00A2047C" w:rsidRPr="00A2047C" w:rsidRDefault="00A2047C" w:rsidP="00524CC6">
            <w:pPr>
              <w:widowControl/>
              <w:spacing w:line="360" w:lineRule="auto"/>
              <w:jc w:val="left"/>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w:t>
            </w:r>
            <w:r w:rsidR="00524CC6">
              <w:rPr>
                <w:rFonts w:ascii="Times New Roman" w:eastAsia="宋体" w:hAnsi="Times New Roman" w:cs="Times New Roman"/>
                <w:kern w:val="0"/>
                <w:sz w:val="18"/>
                <w:szCs w:val="18"/>
              </w:rPr>
              <w:t>1</w:t>
            </w:r>
            <w:r w:rsidRPr="00A2047C">
              <w:rPr>
                <w:rFonts w:ascii="Times New Roman" w:eastAsia="宋体" w:hAnsi="Times New Roman" w:cs="Times New Roman"/>
                <w:kern w:val="0"/>
                <w:sz w:val="18"/>
                <w:szCs w:val="18"/>
              </w:rPr>
              <w:t>9</w:t>
            </w:r>
          </w:p>
        </w:tc>
        <w:tc>
          <w:tcPr>
            <w:tcW w:w="993" w:type="dxa"/>
            <w:tcBorders>
              <w:top w:val="single" w:sz="4" w:space="0" w:color="auto"/>
              <w:bottom w:val="single" w:sz="4" w:space="0" w:color="auto"/>
            </w:tcBorders>
            <w:shd w:val="clear" w:color="auto" w:fill="auto"/>
            <w:vAlign w:val="center"/>
          </w:tcPr>
          <w:p w14:paraId="6172AED7" w14:textId="633A12CE" w:rsidR="00A2047C" w:rsidRPr="00A2047C" w:rsidRDefault="00A2047C" w:rsidP="00524CC6">
            <w:pPr>
              <w:widowControl/>
              <w:spacing w:line="360" w:lineRule="auto"/>
              <w:jc w:val="right"/>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0.0</w:t>
            </w:r>
            <w:r w:rsidR="00524CC6">
              <w:rPr>
                <w:rFonts w:ascii="Times New Roman" w:eastAsia="宋体" w:hAnsi="Times New Roman" w:cs="Times New Roman"/>
                <w:kern w:val="0"/>
                <w:sz w:val="18"/>
                <w:szCs w:val="18"/>
              </w:rPr>
              <w:t>127***</w:t>
            </w:r>
          </w:p>
        </w:tc>
        <w:tc>
          <w:tcPr>
            <w:tcW w:w="567" w:type="dxa"/>
            <w:tcBorders>
              <w:top w:val="single" w:sz="4" w:space="0" w:color="auto"/>
              <w:bottom w:val="single" w:sz="4" w:space="0" w:color="auto"/>
            </w:tcBorders>
            <w:shd w:val="clear" w:color="auto" w:fill="auto"/>
            <w:vAlign w:val="center"/>
          </w:tcPr>
          <w:p w14:paraId="07AA4A45"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AEFFC94"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53B9867E"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0F69699E"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5A057DB5"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FB46225" w14:textId="77777777" w:rsidR="00A2047C" w:rsidRPr="00A2047C" w:rsidRDefault="00A2047C"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6625F3AA"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901B2DF"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F4257F" w:rsidRPr="00A2047C" w14:paraId="235ADD5F"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4D7EE894" w14:textId="77777777" w:rsidR="00A2047C" w:rsidRPr="00A2047C" w:rsidRDefault="00A2047C" w:rsidP="00180DAA">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LDR*b2</w:t>
            </w:r>
          </w:p>
        </w:tc>
        <w:tc>
          <w:tcPr>
            <w:tcW w:w="567" w:type="dxa"/>
            <w:tcBorders>
              <w:top w:val="single" w:sz="4" w:space="0" w:color="auto"/>
              <w:bottom w:val="single" w:sz="4" w:space="0" w:color="auto"/>
            </w:tcBorders>
            <w:shd w:val="clear" w:color="auto" w:fill="auto"/>
            <w:vAlign w:val="center"/>
          </w:tcPr>
          <w:p w14:paraId="18AD4A4A"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B07A82A"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FCB1E55"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E57A33C"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31DEE1D"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E44CD03"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079DD4F" w14:textId="2D183A13" w:rsidR="00A2047C" w:rsidRPr="00A2047C" w:rsidRDefault="00A2047C" w:rsidP="00524CC6">
            <w:pPr>
              <w:widowControl/>
              <w:spacing w:line="360" w:lineRule="auto"/>
              <w:jc w:val="left"/>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0.3</w:t>
            </w:r>
            <w:r w:rsidR="00524CC6">
              <w:rPr>
                <w:rFonts w:ascii="Times New Roman" w:eastAsia="宋体" w:hAnsi="Times New Roman" w:cs="Times New Roman"/>
                <w:kern w:val="0"/>
                <w:sz w:val="18"/>
                <w:szCs w:val="18"/>
              </w:rPr>
              <w:t>6</w:t>
            </w:r>
          </w:p>
        </w:tc>
        <w:tc>
          <w:tcPr>
            <w:tcW w:w="993" w:type="dxa"/>
            <w:tcBorders>
              <w:top w:val="single" w:sz="4" w:space="0" w:color="auto"/>
              <w:bottom w:val="single" w:sz="4" w:space="0" w:color="auto"/>
            </w:tcBorders>
            <w:shd w:val="clear" w:color="auto" w:fill="auto"/>
            <w:vAlign w:val="center"/>
          </w:tcPr>
          <w:p w14:paraId="2E2BE4C9" w14:textId="4202AD43" w:rsidR="00A2047C" w:rsidRPr="00A2047C" w:rsidRDefault="00A2047C" w:rsidP="00524CC6">
            <w:pPr>
              <w:widowControl/>
              <w:spacing w:line="360" w:lineRule="auto"/>
              <w:jc w:val="right"/>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0.0</w:t>
            </w:r>
            <w:r w:rsidR="00524CC6">
              <w:rPr>
                <w:rFonts w:ascii="Times New Roman" w:eastAsia="宋体" w:hAnsi="Times New Roman" w:cs="Times New Roman"/>
                <w:kern w:val="0"/>
                <w:sz w:val="18"/>
                <w:szCs w:val="18"/>
              </w:rPr>
              <w:t>654</w:t>
            </w:r>
            <w:r w:rsidRPr="00A2047C">
              <w:rPr>
                <w:rFonts w:ascii="Times New Roman" w:eastAsia="宋体" w:hAnsi="Times New Roman" w:cs="Times New Roman"/>
                <w:kern w:val="0"/>
                <w:sz w:val="18"/>
                <w:szCs w:val="18"/>
              </w:rPr>
              <w:t>***</w:t>
            </w:r>
          </w:p>
        </w:tc>
        <w:tc>
          <w:tcPr>
            <w:tcW w:w="567" w:type="dxa"/>
            <w:tcBorders>
              <w:top w:val="single" w:sz="4" w:space="0" w:color="auto"/>
              <w:bottom w:val="single" w:sz="4" w:space="0" w:color="auto"/>
            </w:tcBorders>
            <w:shd w:val="clear" w:color="auto" w:fill="auto"/>
            <w:vAlign w:val="center"/>
          </w:tcPr>
          <w:p w14:paraId="64F4B8A0"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B5BC884"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B282321"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DD88527"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3678ECAE"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81C9BF0" w14:textId="77777777" w:rsidR="00A2047C" w:rsidRPr="00A2047C" w:rsidRDefault="00A2047C" w:rsidP="00FE1647">
            <w:pPr>
              <w:widowControl/>
              <w:spacing w:line="360" w:lineRule="auto"/>
              <w:jc w:val="right"/>
              <w:textAlignment w:val="center"/>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5C972006" w14:textId="77777777" w:rsidR="00A2047C" w:rsidRPr="00A2047C" w:rsidRDefault="00A2047C" w:rsidP="00180DAA">
            <w:pPr>
              <w:widowControl/>
              <w:spacing w:line="360" w:lineRule="auto"/>
              <w:jc w:val="center"/>
              <w:textAlignment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CB47E37"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612CF8" w:rsidRPr="00A2047C" w14:paraId="7651C96C"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6FEB53BC" w14:textId="77777777" w:rsidR="00A2047C" w:rsidRPr="00A2047C" w:rsidRDefault="00A2047C" w:rsidP="00180DAA">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LDR*b3</w:t>
            </w:r>
          </w:p>
        </w:tc>
        <w:tc>
          <w:tcPr>
            <w:tcW w:w="567" w:type="dxa"/>
            <w:tcBorders>
              <w:top w:val="single" w:sz="4" w:space="0" w:color="auto"/>
              <w:bottom w:val="single" w:sz="4" w:space="0" w:color="auto"/>
            </w:tcBorders>
            <w:shd w:val="clear" w:color="auto" w:fill="auto"/>
            <w:vAlign w:val="center"/>
          </w:tcPr>
          <w:p w14:paraId="31F8456A"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C8BBF90"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3840B8CD"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5FE60DF"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AD72108"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A1AF777"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794559E" w14:textId="734E9381" w:rsidR="00A2047C" w:rsidRPr="00A2047C" w:rsidRDefault="00A2047C" w:rsidP="00524CC6">
            <w:pPr>
              <w:widowControl/>
              <w:spacing w:line="360" w:lineRule="auto"/>
              <w:jc w:val="left"/>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w:t>
            </w:r>
            <w:r w:rsidR="00524CC6">
              <w:rPr>
                <w:rFonts w:ascii="Times New Roman" w:eastAsia="宋体" w:hAnsi="Times New Roman" w:cs="Times New Roman"/>
                <w:kern w:val="0"/>
                <w:sz w:val="18"/>
                <w:szCs w:val="18"/>
              </w:rPr>
              <w:t>41</w:t>
            </w:r>
          </w:p>
        </w:tc>
        <w:tc>
          <w:tcPr>
            <w:tcW w:w="993" w:type="dxa"/>
            <w:tcBorders>
              <w:top w:val="single" w:sz="4" w:space="0" w:color="auto"/>
              <w:bottom w:val="single" w:sz="4" w:space="0" w:color="auto"/>
            </w:tcBorders>
            <w:shd w:val="clear" w:color="auto" w:fill="auto"/>
            <w:vAlign w:val="center"/>
          </w:tcPr>
          <w:p w14:paraId="30A54985" w14:textId="13B57171" w:rsidR="00A2047C" w:rsidRPr="00A2047C" w:rsidRDefault="00A2047C" w:rsidP="00F17923">
            <w:pPr>
              <w:widowControl/>
              <w:wordWrap w:val="0"/>
              <w:spacing w:line="360" w:lineRule="auto"/>
              <w:jc w:val="right"/>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w:t>
            </w:r>
            <w:r w:rsidR="00524CC6">
              <w:rPr>
                <w:rFonts w:ascii="Times New Roman" w:eastAsia="宋体" w:hAnsi="Times New Roman" w:cs="Times New Roman"/>
                <w:kern w:val="0"/>
                <w:sz w:val="18"/>
                <w:szCs w:val="18"/>
              </w:rPr>
              <w:t>3762</w:t>
            </w:r>
            <w:r w:rsidR="00F17923">
              <w:rPr>
                <w:rFonts w:ascii="Times New Roman" w:eastAsia="宋体" w:hAnsi="Times New Roman" w:cs="Times New Roman"/>
                <w:kern w:val="0"/>
                <w:sz w:val="18"/>
                <w:szCs w:val="18"/>
              </w:rPr>
              <w:t xml:space="preserve">   </w:t>
            </w:r>
          </w:p>
        </w:tc>
        <w:tc>
          <w:tcPr>
            <w:tcW w:w="567" w:type="dxa"/>
            <w:tcBorders>
              <w:top w:val="single" w:sz="4" w:space="0" w:color="auto"/>
              <w:bottom w:val="single" w:sz="4" w:space="0" w:color="auto"/>
            </w:tcBorders>
            <w:shd w:val="clear" w:color="auto" w:fill="auto"/>
            <w:vAlign w:val="center"/>
          </w:tcPr>
          <w:p w14:paraId="500232DB"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F65D698"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0E679A9"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4D6065D"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41BED994"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1ADE628" w14:textId="77777777" w:rsidR="00A2047C" w:rsidRPr="00A2047C" w:rsidRDefault="00A2047C" w:rsidP="00FE1647">
            <w:pPr>
              <w:widowControl/>
              <w:spacing w:line="360" w:lineRule="auto"/>
              <w:jc w:val="right"/>
              <w:textAlignment w:val="center"/>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17637788" w14:textId="77777777" w:rsidR="00A2047C" w:rsidRPr="00A2047C" w:rsidRDefault="00A2047C" w:rsidP="00180DAA">
            <w:pPr>
              <w:widowControl/>
              <w:spacing w:line="360" w:lineRule="auto"/>
              <w:jc w:val="center"/>
              <w:textAlignment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DED5E91"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F4257F" w:rsidRPr="00A2047C" w14:paraId="465EB7AC"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3AA931E4" w14:textId="77777777" w:rsidR="00A2047C" w:rsidRPr="00A2047C" w:rsidRDefault="00A2047C" w:rsidP="00180DAA">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LL*b1</w:t>
            </w:r>
          </w:p>
        </w:tc>
        <w:tc>
          <w:tcPr>
            <w:tcW w:w="567" w:type="dxa"/>
            <w:tcBorders>
              <w:top w:val="single" w:sz="4" w:space="0" w:color="auto"/>
              <w:bottom w:val="single" w:sz="4" w:space="0" w:color="auto"/>
            </w:tcBorders>
            <w:shd w:val="clear" w:color="auto" w:fill="auto"/>
            <w:vAlign w:val="center"/>
          </w:tcPr>
          <w:p w14:paraId="07EBC2D6"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A9E3865"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2E684C9"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0080E3DF"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6BB2951C"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D0F4EBB"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F4C2F2F"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78BAC9FB"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30E38CF5" w14:textId="7D80DCEA" w:rsidR="00A2047C" w:rsidRPr="00A2047C" w:rsidRDefault="00FE58C6" w:rsidP="00FE58C6">
            <w:pPr>
              <w:widowControl/>
              <w:spacing w:line="360" w:lineRule="auto"/>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0.12</w:t>
            </w:r>
          </w:p>
        </w:tc>
        <w:tc>
          <w:tcPr>
            <w:tcW w:w="992" w:type="dxa"/>
            <w:tcBorders>
              <w:top w:val="single" w:sz="4" w:space="0" w:color="auto"/>
              <w:bottom w:val="single" w:sz="4" w:space="0" w:color="auto"/>
            </w:tcBorders>
            <w:shd w:val="clear" w:color="auto" w:fill="auto"/>
            <w:vAlign w:val="center"/>
          </w:tcPr>
          <w:p w14:paraId="24A366B3" w14:textId="62AA0C33" w:rsidR="00A2047C" w:rsidRPr="00A2047C" w:rsidRDefault="00A2047C" w:rsidP="00FE58C6">
            <w:pPr>
              <w:widowControl/>
              <w:spacing w:line="360" w:lineRule="auto"/>
              <w:jc w:val="right"/>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0.0</w:t>
            </w:r>
            <w:r w:rsidR="00FE58C6">
              <w:rPr>
                <w:rFonts w:ascii="Times New Roman" w:eastAsia="宋体" w:hAnsi="Times New Roman" w:cs="Times New Roman"/>
                <w:kern w:val="0"/>
                <w:sz w:val="18"/>
                <w:szCs w:val="18"/>
              </w:rPr>
              <w:t>0</w:t>
            </w:r>
            <w:r w:rsidRPr="00A2047C">
              <w:rPr>
                <w:rFonts w:ascii="Times New Roman" w:eastAsia="宋体" w:hAnsi="Times New Roman" w:cs="Times New Roman"/>
                <w:kern w:val="0"/>
                <w:sz w:val="18"/>
                <w:szCs w:val="18"/>
              </w:rPr>
              <w:t>67</w:t>
            </w:r>
            <w:r w:rsidR="00FE58C6">
              <w:rPr>
                <w:rFonts w:ascii="Times New Roman" w:eastAsia="宋体" w:hAnsi="Times New Roman" w:cs="Times New Roman"/>
                <w:kern w:val="0"/>
                <w:sz w:val="18"/>
                <w:szCs w:val="18"/>
              </w:rPr>
              <w:t>*</w:t>
            </w:r>
            <w:r w:rsidRPr="00A2047C">
              <w:rPr>
                <w:rFonts w:ascii="Times New Roman" w:eastAsia="宋体" w:hAnsi="Times New Roman" w:cs="Times New Roman"/>
                <w:kern w:val="0"/>
                <w:sz w:val="18"/>
                <w:szCs w:val="18"/>
              </w:rPr>
              <w:t>**</w:t>
            </w:r>
          </w:p>
        </w:tc>
        <w:tc>
          <w:tcPr>
            <w:tcW w:w="567" w:type="dxa"/>
            <w:tcBorders>
              <w:top w:val="single" w:sz="4" w:space="0" w:color="auto"/>
              <w:bottom w:val="single" w:sz="4" w:space="0" w:color="auto"/>
            </w:tcBorders>
            <w:shd w:val="clear" w:color="auto" w:fill="auto"/>
            <w:vAlign w:val="center"/>
          </w:tcPr>
          <w:p w14:paraId="2BA7B6BF"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C1A8F6F"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1FD6B32"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20616C8" w14:textId="77777777" w:rsidR="00A2047C" w:rsidRPr="00A2047C" w:rsidRDefault="00A2047C" w:rsidP="00FE1647">
            <w:pPr>
              <w:widowControl/>
              <w:spacing w:line="360" w:lineRule="auto"/>
              <w:jc w:val="right"/>
              <w:textAlignment w:val="center"/>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6EA4EAA5" w14:textId="77777777" w:rsidR="00A2047C" w:rsidRPr="00A2047C" w:rsidRDefault="00A2047C" w:rsidP="00180DAA">
            <w:pPr>
              <w:widowControl/>
              <w:spacing w:line="360" w:lineRule="auto"/>
              <w:jc w:val="center"/>
              <w:textAlignment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7CAB3C0"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612CF8" w:rsidRPr="00A2047C" w14:paraId="3B3901E4"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3AB9230B" w14:textId="77777777" w:rsidR="00A2047C" w:rsidRPr="00A2047C" w:rsidRDefault="00A2047C" w:rsidP="00180DAA">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LL*b2</w:t>
            </w:r>
          </w:p>
        </w:tc>
        <w:tc>
          <w:tcPr>
            <w:tcW w:w="567" w:type="dxa"/>
            <w:tcBorders>
              <w:top w:val="single" w:sz="4" w:space="0" w:color="auto"/>
              <w:bottom w:val="single" w:sz="4" w:space="0" w:color="auto"/>
            </w:tcBorders>
            <w:shd w:val="clear" w:color="auto" w:fill="auto"/>
            <w:vAlign w:val="center"/>
          </w:tcPr>
          <w:p w14:paraId="6B822380"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A98E2C7"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5640E11B"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208A98B"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15D0013"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7D8DD27"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5A8EB92"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6C62280A"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CA6E5F9" w14:textId="7D8E77B1" w:rsidR="00A2047C" w:rsidRPr="00A2047C" w:rsidRDefault="00A2047C" w:rsidP="00FE58C6">
            <w:pPr>
              <w:widowControl/>
              <w:spacing w:line="360" w:lineRule="auto"/>
              <w:jc w:val="left"/>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w:t>
            </w:r>
            <w:r w:rsidR="00FE58C6">
              <w:rPr>
                <w:rFonts w:ascii="Times New Roman" w:eastAsia="宋体" w:hAnsi="Times New Roman" w:cs="Times New Roman"/>
                <w:kern w:val="0"/>
                <w:sz w:val="18"/>
                <w:szCs w:val="18"/>
              </w:rPr>
              <w:t>04</w:t>
            </w:r>
          </w:p>
        </w:tc>
        <w:tc>
          <w:tcPr>
            <w:tcW w:w="992" w:type="dxa"/>
            <w:tcBorders>
              <w:top w:val="single" w:sz="4" w:space="0" w:color="auto"/>
              <w:bottom w:val="single" w:sz="4" w:space="0" w:color="auto"/>
            </w:tcBorders>
            <w:shd w:val="clear" w:color="auto" w:fill="auto"/>
            <w:vAlign w:val="center"/>
          </w:tcPr>
          <w:p w14:paraId="79D128F1" w14:textId="107E3E9B" w:rsidR="00A2047C" w:rsidRPr="00A2047C" w:rsidRDefault="00A2047C" w:rsidP="00FE58C6">
            <w:pPr>
              <w:widowControl/>
              <w:spacing w:line="360" w:lineRule="auto"/>
              <w:jc w:val="right"/>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w:t>
            </w:r>
            <w:r w:rsidR="00FE58C6">
              <w:rPr>
                <w:rFonts w:ascii="Times New Roman" w:eastAsia="宋体" w:hAnsi="Times New Roman" w:cs="Times New Roman"/>
                <w:kern w:val="0"/>
                <w:sz w:val="18"/>
                <w:szCs w:val="18"/>
              </w:rPr>
              <w:t>035</w:t>
            </w:r>
            <w:r w:rsidRPr="00A2047C">
              <w:rPr>
                <w:rFonts w:ascii="Times New Roman" w:eastAsia="宋体" w:hAnsi="Times New Roman" w:cs="Times New Roman"/>
                <w:kern w:val="0"/>
                <w:sz w:val="18"/>
                <w:szCs w:val="18"/>
              </w:rPr>
              <w:t>4</w:t>
            </w:r>
          </w:p>
        </w:tc>
        <w:tc>
          <w:tcPr>
            <w:tcW w:w="567" w:type="dxa"/>
            <w:tcBorders>
              <w:top w:val="single" w:sz="4" w:space="0" w:color="auto"/>
              <w:bottom w:val="single" w:sz="4" w:space="0" w:color="auto"/>
            </w:tcBorders>
            <w:shd w:val="clear" w:color="auto" w:fill="auto"/>
            <w:vAlign w:val="center"/>
          </w:tcPr>
          <w:p w14:paraId="681C9B30"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C7A612C"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6DEE9B90"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5D2E78F" w14:textId="77777777" w:rsidR="00A2047C" w:rsidRPr="00A2047C" w:rsidRDefault="00A2047C"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370A49B8"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0BAD98F"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F4257F" w:rsidRPr="00A2047C" w14:paraId="726DE931"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150A517C" w14:textId="77777777" w:rsidR="00A2047C" w:rsidRPr="00A2047C" w:rsidRDefault="00A2047C" w:rsidP="00180DAA">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LL*b3</w:t>
            </w:r>
          </w:p>
        </w:tc>
        <w:tc>
          <w:tcPr>
            <w:tcW w:w="567" w:type="dxa"/>
            <w:tcBorders>
              <w:top w:val="single" w:sz="4" w:space="0" w:color="auto"/>
              <w:bottom w:val="single" w:sz="4" w:space="0" w:color="auto"/>
            </w:tcBorders>
            <w:shd w:val="clear" w:color="auto" w:fill="auto"/>
            <w:vAlign w:val="center"/>
          </w:tcPr>
          <w:p w14:paraId="47E4CABA"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F4222C1"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73C1025"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6442099"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EA38086"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18660BB"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B39CDC9"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6398686A"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68EAA6E3" w14:textId="50CADA0D" w:rsidR="00A2047C" w:rsidRPr="00A2047C" w:rsidRDefault="00FE58C6" w:rsidP="00FE58C6">
            <w:pPr>
              <w:widowControl/>
              <w:spacing w:line="360" w:lineRule="auto"/>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0.01</w:t>
            </w:r>
          </w:p>
        </w:tc>
        <w:tc>
          <w:tcPr>
            <w:tcW w:w="992" w:type="dxa"/>
            <w:tcBorders>
              <w:top w:val="single" w:sz="4" w:space="0" w:color="auto"/>
              <w:bottom w:val="single" w:sz="4" w:space="0" w:color="auto"/>
            </w:tcBorders>
            <w:shd w:val="clear" w:color="auto" w:fill="auto"/>
            <w:vAlign w:val="center"/>
          </w:tcPr>
          <w:p w14:paraId="0D114063" w14:textId="3393BABE" w:rsidR="00A2047C" w:rsidRPr="00A2047C" w:rsidRDefault="00A2047C" w:rsidP="00FE58C6">
            <w:pPr>
              <w:widowControl/>
              <w:spacing w:line="360" w:lineRule="auto"/>
              <w:jc w:val="right"/>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w:t>
            </w:r>
            <w:r w:rsidR="00FE58C6">
              <w:rPr>
                <w:rFonts w:ascii="Times New Roman" w:eastAsia="宋体" w:hAnsi="Times New Roman" w:cs="Times New Roman"/>
                <w:kern w:val="0"/>
                <w:sz w:val="18"/>
                <w:szCs w:val="18"/>
              </w:rPr>
              <w:t>2653</w:t>
            </w:r>
          </w:p>
        </w:tc>
        <w:tc>
          <w:tcPr>
            <w:tcW w:w="567" w:type="dxa"/>
            <w:tcBorders>
              <w:top w:val="single" w:sz="4" w:space="0" w:color="auto"/>
              <w:bottom w:val="single" w:sz="4" w:space="0" w:color="auto"/>
            </w:tcBorders>
            <w:shd w:val="clear" w:color="auto" w:fill="auto"/>
            <w:vAlign w:val="center"/>
          </w:tcPr>
          <w:p w14:paraId="69DFDB59"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BEEC6D0"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24DFF78"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54E5345" w14:textId="77777777" w:rsidR="00A2047C" w:rsidRPr="00A2047C" w:rsidRDefault="00A2047C"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48DD4C24"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6CBEE541"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612CF8" w:rsidRPr="00A2047C" w14:paraId="3E314B60"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7D98034B" w14:textId="77777777" w:rsidR="00A2047C" w:rsidRPr="00A2047C" w:rsidRDefault="00A2047C" w:rsidP="00180DAA">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CBL*b1</w:t>
            </w:r>
          </w:p>
        </w:tc>
        <w:tc>
          <w:tcPr>
            <w:tcW w:w="567" w:type="dxa"/>
            <w:tcBorders>
              <w:top w:val="single" w:sz="4" w:space="0" w:color="auto"/>
              <w:bottom w:val="single" w:sz="4" w:space="0" w:color="auto"/>
            </w:tcBorders>
            <w:shd w:val="clear" w:color="auto" w:fill="auto"/>
            <w:vAlign w:val="center"/>
          </w:tcPr>
          <w:p w14:paraId="4BC3563F"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FD08E6C"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EF48F6A"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72EA89B"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440706A5"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C96B497"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C9AFE18"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01128E27"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3FE420D2"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DCBEA0A"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2DE4718" w14:textId="44979B41" w:rsidR="00A2047C" w:rsidRPr="00A2047C" w:rsidRDefault="00B53FF1" w:rsidP="00B53FF1">
            <w:pPr>
              <w:spacing w:line="360" w:lineRule="auto"/>
              <w:jc w:val="left"/>
              <w:rPr>
                <w:rFonts w:ascii="Times New Roman" w:eastAsia="宋体" w:hAnsi="Times New Roman" w:cs="Times New Roman"/>
                <w:kern w:val="0"/>
                <w:sz w:val="18"/>
                <w:szCs w:val="18"/>
              </w:rPr>
            </w:pPr>
            <w:r>
              <w:rPr>
                <w:rFonts w:ascii="Times New Roman" w:eastAsia="宋体" w:hAnsi="Times New Roman" w:cs="Times New Roman"/>
                <w:kern w:val="0"/>
                <w:sz w:val="18"/>
                <w:szCs w:val="18"/>
              </w:rPr>
              <w:t>-</w:t>
            </w:r>
            <w:r w:rsidR="00A2047C" w:rsidRPr="00A2047C">
              <w:rPr>
                <w:rFonts w:ascii="Times New Roman" w:eastAsia="宋体" w:hAnsi="Times New Roman" w:cs="Times New Roman"/>
                <w:kern w:val="0"/>
                <w:sz w:val="18"/>
                <w:szCs w:val="18"/>
              </w:rPr>
              <w:t>0.</w:t>
            </w:r>
            <w:r>
              <w:rPr>
                <w:rFonts w:ascii="Times New Roman" w:eastAsia="宋体" w:hAnsi="Times New Roman" w:cs="Times New Roman"/>
                <w:kern w:val="0"/>
                <w:sz w:val="18"/>
                <w:szCs w:val="18"/>
              </w:rPr>
              <w:t>4</w:t>
            </w:r>
            <w:r w:rsidR="00A2047C" w:rsidRPr="00A2047C">
              <w:rPr>
                <w:rFonts w:ascii="Times New Roman" w:eastAsia="宋体" w:hAnsi="Times New Roman" w:cs="Times New Roman"/>
                <w:kern w:val="0"/>
                <w:sz w:val="18"/>
                <w:szCs w:val="18"/>
              </w:rPr>
              <w:t>6</w:t>
            </w:r>
          </w:p>
        </w:tc>
        <w:tc>
          <w:tcPr>
            <w:tcW w:w="992" w:type="dxa"/>
            <w:tcBorders>
              <w:top w:val="single" w:sz="4" w:space="0" w:color="auto"/>
              <w:bottom w:val="single" w:sz="4" w:space="0" w:color="auto"/>
            </w:tcBorders>
            <w:shd w:val="clear" w:color="auto" w:fill="auto"/>
            <w:vAlign w:val="center"/>
          </w:tcPr>
          <w:p w14:paraId="245A25CF" w14:textId="756D27B1" w:rsidR="00A2047C" w:rsidRPr="00A2047C" w:rsidRDefault="00A2047C" w:rsidP="00B53FF1">
            <w:pPr>
              <w:spacing w:line="360" w:lineRule="auto"/>
              <w:jc w:val="right"/>
              <w:rPr>
                <w:rFonts w:ascii="Times New Roman" w:eastAsia="宋体" w:hAnsi="Times New Roman" w:cs="Times New Roman"/>
                <w:kern w:val="0"/>
                <w:sz w:val="18"/>
                <w:szCs w:val="18"/>
              </w:rPr>
            </w:pPr>
            <w:r w:rsidRPr="00A2047C">
              <w:rPr>
                <w:rFonts w:ascii="Times New Roman" w:eastAsia="宋体" w:hAnsi="Times New Roman" w:cs="Times New Roman"/>
                <w:kern w:val="0"/>
                <w:sz w:val="18"/>
                <w:szCs w:val="18"/>
              </w:rPr>
              <w:t>0.</w:t>
            </w:r>
            <w:r w:rsidR="00B53FF1">
              <w:rPr>
                <w:rFonts w:ascii="Times New Roman" w:eastAsia="宋体" w:hAnsi="Times New Roman" w:cs="Times New Roman"/>
                <w:kern w:val="0"/>
                <w:sz w:val="18"/>
                <w:szCs w:val="18"/>
              </w:rPr>
              <w:t>0657</w:t>
            </w:r>
            <w:r w:rsidR="00B53FF1">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3169319F"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BA16CD1" w14:textId="77777777" w:rsidR="00A2047C" w:rsidRPr="00A2047C" w:rsidRDefault="00A2047C"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6AD84F69"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076B65E9"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F4257F" w:rsidRPr="00A2047C" w14:paraId="28741DB4"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04257067" w14:textId="77777777" w:rsidR="00A2047C" w:rsidRPr="00A2047C" w:rsidRDefault="00A2047C" w:rsidP="00180DAA">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CBL*b2</w:t>
            </w:r>
          </w:p>
        </w:tc>
        <w:tc>
          <w:tcPr>
            <w:tcW w:w="567" w:type="dxa"/>
            <w:tcBorders>
              <w:top w:val="single" w:sz="4" w:space="0" w:color="auto"/>
              <w:bottom w:val="single" w:sz="4" w:space="0" w:color="auto"/>
            </w:tcBorders>
            <w:shd w:val="clear" w:color="auto" w:fill="auto"/>
            <w:vAlign w:val="center"/>
          </w:tcPr>
          <w:p w14:paraId="2B55E0AF"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8995512"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4D614F8E"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935E762"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3FA6A8E"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08D675CC"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671CD08"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76D36F0A"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857C93F"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AD03E0B"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31E902C4" w14:textId="04AB0261" w:rsidR="00A2047C" w:rsidRPr="00A2047C" w:rsidRDefault="00A2047C" w:rsidP="00B53FF1">
            <w:pPr>
              <w:spacing w:line="360" w:lineRule="auto"/>
              <w:jc w:val="left"/>
              <w:rPr>
                <w:rFonts w:ascii="Times New Roman" w:eastAsia="宋体" w:hAnsi="Times New Roman" w:cs="Times New Roman"/>
                <w:kern w:val="0"/>
                <w:sz w:val="18"/>
                <w:szCs w:val="18"/>
              </w:rPr>
            </w:pPr>
            <w:r w:rsidRPr="00A2047C">
              <w:rPr>
                <w:rFonts w:ascii="Times New Roman" w:eastAsia="宋体" w:hAnsi="Times New Roman" w:cs="Times New Roman"/>
                <w:kern w:val="0"/>
                <w:sz w:val="18"/>
                <w:szCs w:val="18"/>
              </w:rPr>
              <w:t>0.</w:t>
            </w:r>
            <w:r w:rsidR="00B53FF1">
              <w:rPr>
                <w:rFonts w:ascii="Times New Roman" w:eastAsia="宋体" w:hAnsi="Times New Roman" w:cs="Times New Roman"/>
                <w:kern w:val="0"/>
                <w:sz w:val="18"/>
                <w:szCs w:val="18"/>
              </w:rPr>
              <w:t>39</w:t>
            </w:r>
          </w:p>
        </w:tc>
        <w:tc>
          <w:tcPr>
            <w:tcW w:w="992" w:type="dxa"/>
            <w:tcBorders>
              <w:top w:val="single" w:sz="4" w:space="0" w:color="auto"/>
              <w:bottom w:val="single" w:sz="4" w:space="0" w:color="auto"/>
            </w:tcBorders>
            <w:shd w:val="clear" w:color="auto" w:fill="auto"/>
            <w:vAlign w:val="center"/>
          </w:tcPr>
          <w:p w14:paraId="531BD9B7" w14:textId="337FF36A" w:rsidR="00A2047C" w:rsidRPr="00A2047C" w:rsidRDefault="00A2047C" w:rsidP="00B53FF1">
            <w:pPr>
              <w:spacing w:line="360" w:lineRule="auto"/>
              <w:jc w:val="right"/>
              <w:rPr>
                <w:rFonts w:ascii="Times New Roman" w:eastAsia="宋体" w:hAnsi="Times New Roman" w:cs="Times New Roman"/>
                <w:kern w:val="0"/>
                <w:sz w:val="18"/>
                <w:szCs w:val="18"/>
              </w:rPr>
            </w:pPr>
            <w:r w:rsidRPr="00A2047C">
              <w:rPr>
                <w:rFonts w:ascii="Times New Roman" w:eastAsia="宋体" w:hAnsi="Times New Roman" w:cs="Times New Roman"/>
                <w:kern w:val="0"/>
                <w:sz w:val="18"/>
                <w:szCs w:val="18"/>
              </w:rPr>
              <w:t>0.</w:t>
            </w:r>
            <w:r w:rsidR="00B53FF1">
              <w:rPr>
                <w:rFonts w:ascii="Times New Roman" w:eastAsia="宋体" w:hAnsi="Times New Roman" w:cs="Times New Roman"/>
                <w:kern w:val="0"/>
                <w:sz w:val="18"/>
                <w:szCs w:val="18"/>
              </w:rPr>
              <w:t>1200</w:t>
            </w:r>
            <w:r w:rsidR="00B53FF1">
              <w:rPr>
                <w:rFonts w:ascii="Times New Roman" w:hAnsi="Times New Roman" w:cs="Times New Roman"/>
                <w:color w:val="000000"/>
                <w:sz w:val="20"/>
                <w:szCs w:val="20"/>
              </w:rPr>
              <w:t>***</w:t>
            </w:r>
          </w:p>
        </w:tc>
        <w:tc>
          <w:tcPr>
            <w:tcW w:w="567" w:type="dxa"/>
            <w:tcBorders>
              <w:top w:val="single" w:sz="4" w:space="0" w:color="auto"/>
              <w:bottom w:val="single" w:sz="4" w:space="0" w:color="auto"/>
            </w:tcBorders>
            <w:shd w:val="clear" w:color="auto" w:fill="auto"/>
            <w:vAlign w:val="center"/>
          </w:tcPr>
          <w:p w14:paraId="6E7C2A61"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C72B078" w14:textId="77777777" w:rsidR="00A2047C" w:rsidRPr="00A2047C" w:rsidRDefault="00A2047C"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46E8AE5B"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6775ACD4"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612CF8" w:rsidRPr="00A2047C" w14:paraId="04FEBB3F"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09A45052" w14:textId="77777777" w:rsidR="00A2047C" w:rsidRPr="00A2047C" w:rsidRDefault="00A2047C" w:rsidP="00180DAA">
            <w:pPr>
              <w:widowControl/>
              <w:spacing w:line="360" w:lineRule="auto"/>
              <w:jc w:val="center"/>
              <w:textAlignment w:val="center"/>
              <w:rPr>
                <w:rFonts w:ascii="Times New Roman" w:eastAsia="宋体" w:hAnsi="Times New Roman" w:cs="Times New Roman"/>
                <w:b/>
                <w:i/>
                <w:sz w:val="18"/>
                <w:szCs w:val="18"/>
              </w:rPr>
            </w:pPr>
            <w:r w:rsidRPr="00A2047C">
              <w:rPr>
                <w:rFonts w:ascii="Times New Roman" w:eastAsia="宋体" w:hAnsi="Times New Roman" w:cs="Times New Roman"/>
                <w:b/>
                <w:i/>
                <w:kern w:val="0"/>
                <w:sz w:val="18"/>
                <w:szCs w:val="18"/>
              </w:rPr>
              <w:t>CBL*b3</w:t>
            </w:r>
          </w:p>
        </w:tc>
        <w:tc>
          <w:tcPr>
            <w:tcW w:w="567" w:type="dxa"/>
            <w:tcBorders>
              <w:top w:val="single" w:sz="4" w:space="0" w:color="auto"/>
              <w:bottom w:val="single" w:sz="4" w:space="0" w:color="auto"/>
            </w:tcBorders>
            <w:shd w:val="clear" w:color="auto" w:fill="auto"/>
            <w:vAlign w:val="center"/>
          </w:tcPr>
          <w:p w14:paraId="7FAA09AA"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941C195"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AAC50AA"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F9F53F0"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E63F149"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B2C41DB"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5BE73B35"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50D7597D"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090E633"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01DC31E9"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7736306" w14:textId="6931F176" w:rsidR="00A2047C" w:rsidRPr="00A2047C" w:rsidRDefault="00A2047C" w:rsidP="00B53FF1">
            <w:pPr>
              <w:spacing w:line="360" w:lineRule="auto"/>
              <w:jc w:val="left"/>
              <w:rPr>
                <w:rFonts w:ascii="Times New Roman" w:eastAsia="宋体" w:hAnsi="Times New Roman" w:cs="Times New Roman"/>
                <w:kern w:val="0"/>
                <w:sz w:val="18"/>
                <w:szCs w:val="18"/>
              </w:rPr>
            </w:pPr>
            <w:r w:rsidRPr="00A2047C">
              <w:rPr>
                <w:rFonts w:ascii="Times New Roman" w:eastAsia="宋体" w:hAnsi="Times New Roman" w:cs="Times New Roman"/>
                <w:kern w:val="0"/>
                <w:sz w:val="18"/>
                <w:szCs w:val="18"/>
              </w:rPr>
              <w:t>0.</w:t>
            </w:r>
            <w:r w:rsidR="00B53FF1">
              <w:rPr>
                <w:rFonts w:ascii="Times New Roman" w:eastAsia="宋体" w:hAnsi="Times New Roman" w:cs="Times New Roman"/>
                <w:kern w:val="0"/>
                <w:sz w:val="18"/>
                <w:szCs w:val="18"/>
              </w:rPr>
              <w:t>10</w:t>
            </w:r>
          </w:p>
        </w:tc>
        <w:tc>
          <w:tcPr>
            <w:tcW w:w="992" w:type="dxa"/>
            <w:tcBorders>
              <w:top w:val="single" w:sz="4" w:space="0" w:color="auto"/>
              <w:bottom w:val="single" w:sz="4" w:space="0" w:color="auto"/>
            </w:tcBorders>
            <w:shd w:val="clear" w:color="auto" w:fill="auto"/>
            <w:vAlign w:val="center"/>
          </w:tcPr>
          <w:p w14:paraId="20AAE3E8" w14:textId="41217763" w:rsidR="00A2047C" w:rsidRPr="00A2047C" w:rsidRDefault="00B53FF1" w:rsidP="00B53FF1">
            <w:pPr>
              <w:spacing w:line="360" w:lineRule="auto"/>
              <w:jc w:val="right"/>
              <w:rPr>
                <w:rFonts w:ascii="Times New Roman" w:eastAsia="宋体" w:hAnsi="Times New Roman" w:cs="Times New Roman"/>
                <w:kern w:val="0"/>
                <w:sz w:val="18"/>
                <w:szCs w:val="18"/>
              </w:rPr>
            </w:pPr>
            <w:r>
              <w:rPr>
                <w:rFonts w:ascii="Times New Roman" w:eastAsia="宋体" w:hAnsi="Times New Roman" w:cs="Times New Roman"/>
                <w:kern w:val="0"/>
                <w:sz w:val="18"/>
                <w:szCs w:val="18"/>
              </w:rPr>
              <w:t>0.5863</w:t>
            </w:r>
          </w:p>
        </w:tc>
        <w:tc>
          <w:tcPr>
            <w:tcW w:w="567" w:type="dxa"/>
            <w:tcBorders>
              <w:top w:val="single" w:sz="4" w:space="0" w:color="auto"/>
              <w:bottom w:val="single" w:sz="4" w:space="0" w:color="auto"/>
            </w:tcBorders>
            <w:shd w:val="clear" w:color="auto" w:fill="auto"/>
            <w:vAlign w:val="center"/>
          </w:tcPr>
          <w:p w14:paraId="56F5F619"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4EF0D7A" w14:textId="77777777" w:rsidR="00A2047C" w:rsidRPr="00A2047C" w:rsidRDefault="00A2047C"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51E4C67A"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09F2942"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F4257F" w:rsidRPr="00A2047C" w14:paraId="54627C0E" w14:textId="77777777" w:rsidTr="000D1363">
        <w:trPr>
          <w:trHeight w:val="510"/>
          <w:jc w:val="center"/>
        </w:trPr>
        <w:tc>
          <w:tcPr>
            <w:tcW w:w="988" w:type="dxa"/>
            <w:tcBorders>
              <w:top w:val="single" w:sz="4" w:space="0" w:color="auto"/>
              <w:bottom w:val="single" w:sz="4" w:space="0" w:color="auto"/>
            </w:tcBorders>
            <w:shd w:val="clear" w:color="auto" w:fill="auto"/>
            <w:vAlign w:val="center"/>
          </w:tcPr>
          <w:p w14:paraId="3B621370" w14:textId="5D799BA4" w:rsidR="00A2047C" w:rsidRPr="00A2047C" w:rsidRDefault="00612CF8" w:rsidP="00180DAA">
            <w:pPr>
              <w:widowControl/>
              <w:spacing w:line="360" w:lineRule="auto"/>
              <w:jc w:val="center"/>
              <w:textAlignment w:val="center"/>
              <w:rPr>
                <w:rFonts w:ascii="Times New Roman" w:eastAsia="宋体" w:hAnsi="Times New Roman" w:cs="Times New Roman"/>
                <w:b/>
                <w:i/>
                <w:sz w:val="18"/>
                <w:szCs w:val="18"/>
              </w:rPr>
            </w:pPr>
            <w:r>
              <w:rPr>
                <w:rFonts w:ascii="Times New Roman" w:eastAsia="宋体" w:hAnsi="Times New Roman" w:cs="Times New Roman"/>
                <w:b/>
                <w:i/>
                <w:kern w:val="0"/>
                <w:sz w:val="18"/>
                <w:szCs w:val="18"/>
              </w:rPr>
              <w:lastRenderedPageBreak/>
              <w:t>I</w:t>
            </w:r>
            <w:r w:rsidR="00A2047C" w:rsidRPr="00A2047C">
              <w:rPr>
                <w:rFonts w:ascii="Times New Roman" w:eastAsia="宋体" w:hAnsi="Times New Roman" w:cs="Times New Roman"/>
                <w:b/>
                <w:i/>
                <w:kern w:val="0"/>
                <w:sz w:val="18"/>
                <w:szCs w:val="18"/>
              </w:rPr>
              <w:t>A*b1</w:t>
            </w:r>
          </w:p>
        </w:tc>
        <w:tc>
          <w:tcPr>
            <w:tcW w:w="567" w:type="dxa"/>
            <w:tcBorders>
              <w:top w:val="single" w:sz="4" w:space="0" w:color="auto"/>
              <w:bottom w:val="single" w:sz="4" w:space="0" w:color="auto"/>
            </w:tcBorders>
            <w:shd w:val="clear" w:color="auto" w:fill="auto"/>
            <w:vAlign w:val="center"/>
          </w:tcPr>
          <w:p w14:paraId="3C908854"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0FCAD3CA"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32B949E"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69F15FFE"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6BFC7102"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E883C7B"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5B85241B"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1DC70F74"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8A8A157"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8427C64"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9AAF6D9"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ECCB9AD"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EFBE955" w14:textId="7B9DBED9" w:rsidR="00A2047C" w:rsidRPr="00A2047C" w:rsidRDefault="00647BCA" w:rsidP="00FE1647">
            <w:pPr>
              <w:widowControl/>
              <w:spacing w:line="360" w:lineRule="auto"/>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0.11</w:t>
            </w:r>
          </w:p>
        </w:tc>
        <w:tc>
          <w:tcPr>
            <w:tcW w:w="992" w:type="dxa"/>
            <w:tcBorders>
              <w:top w:val="single" w:sz="4" w:space="0" w:color="auto"/>
              <w:bottom w:val="single" w:sz="4" w:space="0" w:color="auto"/>
            </w:tcBorders>
            <w:shd w:val="clear" w:color="auto" w:fill="auto"/>
            <w:vAlign w:val="center"/>
          </w:tcPr>
          <w:p w14:paraId="1133204C" w14:textId="5E3BD3BA" w:rsidR="00A2047C" w:rsidRPr="00A2047C" w:rsidRDefault="00A2047C" w:rsidP="00FE1647">
            <w:pPr>
              <w:widowControl/>
              <w:spacing w:line="360" w:lineRule="auto"/>
              <w:jc w:val="right"/>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0.0</w:t>
            </w:r>
            <w:r w:rsidR="00647BCA">
              <w:rPr>
                <w:rFonts w:ascii="Times New Roman" w:eastAsia="宋体" w:hAnsi="Times New Roman" w:cs="Times New Roman"/>
                <w:kern w:val="0"/>
                <w:sz w:val="18"/>
                <w:szCs w:val="18"/>
              </w:rPr>
              <w:t>067*</w:t>
            </w:r>
            <w:r w:rsidRPr="00A2047C">
              <w:rPr>
                <w:rFonts w:ascii="Times New Roman" w:eastAsia="宋体" w:hAnsi="Times New Roman" w:cs="Times New Roman"/>
                <w:kern w:val="0"/>
                <w:sz w:val="18"/>
                <w:szCs w:val="18"/>
              </w:rPr>
              <w:t>**</w:t>
            </w:r>
          </w:p>
        </w:tc>
        <w:tc>
          <w:tcPr>
            <w:tcW w:w="709" w:type="dxa"/>
            <w:tcBorders>
              <w:top w:val="single" w:sz="4" w:space="0" w:color="auto"/>
              <w:bottom w:val="single" w:sz="4" w:space="0" w:color="auto"/>
            </w:tcBorders>
            <w:shd w:val="clear" w:color="auto" w:fill="auto"/>
            <w:vAlign w:val="center"/>
          </w:tcPr>
          <w:p w14:paraId="716AC2D9"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7C1E45D"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612CF8" w:rsidRPr="00A2047C" w14:paraId="68D0D8D1"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613E0EBC" w14:textId="597C27A2" w:rsidR="00A2047C" w:rsidRPr="00A2047C" w:rsidRDefault="00612CF8" w:rsidP="00180DAA">
            <w:pPr>
              <w:widowControl/>
              <w:spacing w:line="360" w:lineRule="auto"/>
              <w:jc w:val="center"/>
              <w:textAlignment w:val="center"/>
              <w:rPr>
                <w:rFonts w:ascii="Times New Roman" w:eastAsia="宋体" w:hAnsi="Times New Roman" w:cs="Times New Roman"/>
                <w:b/>
                <w:i/>
                <w:sz w:val="18"/>
                <w:szCs w:val="18"/>
              </w:rPr>
            </w:pPr>
            <w:r>
              <w:rPr>
                <w:rFonts w:ascii="Times New Roman" w:eastAsia="宋体" w:hAnsi="Times New Roman" w:cs="Times New Roman"/>
                <w:b/>
                <w:i/>
                <w:kern w:val="0"/>
                <w:sz w:val="18"/>
                <w:szCs w:val="18"/>
              </w:rPr>
              <w:t>I</w:t>
            </w:r>
            <w:r w:rsidR="00A2047C" w:rsidRPr="00A2047C">
              <w:rPr>
                <w:rFonts w:ascii="Times New Roman" w:eastAsia="宋体" w:hAnsi="Times New Roman" w:cs="Times New Roman"/>
                <w:b/>
                <w:i/>
                <w:kern w:val="0"/>
                <w:sz w:val="18"/>
                <w:szCs w:val="18"/>
              </w:rPr>
              <w:t>A*b2</w:t>
            </w:r>
          </w:p>
        </w:tc>
        <w:tc>
          <w:tcPr>
            <w:tcW w:w="567" w:type="dxa"/>
            <w:tcBorders>
              <w:top w:val="single" w:sz="4" w:space="0" w:color="auto"/>
              <w:bottom w:val="single" w:sz="4" w:space="0" w:color="auto"/>
            </w:tcBorders>
            <w:shd w:val="clear" w:color="auto" w:fill="auto"/>
            <w:vAlign w:val="center"/>
          </w:tcPr>
          <w:p w14:paraId="24C8207C"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C92F4E3"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CC97904"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8344C0B"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95627AD"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93CDE0E"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3F1FA07E"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3B5CE0B5"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5255EE9"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5B704B6"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493C7B88"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05BD9D6"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4EC0C0E1" w14:textId="6DAA8606" w:rsidR="00A2047C" w:rsidRPr="00A2047C" w:rsidRDefault="00647BCA" w:rsidP="00FE1647">
            <w:pPr>
              <w:widowControl/>
              <w:spacing w:line="360" w:lineRule="auto"/>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0.17</w:t>
            </w:r>
          </w:p>
        </w:tc>
        <w:tc>
          <w:tcPr>
            <w:tcW w:w="992" w:type="dxa"/>
            <w:tcBorders>
              <w:top w:val="single" w:sz="4" w:space="0" w:color="auto"/>
              <w:bottom w:val="single" w:sz="4" w:space="0" w:color="auto"/>
            </w:tcBorders>
            <w:shd w:val="clear" w:color="auto" w:fill="auto"/>
            <w:vAlign w:val="center"/>
          </w:tcPr>
          <w:p w14:paraId="53B46548" w14:textId="44BAE073" w:rsidR="00A2047C" w:rsidRPr="00A2047C" w:rsidRDefault="00A2047C" w:rsidP="00FE1647">
            <w:pPr>
              <w:widowControl/>
              <w:spacing w:line="360" w:lineRule="auto"/>
              <w:jc w:val="right"/>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w:t>
            </w:r>
            <w:r w:rsidR="00647BCA">
              <w:rPr>
                <w:rFonts w:ascii="Times New Roman" w:eastAsia="宋体" w:hAnsi="Times New Roman" w:cs="Times New Roman"/>
                <w:kern w:val="0"/>
                <w:sz w:val="18"/>
                <w:szCs w:val="18"/>
              </w:rPr>
              <w:t>.0420***</w:t>
            </w:r>
          </w:p>
        </w:tc>
        <w:tc>
          <w:tcPr>
            <w:tcW w:w="709" w:type="dxa"/>
            <w:tcBorders>
              <w:top w:val="single" w:sz="4" w:space="0" w:color="auto"/>
              <w:bottom w:val="single" w:sz="4" w:space="0" w:color="auto"/>
            </w:tcBorders>
            <w:shd w:val="clear" w:color="auto" w:fill="auto"/>
            <w:vAlign w:val="center"/>
          </w:tcPr>
          <w:p w14:paraId="4A9E6A6D"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A65A752"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F4257F" w:rsidRPr="00A2047C" w14:paraId="0DEF8C4A" w14:textId="77777777" w:rsidTr="000D1363">
        <w:trPr>
          <w:trHeight w:val="510"/>
          <w:jc w:val="center"/>
        </w:trPr>
        <w:tc>
          <w:tcPr>
            <w:tcW w:w="988" w:type="dxa"/>
            <w:tcBorders>
              <w:top w:val="single" w:sz="4" w:space="0" w:color="auto"/>
              <w:bottom w:val="single" w:sz="4" w:space="0" w:color="auto"/>
            </w:tcBorders>
            <w:shd w:val="clear" w:color="auto" w:fill="auto"/>
            <w:vAlign w:val="center"/>
          </w:tcPr>
          <w:p w14:paraId="2F1AB693" w14:textId="00786228" w:rsidR="00A2047C" w:rsidRPr="00A2047C" w:rsidRDefault="00612CF8" w:rsidP="00180DAA">
            <w:pPr>
              <w:widowControl/>
              <w:spacing w:line="360" w:lineRule="auto"/>
              <w:jc w:val="center"/>
              <w:textAlignment w:val="center"/>
              <w:rPr>
                <w:rFonts w:ascii="Times New Roman" w:eastAsia="宋体" w:hAnsi="Times New Roman" w:cs="Times New Roman"/>
                <w:b/>
                <w:i/>
                <w:sz w:val="18"/>
                <w:szCs w:val="18"/>
              </w:rPr>
            </w:pPr>
            <w:r>
              <w:rPr>
                <w:rFonts w:ascii="Times New Roman" w:eastAsia="宋体" w:hAnsi="Times New Roman" w:cs="Times New Roman"/>
                <w:b/>
                <w:i/>
                <w:kern w:val="0"/>
                <w:sz w:val="18"/>
                <w:szCs w:val="18"/>
              </w:rPr>
              <w:t>I</w:t>
            </w:r>
            <w:r w:rsidR="00A2047C" w:rsidRPr="00A2047C">
              <w:rPr>
                <w:rFonts w:ascii="Times New Roman" w:eastAsia="宋体" w:hAnsi="Times New Roman" w:cs="Times New Roman"/>
                <w:b/>
                <w:i/>
                <w:kern w:val="0"/>
                <w:sz w:val="18"/>
                <w:szCs w:val="18"/>
              </w:rPr>
              <w:t>A*b3</w:t>
            </w:r>
          </w:p>
        </w:tc>
        <w:tc>
          <w:tcPr>
            <w:tcW w:w="567" w:type="dxa"/>
            <w:tcBorders>
              <w:top w:val="single" w:sz="4" w:space="0" w:color="auto"/>
              <w:bottom w:val="single" w:sz="4" w:space="0" w:color="auto"/>
            </w:tcBorders>
            <w:shd w:val="clear" w:color="auto" w:fill="auto"/>
            <w:vAlign w:val="center"/>
          </w:tcPr>
          <w:p w14:paraId="2EDAE76A"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EECA853"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8023152"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072B0756"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8C51B21"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CAE6CE5"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A9477F7"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1CCB125A"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358BD572"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0884C95"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7EEC5A0"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E204844"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7813AEE" w14:textId="20429D7B" w:rsidR="00A2047C" w:rsidRPr="00A2047C" w:rsidRDefault="00647BCA" w:rsidP="00FE1647">
            <w:pPr>
              <w:widowControl/>
              <w:spacing w:line="360" w:lineRule="auto"/>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0.56</w:t>
            </w:r>
          </w:p>
        </w:tc>
        <w:tc>
          <w:tcPr>
            <w:tcW w:w="992" w:type="dxa"/>
            <w:tcBorders>
              <w:top w:val="single" w:sz="4" w:space="0" w:color="auto"/>
              <w:bottom w:val="single" w:sz="4" w:space="0" w:color="auto"/>
            </w:tcBorders>
            <w:shd w:val="clear" w:color="auto" w:fill="auto"/>
            <w:vAlign w:val="center"/>
          </w:tcPr>
          <w:p w14:paraId="33BEC1AF" w14:textId="7593535E" w:rsidR="00A2047C" w:rsidRPr="00A2047C" w:rsidRDefault="00A2047C" w:rsidP="00FE1647">
            <w:pPr>
              <w:widowControl/>
              <w:spacing w:line="360" w:lineRule="auto"/>
              <w:jc w:val="right"/>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w:t>
            </w:r>
            <w:r w:rsidR="00647BCA">
              <w:rPr>
                <w:rFonts w:ascii="Times New Roman" w:eastAsia="宋体" w:hAnsi="Times New Roman" w:cs="Times New Roman"/>
                <w:kern w:val="0"/>
                <w:sz w:val="18"/>
                <w:szCs w:val="18"/>
              </w:rPr>
              <w:t>.4439</w:t>
            </w:r>
          </w:p>
        </w:tc>
        <w:tc>
          <w:tcPr>
            <w:tcW w:w="709" w:type="dxa"/>
            <w:tcBorders>
              <w:top w:val="single" w:sz="4" w:space="0" w:color="auto"/>
              <w:bottom w:val="single" w:sz="4" w:space="0" w:color="auto"/>
            </w:tcBorders>
            <w:shd w:val="clear" w:color="auto" w:fill="auto"/>
            <w:vAlign w:val="center"/>
          </w:tcPr>
          <w:p w14:paraId="38192EEA"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929A6C4" w14:textId="77777777" w:rsidR="00A2047C" w:rsidRPr="00A2047C" w:rsidRDefault="00A2047C" w:rsidP="00180DAA">
            <w:pPr>
              <w:spacing w:line="360" w:lineRule="auto"/>
              <w:jc w:val="center"/>
              <w:rPr>
                <w:rFonts w:ascii="Times New Roman" w:eastAsia="宋体" w:hAnsi="Times New Roman" w:cs="Times New Roman"/>
                <w:sz w:val="18"/>
                <w:szCs w:val="18"/>
              </w:rPr>
            </w:pPr>
          </w:p>
        </w:tc>
      </w:tr>
      <w:tr w:rsidR="00612CF8" w:rsidRPr="00A2047C" w14:paraId="0655C9E8" w14:textId="77777777" w:rsidTr="000D1363">
        <w:trPr>
          <w:trHeight w:val="510"/>
          <w:jc w:val="center"/>
        </w:trPr>
        <w:tc>
          <w:tcPr>
            <w:tcW w:w="988" w:type="dxa"/>
            <w:tcBorders>
              <w:top w:val="single" w:sz="4" w:space="0" w:color="auto"/>
              <w:bottom w:val="single" w:sz="4" w:space="0" w:color="auto"/>
            </w:tcBorders>
            <w:shd w:val="clear" w:color="auto" w:fill="auto"/>
            <w:vAlign w:val="center"/>
          </w:tcPr>
          <w:p w14:paraId="39E5B99E" w14:textId="125F6EB5" w:rsidR="00A2047C" w:rsidRPr="00A2047C" w:rsidRDefault="00612CF8" w:rsidP="00180DAA">
            <w:pPr>
              <w:widowControl/>
              <w:spacing w:line="360" w:lineRule="auto"/>
              <w:jc w:val="center"/>
              <w:textAlignment w:val="center"/>
              <w:rPr>
                <w:rFonts w:ascii="Times New Roman" w:eastAsia="宋体" w:hAnsi="Times New Roman" w:cs="Times New Roman"/>
                <w:b/>
                <w:i/>
                <w:sz w:val="18"/>
                <w:szCs w:val="18"/>
              </w:rPr>
            </w:pPr>
            <w:r>
              <w:rPr>
                <w:rFonts w:ascii="Times New Roman" w:eastAsia="宋体" w:hAnsi="Times New Roman" w:cs="Times New Roman"/>
                <w:b/>
                <w:i/>
                <w:kern w:val="0"/>
                <w:sz w:val="18"/>
                <w:szCs w:val="18"/>
              </w:rPr>
              <w:t>L</w:t>
            </w:r>
            <w:r w:rsidR="00A2047C" w:rsidRPr="00A2047C">
              <w:rPr>
                <w:rFonts w:ascii="Times New Roman" w:eastAsia="宋体" w:hAnsi="Times New Roman" w:cs="Times New Roman"/>
                <w:b/>
                <w:i/>
                <w:kern w:val="0"/>
                <w:sz w:val="18"/>
                <w:szCs w:val="18"/>
              </w:rPr>
              <w:t>P*b1</w:t>
            </w:r>
          </w:p>
        </w:tc>
        <w:tc>
          <w:tcPr>
            <w:tcW w:w="567" w:type="dxa"/>
            <w:tcBorders>
              <w:top w:val="single" w:sz="4" w:space="0" w:color="auto"/>
              <w:bottom w:val="single" w:sz="4" w:space="0" w:color="auto"/>
            </w:tcBorders>
            <w:shd w:val="clear" w:color="auto" w:fill="auto"/>
            <w:vAlign w:val="center"/>
          </w:tcPr>
          <w:p w14:paraId="3D0EA7DC"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64A6501"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F11DF83"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0BB859B8"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3A569301"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265258D1"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40262065"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11B58DB3"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D09B8AE"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8FEF54D"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6815822E"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C301E9E"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D134932"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67EBED09" w14:textId="77777777" w:rsidR="00A2047C" w:rsidRPr="00A2047C" w:rsidRDefault="00A2047C"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60F1656F" w14:textId="70F827BD" w:rsidR="00A2047C" w:rsidRPr="00A2047C" w:rsidRDefault="00024915" w:rsidP="00180DAA">
            <w:pPr>
              <w:widowControl/>
              <w:spacing w:line="360" w:lineRule="auto"/>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w:t>
            </w:r>
            <w:r w:rsidR="00A2047C" w:rsidRPr="00A2047C">
              <w:rPr>
                <w:rFonts w:ascii="Times New Roman" w:eastAsia="宋体" w:hAnsi="Times New Roman" w:cs="Times New Roman"/>
                <w:kern w:val="0"/>
                <w:sz w:val="18"/>
                <w:szCs w:val="18"/>
              </w:rPr>
              <w:t>0.0</w:t>
            </w:r>
            <w:r>
              <w:rPr>
                <w:rFonts w:ascii="Times New Roman" w:eastAsia="宋体" w:hAnsi="Times New Roman" w:cs="Times New Roman"/>
                <w:kern w:val="0"/>
                <w:sz w:val="18"/>
                <w:szCs w:val="18"/>
              </w:rPr>
              <w:t>1</w:t>
            </w:r>
          </w:p>
        </w:tc>
        <w:tc>
          <w:tcPr>
            <w:tcW w:w="992" w:type="dxa"/>
            <w:tcBorders>
              <w:top w:val="single" w:sz="4" w:space="0" w:color="auto"/>
              <w:bottom w:val="single" w:sz="4" w:space="0" w:color="auto"/>
            </w:tcBorders>
            <w:shd w:val="clear" w:color="auto" w:fill="auto"/>
            <w:vAlign w:val="center"/>
          </w:tcPr>
          <w:p w14:paraId="27CD3422" w14:textId="594DD94A" w:rsidR="00A2047C" w:rsidRPr="00A2047C" w:rsidRDefault="009F2E9A" w:rsidP="00180DAA">
            <w:pPr>
              <w:widowControl/>
              <w:spacing w:line="360" w:lineRule="auto"/>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 xml:space="preserve"> </w:t>
            </w:r>
            <w:r w:rsidR="00A2047C" w:rsidRPr="00A2047C">
              <w:rPr>
                <w:rFonts w:ascii="Times New Roman" w:eastAsia="宋体" w:hAnsi="Times New Roman" w:cs="Times New Roman"/>
                <w:kern w:val="0"/>
                <w:sz w:val="18"/>
                <w:szCs w:val="18"/>
              </w:rPr>
              <w:t>0.00</w:t>
            </w:r>
            <w:r w:rsidR="00024915">
              <w:rPr>
                <w:rFonts w:ascii="Times New Roman" w:eastAsia="宋体" w:hAnsi="Times New Roman" w:cs="Times New Roman"/>
                <w:kern w:val="0"/>
                <w:sz w:val="18"/>
                <w:szCs w:val="18"/>
              </w:rPr>
              <w:t>08</w:t>
            </w:r>
            <w:r w:rsidR="00A2047C" w:rsidRPr="00A2047C">
              <w:rPr>
                <w:rFonts w:ascii="Times New Roman" w:eastAsia="宋体" w:hAnsi="Times New Roman" w:cs="Times New Roman"/>
                <w:kern w:val="0"/>
                <w:sz w:val="18"/>
                <w:szCs w:val="18"/>
              </w:rPr>
              <w:t>***</w:t>
            </w:r>
          </w:p>
        </w:tc>
      </w:tr>
      <w:tr w:rsidR="00F4257F" w:rsidRPr="00A2047C" w14:paraId="10CB3AA7"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242F7CAF" w14:textId="40739116" w:rsidR="00A2047C" w:rsidRPr="00A2047C" w:rsidRDefault="00612CF8" w:rsidP="00180DAA">
            <w:pPr>
              <w:widowControl/>
              <w:spacing w:line="360" w:lineRule="auto"/>
              <w:jc w:val="center"/>
              <w:textAlignment w:val="center"/>
              <w:rPr>
                <w:rFonts w:ascii="Times New Roman" w:eastAsia="宋体" w:hAnsi="Times New Roman" w:cs="Times New Roman"/>
                <w:b/>
                <w:i/>
                <w:sz w:val="18"/>
                <w:szCs w:val="18"/>
              </w:rPr>
            </w:pPr>
            <w:r>
              <w:rPr>
                <w:rFonts w:ascii="Times New Roman" w:eastAsia="宋体" w:hAnsi="Times New Roman" w:cs="Times New Roman"/>
                <w:b/>
                <w:i/>
                <w:kern w:val="0"/>
                <w:sz w:val="18"/>
                <w:szCs w:val="18"/>
              </w:rPr>
              <w:t>L</w:t>
            </w:r>
            <w:r w:rsidR="00A2047C" w:rsidRPr="00A2047C">
              <w:rPr>
                <w:rFonts w:ascii="Times New Roman" w:eastAsia="宋体" w:hAnsi="Times New Roman" w:cs="Times New Roman"/>
                <w:b/>
                <w:i/>
                <w:kern w:val="0"/>
                <w:sz w:val="18"/>
                <w:szCs w:val="18"/>
              </w:rPr>
              <w:t>P*b2</w:t>
            </w:r>
          </w:p>
        </w:tc>
        <w:tc>
          <w:tcPr>
            <w:tcW w:w="567" w:type="dxa"/>
            <w:tcBorders>
              <w:top w:val="single" w:sz="4" w:space="0" w:color="auto"/>
              <w:bottom w:val="single" w:sz="4" w:space="0" w:color="auto"/>
            </w:tcBorders>
            <w:shd w:val="clear" w:color="auto" w:fill="auto"/>
            <w:vAlign w:val="center"/>
          </w:tcPr>
          <w:p w14:paraId="4CCF1047"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EB0514E"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D2BEB31"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68EA5FB6"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266A9B4"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789170A"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21459A67"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06411BA4"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0ACE1B3A"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FF73FD6"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6B58BE52"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68A37DD"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3F8DFEAA"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456F9061" w14:textId="77777777" w:rsidR="00A2047C" w:rsidRPr="00A2047C" w:rsidRDefault="00A2047C"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6402C429" w14:textId="312042DF" w:rsidR="00A2047C" w:rsidRPr="00A2047C" w:rsidRDefault="009F2E9A" w:rsidP="00180DAA">
            <w:pPr>
              <w:widowControl/>
              <w:spacing w:line="360" w:lineRule="auto"/>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0.01</w:t>
            </w:r>
          </w:p>
        </w:tc>
        <w:tc>
          <w:tcPr>
            <w:tcW w:w="992" w:type="dxa"/>
            <w:tcBorders>
              <w:top w:val="single" w:sz="4" w:space="0" w:color="auto"/>
              <w:bottom w:val="single" w:sz="4" w:space="0" w:color="auto"/>
            </w:tcBorders>
            <w:shd w:val="clear" w:color="auto" w:fill="auto"/>
            <w:vAlign w:val="center"/>
          </w:tcPr>
          <w:p w14:paraId="592C3A73" w14:textId="40128CFC" w:rsidR="00A2047C" w:rsidRPr="00A2047C" w:rsidRDefault="00A2047C" w:rsidP="009F2E9A">
            <w:pPr>
              <w:widowControl/>
              <w:spacing w:line="360" w:lineRule="auto"/>
              <w:ind w:firstLineChars="100" w:firstLine="180"/>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0.0</w:t>
            </w:r>
            <w:r w:rsidR="009F2E9A">
              <w:rPr>
                <w:rFonts w:ascii="Times New Roman" w:eastAsia="宋体" w:hAnsi="Times New Roman" w:cs="Times New Roman"/>
                <w:kern w:val="0"/>
                <w:sz w:val="18"/>
                <w:szCs w:val="18"/>
              </w:rPr>
              <w:t>040</w:t>
            </w:r>
            <w:r w:rsidRPr="00A2047C">
              <w:rPr>
                <w:rFonts w:ascii="Times New Roman" w:eastAsia="宋体" w:hAnsi="Times New Roman" w:cs="Times New Roman"/>
                <w:kern w:val="0"/>
                <w:sz w:val="18"/>
                <w:szCs w:val="18"/>
              </w:rPr>
              <w:t>*</w:t>
            </w:r>
          </w:p>
        </w:tc>
      </w:tr>
      <w:tr w:rsidR="00612CF8" w:rsidRPr="00A2047C" w14:paraId="264D7B2A" w14:textId="77777777" w:rsidTr="000D1363">
        <w:trPr>
          <w:trHeight w:val="285"/>
          <w:jc w:val="center"/>
        </w:trPr>
        <w:tc>
          <w:tcPr>
            <w:tcW w:w="988" w:type="dxa"/>
            <w:tcBorders>
              <w:top w:val="single" w:sz="4" w:space="0" w:color="auto"/>
              <w:bottom w:val="single" w:sz="4" w:space="0" w:color="auto"/>
            </w:tcBorders>
            <w:shd w:val="clear" w:color="auto" w:fill="auto"/>
            <w:vAlign w:val="center"/>
          </w:tcPr>
          <w:p w14:paraId="5F95C938" w14:textId="7E78C5E2" w:rsidR="00A2047C" w:rsidRPr="00A2047C" w:rsidRDefault="00612CF8" w:rsidP="00180DAA">
            <w:pPr>
              <w:widowControl/>
              <w:spacing w:line="360" w:lineRule="auto"/>
              <w:jc w:val="center"/>
              <w:textAlignment w:val="center"/>
              <w:rPr>
                <w:rFonts w:ascii="Times New Roman" w:eastAsia="宋体" w:hAnsi="Times New Roman" w:cs="Times New Roman"/>
                <w:b/>
                <w:i/>
                <w:sz w:val="18"/>
                <w:szCs w:val="18"/>
              </w:rPr>
            </w:pPr>
            <w:r>
              <w:rPr>
                <w:rFonts w:ascii="Times New Roman" w:eastAsia="宋体" w:hAnsi="Times New Roman" w:cs="Times New Roman"/>
                <w:b/>
                <w:i/>
                <w:kern w:val="0"/>
                <w:sz w:val="18"/>
                <w:szCs w:val="18"/>
              </w:rPr>
              <w:t>L</w:t>
            </w:r>
            <w:r w:rsidR="00A2047C" w:rsidRPr="00A2047C">
              <w:rPr>
                <w:rFonts w:ascii="Times New Roman" w:eastAsia="宋体" w:hAnsi="Times New Roman" w:cs="Times New Roman"/>
                <w:b/>
                <w:i/>
                <w:kern w:val="0"/>
                <w:sz w:val="18"/>
                <w:szCs w:val="18"/>
              </w:rPr>
              <w:t>P*b3</w:t>
            </w:r>
          </w:p>
        </w:tc>
        <w:tc>
          <w:tcPr>
            <w:tcW w:w="567" w:type="dxa"/>
            <w:tcBorders>
              <w:top w:val="single" w:sz="4" w:space="0" w:color="auto"/>
              <w:bottom w:val="single" w:sz="4" w:space="0" w:color="auto"/>
            </w:tcBorders>
            <w:shd w:val="clear" w:color="auto" w:fill="auto"/>
            <w:vAlign w:val="center"/>
          </w:tcPr>
          <w:p w14:paraId="10555E29"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360A0531" w14:textId="77777777" w:rsidR="00A2047C" w:rsidRPr="00A2047C" w:rsidRDefault="00A2047C" w:rsidP="00B65B0F">
            <w:pPr>
              <w:spacing w:line="360" w:lineRule="auto"/>
              <w:jc w:val="lef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3975E86A"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B620C83" w14:textId="77777777" w:rsidR="00A2047C" w:rsidRPr="00A2047C" w:rsidRDefault="00A2047C" w:rsidP="00180DAA">
            <w:pPr>
              <w:spacing w:line="360" w:lineRule="auto"/>
              <w:jc w:val="center"/>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B86EDE7" w14:textId="77777777" w:rsidR="00A2047C" w:rsidRPr="00A2047C" w:rsidRDefault="00A2047C" w:rsidP="003E6EE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0261C1EA" w14:textId="77777777" w:rsidR="00A2047C" w:rsidRPr="00A2047C" w:rsidRDefault="00A2047C" w:rsidP="003E6EE7">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7B58DF62" w14:textId="77777777" w:rsidR="00A2047C" w:rsidRPr="00A2047C" w:rsidRDefault="00A2047C" w:rsidP="00524CC6">
            <w:pPr>
              <w:spacing w:line="360" w:lineRule="auto"/>
              <w:jc w:val="left"/>
              <w:rPr>
                <w:rFonts w:ascii="Times New Roman" w:eastAsia="宋体" w:hAnsi="Times New Roman" w:cs="Times New Roman"/>
                <w:sz w:val="18"/>
                <w:szCs w:val="18"/>
              </w:rPr>
            </w:pPr>
          </w:p>
        </w:tc>
        <w:tc>
          <w:tcPr>
            <w:tcW w:w="993" w:type="dxa"/>
            <w:tcBorders>
              <w:top w:val="single" w:sz="4" w:space="0" w:color="auto"/>
              <w:bottom w:val="single" w:sz="4" w:space="0" w:color="auto"/>
            </w:tcBorders>
            <w:shd w:val="clear" w:color="auto" w:fill="auto"/>
            <w:vAlign w:val="center"/>
          </w:tcPr>
          <w:p w14:paraId="1B7EA758" w14:textId="77777777" w:rsidR="00A2047C" w:rsidRPr="00A2047C" w:rsidRDefault="00A2047C" w:rsidP="00524C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64E6A55F" w14:textId="77777777" w:rsidR="00A2047C" w:rsidRPr="00A2047C" w:rsidRDefault="00A2047C" w:rsidP="00FE58C6">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7F631582" w14:textId="77777777" w:rsidR="00A2047C" w:rsidRPr="00A2047C" w:rsidRDefault="00A2047C" w:rsidP="00FE58C6">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173D20ED" w14:textId="77777777" w:rsidR="00A2047C" w:rsidRPr="00A2047C" w:rsidRDefault="00A2047C" w:rsidP="00B53FF1">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1F24F1F3" w14:textId="77777777" w:rsidR="00A2047C" w:rsidRPr="00A2047C" w:rsidRDefault="00A2047C" w:rsidP="00B53FF1">
            <w:pPr>
              <w:spacing w:line="360" w:lineRule="auto"/>
              <w:jc w:val="right"/>
              <w:rPr>
                <w:rFonts w:ascii="Times New Roman" w:eastAsia="宋体" w:hAnsi="Times New Roman" w:cs="Times New Roman"/>
                <w:sz w:val="18"/>
                <w:szCs w:val="18"/>
              </w:rPr>
            </w:pPr>
          </w:p>
        </w:tc>
        <w:tc>
          <w:tcPr>
            <w:tcW w:w="567" w:type="dxa"/>
            <w:tcBorders>
              <w:top w:val="single" w:sz="4" w:space="0" w:color="auto"/>
              <w:bottom w:val="single" w:sz="4" w:space="0" w:color="auto"/>
            </w:tcBorders>
            <w:shd w:val="clear" w:color="auto" w:fill="auto"/>
            <w:vAlign w:val="center"/>
          </w:tcPr>
          <w:p w14:paraId="6762C68D" w14:textId="77777777" w:rsidR="00A2047C" w:rsidRPr="00A2047C" w:rsidRDefault="00A2047C" w:rsidP="00FE1647">
            <w:pPr>
              <w:spacing w:line="360" w:lineRule="auto"/>
              <w:jc w:val="left"/>
              <w:rPr>
                <w:rFonts w:ascii="Times New Roman" w:eastAsia="宋体" w:hAnsi="Times New Roman" w:cs="Times New Roman"/>
                <w:sz w:val="18"/>
                <w:szCs w:val="18"/>
              </w:rPr>
            </w:pPr>
          </w:p>
        </w:tc>
        <w:tc>
          <w:tcPr>
            <w:tcW w:w="992" w:type="dxa"/>
            <w:tcBorders>
              <w:top w:val="single" w:sz="4" w:space="0" w:color="auto"/>
              <w:bottom w:val="single" w:sz="4" w:space="0" w:color="auto"/>
            </w:tcBorders>
            <w:shd w:val="clear" w:color="auto" w:fill="auto"/>
            <w:vAlign w:val="center"/>
          </w:tcPr>
          <w:p w14:paraId="5367EFCE" w14:textId="77777777" w:rsidR="00A2047C" w:rsidRPr="00A2047C" w:rsidRDefault="00A2047C" w:rsidP="00FE1647">
            <w:pPr>
              <w:spacing w:line="360" w:lineRule="auto"/>
              <w:jc w:val="right"/>
              <w:rPr>
                <w:rFonts w:ascii="Times New Roman" w:eastAsia="宋体" w:hAnsi="Times New Roman" w:cs="Times New Roman"/>
                <w:sz w:val="18"/>
                <w:szCs w:val="18"/>
              </w:rPr>
            </w:pPr>
          </w:p>
        </w:tc>
        <w:tc>
          <w:tcPr>
            <w:tcW w:w="709" w:type="dxa"/>
            <w:tcBorders>
              <w:top w:val="single" w:sz="4" w:space="0" w:color="auto"/>
              <w:bottom w:val="single" w:sz="4" w:space="0" w:color="auto"/>
            </w:tcBorders>
            <w:shd w:val="clear" w:color="auto" w:fill="auto"/>
            <w:vAlign w:val="center"/>
          </w:tcPr>
          <w:p w14:paraId="556790D8" w14:textId="1E3B211B" w:rsidR="00A2047C" w:rsidRPr="00A2047C" w:rsidRDefault="009F2E9A" w:rsidP="00180DAA">
            <w:pPr>
              <w:widowControl/>
              <w:spacing w:line="360" w:lineRule="auto"/>
              <w:jc w:val="center"/>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rPr>
              <w:t>0.03</w:t>
            </w:r>
          </w:p>
        </w:tc>
        <w:tc>
          <w:tcPr>
            <w:tcW w:w="992" w:type="dxa"/>
            <w:tcBorders>
              <w:top w:val="single" w:sz="4" w:space="0" w:color="auto"/>
              <w:bottom w:val="single" w:sz="4" w:space="0" w:color="auto"/>
            </w:tcBorders>
            <w:shd w:val="clear" w:color="auto" w:fill="auto"/>
            <w:vAlign w:val="center"/>
          </w:tcPr>
          <w:p w14:paraId="012C949A" w14:textId="6CCEEC58" w:rsidR="00A2047C" w:rsidRPr="00A2047C" w:rsidRDefault="00A2047C" w:rsidP="009F2E9A">
            <w:pPr>
              <w:widowControl/>
              <w:spacing w:line="360" w:lineRule="auto"/>
              <w:ind w:firstLineChars="100" w:firstLine="180"/>
              <w:textAlignment w:val="center"/>
              <w:rPr>
                <w:rFonts w:ascii="Times New Roman" w:eastAsia="宋体" w:hAnsi="Times New Roman" w:cs="Times New Roman"/>
                <w:sz w:val="18"/>
                <w:szCs w:val="18"/>
              </w:rPr>
            </w:pPr>
            <w:r w:rsidRPr="00A2047C">
              <w:rPr>
                <w:rFonts w:ascii="Times New Roman" w:eastAsia="宋体" w:hAnsi="Times New Roman" w:cs="Times New Roman"/>
                <w:kern w:val="0"/>
                <w:sz w:val="18"/>
                <w:szCs w:val="18"/>
              </w:rPr>
              <w:t>0.01</w:t>
            </w:r>
            <w:r w:rsidR="009F2E9A">
              <w:rPr>
                <w:rFonts w:ascii="Times New Roman" w:eastAsia="宋体" w:hAnsi="Times New Roman" w:cs="Times New Roman"/>
                <w:kern w:val="0"/>
                <w:sz w:val="18"/>
                <w:szCs w:val="18"/>
              </w:rPr>
              <w:t xml:space="preserve">91  </w:t>
            </w:r>
          </w:p>
        </w:tc>
      </w:tr>
    </w:tbl>
    <w:p w14:paraId="04D7C3C2" w14:textId="77777777" w:rsidR="00A2047C" w:rsidRPr="00295489" w:rsidRDefault="00A2047C" w:rsidP="00D852B0">
      <w:pPr>
        <w:adjustRightInd w:val="0"/>
        <w:spacing w:line="360" w:lineRule="auto"/>
        <w:ind w:leftChars="100" w:left="210"/>
        <w:textAlignment w:val="baseline"/>
        <w:rPr>
          <w:rFonts w:ascii="Times New Roman" w:hAnsi="Times New Roman" w:cs="Times New Roman"/>
          <w:bCs/>
          <w:color w:val="000000"/>
          <w:kern w:val="0"/>
          <w:sz w:val="24"/>
          <w:szCs w:val="24"/>
        </w:rPr>
      </w:pPr>
    </w:p>
    <w:p w14:paraId="3D25769A" w14:textId="77777777" w:rsidR="00562F61" w:rsidRDefault="00562F61" w:rsidP="004C5665">
      <w:pPr>
        <w:adjustRightInd w:val="0"/>
        <w:spacing w:line="360" w:lineRule="auto"/>
        <w:textAlignment w:val="baseline"/>
        <w:rPr>
          <w:rFonts w:ascii="Times New Roman" w:eastAsia="PMingLiU" w:hAnsi="Times New Roman" w:cs="Times New Roman"/>
          <w:b/>
          <w:kern w:val="0"/>
          <w:sz w:val="30"/>
          <w:szCs w:val="30"/>
          <w:lang w:eastAsia="zh-TW"/>
        </w:rPr>
      </w:pPr>
    </w:p>
    <w:p w14:paraId="01C825DE" w14:textId="77777777" w:rsidR="00562F61" w:rsidRDefault="00562F61" w:rsidP="004C5665">
      <w:pPr>
        <w:adjustRightInd w:val="0"/>
        <w:spacing w:line="360" w:lineRule="auto"/>
        <w:textAlignment w:val="baseline"/>
        <w:rPr>
          <w:rFonts w:ascii="Times New Roman" w:eastAsia="PMingLiU" w:hAnsi="Times New Roman" w:cs="Times New Roman"/>
          <w:b/>
          <w:kern w:val="0"/>
          <w:sz w:val="30"/>
          <w:szCs w:val="30"/>
          <w:lang w:eastAsia="zh-TW"/>
        </w:rPr>
      </w:pPr>
    </w:p>
    <w:p w14:paraId="11080DF1" w14:textId="77777777" w:rsidR="00562F61" w:rsidRDefault="00562F61" w:rsidP="004C5665">
      <w:pPr>
        <w:adjustRightInd w:val="0"/>
        <w:spacing w:line="360" w:lineRule="auto"/>
        <w:textAlignment w:val="baseline"/>
        <w:rPr>
          <w:rFonts w:ascii="Times New Roman" w:eastAsia="PMingLiU" w:hAnsi="Times New Roman" w:cs="Times New Roman"/>
          <w:b/>
          <w:kern w:val="0"/>
          <w:sz w:val="30"/>
          <w:szCs w:val="30"/>
          <w:lang w:eastAsia="zh-TW"/>
        </w:rPr>
      </w:pPr>
    </w:p>
    <w:p w14:paraId="40366F25" w14:textId="77777777" w:rsidR="00562F61" w:rsidRDefault="00562F61" w:rsidP="004C5665">
      <w:pPr>
        <w:adjustRightInd w:val="0"/>
        <w:spacing w:line="360" w:lineRule="auto"/>
        <w:textAlignment w:val="baseline"/>
        <w:rPr>
          <w:rFonts w:ascii="Times New Roman" w:eastAsia="PMingLiU" w:hAnsi="Times New Roman" w:cs="Times New Roman"/>
          <w:b/>
          <w:kern w:val="0"/>
          <w:sz w:val="30"/>
          <w:szCs w:val="30"/>
          <w:lang w:eastAsia="zh-TW"/>
        </w:rPr>
      </w:pPr>
    </w:p>
    <w:p w14:paraId="1660803F" w14:textId="77777777" w:rsidR="00562F61" w:rsidRDefault="00562F61" w:rsidP="004C5665">
      <w:pPr>
        <w:adjustRightInd w:val="0"/>
        <w:spacing w:line="360" w:lineRule="auto"/>
        <w:textAlignment w:val="baseline"/>
        <w:rPr>
          <w:rFonts w:ascii="Times New Roman" w:eastAsia="PMingLiU" w:hAnsi="Times New Roman" w:cs="Times New Roman"/>
          <w:b/>
          <w:kern w:val="0"/>
          <w:sz w:val="30"/>
          <w:szCs w:val="30"/>
          <w:lang w:eastAsia="zh-TW"/>
        </w:rPr>
      </w:pPr>
    </w:p>
    <w:p w14:paraId="0D7D188C" w14:textId="77777777" w:rsidR="00562F61" w:rsidRDefault="00562F61" w:rsidP="004C5665">
      <w:pPr>
        <w:adjustRightInd w:val="0"/>
        <w:spacing w:line="360" w:lineRule="auto"/>
        <w:textAlignment w:val="baseline"/>
        <w:rPr>
          <w:rFonts w:ascii="Times New Roman" w:eastAsia="PMingLiU" w:hAnsi="Times New Roman" w:cs="Times New Roman"/>
          <w:b/>
          <w:kern w:val="0"/>
          <w:sz w:val="30"/>
          <w:szCs w:val="30"/>
          <w:lang w:eastAsia="zh-TW"/>
        </w:rPr>
      </w:pPr>
    </w:p>
    <w:bookmarkEnd w:id="17"/>
    <w:p w14:paraId="6D7FC3EE" w14:textId="77777777" w:rsidR="00562F61" w:rsidRDefault="00562F61" w:rsidP="004C5665">
      <w:pPr>
        <w:adjustRightInd w:val="0"/>
        <w:spacing w:line="360" w:lineRule="auto"/>
        <w:textAlignment w:val="baseline"/>
        <w:rPr>
          <w:rFonts w:ascii="Times New Roman" w:eastAsia="PMingLiU" w:hAnsi="Times New Roman" w:cs="Times New Roman"/>
          <w:b/>
          <w:kern w:val="0"/>
          <w:sz w:val="30"/>
          <w:szCs w:val="30"/>
          <w:lang w:eastAsia="zh-TW"/>
        </w:rPr>
        <w:sectPr w:rsidR="00562F61" w:rsidSect="00562F61">
          <w:pgSz w:w="16838" w:h="11906" w:orient="landscape"/>
          <w:pgMar w:top="1800" w:right="1440" w:bottom="1800" w:left="1440" w:header="851" w:footer="992" w:gutter="0"/>
          <w:cols w:space="425"/>
          <w:docGrid w:type="lines" w:linePitch="312"/>
        </w:sectPr>
      </w:pPr>
    </w:p>
    <w:p w14:paraId="5B24247B" w14:textId="4BCF5DB9" w:rsidR="00F90FF4" w:rsidRDefault="00E6243D" w:rsidP="00E6243D">
      <w:pPr>
        <w:adjustRightInd w:val="0"/>
        <w:spacing w:line="360" w:lineRule="auto"/>
        <w:jc w:val="center"/>
        <w:textAlignment w:val="baseline"/>
        <w:rPr>
          <w:rFonts w:ascii="Times New Roman" w:hAnsi="Times New Roman" w:cs="Times New Roman"/>
          <w:b/>
          <w:kern w:val="0"/>
          <w:sz w:val="24"/>
          <w:szCs w:val="24"/>
        </w:rPr>
      </w:pPr>
      <w:r>
        <w:rPr>
          <w:rFonts w:ascii="Times New Roman" w:hAnsi="Times New Roman" w:cs="Times New Roman" w:hint="eastAsia"/>
          <w:b/>
          <w:kern w:val="0"/>
          <w:sz w:val="24"/>
          <w:szCs w:val="24"/>
        </w:rPr>
        <w:lastRenderedPageBreak/>
        <w:t>T</w:t>
      </w:r>
      <w:r>
        <w:rPr>
          <w:rFonts w:ascii="Times New Roman" w:hAnsi="Times New Roman" w:cs="Times New Roman"/>
          <w:b/>
          <w:kern w:val="0"/>
          <w:sz w:val="24"/>
          <w:szCs w:val="24"/>
        </w:rPr>
        <w:t xml:space="preserve">able 6 </w:t>
      </w:r>
      <w:proofErr w:type="spellStart"/>
      <w:r>
        <w:rPr>
          <w:rFonts w:ascii="Times New Roman" w:hAnsi="Times New Roman" w:cs="Times New Roman"/>
          <w:b/>
          <w:kern w:val="0"/>
          <w:sz w:val="24"/>
          <w:szCs w:val="24"/>
        </w:rPr>
        <w:t>Sargan</w:t>
      </w:r>
      <w:proofErr w:type="spellEnd"/>
      <w:r>
        <w:rPr>
          <w:rFonts w:ascii="Times New Roman" w:hAnsi="Times New Roman" w:cs="Times New Roman"/>
          <w:b/>
          <w:kern w:val="0"/>
          <w:sz w:val="24"/>
          <w:szCs w:val="24"/>
        </w:rPr>
        <w:t xml:space="preserve"> Test of All Heterogeneous Models</w:t>
      </w:r>
    </w:p>
    <w:p w14:paraId="6D4B5E84" w14:textId="77777777" w:rsidR="00D83697" w:rsidRPr="00E6243D" w:rsidRDefault="00D83697" w:rsidP="00E6243D">
      <w:pPr>
        <w:adjustRightInd w:val="0"/>
        <w:spacing w:line="360" w:lineRule="auto"/>
        <w:jc w:val="center"/>
        <w:textAlignment w:val="baseline"/>
        <w:rPr>
          <w:rFonts w:ascii="Times New Roman" w:hAnsi="Times New Roman" w:cs="Times New Roman"/>
          <w:b/>
          <w:kern w:val="0"/>
          <w:sz w:val="24"/>
          <w:szCs w:val="24"/>
        </w:rPr>
      </w:pPr>
    </w:p>
    <w:tbl>
      <w:tblPr>
        <w:tblW w:w="0" w:type="auto"/>
        <w:jc w:val="center"/>
        <w:tblBorders>
          <w:top w:val="single" w:sz="4" w:space="0" w:color="DBE5F1"/>
          <w:bottom w:val="single" w:sz="4" w:space="0" w:color="auto"/>
        </w:tblBorders>
        <w:tblLayout w:type="fixed"/>
        <w:tblLook w:val="0000" w:firstRow="0" w:lastRow="0" w:firstColumn="0" w:lastColumn="0" w:noHBand="0" w:noVBand="0"/>
      </w:tblPr>
      <w:tblGrid>
        <w:gridCol w:w="1560"/>
        <w:gridCol w:w="1701"/>
        <w:gridCol w:w="1744"/>
      </w:tblGrid>
      <w:tr w:rsidR="00E6243D" w:rsidRPr="00E6243D" w14:paraId="4A3B1B9C" w14:textId="77777777" w:rsidTr="00BF2EA0">
        <w:trPr>
          <w:trHeight w:val="352"/>
          <w:jc w:val="center"/>
        </w:trPr>
        <w:tc>
          <w:tcPr>
            <w:tcW w:w="1560" w:type="dxa"/>
            <w:tcBorders>
              <w:top w:val="single" w:sz="4" w:space="0" w:color="auto"/>
              <w:bottom w:val="single" w:sz="4" w:space="0" w:color="auto"/>
            </w:tcBorders>
            <w:shd w:val="clear" w:color="auto" w:fill="auto"/>
            <w:vAlign w:val="center"/>
          </w:tcPr>
          <w:p w14:paraId="51F1BE64" w14:textId="5D072F37" w:rsidR="00E6243D" w:rsidRPr="00E6243D" w:rsidRDefault="00E6243D" w:rsidP="00D83697">
            <w:pPr>
              <w:widowControl/>
              <w:spacing w:before="78"/>
              <w:jc w:val="right"/>
              <w:rPr>
                <w:rFonts w:ascii="Times New Roman" w:hAnsi="Times New Roman" w:cs="Times New Roman"/>
                <w:b/>
                <w:kern w:val="0"/>
                <w:szCs w:val="21"/>
              </w:rPr>
            </w:pPr>
            <w:r w:rsidRPr="00E6243D">
              <w:rPr>
                <w:rFonts w:ascii="Times New Roman" w:hAnsi="Times New Roman" w:cs="Times New Roman" w:hint="eastAsia"/>
                <w:b/>
                <w:kern w:val="0"/>
                <w:szCs w:val="21"/>
              </w:rPr>
              <w:t>M</w:t>
            </w:r>
            <w:r w:rsidRPr="00E6243D">
              <w:rPr>
                <w:rFonts w:ascii="Times New Roman" w:hAnsi="Times New Roman" w:cs="Times New Roman"/>
                <w:b/>
                <w:kern w:val="0"/>
                <w:szCs w:val="21"/>
              </w:rPr>
              <w:t>odel</w:t>
            </w:r>
          </w:p>
        </w:tc>
        <w:tc>
          <w:tcPr>
            <w:tcW w:w="1701" w:type="dxa"/>
            <w:tcBorders>
              <w:top w:val="single" w:sz="4" w:space="0" w:color="auto"/>
              <w:bottom w:val="single" w:sz="4" w:space="0" w:color="auto"/>
            </w:tcBorders>
            <w:shd w:val="clear" w:color="auto" w:fill="auto"/>
            <w:vAlign w:val="center"/>
          </w:tcPr>
          <w:p w14:paraId="4221E635" w14:textId="65B8ADD4" w:rsidR="00E6243D" w:rsidRPr="00E6243D" w:rsidRDefault="00E6243D" w:rsidP="00D83697">
            <w:pPr>
              <w:spacing w:before="78"/>
              <w:jc w:val="right"/>
              <w:rPr>
                <w:rFonts w:ascii="Times New Roman" w:hAnsi="Times New Roman" w:cs="Times New Roman"/>
                <w:b/>
                <w:color w:val="000000"/>
                <w:szCs w:val="21"/>
              </w:rPr>
            </w:pPr>
            <w:r w:rsidRPr="00E6243D">
              <w:rPr>
                <w:rFonts w:ascii="Times New Roman" w:hAnsi="Times New Roman" w:cs="Times New Roman"/>
                <w:b/>
                <w:color w:val="000000"/>
                <w:szCs w:val="21"/>
              </w:rPr>
              <w:t>J-statistic</w:t>
            </w:r>
          </w:p>
        </w:tc>
        <w:tc>
          <w:tcPr>
            <w:tcW w:w="1744" w:type="dxa"/>
            <w:tcBorders>
              <w:top w:val="single" w:sz="4" w:space="0" w:color="auto"/>
              <w:bottom w:val="single" w:sz="4" w:space="0" w:color="auto"/>
            </w:tcBorders>
            <w:shd w:val="clear" w:color="auto" w:fill="auto"/>
            <w:vAlign w:val="center"/>
          </w:tcPr>
          <w:p w14:paraId="15E696FD" w14:textId="16A59E3B" w:rsidR="00E6243D" w:rsidRPr="00E6243D" w:rsidRDefault="00E6243D" w:rsidP="00D83697">
            <w:pPr>
              <w:spacing w:before="78"/>
              <w:jc w:val="right"/>
              <w:rPr>
                <w:rFonts w:ascii="Times New Roman" w:hAnsi="Times New Roman" w:cs="Times New Roman"/>
                <w:b/>
                <w:color w:val="000000"/>
                <w:szCs w:val="21"/>
              </w:rPr>
            </w:pPr>
            <w:r w:rsidRPr="00E6243D">
              <w:rPr>
                <w:rFonts w:ascii="Times New Roman" w:hAnsi="Times New Roman" w:cs="Times New Roman"/>
                <w:b/>
                <w:color w:val="000000"/>
                <w:szCs w:val="21"/>
              </w:rPr>
              <w:t>P-value</w:t>
            </w:r>
          </w:p>
        </w:tc>
      </w:tr>
      <w:tr w:rsidR="00E6243D" w:rsidRPr="00E6243D" w14:paraId="29F9C11F" w14:textId="77777777" w:rsidTr="00BF2EA0">
        <w:trPr>
          <w:trHeight w:val="352"/>
          <w:jc w:val="center"/>
        </w:trPr>
        <w:tc>
          <w:tcPr>
            <w:tcW w:w="1560" w:type="dxa"/>
            <w:tcBorders>
              <w:top w:val="single" w:sz="4" w:space="0" w:color="auto"/>
              <w:bottom w:val="single" w:sz="4" w:space="0" w:color="auto"/>
            </w:tcBorders>
            <w:shd w:val="clear" w:color="auto" w:fill="auto"/>
            <w:vAlign w:val="center"/>
          </w:tcPr>
          <w:p w14:paraId="08108ABC" w14:textId="3AD288BE" w:rsidR="00E6243D" w:rsidRDefault="00E6243D" w:rsidP="00D83697">
            <w:pPr>
              <w:widowControl/>
              <w:spacing w:before="78"/>
              <w:jc w:val="right"/>
              <w:rPr>
                <w:rFonts w:ascii="Times New Roman" w:hAnsi="Times New Roman" w:cs="Times New Roman"/>
                <w:b/>
                <w:kern w:val="0"/>
                <w:szCs w:val="21"/>
              </w:rPr>
            </w:pPr>
            <w:bookmarkStart w:id="19" w:name="OLE_LINK8"/>
            <w:r>
              <w:rPr>
                <w:rFonts w:ascii="Times New Roman" w:hAnsi="Times New Roman" w:cs="Times New Roman" w:hint="eastAsia"/>
                <w:b/>
                <w:kern w:val="0"/>
                <w:szCs w:val="21"/>
              </w:rPr>
              <w:t>M</w:t>
            </w:r>
            <w:r>
              <w:rPr>
                <w:rFonts w:ascii="Times New Roman" w:hAnsi="Times New Roman" w:cs="Times New Roman"/>
                <w:b/>
                <w:kern w:val="0"/>
                <w:szCs w:val="21"/>
              </w:rPr>
              <w:t>odel 2</w:t>
            </w:r>
            <w:bookmarkEnd w:id="19"/>
          </w:p>
        </w:tc>
        <w:tc>
          <w:tcPr>
            <w:tcW w:w="1701" w:type="dxa"/>
            <w:tcBorders>
              <w:top w:val="single" w:sz="4" w:space="0" w:color="auto"/>
              <w:bottom w:val="single" w:sz="4" w:space="0" w:color="auto"/>
            </w:tcBorders>
            <w:shd w:val="clear" w:color="auto" w:fill="auto"/>
            <w:vAlign w:val="center"/>
          </w:tcPr>
          <w:p w14:paraId="7DA70CEF" w14:textId="7D14CA8A" w:rsidR="00E6243D" w:rsidRPr="00E6243D" w:rsidRDefault="00D83697" w:rsidP="00D83697">
            <w:pPr>
              <w:spacing w:before="78"/>
              <w:jc w:val="right"/>
              <w:rPr>
                <w:rFonts w:ascii="Times New Roman" w:hAnsi="Times New Roman" w:cs="Times New Roman"/>
                <w:color w:val="000000"/>
                <w:szCs w:val="21"/>
              </w:rPr>
            </w:pPr>
            <w:r>
              <w:rPr>
                <w:rFonts w:ascii="Times New Roman" w:hAnsi="Times New Roman" w:cs="Times New Roman" w:hint="eastAsia"/>
                <w:color w:val="000000"/>
                <w:szCs w:val="21"/>
              </w:rPr>
              <w:t>1</w:t>
            </w:r>
            <w:r>
              <w:rPr>
                <w:rFonts w:ascii="Times New Roman" w:hAnsi="Times New Roman" w:cs="Times New Roman"/>
                <w:color w:val="000000"/>
                <w:szCs w:val="21"/>
              </w:rPr>
              <w:t>05.2808</w:t>
            </w:r>
          </w:p>
        </w:tc>
        <w:tc>
          <w:tcPr>
            <w:tcW w:w="1744" w:type="dxa"/>
            <w:tcBorders>
              <w:top w:val="single" w:sz="4" w:space="0" w:color="auto"/>
              <w:bottom w:val="single" w:sz="4" w:space="0" w:color="auto"/>
            </w:tcBorders>
            <w:shd w:val="clear" w:color="auto" w:fill="auto"/>
            <w:vAlign w:val="center"/>
          </w:tcPr>
          <w:p w14:paraId="0CA82756" w14:textId="2B85356E" w:rsidR="00E6243D" w:rsidRPr="00E6243D" w:rsidRDefault="00D83697" w:rsidP="00D83697">
            <w:pPr>
              <w:spacing w:before="78"/>
              <w:jc w:val="right"/>
              <w:rPr>
                <w:rFonts w:ascii="Times New Roman" w:hAnsi="Times New Roman" w:cs="Times New Roman"/>
                <w:color w:val="000000"/>
                <w:szCs w:val="21"/>
              </w:rPr>
            </w:pPr>
            <w:r>
              <w:rPr>
                <w:rFonts w:ascii="Times New Roman" w:hAnsi="Times New Roman" w:cs="Times New Roman" w:hint="eastAsia"/>
                <w:color w:val="000000"/>
                <w:szCs w:val="21"/>
              </w:rPr>
              <w:t>0</w:t>
            </w:r>
            <w:r>
              <w:rPr>
                <w:rFonts w:ascii="Times New Roman" w:hAnsi="Times New Roman" w:cs="Times New Roman"/>
                <w:color w:val="000000"/>
                <w:szCs w:val="21"/>
              </w:rPr>
              <w:t>.3655</w:t>
            </w:r>
          </w:p>
        </w:tc>
      </w:tr>
      <w:tr w:rsidR="00E6243D" w:rsidRPr="00E6243D" w14:paraId="17ADCC61" w14:textId="77777777" w:rsidTr="00BF2EA0">
        <w:trPr>
          <w:trHeight w:val="352"/>
          <w:jc w:val="center"/>
        </w:trPr>
        <w:tc>
          <w:tcPr>
            <w:tcW w:w="1560" w:type="dxa"/>
            <w:tcBorders>
              <w:top w:val="single" w:sz="4" w:space="0" w:color="auto"/>
              <w:bottom w:val="single" w:sz="4" w:space="0" w:color="auto"/>
            </w:tcBorders>
            <w:shd w:val="clear" w:color="auto" w:fill="auto"/>
            <w:vAlign w:val="center"/>
          </w:tcPr>
          <w:p w14:paraId="589F163F" w14:textId="04E8161C" w:rsidR="00E6243D" w:rsidRPr="00E6243D" w:rsidRDefault="00E6243D" w:rsidP="00D83697">
            <w:pPr>
              <w:widowControl/>
              <w:spacing w:before="78"/>
              <w:jc w:val="right"/>
              <w:rPr>
                <w:rFonts w:ascii="Times New Roman" w:hAnsi="Times New Roman" w:cs="Times New Roman"/>
                <w:b/>
                <w:bCs/>
                <w:kern w:val="0"/>
                <w:szCs w:val="21"/>
              </w:rPr>
            </w:pPr>
            <w:r>
              <w:rPr>
                <w:rFonts w:ascii="Times New Roman" w:hAnsi="Times New Roman" w:cs="Times New Roman"/>
                <w:b/>
                <w:kern w:val="0"/>
                <w:szCs w:val="21"/>
              </w:rPr>
              <w:t>Model 3</w:t>
            </w:r>
          </w:p>
        </w:tc>
        <w:tc>
          <w:tcPr>
            <w:tcW w:w="1701" w:type="dxa"/>
            <w:tcBorders>
              <w:top w:val="single" w:sz="4" w:space="0" w:color="auto"/>
              <w:bottom w:val="single" w:sz="4" w:space="0" w:color="auto"/>
            </w:tcBorders>
            <w:shd w:val="clear" w:color="auto" w:fill="auto"/>
            <w:vAlign w:val="center"/>
          </w:tcPr>
          <w:p w14:paraId="6A256246" w14:textId="701223D1" w:rsidR="00E6243D" w:rsidRPr="00E6243D" w:rsidRDefault="00D83697" w:rsidP="00D83697">
            <w:pPr>
              <w:spacing w:before="78"/>
              <w:jc w:val="right"/>
              <w:rPr>
                <w:rFonts w:ascii="Times New Roman" w:hAnsi="Times New Roman" w:cs="Times New Roman"/>
                <w:color w:val="000000"/>
                <w:szCs w:val="21"/>
              </w:rPr>
            </w:pPr>
            <w:r>
              <w:rPr>
                <w:rFonts w:ascii="Times New Roman" w:hAnsi="Times New Roman" w:cs="Times New Roman"/>
                <w:color w:val="000000"/>
                <w:szCs w:val="21"/>
              </w:rPr>
              <w:t>105.9557</w:t>
            </w:r>
          </w:p>
        </w:tc>
        <w:tc>
          <w:tcPr>
            <w:tcW w:w="1744" w:type="dxa"/>
            <w:tcBorders>
              <w:top w:val="single" w:sz="4" w:space="0" w:color="auto"/>
              <w:bottom w:val="single" w:sz="4" w:space="0" w:color="auto"/>
            </w:tcBorders>
            <w:shd w:val="clear" w:color="auto" w:fill="auto"/>
            <w:vAlign w:val="center"/>
          </w:tcPr>
          <w:p w14:paraId="7C5D05A0" w14:textId="52B280DC" w:rsidR="00E6243D" w:rsidRPr="00E6243D" w:rsidRDefault="00E6243D" w:rsidP="00D83697">
            <w:pPr>
              <w:spacing w:before="78"/>
              <w:jc w:val="right"/>
              <w:rPr>
                <w:rFonts w:ascii="Times New Roman" w:hAnsi="Times New Roman" w:cs="Times New Roman"/>
                <w:color w:val="000000"/>
                <w:szCs w:val="21"/>
              </w:rPr>
            </w:pPr>
            <w:r w:rsidRPr="00E6243D">
              <w:rPr>
                <w:rFonts w:ascii="Times New Roman" w:hAnsi="Times New Roman" w:cs="Times New Roman"/>
                <w:color w:val="000000"/>
                <w:szCs w:val="21"/>
              </w:rPr>
              <w:t>0.</w:t>
            </w:r>
            <w:r w:rsidR="00D83697">
              <w:rPr>
                <w:rFonts w:ascii="Times New Roman" w:hAnsi="Times New Roman" w:cs="Times New Roman"/>
                <w:color w:val="000000"/>
                <w:szCs w:val="21"/>
              </w:rPr>
              <w:t>3483</w:t>
            </w:r>
          </w:p>
        </w:tc>
      </w:tr>
      <w:tr w:rsidR="00E6243D" w:rsidRPr="00E6243D" w14:paraId="6F9C9DF0" w14:textId="77777777" w:rsidTr="00BF2EA0">
        <w:trPr>
          <w:trHeight w:val="352"/>
          <w:jc w:val="center"/>
        </w:trPr>
        <w:tc>
          <w:tcPr>
            <w:tcW w:w="1560" w:type="dxa"/>
            <w:tcBorders>
              <w:top w:val="single" w:sz="4" w:space="0" w:color="auto"/>
              <w:bottom w:val="single" w:sz="4" w:space="0" w:color="auto"/>
            </w:tcBorders>
            <w:shd w:val="clear" w:color="auto" w:fill="auto"/>
            <w:vAlign w:val="center"/>
          </w:tcPr>
          <w:p w14:paraId="01866575" w14:textId="117B896D" w:rsidR="00E6243D" w:rsidRPr="00E6243D" w:rsidRDefault="00E6243D" w:rsidP="00D83697">
            <w:pPr>
              <w:widowControl/>
              <w:spacing w:before="78"/>
              <w:jc w:val="right"/>
              <w:rPr>
                <w:rFonts w:ascii="Times New Roman" w:hAnsi="Times New Roman" w:cs="Times New Roman"/>
                <w:b/>
                <w:bCs/>
                <w:kern w:val="0"/>
                <w:szCs w:val="21"/>
              </w:rPr>
            </w:pPr>
            <w:r>
              <w:rPr>
                <w:rFonts w:ascii="Times New Roman" w:hAnsi="Times New Roman" w:cs="Times New Roman"/>
                <w:b/>
                <w:kern w:val="0"/>
                <w:szCs w:val="21"/>
              </w:rPr>
              <w:t>Model 4</w:t>
            </w:r>
          </w:p>
        </w:tc>
        <w:tc>
          <w:tcPr>
            <w:tcW w:w="1701" w:type="dxa"/>
            <w:tcBorders>
              <w:top w:val="single" w:sz="4" w:space="0" w:color="auto"/>
              <w:bottom w:val="single" w:sz="4" w:space="0" w:color="auto"/>
            </w:tcBorders>
            <w:shd w:val="clear" w:color="auto" w:fill="auto"/>
            <w:vAlign w:val="center"/>
          </w:tcPr>
          <w:p w14:paraId="1BEEE02B" w14:textId="418DBC4F" w:rsidR="00E6243D" w:rsidRPr="00E6243D" w:rsidRDefault="00D83697" w:rsidP="00D83697">
            <w:pPr>
              <w:spacing w:before="78"/>
              <w:jc w:val="right"/>
              <w:rPr>
                <w:rFonts w:ascii="Times New Roman" w:hAnsi="Times New Roman" w:cs="Times New Roman"/>
                <w:color w:val="000000"/>
                <w:szCs w:val="21"/>
              </w:rPr>
            </w:pPr>
            <w:r>
              <w:rPr>
                <w:rFonts w:ascii="Times New Roman" w:hAnsi="Times New Roman" w:cs="Times New Roman"/>
                <w:color w:val="000000"/>
                <w:szCs w:val="21"/>
              </w:rPr>
              <w:t>98.5553</w:t>
            </w:r>
          </w:p>
        </w:tc>
        <w:tc>
          <w:tcPr>
            <w:tcW w:w="1744" w:type="dxa"/>
            <w:tcBorders>
              <w:top w:val="single" w:sz="4" w:space="0" w:color="auto"/>
              <w:bottom w:val="single" w:sz="4" w:space="0" w:color="auto"/>
            </w:tcBorders>
            <w:shd w:val="clear" w:color="auto" w:fill="auto"/>
            <w:vAlign w:val="center"/>
          </w:tcPr>
          <w:p w14:paraId="369E3D26" w14:textId="064C5269" w:rsidR="00E6243D" w:rsidRPr="00E6243D" w:rsidRDefault="00E6243D" w:rsidP="00D83697">
            <w:pPr>
              <w:spacing w:before="78"/>
              <w:jc w:val="right"/>
              <w:rPr>
                <w:rFonts w:ascii="Times New Roman" w:hAnsi="Times New Roman" w:cs="Times New Roman"/>
                <w:color w:val="000000"/>
                <w:szCs w:val="21"/>
              </w:rPr>
            </w:pPr>
            <w:r w:rsidRPr="00E6243D">
              <w:rPr>
                <w:rFonts w:ascii="Times New Roman" w:hAnsi="Times New Roman" w:cs="Times New Roman"/>
                <w:color w:val="000000"/>
                <w:szCs w:val="21"/>
              </w:rPr>
              <w:t>0.</w:t>
            </w:r>
            <w:r w:rsidR="00D83697">
              <w:rPr>
                <w:rFonts w:ascii="Times New Roman" w:hAnsi="Times New Roman" w:cs="Times New Roman"/>
                <w:color w:val="000000"/>
                <w:szCs w:val="21"/>
              </w:rPr>
              <w:t>5781</w:t>
            </w:r>
          </w:p>
        </w:tc>
      </w:tr>
      <w:tr w:rsidR="00E6243D" w:rsidRPr="00E6243D" w14:paraId="45817D4F" w14:textId="77777777" w:rsidTr="00BF2EA0">
        <w:trPr>
          <w:trHeight w:val="352"/>
          <w:jc w:val="center"/>
        </w:trPr>
        <w:tc>
          <w:tcPr>
            <w:tcW w:w="1560" w:type="dxa"/>
            <w:tcBorders>
              <w:top w:val="single" w:sz="4" w:space="0" w:color="auto"/>
              <w:bottom w:val="single" w:sz="4" w:space="0" w:color="auto"/>
            </w:tcBorders>
            <w:shd w:val="clear" w:color="auto" w:fill="auto"/>
            <w:vAlign w:val="center"/>
          </w:tcPr>
          <w:p w14:paraId="6663F6CC" w14:textId="67CDCF51" w:rsidR="00E6243D" w:rsidRPr="00E6243D" w:rsidRDefault="00E6243D" w:rsidP="00D83697">
            <w:pPr>
              <w:widowControl/>
              <w:spacing w:before="78"/>
              <w:jc w:val="right"/>
              <w:rPr>
                <w:rFonts w:ascii="Times New Roman" w:hAnsi="Times New Roman" w:cs="Times New Roman"/>
                <w:b/>
                <w:bCs/>
                <w:kern w:val="0"/>
                <w:szCs w:val="21"/>
              </w:rPr>
            </w:pPr>
            <w:r>
              <w:rPr>
                <w:rFonts w:ascii="Times New Roman" w:hAnsi="Times New Roman" w:cs="Times New Roman"/>
                <w:b/>
                <w:kern w:val="0"/>
                <w:szCs w:val="21"/>
              </w:rPr>
              <w:t>Model 5</w:t>
            </w:r>
          </w:p>
        </w:tc>
        <w:tc>
          <w:tcPr>
            <w:tcW w:w="1701" w:type="dxa"/>
            <w:tcBorders>
              <w:top w:val="single" w:sz="4" w:space="0" w:color="auto"/>
              <w:bottom w:val="single" w:sz="4" w:space="0" w:color="auto"/>
            </w:tcBorders>
            <w:shd w:val="clear" w:color="auto" w:fill="auto"/>
            <w:vAlign w:val="center"/>
          </w:tcPr>
          <w:p w14:paraId="23FFDEA1" w14:textId="61900351" w:rsidR="00E6243D" w:rsidRPr="00E6243D" w:rsidRDefault="00E6243D" w:rsidP="00D83697">
            <w:pPr>
              <w:spacing w:before="78"/>
              <w:jc w:val="right"/>
              <w:rPr>
                <w:rFonts w:ascii="Times New Roman" w:hAnsi="Times New Roman" w:cs="Times New Roman"/>
                <w:color w:val="000000"/>
                <w:szCs w:val="21"/>
              </w:rPr>
            </w:pPr>
            <w:r w:rsidRPr="00E6243D">
              <w:rPr>
                <w:rFonts w:ascii="Times New Roman" w:hAnsi="Times New Roman" w:cs="Times New Roman"/>
                <w:color w:val="000000"/>
                <w:szCs w:val="21"/>
              </w:rPr>
              <w:t>9</w:t>
            </w:r>
            <w:r w:rsidR="00D83697">
              <w:rPr>
                <w:rFonts w:ascii="Times New Roman" w:hAnsi="Times New Roman" w:cs="Times New Roman"/>
                <w:color w:val="000000"/>
                <w:szCs w:val="21"/>
              </w:rPr>
              <w:t>7.3247</w:t>
            </w:r>
          </w:p>
        </w:tc>
        <w:tc>
          <w:tcPr>
            <w:tcW w:w="1744" w:type="dxa"/>
            <w:tcBorders>
              <w:top w:val="single" w:sz="4" w:space="0" w:color="auto"/>
              <w:bottom w:val="single" w:sz="4" w:space="0" w:color="auto"/>
            </w:tcBorders>
            <w:shd w:val="clear" w:color="auto" w:fill="auto"/>
            <w:vAlign w:val="center"/>
          </w:tcPr>
          <w:p w14:paraId="40F9AD7D" w14:textId="2ECEB952" w:rsidR="00E6243D" w:rsidRPr="00E6243D" w:rsidRDefault="00E6243D" w:rsidP="00D83697">
            <w:pPr>
              <w:spacing w:before="78"/>
              <w:jc w:val="right"/>
              <w:rPr>
                <w:rFonts w:ascii="Times New Roman" w:hAnsi="Times New Roman" w:cs="Times New Roman"/>
                <w:color w:val="000000"/>
                <w:szCs w:val="21"/>
              </w:rPr>
            </w:pPr>
            <w:r w:rsidRPr="00E6243D">
              <w:rPr>
                <w:rFonts w:ascii="Times New Roman" w:hAnsi="Times New Roman" w:cs="Times New Roman"/>
                <w:color w:val="000000"/>
                <w:szCs w:val="21"/>
              </w:rPr>
              <w:t>0.</w:t>
            </w:r>
            <w:r w:rsidR="00D83697">
              <w:rPr>
                <w:rFonts w:ascii="Times New Roman" w:hAnsi="Times New Roman" w:cs="Times New Roman"/>
                <w:color w:val="000000"/>
                <w:szCs w:val="21"/>
              </w:rPr>
              <w:t>5850</w:t>
            </w:r>
          </w:p>
        </w:tc>
      </w:tr>
      <w:tr w:rsidR="00E6243D" w:rsidRPr="00E6243D" w14:paraId="4AF08E73" w14:textId="77777777" w:rsidTr="00BF2EA0">
        <w:trPr>
          <w:trHeight w:val="352"/>
          <w:jc w:val="center"/>
        </w:trPr>
        <w:tc>
          <w:tcPr>
            <w:tcW w:w="1560" w:type="dxa"/>
            <w:tcBorders>
              <w:top w:val="single" w:sz="4" w:space="0" w:color="auto"/>
              <w:bottom w:val="single" w:sz="4" w:space="0" w:color="auto"/>
            </w:tcBorders>
            <w:shd w:val="clear" w:color="auto" w:fill="auto"/>
            <w:vAlign w:val="center"/>
          </w:tcPr>
          <w:p w14:paraId="13B124EE" w14:textId="0D7C62DC" w:rsidR="00E6243D" w:rsidRPr="00E6243D" w:rsidRDefault="00E6243D" w:rsidP="00D83697">
            <w:pPr>
              <w:widowControl/>
              <w:spacing w:before="78"/>
              <w:jc w:val="right"/>
              <w:rPr>
                <w:rFonts w:ascii="Times New Roman" w:hAnsi="Times New Roman" w:cs="Times New Roman"/>
                <w:b/>
                <w:bCs/>
                <w:kern w:val="0"/>
                <w:szCs w:val="21"/>
              </w:rPr>
            </w:pPr>
            <w:r>
              <w:rPr>
                <w:rFonts w:ascii="Times New Roman" w:hAnsi="Times New Roman" w:cs="Times New Roman"/>
                <w:b/>
                <w:kern w:val="0"/>
                <w:szCs w:val="21"/>
              </w:rPr>
              <w:t>Model 6</w:t>
            </w:r>
          </w:p>
        </w:tc>
        <w:tc>
          <w:tcPr>
            <w:tcW w:w="1701" w:type="dxa"/>
            <w:tcBorders>
              <w:top w:val="single" w:sz="4" w:space="0" w:color="auto"/>
              <w:bottom w:val="single" w:sz="4" w:space="0" w:color="auto"/>
            </w:tcBorders>
            <w:shd w:val="clear" w:color="auto" w:fill="auto"/>
            <w:vAlign w:val="center"/>
          </w:tcPr>
          <w:p w14:paraId="0DE28127" w14:textId="12541678" w:rsidR="00E6243D" w:rsidRPr="00E6243D" w:rsidRDefault="00D83697" w:rsidP="00D83697">
            <w:pPr>
              <w:spacing w:before="78"/>
              <w:jc w:val="right"/>
              <w:rPr>
                <w:rFonts w:ascii="Times New Roman" w:hAnsi="Times New Roman" w:cs="Times New Roman"/>
                <w:color w:val="000000"/>
                <w:szCs w:val="21"/>
              </w:rPr>
            </w:pPr>
            <w:r>
              <w:rPr>
                <w:rFonts w:ascii="Times New Roman" w:hAnsi="Times New Roman" w:cs="Times New Roman"/>
                <w:color w:val="000000"/>
                <w:szCs w:val="21"/>
              </w:rPr>
              <w:t>104.9179</w:t>
            </w:r>
          </w:p>
        </w:tc>
        <w:tc>
          <w:tcPr>
            <w:tcW w:w="1744" w:type="dxa"/>
            <w:tcBorders>
              <w:top w:val="single" w:sz="4" w:space="0" w:color="auto"/>
              <w:bottom w:val="single" w:sz="4" w:space="0" w:color="auto"/>
            </w:tcBorders>
            <w:shd w:val="clear" w:color="auto" w:fill="auto"/>
            <w:vAlign w:val="center"/>
          </w:tcPr>
          <w:p w14:paraId="0EA42A1F" w14:textId="65D50600" w:rsidR="00E6243D" w:rsidRPr="00E6243D" w:rsidRDefault="00E6243D" w:rsidP="00D83697">
            <w:pPr>
              <w:spacing w:before="78"/>
              <w:jc w:val="right"/>
              <w:rPr>
                <w:rFonts w:ascii="Times New Roman" w:hAnsi="Times New Roman" w:cs="Times New Roman"/>
                <w:color w:val="000000"/>
                <w:szCs w:val="21"/>
              </w:rPr>
            </w:pPr>
            <w:r w:rsidRPr="00E6243D">
              <w:rPr>
                <w:rFonts w:ascii="Times New Roman" w:hAnsi="Times New Roman" w:cs="Times New Roman"/>
                <w:color w:val="000000"/>
                <w:szCs w:val="21"/>
              </w:rPr>
              <w:t>0.</w:t>
            </w:r>
            <w:r w:rsidR="00D83697">
              <w:rPr>
                <w:rFonts w:ascii="Times New Roman" w:hAnsi="Times New Roman" w:cs="Times New Roman"/>
                <w:color w:val="000000"/>
                <w:szCs w:val="21"/>
              </w:rPr>
              <w:t>3749</w:t>
            </w:r>
          </w:p>
        </w:tc>
      </w:tr>
      <w:tr w:rsidR="00E6243D" w:rsidRPr="00E6243D" w14:paraId="37B12552" w14:textId="77777777" w:rsidTr="00BF2EA0">
        <w:trPr>
          <w:trHeight w:val="352"/>
          <w:jc w:val="center"/>
        </w:trPr>
        <w:tc>
          <w:tcPr>
            <w:tcW w:w="1560" w:type="dxa"/>
            <w:tcBorders>
              <w:top w:val="single" w:sz="4" w:space="0" w:color="auto"/>
              <w:bottom w:val="single" w:sz="4" w:space="0" w:color="auto"/>
            </w:tcBorders>
            <w:shd w:val="clear" w:color="auto" w:fill="auto"/>
            <w:vAlign w:val="center"/>
          </w:tcPr>
          <w:p w14:paraId="0995AB8C" w14:textId="4BA7E543" w:rsidR="00E6243D" w:rsidRPr="00E6243D" w:rsidRDefault="00E6243D" w:rsidP="00D83697">
            <w:pPr>
              <w:widowControl/>
              <w:spacing w:before="78"/>
              <w:jc w:val="right"/>
              <w:rPr>
                <w:rFonts w:ascii="Times New Roman" w:hAnsi="Times New Roman" w:cs="Times New Roman"/>
                <w:b/>
                <w:bCs/>
                <w:kern w:val="0"/>
                <w:szCs w:val="21"/>
              </w:rPr>
            </w:pPr>
            <w:r>
              <w:rPr>
                <w:rFonts w:ascii="Times New Roman" w:hAnsi="Times New Roman" w:cs="Times New Roman"/>
                <w:b/>
                <w:kern w:val="0"/>
                <w:szCs w:val="21"/>
              </w:rPr>
              <w:t>Model 7</w:t>
            </w:r>
          </w:p>
        </w:tc>
        <w:tc>
          <w:tcPr>
            <w:tcW w:w="1701" w:type="dxa"/>
            <w:tcBorders>
              <w:top w:val="single" w:sz="4" w:space="0" w:color="auto"/>
              <w:bottom w:val="single" w:sz="4" w:space="0" w:color="auto"/>
            </w:tcBorders>
            <w:shd w:val="clear" w:color="auto" w:fill="auto"/>
            <w:vAlign w:val="center"/>
          </w:tcPr>
          <w:p w14:paraId="4DE2BE33" w14:textId="7E5B3048" w:rsidR="00E6243D" w:rsidRPr="00E6243D" w:rsidRDefault="00E6243D" w:rsidP="00D83697">
            <w:pPr>
              <w:spacing w:before="78"/>
              <w:jc w:val="right"/>
              <w:rPr>
                <w:rFonts w:ascii="Times New Roman" w:hAnsi="Times New Roman" w:cs="Times New Roman"/>
                <w:color w:val="000000"/>
                <w:szCs w:val="21"/>
              </w:rPr>
            </w:pPr>
            <w:r w:rsidRPr="00E6243D">
              <w:rPr>
                <w:rFonts w:ascii="Times New Roman" w:hAnsi="Times New Roman" w:cs="Times New Roman"/>
                <w:color w:val="000000"/>
                <w:szCs w:val="21"/>
              </w:rPr>
              <w:t>9</w:t>
            </w:r>
            <w:r w:rsidR="00D83697">
              <w:rPr>
                <w:rFonts w:ascii="Times New Roman" w:hAnsi="Times New Roman" w:cs="Times New Roman"/>
                <w:color w:val="000000"/>
                <w:szCs w:val="21"/>
              </w:rPr>
              <w:t>8.2826</w:t>
            </w:r>
          </w:p>
        </w:tc>
        <w:tc>
          <w:tcPr>
            <w:tcW w:w="1744" w:type="dxa"/>
            <w:tcBorders>
              <w:top w:val="single" w:sz="4" w:space="0" w:color="auto"/>
              <w:bottom w:val="single" w:sz="4" w:space="0" w:color="auto"/>
            </w:tcBorders>
            <w:shd w:val="clear" w:color="auto" w:fill="auto"/>
            <w:vAlign w:val="center"/>
          </w:tcPr>
          <w:p w14:paraId="4C1AB57C" w14:textId="56312441" w:rsidR="00E6243D" w:rsidRPr="00E6243D" w:rsidRDefault="00E6243D" w:rsidP="00D83697">
            <w:pPr>
              <w:spacing w:before="78"/>
              <w:jc w:val="right"/>
              <w:rPr>
                <w:rFonts w:ascii="Times New Roman" w:hAnsi="Times New Roman" w:cs="Times New Roman"/>
                <w:color w:val="000000"/>
                <w:szCs w:val="21"/>
              </w:rPr>
            </w:pPr>
            <w:r w:rsidRPr="00E6243D">
              <w:rPr>
                <w:rFonts w:ascii="Times New Roman" w:hAnsi="Times New Roman" w:cs="Times New Roman"/>
                <w:color w:val="000000"/>
                <w:szCs w:val="21"/>
              </w:rPr>
              <w:t>0.</w:t>
            </w:r>
            <w:r w:rsidR="00D83697">
              <w:rPr>
                <w:rFonts w:ascii="Times New Roman" w:hAnsi="Times New Roman" w:cs="Times New Roman"/>
                <w:color w:val="000000"/>
                <w:szCs w:val="21"/>
              </w:rPr>
              <w:t>5580</w:t>
            </w:r>
          </w:p>
        </w:tc>
      </w:tr>
      <w:tr w:rsidR="00E6243D" w:rsidRPr="00E6243D" w14:paraId="5A872459" w14:textId="77777777" w:rsidTr="00BF2EA0">
        <w:trPr>
          <w:trHeight w:val="352"/>
          <w:jc w:val="center"/>
        </w:trPr>
        <w:tc>
          <w:tcPr>
            <w:tcW w:w="1560" w:type="dxa"/>
            <w:tcBorders>
              <w:top w:val="single" w:sz="4" w:space="0" w:color="auto"/>
              <w:bottom w:val="single" w:sz="4" w:space="0" w:color="auto"/>
            </w:tcBorders>
            <w:shd w:val="clear" w:color="auto" w:fill="auto"/>
            <w:vAlign w:val="center"/>
          </w:tcPr>
          <w:p w14:paraId="21F19B60" w14:textId="0BECF0BC" w:rsidR="00E6243D" w:rsidRPr="00E6243D" w:rsidRDefault="00E6243D" w:rsidP="00D83697">
            <w:pPr>
              <w:widowControl/>
              <w:spacing w:before="78"/>
              <w:jc w:val="right"/>
              <w:rPr>
                <w:rFonts w:ascii="Times New Roman" w:hAnsi="Times New Roman" w:cs="Times New Roman"/>
                <w:b/>
                <w:bCs/>
                <w:kern w:val="0"/>
                <w:szCs w:val="21"/>
              </w:rPr>
            </w:pPr>
            <w:r>
              <w:rPr>
                <w:rFonts w:ascii="Times New Roman" w:hAnsi="Times New Roman" w:cs="Times New Roman"/>
                <w:b/>
                <w:kern w:val="0"/>
                <w:szCs w:val="21"/>
              </w:rPr>
              <w:t>Model 8</w:t>
            </w:r>
          </w:p>
        </w:tc>
        <w:tc>
          <w:tcPr>
            <w:tcW w:w="1701" w:type="dxa"/>
            <w:tcBorders>
              <w:top w:val="single" w:sz="4" w:space="0" w:color="auto"/>
              <w:bottom w:val="single" w:sz="4" w:space="0" w:color="auto"/>
            </w:tcBorders>
            <w:shd w:val="clear" w:color="auto" w:fill="auto"/>
            <w:vAlign w:val="center"/>
          </w:tcPr>
          <w:p w14:paraId="4CE26A85" w14:textId="0C263CAD" w:rsidR="00E6243D" w:rsidRPr="00E6243D" w:rsidRDefault="00D83697" w:rsidP="00D83697">
            <w:pPr>
              <w:spacing w:before="78"/>
              <w:jc w:val="right"/>
              <w:rPr>
                <w:rFonts w:ascii="Times New Roman" w:hAnsi="Times New Roman" w:cs="Times New Roman"/>
                <w:color w:val="000000"/>
                <w:szCs w:val="21"/>
              </w:rPr>
            </w:pPr>
            <w:r>
              <w:rPr>
                <w:rFonts w:ascii="Times New Roman" w:hAnsi="Times New Roman" w:cs="Times New Roman"/>
                <w:color w:val="000000"/>
                <w:szCs w:val="21"/>
              </w:rPr>
              <w:t>103.8569</w:t>
            </w:r>
          </w:p>
        </w:tc>
        <w:tc>
          <w:tcPr>
            <w:tcW w:w="1744" w:type="dxa"/>
            <w:tcBorders>
              <w:top w:val="single" w:sz="4" w:space="0" w:color="auto"/>
              <w:bottom w:val="single" w:sz="4" w:space="0" w:color="auto"/>
            </w:tcBorders>
            <w:shd w:val="clear" w:color="auto" w:fill="auto"/>
            <w:vAlign w:val="center"/>
          </w:tcPr>
          <w:p w14:paraId="718A1CFE" w14:textId="6135A254" w:rsidR="00E6243D" w:rsidRPr="00E6243D" w:rsidRDefault="00E6243D" w:rsidP="00D83697">
            <w:pPr>
              <w:spacing w:before="78"/>
              <w:jc w:val="right"/>
              <w:rPr>
                <w:rFonts w:ascii="Times New Roman" w:hAnsi="Times New Roman" w:cs="Times New Roman"/>
                <w:color w:val="000000"/>
                <w:szCs w:val="21"/>
              </w:rPr>
            </w:pPr>
            <w:r w:rsidRPr="00E6243D">
              <w:rPr>
                <w:rFonts w:ascii="Times New Roman" w:hAnsi="Times New Roman" w:cs="Times New Roman"/>
                <w:color w:val="000000"/>
                <w:szCs w:val="21"/>
              </w:rPr>
              <w:t>0.</w:t>
            </w:r>
            <w:r w:rsidR="00D83697">
              <w:rPr>
                <w:rFonts w:ascii="Times New Roman" w:hAnsi="Times New Roman" w:cs="Times New Roman"/>
                <w:color w:val="000000"/>
                <w:szCs w:val="21"/>
              </w:rPr>
              <w:t>4302</w:t>
            </w:r>
          </w:p>
        </w:tc>
      </w:tr>
      <w:tr w:rsidR="00E6243D" w:rsidRPr="00E6243D" w14:paraId="07E53973" w14:textId="77777777" w:rsidTr="00BF2EA0">
        <w:trPr>
          <w:trHeight w:val="352"/>
          <w:jc w:val="center"/>
        </w:trPr>
        <w:tc>
          <w:tcPr>
            <w:tcW w:w="1560" w:type="dxa"/>
            <w:tcBorders>
              <w:top w:val="single" w:sz="4" w:space="0" w:color="auto"/>
            </w:tcBorders>
            <w:shd w:val="clear" w:color="auto" w:fill="auto"/>
            <w:vAlign w:val="center"/>
          </w:tcPr>
          <w:p w14:paraId="0D8A4FB7" w14:textId="649544C0" w:rsidR="00E6243D" w:rsidRPr="00E6243D" w:rsidRDefault="00E6243D" w:rsidP="00D83697">
            <w:pPr>
              <w:widowControl/>
              <w:spacing w:before="78"/>
              <w:jc w:val="right"/>
              <w:rPr>
                <w:rFonts w:ascii="Times New Roman" w:hAnsi="Times New Roman" w:cs="Times New Roman"/>
                <w:b/>
                <w:bCs/>
                <w:kern w:val="0"/>
                <w:szCs w:val="21"/>
              </w:rPr>
            </w:pPr>
            <w:r>
              <w:rPr>
                <w:rFonts w:ascii="Times New Roman" w:hAnsi="Times New Roman" w:cs="Times New Roman"/>
                <w:b/>
                <w:kern w:val="0"/>
                <w:szCs w:val="21"/>
              </w:rPr>
              <w:t>Model 9</w:t>
            </w:r>
          </w:p>
        </w:tc>
        <w:tc>
          <w:tcPr>
            <w:tcW w:w="1701" w:type="dxa"/>
            <w:tcBorders>
              <w:top w:val="single" w:sz="4" w:space="0" w:color="auto"/>
            </w:tcBorders>
            <w:shd w:val="clear" w:color="auto" w:fill="auto"/>
            <w:vAlign w:val="center"/>
          </w:tcPr>
          <w:p w14:paraId="0E20C9BE" w14:textId="4D4E21D0" w:rsidR="00E6243D" w:rsidRPr="00E6243D" w:rsidRDefault="00D83697" w:rsidP="00D83697">
            <w:pPr>
              <w:spacing w:before="78"/>
              <w:jc w:val="right"/>
              <w:rPr>
                <w:rFonts w:ascii="Times New Roman" w:hAnsi="Times New Roman" w:cs="Times New Roman"/>
                <w:color w:val="000000"/>
                <w:szCs w:val="21"/>
              </w:rPr>
            </w:pPr>
            <w:r>
              <w:rPr>
                <w:rFonts w:ascii="Times New Roman" w:hAnsi="Times New Roman" w:cs="Times New Roman"/>
                <w:color w:val="000000"/>
                <w:szCs w:val="21"/>
              </w:rPr>
              <w:t>105.3683</w:t>
            </w:r>
          </w:p>
        </w:tc>
        <w:tc>
          <w:tcPr>
            <w:tcW w:w="1744" w:type="dxa"/>
            <w:tcBorders>
              <w:top w:val="single" w:sz="4" w:space="0" w:color="auto"/>
            </w:tcBorders>
            <w:shd w:val="clear" w:color="auto" w:fill="auto"/>
            <w:vAlign w:val="center"/>
          </w:tcPr>
          <w:p w14:paraId="5B4F2FAF" w14:textId="2833C77A" w:rsidR="00E6243D" w:rsidRPr="00E6243D" w:rsidRDefault="00E6243D" w:rsidP="00D83697">
            <w:pPr>
              <w:spacing w:before="78"/>
              <w:jc w:val="right"/>
              <w:rPr>
                <w:rFonts w:ascii="Times New Roman" w:hAnsi="Times New Roman" w:cs="Times New Roman"/>
                <w:color w:val="000000"/>
                <w:szCs w:val="21"/>
              </w:rPr>
            </w:pPr>
            <w:r w:rsidRPr="00E6243D">
              <w:rPr>
                <w:rFonts w:ascii="Times New Roman" w:hAnsi="Times New Roman" w:cs="Times New Roman"/>
                <w:color w:val="000000"/>
                <w:szCs w:val="21"/>
              </w:rPr>
              <w:t>0.</w:t>
            </w:r>
            <w:r w:rsidR="00D83697">
              <w:rPr>
                <w:rFonts w:ascii="Times New Roman" w:hAnsi="Times New Roman" w:cs="Times New Roman"/>
                <w:color w:val="000000"/>
                <w:szCs w:val="21"/>
              </w:rPr>
              <w:t>36</w:t>
            </w:r>
            <w:r w:rsidRPr="00E6243D">
              <w:rPr>
                <w:rFonts w:ascii="Times New Roman" w:hAnsi="Times New Roman" w:cs="Times New Roman"/>
                <w:color w:val="000000"/>
                <w:szCs w:val="21"/>
              </w:rPr>
              <w:t>32</w:t>
            </w:r>
          </w:p>
        </w:tc>
      </w:tr>
    </w:tbl>
    <w:p w14:paraId="5A016CA6" w14:textId="77777777" w:rsidR="002B7553" w:rsidRDefault="002B7553" w:rsidP="004C5665">
      <w:pPr>
        <w:adjustRightInd w:val="0"/>
        <w:spacing w:line="360" w:lineRule="auto"/>
        <w:textAlignment w:val="baseline"/>
        <w:rPr>
          <w:rFonts w:ascii="Times New Roman" w:hAnsi="Times New Roman" w:cs="Times New Roman"/>
          <w:b/>
          <w:kern w:val="0"/>
          <w:sz w:val="28"/>
          <w:szCs w:val="28"/>
        </w:rPr>
      </w:pPr>
    </w:p>
    <w:p w14:paraId="7742A5FD" w14:textId="3B417A66" w:rsidR="00E6243D" w:rsidRPr="004D546F" w:rsidRDefault="00344F33" w:rsidP="004C5665">
      <w:pPr>
        <w:adjustRightInd w:val="0"/>
        <w:spacing w:line="360" w:lineRule="auto"/>
        <w:textAlignment w:val="baseline"/>
        <w:rPr>
          <w:rFonts w:ascii="Times New Roman" w:hAnsi="Times New Roman" w:cs="Times New Roman"/>
          <w:b/>
          <w:kern w:val="0"/>
          <w:sz w:val="28"/>
          <w:szCs w:val="28"/>
        </w:rPr>
      </w:pPr>
      <w:r w:rsidRPr="004D546F">
        <w:rPr>
          <w:rFonts w:ascii="Times New Roman" w:hAnsi="Times New Roman" w:cs="Times New Roman" w:hint="eastAsia"/>
          <w:b/>
          <w:kern w:val="0"/>
          <w:sz w:val="28"/>
          <w:szCs w:val="28"/>
        </w:rPr>
        <w:t>4</w:t>
      </w:r>
      <w:r w:rsidRPr="004D546F">
        <w:rPr>
          <w:rFonts w:ascii="Times New Roman" w:hAnsi="Times New Roman" w:cs="Times New Roman"/>
          <w:b/>
          <w:kern w:val="0"/>
          <w:sz w:val="28"/>
          <w:szCs w:val="28"/>
        </w:rPr>
        <w:t>.3.3 Heterogenous Analysis on Impact Factors</w:t>
      </w:r>
    </w:p>
    <w:p w14:paraId="49E5D4E2" w14:textId="718C02D9" w:rsidR="004D546F" w:rsidRPr="0008635F" w:rsidRDefault="004D546F" w:rsidP="004D546F">
      <w:pPr>
        <w:pStyle w:val="ad"/>
        <w:numPr>
          <w:ilvl w:val="0"/>
          <w:numId w:val="6"/>
        </w:numPr>
        <w:adjustRightInd w:val="0"/>
        <w:spacing w:line="360" w:lineRule="auto"/>
        <w:ind w:firstLineChars="0"/>
        <w:textAlignment w:val="baseline"/>
        <w:rPr>
          <w:rFonts w:ascii="Times New Roman" w:eastAsia="PMingLiU" w:hAnsi="Times New Roman" w:cs="Times New Roman"/>
          <w:kern w:val="0"/>
          <w:sz w:val="24"/>
          <w:szCs w:val="24"/>
          <w:lang w:eastAsia="zh-TW"/>
        </w:rPr>
      </w:pPr>
      <w:r w:rsidRPr="0008635F">
        <w:rPr>
          <w:rFonts w:ascii="Times New Roman" w:hAnsi="Times New Roman" w:cs="Times New Roman"/>
          <w:b/>
          <w:color w:val="000000"/>
          <w:kern w:val="0"/>
          <w:sz w:val="24"/>
          <w:szCs w:val="24"/>
        </w:rPr>
        <w:t>Capital Adequacy Ratio (CAR)</w:t>
      </w:r>
      <w:r>
        <w:rPr>
          <w:rFonts w:ascii="Times New Roman" w:eastAsia="PMingLiU" w:hAnsi="Times New Roman" w:cs="Times New Roman"/>
          <w:kern w:val="0"/>
          <w:sz w:val="24"/>
          <w:szCs w:val="24"/>
          <w:lang w:eastAsia="zh-TW"/>
        </w:rPr>
        <w:t xml:space="preserve">: </w:t>
      </w:r>
      <w:r w:rsidR="00486F3F">
        <w:rPr>
          <w:rFonts w:ascii="Times New Roman" w:eastAsia="PMingLiU" w:hAnsi="Times New Roman" w:cs="Times New Roman"/>
          <w:kern w:val="0"/>
          <w:sz w:val="24"/>
          <w:szCs w:val="24"/>
          <w:lang w:eastAsia="zh-TW"/>
        </w:rPr>
        <w:t>The capital</w:t>
      </w:r>
      <w:r w:rsidR="00E11D11">
        <w:rPr>
          <w:rFonts w:ascii="Times New Roman" w:eastAsia="PMingLiU" w:hAnsi="Times New Roman" w:cs="Times New Roman"/>
          <w:kern w:val="0"/>
          <w:sz w:val="24"/>
          <w:szCs w:val="24"/>
          <w:lang w:eastAsia="zh-TW"/>
        </w:rPr>
        <w:t>-</w:t>
      </w:r>
      <w:r w:rsidR="00486F3F">
        <w:rPr>
          <w:rFonts w:ascii="Times New Roman" w:eastAsia="PMingLiU" w:hAnsi="Times New Roman" w:cs="Times New Roman"/>
          <w:kern w:val="0"/>
          <w:sz w:val="24"/>
          <w:szCs w:val="24"/>
          <w:lang w:eastAsia="zh-TW"/>
        </w:rPr>
        <w:t>constrain</w:t>
      </w:r>
      <w:r w:rsidR="00E11D11">
        <w:rPr>
          <w:rFonts w:ascii="Times New Roman" w:eastAsia="PMingLiU" w:hAnsi="Times New Roman" w:cs="Times New Roman"/>
          <w:kern w:val="0"/>
          <w:sz w:val="24"/>
          <w:szCs w:val="24"/>
          <w:lang w:eastAsia="zh-TW"/>
        </w:rPr>
        <w:t>ed</w:t>
      </w:r>
      <w:r w:rsidR="00486F3F">
        <w:rPr>
          <w:rFonts w:ascii="Times New Roman" w:eastAsia="PMingLiU" w:hAnsi="Times New Roman" w:cs="Times New Roman"/>
          <w:kern w:val="0"/>
          <w:sz w:val="24"/>
          <w:szCs w:val="24"/>
          <w:lang w:eastAsia="zh-TW"/>
        </w:rPr>
        <w:t xml:space="preserve"> effect </w:t>
      </w:r>
      <w:r w:rsidR="008D52F9">
        <w:rPr>
          <w:rFonts w:ascii="Times New Roman" w:eastAsia="PMingLiU" w:hAnsi="Times New Roman" w:cs="Times New Roman"/>
          <w:kern w:val="0"/>
          <w:sz w:val="24"/>
          <w:szCs w:val="24"/>
          <w:lang w:eastAsia="zh-TW"/>
        </w:rPr>
        <w:t xml:space="preserve">for RCBs and LCBs </w:t>
      </w:r>
      <w:r w:rsidR="00486F3F">
        <w:rPr>
          <w:rFonts w:ascii="Times New Roman" w:eastAsia="PMingLiU" w:hAnsi="Times New Roman" w:cs="Times New Roman"/>
          <w:kern w:val="0"/>
          <w:sz w:val="24"/>
          <w:szCs w:val="24"/>
          <w:lang w:eastAsia="zh-TW"/>
        </w:rPr>
        <w:t xml:space="preserve">is </w:t>
      </w:r>
      <w:r w:rsidR="00ED53BA">
        <w:rPr>
          <w:rFonts w:ascii="Times New Roman" w:eastAsia="PMingLiU" w:hAnsi="Times New Roman" w:cs="Times New Roman"/>
          <w:kern w:val="0"/>
          <w:sz w:val="24"/>
          <w:szCs w:val="24"/>
          <w:lang w:eastAsia="zh-TW"/>
        </w:rPr>
        <w:t>inverse</w:t>
      </w:r>
      <w:r w:rsidR="00486F3F">
        <w:rPr>
          <w:rFonts w:ascii="Times New Roman" w:eastAsia="PMingLiU" w:hAnsi="Times New Roman" w:cs="Times New Roman"/>
          <w:kern w:val="0"/>
          <w:sz w:val="24"/>
          <w:szCs w:val="24"/>
          <w:lang w:eastAsia="zh-TW"/>
        </w:rPr>
        <w:t xml:space="preserve"> </w:t>
      </w:r>
      <w:r w:rsidR="00E11D11">
        <w:rPr>
          <w:rFonts w:ascii="Times New Roman" w:eastAsia="PMingLiU" w:hAnsi="Times New Roman" w:cs="Times New Roman"/>
          <w:kern w:val="0"/>
          <w:sz w:val="24"/>
          <w:szCs w:val="24"/>
          <w:lang w:eastAsia="zh-TW"/>
        </w:rPr>
        <w:t xml:space="preserve">to the one </w:t>
      </w:r>
      <w:r w:rsidR="00486F3F">
        <w:rPr>
          <w:rFonts w:ascii="Times New Roman" w:eastAsia="PMingLiU" w:hAnsi="Times New Roman" w:cs="Times New Roman"/>
          <w:kern w:val="0"/>
          <w:sz w:val="24"/>
          <w:szCs w:val="24"/>
          <w:lang w:eastAsia="zh-TW"/>
        </w:rPr>
        <w:t>for CCBs</w:t>
      </w:r>
      <w:r w:rsidR="008D52F9">
        <w:rPr>
          <w:rFonts w:ascii="Times New Roman" w:eastAsia="PMingLiU" w:hAnsi="Times New Roman" w:cs="Times New Roman"/>
          <w:kern w:val="0"/>
          <w:sz w:val="24"/>
          <w:szCs w:val="24"/>
          <w:lang w:eastAsia="zh-TW"/>
        </w:rPr>
        <w:t xml:space="preserve"> and</w:t>
      </w:r>
      <w:r w:rsidR="00486F3F">
        <w:rPr>
          <w:rFonts w:ascii="Times New Roman" w:eastAsia="PMingLiU" w:hAnsi="Times New Roman" w:cs="Times New Roman"/>
          <w:kern w:val="0"/>
          <w:sz w:val="24"/>
          <w:szCs w:val="24"/>
          <w:lang w:eastAsia="zh-TW"/>
        </w:rPr>
        <w:t xml:space="preserve"> </w:t>
      </w:r>
      <w:r w:rsidR="00486F3F">
        <w:rPr>
          <w:rFonts w:ascii="Times New Roman" w:hAnsi="Times New Roman" w:cs="Times New Roman"/>
          <w:bCs/>
          <w:color w:val="000000"/>
          <w:kern w:val="0"/>
          <w:sz w:val="24"/>
          <w:szCs w:val="24"/>
        </w:rPr>
        <w:t>NJSCBs</w:t>
      </w:r>
      <w:r>
        <w:rPr>
          <w:rFonts w:ascii="Times New Roman" w:eastAsia="PMingLiU" w:hAnsi="Times New Roman" w:cs="Times New Roman"/>
          <w:kern w:val="0"/>
          <w:sz w:val="24"/>
          <w:szCs w:val="24"/>
          <w:lang w:eastAsia="zh-TW"/>
        </w:rPr>
        <w:t>.</w:t>
      </w:r>
      <w:r w:rsidR="00486F3F">
        <w:rPr>
          <w:rFonts w:ascii="Times New Roman" w:eastAsia="PMingLiU" w:hAnsi="Times New Roman" w:cs="Times New Roman"/>
          <w:kern w:val="0"/>
          <w:sz w:val="24"/>
          <w:szCs w:val="24"/>
          <w:lang w:eastAsia="zh-TW"/>
        </w:rPr>
        <w:t xml:space="preserve"> Specifically, </w:t>
      </w:r>
      <w:r w:rsidR="00F21D87">
        <w:rPr>
          <w:rFonts w:ascii="Times New Roman" w:eastAsia="PMingLiU" w:hAnsi="Times New Roman" w:cs="Times New Roman"/>
          <w:kern w:val="0"/>
          <w:sz w:val="24"/>
          <w:szCs w:val="24"/>
          <w:lang w:eastAsia="zh-TW"/>
        </w:rPr>
        <w:t>an increase in</w:t>
      </w:r>
      <w:r w:rsidR="00DA5597">
        <w:rPr>
          <w:rFonts w:ascii="Times New Roman" w:eastAsia="PMingLiU" w:hAnsi="Times New Roman" w:cs="Times New Roman"/>
          <w:kern w:val="0"/>
          <w:sz w:val="24"/>
          <w:szCs w:val="24"/>
          <w:lang w:eastAsia="zh-TW"/>
        </w:rPr>
        <w:t xml:space="preserve"> CAR </w:t>
      </w:r>
      <w:r w:rsidR="00F21D87">
        <w:rPr>
          <w:rFonts w:ascii="Times New Roman" w:eastAsia="PMingLiU" w:hAnsi="Times New Roman" w:cs="Times New Roman"/>
          <w:kern w:val="0"/>
          <w:sz w:val="24"/>
          <w:szCs w:val="24"/>
          <w:lang w:eastAsia="zh-TW"/>
        </w:rPr>
        <w:t>reduces</w:t>
      </w:r>
      <w:r w:rsidR="00DA5597">
        <w:rPr>
          <w:rFonts w:ascii="Times New Roman" w:eastAsia="PMingLiU" w:hAnsi="Times New Roman" w:cs="Times New Roman"/>
          <w:kern w:val="0"/>
          <w:sz w:val="24"/>
          <w:szCs w:val="24"/>
          <w:lang w:eastAsia="zh-TW"/>
        </w:rPr>
        <w:t xml:space="preserve"> 0.23</w:t>
      </w:r>
      <w:r w:rsidR="00F21D87">
        <w:rPr>
          <w:rFonts w:ascii="Times New Roman" w:eastAsia="PMingLiU" w:hAnsi="Times New Roman" w:cs="Times New Roman"/>
          <w:kern w:val="0"/>
          <w:sz w:val="24"/>
          <w:szCs w:val="24"/>
          <w:lang w:eastAsia="zh-TW"/>
        </w:rPr>
        <w:t xml:space="preserve"> percentage points</w:t>
      </w:r>
      <w:r w:rsidR="00DA5597">
        <w:rPr>
          <w:rFonts w:ascii="Times New Roman" w:eastAsia="PMingLiU" w:hAnsi="Times New Roman" w:cs="Times New Roman"/>
          <w:kern w:val="0"/>
          <w:sz w:val="24"/>
          <w:szCs w:val="24"/>
          <w:lang w:eastAsia="zh-TW"/>
        </w:rPr>
        <w:t xml:space="preserve"> in SPV investment for RCBs, but </w:t>
      </w:r>
      <w:r w:rsidR="0005534B">
        <w:rPr>
          <w:rFonts w:ascii="Times New Roman" w:eastAsia="PMingLiU" w:hAnsi="Times New Roman" w:cs="Times New Roman"/>
          <w:kern w:val="0"/>
          <w:sz w:val="24"/>
          <w:szCs w:val="24"/>
          <w:lang w:eastAsia="zh-TW"/>
        </w:rPr>
        <w:t xml:space="preserve">brings </w:t>
      </w:r>
      <w:r w:rsidR="00DA5597">
        <w:rPr>
          <w:rFonts w:ascii="Times New Roman" w:eastAsia="PMingLiU" w:hAnsi="Times New Roman" w:cs="Times New Roman"/>
          <w:kern w:val="0"/>
          <w:sz w:val="24"/>
          <w:szCs w:val="24"/>
          <w:lang w:eastAsia="zh-TW"/>
        </w:rPr>
        <w:t>0.1</w:t>
      </w:r>
      <w:r w:rsidR="00ED53BA">
        <w:rPr>
          <w:rFonts w:ascii="Times New Roman" w:eastAsia="PMingLiU" w:hAnsi="Times New Roman" w:cs="Times New Roman"/>
          <w:kern w:val="0"/>
          <w:sz w:val="24"/>
          <w:szCs w:val="24"/>
          <w:lang w:eastAsia="zh-TW"/>
        </w:rPr>
        <w:t>5</w:t>
      </w:r>
      <w:r w:rsidR="00DA5597">
        <w:rPr>
          <w:rFonts w:ascii="Times New Roman" w:eastAsia="PMingLiU" w:hAnsi="Times New Roman" w:cs="Times New Roman"/>
          <w:kern w:val="0"/>
          <w:sz w:val="24"/>
          <w:szCs w:val="24"/>
          <w:lang w:eastAsia="zh-TW"/>
        </w:rPr>
        <w:t>, 0.8 and 0.72</w:t>
      </w:r>
      <w:r w:rsidR="00ED53BA">
        <w:rPr>
          <w:rFonts w:ascii="Times New Roman" w:eastAsia="PMingLiU" w:hAnsi="Times New Roman" w:cs="Times New Roman"/>
          <w:kern w:val="0"/>
          <w:sz w:val="24"/>
          <w:szCs w:val="24"/>
          <w:lang w:eastAsia="zh-TW"/>
        </w:rPr>
        <w:t xml:space="preserve"> percentage points up</w:t>
      </w:r>
      <w:r w:rsidR="00DA5597">
        <w:rPr>
          <w:rFonts w:ascii="Times New Roman" w:eastAsia="PMingLiU" w:hAnsi="Times New Roman" w:cs="Times New Roman"/>
          <w:kern w:val="0"/>
          <w:sz w:val="24"/>
          <w:szCs w:val="24"/>
          <w:lang w:eastAsia="zh-TW"/>
        </w:rPr>
        <w:t xml:space="preserve"> in SPV </w:t>
      </w:r>
      <w:r w:rsidR="001361BA">
        <w:rPr>
          <w:rFonts w:ascii="Times New Roman" w:eastAsia="PMingLiU" w:hAnsi="Times New Roman" w:cs="Times New Roman"/>
          <w:kern w:val="0"/>
          <w:sz w:val="24"/>
          <w:szCs w:val="24"/>
          <w:lang w:eastAsia="zh-TW"/>
        </w:rPr>
        <w:t xml:space="preserve">investment </w:t>
      </w:r>
      <w:r w:rsidR="00DA5597">
        <w:rPr>
          <w:rFonts w:ascii="Times New Roman" w:eastAsia="PMingLiU" w:hAnsi="Times New Roman" w:cs="Times New Roman"/>
          <w:kern w:val="0"/>
          <w:sz w:val="24"/>
          <w:szCs w:val="24"/>
          <w:lang w:eastAsia="zh-TW"/>
        </w:rPr>
        <w:t>for CCBs, NJSCBs and LCBs respectively</w:t>
      </w:r>
      <w:r w:rsidR="00ED53BA">
        <w:rPr>
          <w:rFonts w:ascii="Times New Roman" w:eastAsia="PMingLiU" w:hAnsi="Times New Roman" w:cs="Times New Roman"/>
          <w:kern w:val="0"/>
          <w:sz w:val="24"/>
          <w:szCs w:val="24"/>
          <w:lang w:eastAsia="zh-TW"/>
        </w:rPr>
        <w:t xml:space="preserve"> </w:t>
      </w:r>
      <w:r w:rsidR="004829DA">
        <w:rPr>
          <w:rFonts w:ascii="Times New Roman" w:eastAsia="PMingLiU" w:hAnsi="Times New Roman" w:cs="Times New Roman"/>
          <w:kern w:val="0"/>
          <w:sz w:val="24"/>
          <w:szCs w:val="24"/>
          <w:lang w:eastAsia="zh-TW"/>
        </w:rPr>
        <w:t>with</w:t>
      </w:r>
      <w:r w:rsidR="00DA5597">
        <w:rPr>
          <w:rFonts w:ascii="Times New Roman" w:eastAsia="PMingLiU" w:hAnsi="Times New Roman" w:cs="Times New Roman"/>
          <w:kern w:val="0"/>
          <w:sz w:val="24"/>
          <w:szCs w:val="24"/>
          <w:lang w:eastAsia="zh-TW"/>
        </w:rPr>
        <w:t xml:space="preserve"> </w:t>
      </w:r>
      <w:r w:rsidR="00ED53BA">
        <w:rPr>
          <w:rFonts w:ascii="Times New Roman" w:eastAsia="PMingLiU" w:hAnsi="Times New Roman" w:cs="Times New Roman"/>
          <w:kern w:val="0"/>
          <w:sz w:val="24"/>
          <w:szCs w:val="24"/>
          <w:lang w:eastAsia="zh-TW"/>
        </w:rPr>
        <w:t>insignificance</w:t>
      </w:r>
      <w:r w:rsidR="00DA5597">
        <w:rPr>
          <w:rFonts w:ascii="Times New Roman" w:eastAsia="PMingLiU" w:hAnsi="Times New Roman" w:cs="Times New Roman"/>
          <w:kern w:val="0"/>
          <w:sz w:val="24"/>
          <w:szCs w:val="24"/>
          <w:lang w:eastAsia="zh-TW"/>
        </w:rPr>
        <w:t xml:space="preserve"> </w:t>
      </w:r>
      <w:r w:rsidR="004829DA">
        <w:rPr>
          <w:rFonts w:ascii="Times New Roman" w:eastAsia="PMingLiU" w:hAnsi="Times New Roman" w:cs="Times New Roman"/>
          <w:kern w:val="0"/>
          <w:sz w:val="24"/>
          <w:szCs w:val="24"/>
          <w:lang w:eastAsia="zh-TW"/>
        </w:rPr>
        <w:t>for</w:t>
      </w:r>
      <w:r w:rsidR="00DA5597">
        <w:rPr>
          <w:rFonts w:ascii="Times New Roman" w:eastAsia="PMingLiU" w:hAnsi="Times New Roman" w:cs="Times New Roman"/>
          <w:kern w:val="0"/>
          <w:sz w:val="24"/>
          <w:szCs w:val="24"/>
          <w:lang w:eastAsia="zh-TW"/>
        </w:rPr>
        <w:t xml:space="preserve"> LCBs. </w:t>
      </w:r>
      <w:r w:rsidR="00ED53BA">
        <w:rPr>
          <w:rFonts w:ascii="Times New Roman" w:eastAsia="PMingLiU" w:hAnsi="Times New Roman" w:cs="Times New Roman"/>
          <w:kern w:val="0"/>
          <w:sz w:val="24"/>
          <w:szCs w:val="24"/>
          <w:lang w:eastAsia="zh-TW"/>
        </w:rPr>
        <w:t>It is</w:t>
      </w:r>
      <w:r w:rsidR="00EA2785">
        <w:rPr>
          <w:rFonts w:ascii="Times New Roman" w:eastAsia="PMingLiU" w:hAnsi="Times New Roman" w:cs="Times New Roman"/>
          <w:kern w:val="0"/>
          <w:sz w:val="24"/>
          <w:szCs w:val="24"/>
          <w:lang w:eastAsia="zh-TW"/>
        </w:rPr>
        <w:t xml:space="preserve"> possibly because </w:t>
      </w:r>
      <w:r w:rsidR="00540996">
        <w:rPr>
          <w:rFonts w:ascii="Times New Roman" w:eastAsia="PMingLiU" w:hAnsi="Times New Roman" w:cs="Times New Roman"/>
          <w:kern w:val="0"/>
          <w:sz w:val="24"/>
          <w:szCs w:val="24"/>
          <w:lang w:eastAsia="zh-TW"/>
        </w:rPr>
        <w:t>of the</w:t>
      </w:r>
      <w:r w:rsidR="00EA2785">
        <w:rPr>
          <w:rFonts w:ascii="Times New Roman" w:eastAsia="PMingLiU" w:hAnsi="Times New Roman" w:cs="Times New Roman"/>
          <w:kern w:val="0"/>
          <w:sz w:val="24"/>
          <w:szCs w:val="24"/>
          <w:lang w:eastAsia="zh-TW"/>
        </w:rPr>
        <w:t xml:space="preserve"> business structure </w:t>
      </w:r>
      <w:r w:rsidR="00540996">
        <w:rPr>
          <w:rFonts w:ascii="Times New Roman" w:eastAsia="PMingLiU" w:hAnsi="Times New Roman" w:cs="Times New Roman"/>
          <w:kern w:val="0"/>
          <w:sz w:val="24"/>
          <w:szCs w:val="24"/>
          <w:lang w:eastAsia="zh-TW"/>
        </w:rPr>
        <w:t>and the CAR level.</w:t>
      </w:r>
      <w:r w:rsidR="00EA2785">
        <w:rPr>
          <w:rFonts w:ascii="Times New Roman" w:eastAsia="PMingLiU" w:hAnsi="Times New Roman" w:cs="Times New Roman"/>
          <w:kern w:val="0"/>
          <w:sz w:val="24"/>
          <w:szCs w:val="24"/>
          <w:lang w:eastAsia="zh-TW"/>
        </w:rPr>
        <w:t xml:space="preserve"> </w:t>
      </w:r>
      <w:r w:rsidR="00ED53BA">
        <w:rPr>
          <w:rFonts w:ascii="Times New Roman" w:eastAsia="PMingLiU" w:hAnsi="Times New Roman" w:cs="Times New Roman"/>
          <w:kern w:val="0"/>
          <w:sz w:val="24"/>
          <w:szCs w:val="24"/>
          <w:lang w:eastAsia="zh-TW"/>
        </w:rPr>
        <w:t>In comparison with other types of banks, RCBs’</w:t>
      </w:r>
      <w:r w:rsidR="00EA2785">
        <w:rPr>
          <w:rFonts w:ascii="Times New Roman" w:eastAsia="PMingLiU" w:hAnsi="Times New Roman" w:cs="Times New Roman"/>
          <w:kern w:val="0"/>
          <w:sz w:val="24"/>
          <w:szCs w:val="24"/>
          <w:lang w:eastAsia="zh-TW"/>
        </w:rPr>
        <w:t xml:space="preserve"> SPV investment percentage is relatively low</w:t>
      </w:r>
      <w:r w:rsidR="00ED53BA">
        <w:rPr>
          <w:rFonts w:ascii="Times New Roman" w:eastAsia="PMingLiU" w:hAnsi="Times New Roman" w:cs="Times New Roman"/>
          <w:kern w:val="0"/>
          <w:sz w:val="24"/>
          <w:szCs w:val="24"/>
          <w:lang w:eastAsia="zh-TW"/>
        </w:rPr>
        <w:t>. They</w:t>
      </w:r>
      <w:r w:rsidR="00EA2785">
        <w:rPr>
          <w:rFonts w:ascii="Times New Roman" w:eastAsia="PMingLiU" w:hAnsi="Times New Roman" w:cs="Times New Roman"/>
          <w:kern w:val="0"/>
          <w:sz w:val="24"/>
          <w:szCs w:val="24"/>
          <w:lang w:eastAsia="zh-TW"/>
        </w:rPr>
        <w:t xml:space="preserve"> tend to make more loans with more capital</w:t>
      </w:r>
      <w:r w:rsidR="00EA2785">
        <w:rPr>
          <w:rStyle w:val="a5"/>
          <w:rFonts w:ascii="Times New Roman" w:eastAsia="PMingLiU" w:hAnsi="Times New Roman" w:cs="Times New Roman"/>
          <w:kern w:val="0"/>
          <w:sz w:val="24"/>
          <w:szCs w:val="24"/>
          <w:lang w:eastAsia="zh-TW"/>
        </w:rPr>
        <w:footnoteReference w:id="23"/>
      </w:r>
      <w:r w:rsidR="00EA2785">
        <w:rPr>
          <w:rFonts w:ascii="Times New Roman" w:eastAsia="PMingLiU" w:hAnsi="Times New Roman" w:cs="Times New Roman"/>
          <w:kern w:val="0"/>
          <w:sz w:val="24"/>
          <w:szCs w:val="24"/>
          <w:lang w:eastAsia="zh-TW"/>
        </w:rPr>
        <w:t>.</w:t>
      </w:r>
      <w:r w:rsidR="00ED53BA">
        <w:rPr>
          <w:rFonts w:ascii="Times New Roman" w:eastAsia="PMingLiU" w:hAnsi="Times New Roman" w:cs="Times New Roman"/>
          <w:kern w:val="0"/>
          <w:sz w:val="24"/>
          <w:szCs w:val="24"/>
          <w:lang w:eastAsia="zh-TW"/>
        </w:rPr>
        <w:t xml:space="preserve"> In other words, they are inclined to be influenced by the capital shortage, i.e. have more incentive to implement the regulatory arbitrage to save capital.</w:t>
      </w:r>
      <w:r w:rsidR="00540996">
        <w:rPr>
          <w:rFonts w:ascii="Times New Roman" w:eastAsia="PMingLiU" w:hAnsi="Times New Roman" w:cs="Times New Roman"/>
          <w:kern w:val="0"/>
          <w:sz w:val="24"/>
          <w:szCs w:val="24"/>
          <w:lang w:eastAsia="zh-TW"/>
        </w:rPr>
        <w:t xml:space="preserve"> On the </w:t>
      </w:r>
      <w:r w:rsidR="00ED53BA">
        <w:rPr>
          <w:rFonts w:ascii="Times New Roman" w:eastAsia="PMingLiU" w:hAnsi="Times New Roman" w:cs="Times New Roman"/>
          <w:kern w:val="0"/>
          <w:sz w:val="24"/>
          <w:szCs w:val="24"/>
          <w:lang w:eastAsia="zh-TW"/>
        </w:rPr>
        <w:t>other hand</w:t>
      </w:r>
      <w:r w:rsidR="00540996">
        <w:rPr>
          <w:rFonts w:ascii="Times New Roman" w:eastAsia="PMingLiU" w:hAnsi="Times New Roman" w:cs="Times New Roman"/>
          <w:kern w:val="0"/>
          <w:sz w:val="24"/>
          <w:szCs w:val="24"/>
          <w:lang w:eastAsia="zh-TW"/>
        </w:rPr>
        <w:t xml:space="preserve">, </w:t>
      </w:r>
      <w:r w:rsidR="00B817BB">
        <w:rPr>
          <w:rFonts w:ascii="Times New Roman" w:eastAsia="PMingLiU" w:hAnsi="Times New Roman" w:cs="Times New Roman"/>
          <w:kern w:val="0"/>
          <w:sz w:val="24"/>
          <w:szCs w:val="24"/>
          <w:lang w:eastAsia="zh-TW"/>
        </w:rPr>
        <w:t>it is worthy to deploy</w:t>
      </w:r>
      <w:r w:rsidR="00ED53BA">
        <w:rPr>
          <w:rFonts w:ascii="Times New Roman" w:eastAsia="PMingLiU" w:hAnsi="Times New Roman" w:cs="Times New Roman"/>
          <w:kern w:val="0"/>
          <w:sz w:val="24"/>
          <w:szCs w:val="24"/>
          <w:lang w:eastAsia="zh-TW"/>
        </w:rPr>
        <w:t xml:space="preserve"> </w:t>
      </w:r>
      <w:r w:rsidR="00B817BB">
        <w:rPr>
          <w:rFonts w:ascii="Times New Roman" w:eastAsia="PMingLiU" w:hAnsi="Times New Roman" w:cs="Times New Roman"/>
          <w:kern w:val="0"/>
          <w:sz w:val="24"/>
          <w:szCs w:val="24"/>
          <w:lang w:eastAsia="zh-TW"/>
        </w:rPr>
        <w:t xml:space="preserve">capital on increasing </w:t>
      </w:r>
      <w:r w:rsidR="00540996">
        <w:rPr>
          <w:rFonts w:ascii="Times New Roman" w:eastAsia="PMingLiU" w:hAnsi="Times New Roman" w:cs="Times New Roman"/>
          <w:kern w:val="0"/>
          <w:sz w:val="24"/>
          <w:szCs w:val="24"/>
          <w:lang w:eastAsia="zh-TW"/>
        </w:rPr>
        <w:t xml:space="preserve">SPV investment for CCBs and NJSCBs </w:t>
      </w:r>
      <w:r w:rsidR="00B817BB">
        <w:rPr>
          <w:rFonts w:ascii="Times New Roman" w:eastAsia="PMingLiU" w:hAnsi="Times New Roman" w:cs="Times New Roman"/>
          <w:kern w:val="0"/>
          <w:sz w:val="24"/>
          <w:szCs w:val="24"/>
          <w:lang w:eastAsia="zh-TW"/>
        </w:rPr>
        <w:t>in the sense of economic value added</w:t>
      </w:r>
      <w:r w:rsidR="001D1F4B">
        <w:rPr>
          <w:rFonts w:ascii="Times New Roman" w:eastAsia="PMingLiU" w:hAnsi="Times New Roman" w:cs="Times New Roman"/>
          <w:kern w:val="0"/>
          <w:sz w:val="24"/>
          <w:szCs w:val="24"/>
          <w:lang w:eastAsia="zh-TW"/>
        </w:rPr>
        <w:t xml:space="preserve">, resulting in a positive </w:t>
      </w:r>
      <w:r w:rsidR="008D52F9">
        <w:rPr>
          <w:rFonts w:ascii="Times New Roman" w:eastAsia="PMingLiU" w:hAnsi="Times New Roman" w:cs="Times New Roman"/>
          <w:kern w:val="0"/>
          <w:sz w:val="24"/>
          <w:szCs w:val="24"/>
          <w:lang w:eastAsia="zh-TW"/>
        </w:rPr>
        <w:t>correlation</w:t>
      </w:r>
      <w:r w:rsidR="001D1F4B">
        <w:rPr>
          <w:rFonts w:ascii="Times New Roman" w:eastAsia="PMingLiU" w:hAnsi="Times New Roman" w:cs="Times New Roman"/>
          <w:kern w:val="0"/>
          <w:sz w:val="24"/>
          <w:szCs w:val="24"/>
          <w:lang w:eastAsia="zh-TW"/>
        </w:rPr>
        <w:t>. The insignificant of LCBs means the impact of CAR for LCBs is indifferent with RCBs, i.e. negatively</w:t>
      </w:r>
      <w:r w:rsidR="00EF7BBF">
        <w:rPr>
          <w:rFonts w:ascii="Times New Roman" w:eastAsia="PMingLiU" w:hAnsi="Times New Roman" w:cs="Times New Roman"/>
          <w:kern w:val="0"/>
          <w:sz w:val="24"/>
          <w:szCs w:val="24"/>
          <w:lang w:eastAsia="zh-TW"/>
        </w:rPr>
        <w:t xml:space="preserve"> correlative.</w:t>
      </w:r>
    </w:p>
    <w:p w14:paraId="1124B786" w14:textId="20042812" w:rsidR="004D546F" w:rsidRPr="00396A70" w:rsidRDefault="004D546F" w:rsidP="004D546F">
      <w:pPr>
        <w:pStyle w:val="ad"/>
        <w:numPr>
          <w:ilvl w:val="0"/>
          <w:numId w:val="6"/>
        </w:numPr>
        <w:adjustRightInd w:val="0"/>
        <w:spacing w:line="360" w:lineRule="auto"/>
        <w:ind w:firstLineChars="0"/>
        <w:textAlignment w:val="baseline"/>
        <w:rPr>
          <w:rFonts w:ascii="Times New Roman" w:eastAsia="PMingLiU" w:hAnsi="Times New Roman" w:cs="Times New Roman"/>
          <w:kern w:val="0"/>
          <w:sz w:val="24"/>
          <w:szCs w:val="24"/>
          <w:lang w:eastAsia="zh-TW"/>
        </w:rPr>
      </w:pPr>
      <w:r w:rsidRPr="00396A70">
        <w:rPr>
          <w:rFonts w:ascii="Times New Roman" w:hAnsi="Times New Roman" w:cs="Times New Roman" w:hint="eastAsia"/>
          <w:b/>
          <w:color w:val="000000"/>
          <w:kern w:val="0"/>
          <w:sz w:val="24"/>
          <w:szCs w:val="24"/>
        </w:rPr>
        <w:t>N</w:t>
      </w:r>
      <w:r w:rsidRPr="00396A70">
        <w:rPr>
          <w:rFonts w:ascii="Times New Roman" w:hAnsi="Times New Roman" w:cs="Times New Roman"/>
          <w:b/>
          <w:color w:val="000000"/>
          <w:kern w:val="0"/>
          <w:sz w:val="24"/>
          <w:szCs w:val="24"/>
        </w:rPr>
        <w:t>on-Performing Loan Ratio (NPL Ratio):</w:t>
      </w:r>
      <w:r w:rsidR="00EF7BBF">
        <w:rPr>
          <w:rFonts w:ascii="Times New Roman" w:hAnsi="Times New Roman" w:cs="Times New Roman"/>
          <w:kern w:val="0"/>
          <w:sz w:val="24"/>
          <w:szCs w:val="24"/>
        </w:rPr>
        <w:t xml:space="preserve"> For all 4 types of banks, the credit risk exposure pushes the SPV investment. In particular, an increase in NPL of last </w:t>
      </w:r>
      <w:r w:rsidR="00EF7BBF">
        <w:rPr>
          <w:rFonts w:ascii="Times New Roman" w:hAnsi="Times New Roman" w:cs="Times New Roman"/>
          <w:kern w:val="0"/>
          <w:sz w:val="24"/>
          <w:szCs w:val="24"/>
        </w:rPr>
        <w:lastRenderedPageBreak/>
        <w:t>period drives 0.67</w:t>
      </w:r>
      <w:r w:rsidR="001361BA">
        <w:rPr>
          <w:rFonts w:ascii="Times New Roman" w:hAnsi="Times New Roman" w:cs="Times New Roman"/>
          <w:kern w:val="0"/>
          <w:sz w:val="24"/>
          <w:szCs w:val="24"/>
        </w:rPr>
        <w:t>,</w:t>
      </w:r>
      <w:r w:rsidR="00EF7BBF">
        <w:rPr>
          <w:rFonts w:ascii="Times New Roman" w:hAnsi="Times New Roman" w:cs="Times New Roman"/>
          <w:kern w:val="0"/>
          <w:sz w:val="24"/>
          <w:szCs w:val="24"/>
        </w:rPr>
        <w:t xml:space="preserve"> </w:t>
      </w:r>
      <w:r w:rsidR="001361BA">
        <w:rPr>
          <w:rFonts w:ascii="Times New Roman" w:hAnsi="Times New Roman" w:cs="Times New Roman"/>
          <w:kern w:val="0"/>
          <w:sz w:val="24"/>
          <w:szCs w:val="24"/>
        </w:rPr>
        <w:t xml:space="preserve">0.54 and 2.37 </w:t>
      </w:r>
      <w:r w:rsidR="00EF7BBF">
        <w:rPr>
          <w:rFonts w:ascii="Times New Roman" w:hAnsi="Times New Roman" w:cs="Times New Roman"/>
          <w:kern w:val="0"/>
          <w:sz w:val="24"/>
          <w:szCs w:val="24"/>
        </w:rPr>
        <w:t>percentage points up in SPV</w:t>
      </w:r>
      <w:r w:rsidR="001361BA">
        <w:rPr>
          <w:rFonts w:ascii="Times New Roman" w:hAnsi="Times New Roman" w:cs="Times New Roman"/>
          <w:kern w:val="0"/>
          <w:sz w:val="24"/>
          <w:szCs w:val="24"/>
        </w:rPr>
        <w:t xml:space="preserve"> investment for RCBs, CCBs, NJSCBs respectively</w:t>
      </w:r>
      <w:r w:rsidR="004829DA">
        <w:rPr>
          <w:rFonts w:ascii="Times New Roman" w:hAnsi="Times New Roman" w:cs="Times New Roman"/>
          <w:kern w:val="0"/>
          <w:sz w:val="24"/>
          <w:szCs w:val="24"/>
        </w:rPr>
        <w:t xml:space="preserve"> and insignificantly pulls 0.21 percentage points down for LCBs. This means that the worse of the loan quality is in last period, the more SPV investment the bank will make</w:t>
      </w:r>
      <w:r w:rsidR="000F182F">
        <w:rPr>
          <w:rFonts w:ascii="Times New Roman" w:hAnsi="Times New Roman" w:cs="Times New Roman"/>
          <w:kern w:val="0"/>
          <w:sz w:val="24"/>
          <w:szCs w:val="24"/>
        </w:rPr>
        <w:t>, being consist with our analysis in previous section.</w:t>
      </w:r>
      <w:r w:rsidR="004829DA">
        <w:rPr>
          <w:rFonts w:ascii="Times New Roman" w:hAnsi="Times New Roman" w:cs="Times New Roman"/>
          <w:kern w:val="0"/>
          <w:sz w:val="24"/>
          <w:szCs w:val="24"/>
        </w:rPr>
        <w:t xml:space="preserve"> </w:t>
      </w:r>
      <w:r w:rsidR="00B633C3">
        <w:rPr>
          <w:rFonts w:ascii="Times New Roman" w:hAnsi="Times New Roman" w:cs="Times New Roman"/>
          <w:kern w:val="0"/>
          <w:sz w:val="24"/>
          <w:szCs w:val="24"/>
        </w:rPr>
        <w:t>We may guess banks employ SPV as instruments to make risk transfer from credit assets.</w:t>
      </w:r>
    </w:p>
    <w:p w14:paraId="48A145DA" w14:textId="0ED20073" w:rsidR="004D546F" w:rsidRPr="00B0601C" w:rsidRDefault="004D546F" w:rsidP="004D546F">
      <w:pPr>
        <w:pStyle w:val="ad"/>
        <w:numPr>
          <w:ilvl w:val="0"/>
          <w:numId w:val="6"/>
        </w:numPr>
        <w:adjustRightInd w:val="0"/>
        <w:spacing w:line="360" w:lineRule="auto"/>
        <w:ind w:firstLineChars="0"/>
        <w:textAlignment w:val="baseline"/>
        <w:rPr>
          <w:rFonts w:ascii="Times New Roman" w:eastAsia="PMingLiU" w:hAnsi="Times New Roman" w:cs="Times New Roman"/>
          <w:kern w:val="0"/>
          <w:sz w:val="24"/>
          <w:szCs w:val="24"/>
          <w:lang w:eastAsia="zh-TW"/>
        </w:rPr>
      </w:pPr>
      <w:r w:rsidRPr="00C223B0">
        <w:rPr>
          <w:rFonts w:ascii="Times New Roman" w:hAnsi="Times New Roman" w:cs="Times New Roman" w:hint="eastAsia"/>
          <w:b/>
          <w:color w:val="000000"/>
          <w:kern w:val="0"/>
          <w:sz w:val="24"/>
          <w:szCs w:val="24"/>
        </w:rPr>
        <w:t>N</w:t>
      </w:r>
      <w:r w:rsidRPr="00C223B0">
        <w:rPr>
          <w:rFonts w:ascii="Times New Roman" w:hAnsi="Times New Roman" w:cs="Times New Roman"/>
          <w:b/>
          <w:color w:val="000000"/>
          <w:kern w:val="0"/>
          <w:sz w:val="24"/>
          <w:szCs w:val="24"/>
        </w:rPr>
        <w:t>et Interest Margin (NIM):</w:t>
      </w:r>
      <w:r w:rsidR="000F182F">
        <w:rPr>
          <w:rFonts w:ascii="Times New Roman" w:hAnsi="Times New Roman" w:cs="Times New Roman"/>
          <w:b/>
          <w:color w:val="000000"/>
          <w:kern w:val="0"/>
          <w:sz w:val="24"/>
          <w:szCs w:val="24"/>
        </w:rPr>
        <w:t xml:space="preserve"> </w:t>
      </w:r>
      <w:r w:rsidR="000F182F" w:rsidRPr="000F182F">
        <w:rPr>
          <w:rFonts w:ascii="Times New Roman" w:hAnsi="Times New Roman" w:cs="Times New Roman"/>
          <w:kern w:val="0"/>
          <w:sz w:val="24"/>
          <w:szCs w:val="24"/>
        </w:rPr>
        <w:t>The NIM effect is quite vague for CCBs</w:t>
      </w:r>
      <w:r>
        <w:rPr>
          <w:rFonts w:ascii="Times New Roman" w:hAnsi="Times New Roman" w:cs="Times New Roman"/>
          <w:kern w:val="0"/>
          <w:sz w:val="24"/>
          <w:szCs w:val="24"/>
        </w:rPr>
        <w:t>.</w:t>
      </w:r>
      <w:r w:rsidR="000F182F">
        <w:rPr>
          <w:rFonts w:ascii="Times New Roman" w:hAnsi="Times New Roman" w:cs="Times New Roman"/>
          <w:kern w:val="0"/>
          <w:sz w:val="24"/>
          <w:szCs w:val="24"/>
        </w:rPr>
        <w:t xml:space="preserve"> It is the only factor of which the impact on the SPV investment is insignificant and the regression coefficient is almost 0. It is possibly because that the SPV investment percentage of CCBs is </w:t>
      </w:r>
      <w:r w:rsidR="0005534B">
        <w:rPr>
          <w:rFonts w:ascii="Times New Roman" w:hAnsi="Times New Roman" w:cs="Times New Roman"/>
          <w:kern w:val="0"/>
          <w:sz w:val="24"/>
          <w:szCs w:val="24"/>
        </w:rPr>
        <w:t>too</w:t>
      </w:r>
      <w:r w:rsidR="000F182F">
        <w:rPr>
          <w:rFonts w:ascii="Times New Roman" w:hAnsi="Times New Roman" w:cs="Times New Roman"/>
          <w:kern w:val="0"/>
          <w:sz w:val="24"/>
          <w:szCs w:val="24"/>
        </w:rPr>
        <w:t xml:space="preserve"> small</w:t>
      </w:r>
      <w:r w:rsidR="0005534B">
        <w:rPr>
          <w:rFonts w:ascii="Times New Roman" w:hAnsi="Times New Roman" w:cs="Times New Roman"/>
          <w:kern w:val="0"/>
          <w:sz w:val="24"/>
          <w:szCs w:val="24"/>
        </w:rPr>
        <w:t xml:space="preserve"> to response actively to the change in NIM. In other words, CCBs don’t adjust its strategy about SPV investment merely by the information from the change in NIM. On the contrary, a decrease in NIM increases 0.13 and 2.83 percentage points </w:t>
      </w:r>
      <w:r w:rsidR="0005534B">
        <w:rPr>
          <w:rFonts w:ascii="Times New Roman" w:eastAsia="PMingLiU" w:hAnsi="Times New Roman" w:cs="Times New Roman"/>
          <w:kern w:val="0"/>
          <w:sz w:val="24"/>
          <w:szCs w:val="24"/>
          <w:lang w:eastAsia="zh-TW"/>
        </w:rPr>
        <w:t xml:space="preserve">in SPV investment for CCBs and NJSCBs respectively. The impact for LCBs is 4.96 percentage points but insignificant. That is, LCBs do not </w:t>
      </w:r>
      <w:r w:rsidR="004A398B">
        <w:rPr>
          <w:rFonts w:ascii="Times New Roman" w:eastAsia="PMingLiU" w:hAnsi="Times New Roman" w:cs="Times New Roman"/>
          <w:kern w:val="0"/>
          <w:sz w:val="24"/>
          <w:szCs w:val="24"/>
          <w:lang w:eastAsia="zh-TW"/>
        </w:rPr>
        <w:t>care about t</w:t>
      </w:r>
      <w:r w:rsidR="00CB28DA">
        <w:rPr>
          <w:rFonts w:ascii="Times New Roman" w:eastAsia="PMingLiU" w:hAnsi="Times New Roman" w:cs="Times New Roman"/>
          <w:kern w:val="0"/>
          <w:sz w:val="24"/>
          <w:szCs w:val="24"/>
          <w:lang w:eastAsia="zh-TW"/>
        </w:rPr>
        <w:t>his factor when they make SPV investment plan.</w:t>
      </w:r>
    </w:p>
    <w:p w14:paraId="6E01A28B" w14:textId="6717BABE" w:rsidR="004D546F" w:rsidRDefault="004D546F" w:rsidP="004D546F">
      <w:pPr>
        <w:pStyle w:val="ad"/>
        <w:numPr>
          <w:ilvl w:val="0"/>
          <w:numId w:val="6"/>
        </w:numPr>
        <w:adjustRightInd w:val="0"/>
        <w:spacing w:line="360" w:lineRule="auto"/>
        <w:ind w:firstLineChars="0"/>
        <w:textAlignment w:val="baseline"/>
        <w:rPr>
          <w:rFonts w:ascii="Times New Roman" w:eastAsia="PMingLiU" w:hAnsi="Times New Roman" w:cs="Times New Roman"/>
          <w:kern w:val="0"/>
          <w:sz w:val="24"/>
          <w:szCs w:val="24"/>
          <w:lang w:eastAsia="zh-TW"/>
        </w:rPr>
      </w:pPr>
      <w:r>
        <w:rPr>
          <w:rFonts w:ascii="Times New Roman" w:hAnsi="Times New Roman" w:cs="Times New Roman"/>
          <w:b/>
          <w:color w:val="000000"/>
          <w:kern w:val="0"/>
          <w:sz w:val="24"/>
          <w:szCs w:val="24"/>
        </w:rPr>
        <w:t>Loan-</w:t>
      </w:r>
      <w:r w:rsidRPr="00B0601C">
        <w:rPr>
          <w:rFonts w:ascii="Times New Roman" w:hAnsi="Times New Roman" w:cs="Times New Roman"/>
          <w:b/>
          <w:color w:val="000000"/>
          <w:kern w:val="0"/>
          <w:sz w:val="24"/>
          <w:szCs w:val="24"/>
        </w:rPr>
        <w:t>to-Deposit Ratio (LDR):</w:t>
      </w:r>
      <w:r w:rsidR="00CB28DA">
        <w:rPr>
          <w:rFonts w:ascii="Times New Roman" w:eastAsia="PMingLiU" w:hAnsi="Times New Roman" w:cs="Times New Roman"/>
          <w:kern w:val="0"/>
          <w:sz w:val="24"/>
          <w:szCs w:val="24"/>
          <w:lang w:eastAsia="zh-TW"/>
        </w:rPr>
        <w:t xml:space="preserve"> All 4 types of banks take deposit as an important funding resource to make SPV investment, particularly for RCBs and CCBs. Specifically, an increase in LDR reduces 0.67, 0.48, 0.31 and 0.27 percentage points in SPV investment for RCBs, CCBs, NJSCBs and LCBs respectively with significance. It is consist</w:t>
      </w:r>
      <w:r w:rsidR="0087288D">
        <w:rPr>
          <w:rFonts w:ascii="Times New Roman" w:eastAsia="PMingLiU" w:hAnsi="Times New Roman" w:cs="Times New Roman"/>
          <w:kern w:val="0"/>
          <w:sz w:val="24"/>
          <w:szCs w:val="24"/>
          <w:lang w:eastAsia="zh-TW"/>
        </w:rPr>
        <w:t>ent</w:t>
      </w:r>
      <w:r w:rsidR="00CB28DA">
        <w:rPr>
          <w:rFonts w:ascii="Times New Roman" w:eastAsia="PMingLiU" w:hAnsi="Times New Roman" w:cs="Times New Roman"/>
          <w:kern w:val="0"/>
          <w:sz w:val="24"/>
          <w:szCs w:val="24"/>
          <w:lang w:eastAsia="zh-TW"/>
        </w:rPr>
        <w:t xml:space="preserve"> with our intuition that the more the loan is, the less the money could be invested on SPV. </w:t>
      </w:r>
    </w:p>
    <w:p w14:paraId="4FC5B358" w14:textId="65CDC2FA" w:rsidR="004D546F" w:rsidRDefault="004D546F" w:rsidP="004D546F">
      <w:pPr>
        <w:pStyle w:val="ad"/>
        <w:numPr>
          <w:ilvl w:val="0"/>
          <w:numId w:val="6"/>
        </w:numPr>
        <w:adjustRightInd w:val="0"/>
        <w:spacing w:line="360" w:lineRule="auto"/>
        <w:ind w:firstLineChars="0"/>
        <w:textAlignment w:val="baseline"/>
        <w:rPr>
          <w:rFonts w:ascii="Times New Roman" w:eastAsia="PMingLiU" w:hAnsi="Times New Roman" w:cs="Times New Roman"/>
          <w:kern w:val="0"/>
          <w:sz w:val="24"/>
          <w:szCs w:val="24"/>
          <w:lang w:eastAsia="zh-TW"/>
        </w:rPr>
      </w:pPr>
      <w:r>
        <w:rPr>
          <w:rFonts w:ascii="Times New Roman" w:hAnsi="Times New Roman" w:cs="Times New Roman"/>
          <w:b/>
          <w:color w:val="000000"/>
          <w:kern w:val="0"/>
          <w:sz w:val="24"/>
          <w:szCs w:val="24"/>
        </w:rPr>
        <w:t>Interbank Liability (LL):</w:t>
      </w:r>
      <w:r w:rsidR="0087288D">
        <w:rPr>
          <w:rFonts w:ascii="Times New Roman" w:eastAsia="PMingLiU" w:hAnsi="Times New Roman" w:cs="Times New Roman"/>
          <w:kern w:val="0"/>
          <w:sz w:val="24"/>
          <w:szCs w:val="24"/>
          <w:lang w:eastAsia="zh-TW"/>
        </w:rPr>
        <w:t xml:space="preserve"> The interbank liability is another important funding resource for all </w:t>
      </w:r>
      <w:r w:rsidR="004A398B">
        <w:rPr>
          <w:rFonts w:ascii="Times New Roman" w:eastAsia="PMingLiU" w:hAnsi="Times New Roman" w:cs="Times New Roman"/>
          <w:kern w:val="0"/>
          <w:sz w:val="24"/>
          <w:szCs w:val="24"/>
          <w:lang w:eastAsia="zh-TW"/>
        </w:rPr>
        <w:t xml:space="preserve">types of </w:t>
      </w:r>
      <w:r w:rsidR="0087288D">
        <w:rPr>
          <w:rFonts w:ascii="Times New Roman" w:eastAsia="PMingLiU" w:hAnsi="Times New Roman" w:cs="Times New Roman"/>
          <w:kern w:val="0"/>
          <w:sz w:val="24"/>
          <w:szCs w:val="24"/>
          <w:lang w:eastAsia="zh-TW"/>
        </w:rPr>
        <w:t>banks to conduct SPV investment. RCBs and CCBs love this kind of money more. An increase in LL pushes 0.42, 0.54, 0.38 and 0.43 percentage points in SPV investment for RCBs, CCBs, NJSCBs and LCBs respectively but it is not significant for latter 2 types of banks. It tells that RCBs and CCBs tend to absorb money in the interbank market then deploy them on SPV investment.</w:t>
      </w:r>
      <w:r w:rsidR="00B02206">
        <w:rPr>
          <w:rFonts w:ascii="Times New Roman" w:eastAsia="PMingLiU" w:hAnsi="Times New Roman" w:cs="Times New Roman"/>
          <w:kern w:val="0"/>
          <w:sz w:val="24"/>
          <w:szCs w:val="24"/>
          <w:lang w:eastAsia="zh-TW"/>
        </w:rPr>
        <w:t xml:space="preserve"> </w:t>
      </w:r>
    </w:p>
    <w:p w14:paraId="6E7E12C1" w14:textId="45FB8BAC" w:rsidR="004D546F" w:rsidRDefault="004D546F" w:rsidP="004D546F">
      <w:pPr>
        <w:pStyle w:val="ad"/>
        <w:numPr>
          <w:ilvl w:val="0"/>
          <w:numId w:val="6"/>
        </w:numPr>
        <w:adjustRightInd w:val="0"/>
        <w:spacing w:line="360" w:lineRule="auto"/>
        <w:ind w:firstLineChars="0"/>
        <w:textAlignment w:val="baseline"/>
        <w:rPr>
          <w:rFonts w:ascii="Times New Roman" w:eastAsia="PMingLiU" w:hAnsi="Times New Roman" w:cs="Times New Roman"/>
          <w:kern w:val="0"/>
          <w:sz w:val="24"/>
          <w:szCs w:val="24"/>
          <w:lang w:eastAsia="zh-TW"/>
        </w:rPr>
      </w:pPr>
      <w:r>
        <w:rPr>
          <w:rFonts w:ascii="Times New Roman" w:hAnsi="Times New Roman" w:cs="Times New Roman"/>
          <w:b/>
          <w:color w:val="000000"/>
          <w:kern w:val="0"/>
          <w:sz w:val="24"/>
          <w:szCs w:val="24"/>
        </w:rPr>
        <w:lastRenderedPageBreak/>
        <w:t>Central Bank Liability (CBL):</w:t>
      </w:r>
      <w:r w:rsidR="00073068">
        <w:rPr>
          <w:rFonts w:ascii="Times New Roman" w:eastAsia="PMingLiU" w:hAnsi="Times New Roman" w:cs="Times New Roman"/>
          <w:kern w:val="0"/>
          <w:sz w:val="24"/>
          <w:szCs w:val="24"/>
          <w:lang w:eastAsia="zh-TW"/>
        </w:rPr>
        <w:t xml:space="preserve"> NJSCBs and RCBs tends to make use of CBL to invest SPV while CCBs seldom do this. An increase in CBL bring 0.90 and 0.51 percentage points in SPV investment for NJSCBs and RCBs</w:t>
      </w:r>
      <w:r w:rsidR="00CE2294">
        <w:rPr>
          <w:rStyle w:val="a5"/>
          <w:rFonts w:ascii="Times New Roman" w:eastAsia="PMingLiU" w:hAnsi="Times New Roman" w:cs="Times New Roman"/>
          <w:kern w:val="0"/>
          <w:sz w:val="24"/>
          <w:szCs w:val="24"/>
          <w:lang w:eastAsia="zh-TW"/>
        </w:rPr>
        <w:footnoteReference w:id="24"/>
      </w:r>
      <w:r w:rsidR="00073068">
        <w:rPr>
          <w:rFonts w:ascii="Times New Roman" w:eastAsia="PMingLiU" w:hAnsi="Times New Roman" w:cs="Times New Roman"/>
          <w:kern w:val="0"/>
          <w:sz w:val="24"/>
          <w:szCs w:val="24"/>
          <w:lang w:eastAsia="zh-TW"/>
        </w:rPr>
        <w:t>, but only drives 0.05 percentage points up for CCBs.</w:t>
      </w:r>
      <w:r w:rsidR="00264C52">
        <w:rPr>
          <w:rFonts w:ascii="Times New Roman" w:eastAsia="PMingLiU" w:hAnsi="Times New Roman" w:cs="Times New Roman"/>
          <w:kern w:val="0"/>
          <w:sz w:val="24"/>
          <w:szCs w:val="24"/>
          <w:lang w:eastAsia="zh-TW"/>
        </w:rPr>
        <w:t xml:space="preserve"> The impact for LCBs is insignificantly positive 0.61 percentage points so we think it is no difference from the one for RCBs.</w:t>
      </w:r>
    </w:p>
    <w:p w14:paraId="75A26381" w14:textId="64DF38C6" w:rsidR="004D546F" w:rsidRDefault="004D546F" w:rsidP="004D546F">
      <w:pPr>
        <w:pStyle w:val="ad"/>
        <w:numPr>
          <w:ilvl w:val="0"/>
          <w:numId w:val="6"/>
        </w:numPr>
        <w:adjustRightInd w:val="0"/>
        <w:spacing w:line="360" w:lineRule="auto"/>
        <w:ind w:firstLineChars="0"/>
        <w:textAlignment w:val="baseline"/>
        <w:rPr>
          <w:rFonts w:ascii="Times New Roman" w:eastAsia="PMingLiU" w:hAnsi="Times New Roman" w:cs="Times New Roman"/>
          <w:kern w:val="0"/>
          <w:sz w:val="24"/>
          <w:szCs w:val="24"/>
          <w:lang w:eastAsia="zh-TW"/>
        </w:rPr>
      </w:pPr>
      <w:r>
        <w:rPr>
          <w:rFonts w:ascii="Times New Roman" w:hAnsi="Times New Roman" w:cs="Times New Roman"/>
          <w:b/>
          <w:color w:val="000000"/>
          <w:kern w:val="0"/>
          <w:sz w:val="24"/>
          <w:szCs w:val="24"/>
        </w:rPr>
        <w:t>Interbank Asset (IA):</w:t>
      </w:r>
      <w:r w:rsidR="00073068">
        <w:rPr>
          <w:rFonts w:ascii="Times New Roman" w:eastAsia="PMingLiU" w:hAnsi="Times New Roman" w:cs="Times New Roman"/>
          <w:kern w:val="0"/>
          <w:sz w:val="24"/>
          <w:szCs w:val="24"/>
          <w:lang w:eastAsia="zh-TW"/>
        </w:rPr>
        <w:t xml:space="preserve"> The substitution effect is quite obvious for the traditional interbank asset to SPV investment. After SPV investment appears on the market, banks are incline to deploy their asset on it as the SPV investment is more economically valuable. From our specification, a decrease in IA significantly increases 0.75, 0.86 and 0.92 percentage points in SPV investment for RCBs, CCBs and NJSCBs respectively. The relatively effect for LCBs is not significant, meaning it is indifferent with RCBs.</w:t>
      </w:r>
    </w:p>
    <w:p w14:paraId="71D0538E" w14:textId="3CC0BEBF" w:rsidR="004D546F" w:rsidRPr="0008635F" w:rsidRDefault="004D546F" w:rsidP="004D546F">
      <w:pPr>
        <w:pStyle w:val="ad"/>
        <w:numPr>
          <w:ilvl w:val="0"/>
          <w:numId w:val="6"/>
        </w:numPr>
        <w:adjustRightInd w:val="0"/>
        <w:spacing w:line="360" w:lineRule="auto"/>
        <w:ind w:firstLineChars="0"/>
        <w:textAlignment w:val="baseline"/>
        <w:rPr>
          <w:rFonts w:ascii="Times New Roman" w:eastAsia="PMingLiU" w:hAnsi="Times New Roman" w:cs="Times New Roman"/>
          <w:kern w:val="0"/>
          <w:sz w:val="24"/>
          <w:szCs w:val="24"/>
          <w:lang w:eastAsia="zh-TW"/>
        </w:rPr>
      </w:pPr>
      <w:r>
        <w:rPr>
          <w:rFonts w:ascii="Times New Roman" w:hAnsi="Times New Roman" w:cs="Times New Roman"/>
          <w:b/>
          <w:color w:val="000000"/>
          <w:kern w:val="0"/>
          <w:sz w:val="24"/>
          <w:szCs w:val="24"/>
        </w:rPr>
        <w:t>Limiting Policy (LP):</w:t>
      </w:r>
      <w:r w:rsidR="00073068">
        <w:rPr>
          <w:rFonts w:ascii="Times New Roman" w:eastAsia="PMingLiU" w:hAnsi="Times New Roman" w:cs="Times New Roman"/>
          <w:kern w:val="0"/>
          <w:sz w:val="24"/>
          <w:szCs w:val="24"/>
          <w:lang w:eastAsia="zh-TW"/>
        </w:rPr>
        <w:t xml:space="preserve"> Finally, we find that the limiting policy effect is</w:t>
      </w:r>
      <w:r w:rsidR="005116B9">
        <w:rPr>
          <w:rFonts w:ascii="Times New Roman" w:eastAsia="PMingLiU" w:hAnsi="Times New Roman" w:cs="Times New Roman"/>
          <w:kern w:val="0"/>
          <w:sz w:val="24"/>
          <w:szCs w:val="24"/>
          <w:lang w:eastAsia="zh-TW"/>
        </w:rPr>
        <w:t xml:space="preserve"> little negative for RCBs and CCBs and almost zero for NJSCBs, which is consistent with the result of the all</w:t>
      </w:r>
      <w:r w:rsidR="009F0966">
        <w:rPr>
          <w:rFonts w:ascii="Times New Roman" w:eastAsia="PMingLiU" w:hAnsi="Times New Roman" w:cs="Times New Roman"/>
          <w:kern w:val="0"/>
          <w:sz w:val="24"/>
          <w:szCs w:val="24"/>
          <w:lang w:eastAsia="zh-TW"/>
        </w:rPr>
        <w:t>-</w:t>
      </w:r>
      <w:r w:rsidR="005116B9">
        <w:rPr>
          <w:rFonts w:ascii="Times New Roman" w:eastAsia="PMingLiU" w:hAnsi="Times New Roman" w:cs="Times New Roman"/>
          <w:kern w:val="0"/>
          <w:sz w:val="24"/>
          <w:szCs w:val="24"/>
          <w:lang w:eastAsia="zh-TW"/>
        </w:rPr>
        <w:t>factors analysis model. The impose of the limiting policy on SPV investment suppress this business of RCBs and CCBs by 0.01 and 0.02 percentage points respectively.</w:t>
      </w:r>
      <w:r w:rsidR="00264C52">
        <w:rPr>
          <w:rFonts w:ascii="Times New Roman" w:eastAsia="PMingLiU" w:hAnsi="Times New Roman" w:cs="Times New Roman"/>
          <w:kern w:val="0"/>
          <w:sz w:val="24"/>
          <w:szCs w:val="24"/>
          <w:lang w:eastAsia="zh-TW"/>
        </w:rPr>
        <w:t xml:space="preserve"> It is weird that the limiting policy push the SPV investment of LCBs 0.02 percentage points up and fortunately this result is not significant.</w:t>
      </w:r>
    </w:p>
    <w:p w14:paraId="113C0238" w14:textId="77777777" w:rsidR="005030AF" w:rsidRDefault="005030AF" w:rsidP="004C5665">
      <w:pPr>
        <w:adjustRightInd w:val="0"/>
        <w:spacing w:line="360" w:lineRule="auto"/>
        <w:textAlignment w:val="baseline"/>
        <w:rPr>
          <w:rFonts w:ascii="Times New Roman" w:eastAsia="PMingLiU" w:hAnsi="Times New Roman" w:cs="Times New Roman"/>
          <w:b/>
          <w:kern w:val="0"/>
          <w:sz w:val="30"/>
          <w:szCs w:val="30"/>
          <w:lang w:eastAsia="zh-TW"/>
        </w:rPr>
      </w:pPr>
    </w:p>
    <w:p w14:paraId="495AB478" w14:textId="62271ACC" w:rsidR="004C5665" w:rsidRPr="008F085D" w:rsidRDefault="004C5665" w:rsidP="004C5665">
      <w:pPr>
        <w:adjustRightInd w:val="0"/>
        <w:spacing w:line="360" w:lineRule="auto"/>
        <w:textAlignment w:val="baseline"/>
        <w:rPr>
          <w:rFonts w:ascii="Times New Roman" w:hAnsi="Times New Roman" w:cs="Times New Roman"/>
          <w:b/>
          <w:kern w:val="0"/>
          <w:sz w:val="30"/>
          <w:szCs w:val="30"/>
        </w:rPr>
      </w:pPr>
      <w:r>
        <w:rPr>
          <w:rFonts w:ascii="Times New Roman" w:eastAsia="PMingLiU" w:hAnsi="Times New Roman" w:cs="Times New Roman"/>
          <w:b/>
          <w:kern w:val="0"/>
          <w:sz w:val="30"/>
          <w:szCs w:val="30"/>
          <w:lang w:eastAsia="zh-TW"/>
        </w:rPr>
        <w:t>5</w:t>
      </w:r>
      <w:r w:rsidR="000732A3">
        <w:rPr>
          <w:rFonts w:ascii="Times New Roman" w:eastAsia="PMingLiU" w:hAnsi="Times New Roman" w:cs="Times New Roman" w:hint="eastAsia"/>
          <w:b/>
          <w:kern w:val="0"/>
          <w:sz w:val="30"/>
          <w:szCs w:val="30"/>
        </w:rPr>
        <w:t xml:space="preserve">. </w:t>
      </w:r>
      <w:r>
        <w:rPr>
          <w:rFonts w:ascii="Times New Roman" w:eastAsia="PMingLiU" w:hAnsi="Times New Roman" w:cs="Times New Roman"/>
          <w:b/>
          <w:kern w:val="0"/>
          <w:sz w:val="30"/>
          <w:szCs w:val="30"/>
          <w:lang w:eastAsia="zh-TW"/>
        </w:rPr>
        <w:t>Concl</w:t>
      </w:r>
      <w:r w:rsidR="00104841">
        <w:rPr>
          <w:rFonts w:ascii="Times New Roman" w:eastAsia="PMingLiU" w:hAnsi="Times New Roman" w:cs="Times New Roman"/>
          <w:b/>
          <w:kern w:val="0"/>
          <w:sz w:val="30"/>
          <w:szCs w:val="30"/>
          <w:lang w:eastAsia="zh-TW"/>
        </w:rPr>
        <w:t>uding Remarks</w:t>
      </w:r>
    </w:p>
    <w:p w14:paraId="0B816B23" w14:textId="418AF73F" w:rsidR="00B02206" w:rsidRDefault="002B7553" w:rsidP="00B02206">
      <w:pPr>
        <w:adjustRightInd w:val="0"/>
        <w:spacing w:line="360" w:lineRule="auto"/>
        <w:textAlignment w:val="baseline"/>
        <w:rPr>
          <w:rFonts w:ascii="Times New Roman" w:eastAsia="PMingLiU" w:hAnsi="Times New Roman" w:cs="Times New Roman"/>
          <w:kern w:val="0"/>
          <w:sz w:val="24"/>
          <w:szCs w:val="24"/>
          <w:lang w:eastAsia="zh-TW"/>
        </w:rPr>
      </w:pPr>
      <w:r>
        <w:rPr>
          <w:rFonts w:ascii="Times New Roman" w:hAnsi="Times New Roman" w:cs="Times New Roman" w:hint="eastAsia"/>
          <w:bCs/>
          <w:color w:val="000000"/>
          <w:kern w:val="0"/>
          <w:sz w:val="24"/>
          <w:szCs w:val="24"/>
        </w:rPr>
        <w:t>T</w:t>
      </w:r>
      <w:r>
        <w:rPr>
          <w:rFonts w:ascii="Times New Roman" w:hAnsi="Times New Roman" w:cs="Times New Roman"/>
          <w:bCs/>
          <w:color w:val="000000"/>
          <w:kern w:val="0"/>
          <w:sz w:val="24"/>
          <w:szCs w:val="24"/>
        </w:rPr>
        <w:t>his paper examines the heterogeneity of different factors’ influence on different types of Chinese banks</w:t>
      </w:r>
      <w:r w:rsidR="00703620">
        <w:rPr>
          <w:rFonts w:ascii="Times New Roman" w:hAnsi="Times New Roman" w:cs="Times New Roman"/>
          <w:bCs/>
          <w:color w:val="000000"/>
          <w:kern w:val="0"/>
          <w:sz w:val="24"/>
          <w:szCs w:val="24"/>
        </w:rPr>
        <w:t xml:space="preserve">. We find that regulatory constraints on capital and asset quality, the funding resource, as well as the limiting policy, to different degree, matter in the active-ness of SPV investment of Chinese banks. To be specific, </w:t>
      </w:r>
      <w:r w:rsidR="00B02206">
        <w:rPr>
          <w:rFonts w:ascii="Times New Roman" w:hAnsi="Times New Roman" w:cs="Times New Roman"/>
          <w:bCs/>
          <w:color w:val="000000"/>
          <w:kern w:val="0"/>
          <w:sz w:val="24"/>
          <w:szCs w:val="24"/>
        </w:rPr>
        <w:t>L</w:t>
      </w:r>
      <w:r w:rsidR="00703620">
        <w:rPr>
          <w:rFonts w:ascii="Times New Roman" w:hAnsi="Times New Roman" w:cs="Times New Roman"/>
          <w:bCs/>
          <w:color w:val="000000"/>
          <w:kern w:val="0"/>
          <w:sz w:val="24"/>
          <w:szCs w:val="24"/>
        </w:rPr>
        <w:t xml:space="preserve">CBs and RCBs, being vulnerable to the capital constraining would turn to SPV investment </w:t>
      </w:r>
      <w:r w:rsidR="00B02206">
        <w:rPr>
          <w:rFonts w:ascii="Times New Roman" w:hAnsi="Times New Roman" w:cs="Times New Roman"/>
          <w:bCs/>
          <w:color w:val="000000"/>
          <w:kern w:val="0"/>
          <w:sz w:val="24"/>
          <w:szCs w:val="24"/>
        </w:rPr>
        <w:t xml:space="preserve">in the case of </w:t>
      </w:r>
      <w:r w:rsidR="00703620">
        <w:rPr>
          <w:rFonts w:ascii="Times New Roman" w:hAnsi="Times New Roman" w:cs="Times New Roman"/>
          <w:bCs/>
          <w:color w:val="000000"/>
          <w:kern w:val="0"/>
          <w:sz w:val="24"/>
          <w:szCs w:val="24"/>
        </w:rPr>
        <w:lastRenderedPageBreak/>
        <w:t>capital shortage while</w:t>
      </w:r>
      <w:r w:rsidR="00B02206">
        <w:rPr>
          <w:rFonts w:ascii="Times New Roman" w:hAnsi="Times New Roman" w:cs="Times New Roman"/>
          <w:bCs/>
          <w:color w:val="000000"/>
          <w:kern w:val="0"/>
          <w:sz w:val="24"/>
          <w:szCs w:val="24"/>
        </w:rPr>
        <w:t xml:space="preserve"> CCBs and NJSCBs don’t. </w:t>
      </w:r>
      <w:r w:rsidR="00B02206" w:rsidRPr="00B02206">
        <w:rPr>
          <w:rFonts w:ascii="Times New Roman" w:eastAsia="PMingLiU" w:hAnsi="Times New Roman" w:cs="Times New Roman"/>
          <w:kern w:val="0"/>
          <w:sz w:val="24"/>
          <w:szCs w:val="24"/>
          <w:lang w:eastAsia="zh-TW"/>
        </w:rPr>
        <w:t xml:space="preserve">ALL banks are sensitive to their loan quality and would </w:t>
      </w:r>
      <w:r w:rsidR="00B02206">
        <w:rPr>
          <w:rFonts w:ascii="Times New Roman" w:eastAsia="PMingLiU" w:hAnsi="Times New Roman" w:cs="Times New Roman"/>
          <w:kern w:val="0"/>
          <w:sz w:val="24"/>
          <w:szCs w:val="24"/>
          <w:lang w:eastAsia="zh-TW"/>
        </w:rPr>
        <w:t>cope with the ri</w:t>
      </w:r>
      <w:r w:rsidR="00B02206">
        <w:rPr>
          <w:rFonts w:ascii="Times New Roman" w:eastAsia="PMingLiU" w:hAnsi="Times New Roman" w:cs="Times New Roman"/>
          <w:kern w:val="0"/>
          <w:sz w:val="24"/>
          <w:szCs w:val="24"/>
          <w:lang w:eastAsia="zh-TW"/>
        </w:rPr>
        <w:t>sing</w:t>
      </w:r>
      <w:r w:rsidR="00B02206">
        <w:rPr>
          <w:rFonts w:ascii="Times New Roman" w:eastAsia="PMingLiU" w:hAnsi="Times New Roman" w:cs="Times New Roman"/>
          <w:kern w:val="0"/>
          <w:sz w:val="24"/>
          <w:szCs w:val="24"/>
          <w:lang w:eastAsia="zh-TW"/>
        </w:rPr>
        <w:t xml:space="preserve"> NPL ratio by increasing the SPV investment, particularly for RCBs. </w:t>
      </w:r>
      <w:r w:rsidR="00850CFC">
        <w:rPr>
          <w:rFonts w:ascii="Times New Roman" w:eastAsia="PMingLiU" w:hAnsi="Times New Roman" w:cs="Times New Roman"/>
          <w:kern w:val="0"/>
          <w:sz w:val="24"/>
          <w:szCs w:val="24"/>
          <w:lang w:eastAsia="zh-TW"/>
        </w:rPr>
        <w:t>The main funding resource for SPV investment for all banks are deposits and interbank liability, which are particularly important for those medium and small banks, i.e. CCBs and RCBs</w:t>
      </w:r>
      <w:r w:rsidR="00F311CC">
        <w:rPr>
          <w:rFonts w:ascii="Times New Roman" w:eastAsia="PMingLiU" w:hAnsi="Times New Roman" w:cs="Times New Roman"/>
          <w:kern w:val="0"/>
          <w:sz w:val="24"/>
          <w:szCs w:val="24"/>
          <w:lang w:eastAsia="zh-TW"/>
        </w:rPr>
        <w:t xml:space="preserve"> while LCBs and NJSCBs would consider to lend from the central bank to support their SPV investment. The limiting policy since Q1 of 2017, although weakly, works in curbing the dramatic surge of SPV investment. </w:t>
      </w:r>
    </w:p>
    <w:p w14:paraId="0B3BF6E5" w14:textId="45CC830E" w:rsidR="00F311CC" w:rsidRPr="00F311CC" w:rsidRDefault="00F311CC" w:rsidP="00B02206">
      <w:pPr>
        <w:adjustRightInd w:val="0"/>
        <w:spacing w:line="360" w:lineRule="auto"/>
        <w:textAlignment w:val="baseline"/>
        <w:rPr>
          <w:rFonts w:ascii="Times New Roman" w:hAnsi="Times New Roman" w:cs="Times New Roman" w:hint="eastAsia"/>
          <w:bCs/>
          <w:color w:val="000000"/>
          <w:kern w:val="0"/>
          <w:sz w:val="24"/>
          <w:szCs w:val="24"/>
        </w:rPr>
      </w:pPr>
      <w:r>
        <w:rPr>
          <w:rFonts w:ascii="Times New Roman" w:hAnsi="Times New Roman" w:cs="Times New Roman"/>
          <w:kern w:val="0"/>
          <w:sz w:val="24"/>
          <w:szCs w:val="24"/>
        </w:rPr>
        <w:t xml:space="preserve">The heterogeneous analysis provides inspirations in issuing appropriate policies for Chinese regulatory authorities. First of all, the authorities may </w:t>
      </w:r>
      <w:r w:rsidR="00FD4F94">
        <w:rPr>
          <w:rFonts w:ascii="Times New Roman" w:hAnsi="Times New Roman" w:cs="Times New Roman"/>
          <w:kern w:val="0"/>
          <w:sz w:val="24"/>
          <w:szCs w:val="24"/>
        </w:rPr>
        <w:t>propose the corresponding capital requirement for SPV investment in accordance with the same criteria for the loan, which aims to block the hole of arbitrage. Secondly, it is possibly effective to set up a floor of loans as a share of assets and an upper limit of interbank liabilities as a share of total liabilities</w:t>
      </w:r>
      <w:r w:rsidR="0038784D">
        <w:rPr>
          <w:rFonts w:ascii="Times New Roman" w:hAnsi="Times New Roman" w:cs="Times New Roman"/>
          <w:kern w:val="0"/>
          <w:sz w:val="24"/>
          <w:szCs w:val="24"/>
        </w:rPr>
        <w:t xml:space="preserve"> in view of the funding resource analysis results. Finally, the authorities should continue to implement the limiting policy and equip it with rigorous punishments to strengthen the effect of the limiting policy. </w:t>
      </w:r>
    </w:p>
    <w:p w14:paraId="0C327C19" w14:textId="7EF7C8F2" w:rsidR="008B62B7" w:rsidRPr="00B02206" w:rsidRDefault="008B62B7" w:rsidP="00A7426C">
      <w:pPr>
        <w:adjustRightInd w:val="0"/>
        <w:spacing w:line="360" w:lineRule="auto"/>
        <w:textAlignment w:val="baseline"/>
        <w:rPr>
          <w:rFonts w:ascii="Times New Roman" w:hAnsi="Times New Roman" w:cs="Times New Roman"/>
          <w:bCs/>
          <w:color w:val="000000"/>
          <w:kern w:val="0"/>
          <w:sz w:val="24"/>
          <w:szCs w:val="24"/>
        </w:rPr>
      </w:pPr>
    </w:p>
    <w:p w14:paraId="07CF8E4C" w14:textId="462DC65B" w:rsidR="008B62B7" w:rsidRDefault="008B62B7" w:rsidP="00A7426C">
      <w:pPr>
        <w:adjustRightInd w:val="0"/>
        <w:spacing w:line="360" w:lineRule="auto"/>
        <w:textAlignment w:val="baseline"/>
        <w:rPr>
          <w:rFonts w:ascii="Times New Roman" w:hAnsi="Times New Roman" w:cs="Times New Roman"/>
          <w:bCs/>
          <w:color w:val="000000"/>
          <w:kern w:val="0"/>
          <w:sz w:val="24"/>
          <w:szCs w:val="24"/>
        </w:rPr>
      </w:pPr>
    </w:p>
    <w:p w14:paraId="651F6ABF" w14:textId="014F0B7D" w:rsidR="005030AF" w:rsidRDefault="005030AF" w:rsidP="00A7426C">
      <w:pPr>
        <w:adjustRightInd w:val="0"/>
        <w:spacing w:line="360" w:lineRule="auto"/>
        <w:textAlignment w:val="baseline"/>
        <w:rPr>
          <w:rFonts w:ascii="Times New Roman" w:hAnsi="Times New Roman" w:cs="Times New Roman"/>
          <w:bCs/>
          <w:color w:val="000000"/>
          <w:kern w:val="0"/>
          <w:sz w:val="24"/>
          <w:szCs w:val="24"/>
        </w:rPr>
      </w:pPr>
    </w:p>
    <w:p w14:paraId="507875AE" w14:textId="384761B0" w:rsidR="005030AF" w:rsidRDefault="005030AF" w:rsidP="00A7426C">
      <w:pPr>
        <w:adjustRightInd w:val="0"/>
        <w:spacing w:line="360" w:lineRule="auto"/>
        <w:textAlignment w:val="baseline"/>
        <w:rPr>
          <w:rFonts w:ascii="Times New Roman" w:hAnsi="Times New Roman" w:cs="Times New Roman"/>
          <w:bCs/>
          <w:color w:val="000000"/>
          <w:kern w:val="0"/>
          <w:sz w:val="24"/>
          <w:szCs w:val="24"/>
        </w:rPr>
      </w:pPr>
    </w:p>
    <w:p w14:paraId="257B7B33" w14:textId="0D321A57" w:rsidR="005030AF" w:rsidRDefault="005030AF" w:rsidP="00A7426C">
      <w:pPr>
        <w:adjustRightInd w:val="0"/>
        <w:spacing w:line="360" w:lineRule="auto"/>
        <w:textAlignment w:val="baseline"/>
        <w:rPr>
          <w:rFonts w:ascii="Times New Roman" w:hAnsi="Times New Roman" w:cs="Times New Roman"/>
          <w:bCs/>
          <w:color w:val="000000"/>
          <w:kern w:val="0"/>
          <w:sz w:val="24"/>
          <w:szCs w:val="24"/>
        </w:rPr>
      </w:pPr>
    </w:p>
    <w:p w14:paraId="562921AB" w14:textId="02FD8174" w:rsidR="005030AF" w:rsidRDefault="005030AF" w:rsidP="00A7426C">
      <w:pPr>
        <w:adjustRightInd w:val="0"/>
        <w:spacing w:line="360" w:lineRule="auto"/>
        <w:textAlignment w:val="baseline"/>
        <w:rPr>
          <w:rFonts w:ascii="Times New Roman" w:hAnsi="Times New Roman" w:cs="Times New Roman"/>
          <w:bCs/>
          <w:color w:val="000000"/>
          <w:kern w:val="0"/>
          <w:sz w:val="24"/>
          <w:szCs w:val="24"/>
        </w:rPr>
      </w:pPr>
    </w:p>
    <w:p w14:paraId="525BFAEF" w14:textId="2DB67AB8" w:rsidR="005030AF" w:rsidRDefault="005030AF" w:rsidP="00A7426C">
      <w:pPr>
        <w:adjustRightInd w:val="0"/>
        <w:spacing w:line="360" w:lineRule="auto"/>
        <w:textAlignment w:val="baseline"/>
        <w:rPr>
          <w:rFonts w:ascii="Times New Roman" w:hAnsi="Times New Roman" w:cs="Times New Roman"/>
          <w:bCs/>
          <w:color w:val="000000"/>
          <w:kern w:val="0"/>
          <w:sz w:val="24"/>
          <w:szCs w:val="24"/>
        </w:rPr>
      </w:pPr>
    </w:p>
    <w:p w14:paraId="4C8EB1CB" w14:textId="1947A77E" w:rsidR="005030AF" w:rsidRDefault="005030AF" w:rsidP="00A7426C">
      <w:pPr>
        <w:adjustRightInd w:val="0"/>
        <w:spacing w:line="360" w:lineRule="auto"/>
        <w:textAlignment w:val="baseline"/>
        <w:rPr>
          <w:rFonts w:ascii="Times New Roman" w:hAnsi="Times New Roman" w:cs="Times New Roman"/>
          <w:bCs/>
          <w:color w:val="000000"/>
          <w:kern w:val="0"/>
          <w:sz w:val="24"/>
          <w:szCs w:val="24"/>
        </w:rPr>
      </w:pPr>
    </w:p>
    <w:p w14:paraId="6CF15214" w14:textId="00E6CA25" w:rsidR="005030AF" w:rsidRDefault="005030AF" w:rsidP="00A7426C">
      <w:pPr>
        <w:adjustRightInd w:val="0"/>
        <w:spacing w:line="360" w:lineRule="auto"/>
        <w:textAlignment w:val="baseline"/>
        <w:rPr>
          <w:rFonts w:ascii="Times New Roman" w:hAnsi="Times New Roman" w:cs="Times New Roman"/>
          <w:bCs/>
          <w:color w:val="000000"/>
          <w:kern w:val="0"/>
          <w:sz w:val="24"/>
          <w:szCs w:val="24"/>
        </w:rPr>
      </w:pPr>
    </w:p>
    <w:p w14:paraId="30E5B11A" w14:textId="76C80D1B" w:rsidR="005030AF" w:rsidRDefault="005030AF" w:rsidP="00A7426C">
      <w:pPr>
        <w:adjustRightInd w:val="0"/>
        <w:spacing w:line="360" w:lineRule="auto"/>
        <w:textAlignment w:val="baseline"/>
        <w:rPr>
          <w:rFonts w:ascii="Times New Roman" w:hAnsi="Times New Roman" w:cs="Times New Roman"/>
          <w:bCs/>
          <w:color w:val="000000"/>
          <w:kern w:val="0"/>
          <w:sz w:val="24"/>
          <w:szCs w:val="24"/>
        </w:rPr>
      </w:pPr>
    </w:p>
    <w:p w14:paraId="73ABC844" w14:textId="202EE040" w:rsidR="005030AF" w:rsidRDefault="005030AF" w:rsidP="00A7426C">
      <w:pPr>
        <w:adjustRightInd w:val="0"/>
        <w:spacing w:line="360" w:lineRule="auto"/>
        <w:textAlignment w:val="baseline"/>
        <w:rPr>
          <w:rFonts w:ascii="Times New Roman" w:hAnsi="Times New Roman" w:cs="Times New Roman"/>
          <w:bCs/>
          <w:color w:val="000000"/>
          <w:kern w:val="0"/>
          <w:sz w:val="24"/>
          <w:szCs w:val="24"/>
        </w:rPr>
      </w:pPr>
    </w:p>
    <w:p w14:paraId="415DC15B" w14:textId="44CF8C30" w:rsidR="005030AF" w:rsidRDefault="005030AF" w:rsidP="00A7426C">
      <w:pPr>
        <w:adjustRightInd w:val="0"/>
        <w:spacing w:line="360" w:lineRule="auto"/>
        <w:textAlignment w:val="baseline"/>
        <w:rPr>
          <w:rFonts w:ascii="Times New Roman" w:hAnsi="Times New Roman" w:cs="Times New Roman"/>
          <w:bCs/>
          <w:color w:val="000000"/>
          <w:kern w:val="0"/>
          <w:sz w:val="24"/>
          <w:szCs w:val="24"/>
        </w:rPr>
      </w:pPr>
    </w:p>
    <w:p w14:paraId="6941D5E4" w14:textId="1DB77E79" w:rsidR="005030AF" w:rsidRDefault="005030AF" w:rsidP="00A7426C">
      <w:pPr>
        <w:adjustRightInd w:val="0"/>
        <w:spacing w:line="360" w:lineRule="auto"/>
        <w:textAlignment w:val="baseline"/>
        <w:rPr>
          <w:rFonts w:ascii="Times New Roman" w:hAnsi="Times New Roman" w:cs="Times New Roman"/>
          <w:bCs/>
          <w:color w:val="000000"/>
          <w:kern w:val="0"/>
          <w:sz w:val="24"/>
          <w:szCs w:val="24"/>
        </w:rPr>
      </w:pPr>
    </w:p>
    <w:p w14:paraId="237B97FD" w14:textId="77777777" w:rsidR="005030AF" w:rsidRDefault="005030AF" w:rsidP="00A7426C">
      <w:pPr>
        <w:adjustRightInd w:val="0"/>
        <w:spacing w:line="360" w:lineRule="auto"/>
        <w:textAlignment w:val="baseline"/>
        <w:rPr>
          <w:rFonts w:ascii="Times New Roman" w:hAnsi="Times New Roman" w:cs="Times New Roman" w:hint="eastAsia"/>
          <w:bCs/>
          <w:color w:val="000000"/>
          <w:kern w:val="0"/>
          <w:sz w:val="24"/>
          <w:szCs w:val="24"/>
        </w:rPr>
      </w:pPr>
    </w:p>
    <w:p w14:paraId="4E46C456" w14:textId="77777777" w:rsidR="00B953A6" w:rsidRPr="00B953A6" w:rsidRDefault="00B953A6" w:rsidP="00B953A6">
      <w:pPr>
        <w:adjustRightInd w:val="0"/>
        <w:spacing w:line="360" w:lineRule="auto"/>
        <w:textAlignment w:val="baseline"/>
        <w:rPr>
          <w:rFonts w:ascii="Times New Roman" w:hAnsi="Times New Roman" w:cs="Times New Roman"/>
          <w:b/>
          <w:kern w:val="0"/>
          <w:sz w:val="30"/>
          <w:szCs w:val="30"/>
        </w:rPr>
      </w:pPr>
      <w:r>
        <w:rPr>
          <w:rFonts w:ascii="Times New Roman" w:hAnsi="Times New Roman" w:cs="Times New Roman" w:hint="eastAsia"/>
          <w:b/>
          <w:kern w:val="0"/>
          <w:sz w:val="30"/>
          <w:szCs w:val="30"/>
        </w:rPr>
        <w:lastRenderedPageBreak/>
        <w:t>R</w:t>
      </w:r>
      <w:r>
        <w:rPr>
          <w:rFonts w:ascii="Times New Roman" w:hAnsi="Times New Roman" w:cs="Times New Roman"/>
          <w:b/>
          <w:kern w:val="0"/>
          <w:sz w:val="30"/>
          <w:szCs w:val="30"/>
        </w:rPr>
        <w:t>eferences</w:t>
      </w:r>
    </w:p>
    <w:p w14:paraId="78FFF60B" w14:textId="77777777" w:rsidR="00024012" w:rsidRPr="00024012" w:rsidRDefault="00024012" w:rsidP="00024012">
      <w:pPr>
        <w:pStyle w:val="ad"/>
        <w:numPr>
          <w:ilvl w:val="0"/>
          <w:numId w:val="7"/>
        </w:numPr>
        <w:adjustRightInd w:val="0"/>
        <w:spacing w:line="360" w:lineRule="auto"/>
        <w:ind w:firstLineChars="0"/>
        <w:textAlignment w:val="baseline"/>
        <w:rPr>
          <w:rFonts w:ascii="Times New Roman" w:hAnsi="Times New Roman" w:cs="Times New Roman"/>
          <w:sz w:val="24"/>
          <w:szCs w:val="24"/>
        </w:rPr>
      </w:pPr>
      <w:r w:rsidRPr="00024012">
        <w:rPr>
          <w:rFonts w:ascii="Times New Roman" w:hAnsi="Times New Roman" w:cs="Times New Roman"/>
          <w:sz w:val="24"/>
          <w:szCs w:val="24"/>
        </w:rPr>
        <w:t xml:space="preserve">A. Kashyap, R. </w:t>
      </w:r>
      <w:proofErr w:type="spellStart"/>
      <w:r w:rsidRPr="00024012">
        <w:rPr>
          <w:rFonts w:ascii="Times New Roman" w:hAnsi="Times New Roman" w:cs="Times New Roman"/>
          <w:sz w:val="24"/>
          <w:szCs w:val="24"/>
        </w:rPr>
        <w:t>Rajan</w:t>
      </w:r>
      <w:proofErr w:type="spellEnd"/>
      <w:r w:rsidRPr="00024012">
        <w:rPr>
          <w:rFonts w:ascii="Times New Roman" w:hAnsi="Times New Roman" w:cs="Times New Roman"/>
          <w:sz w:val="24"/>
          <w:szCs w:val="24"/>
        </w:rPr>
        <w:t xml:space="preserve"> and J.C. Stein, Banks as liquidity providers: an explanation for the coexistence of lending and deposit-taking, </w:t>
      </w:r>
      <w:r w:rsidRPr="00024012">
        <w:rPr>
          <w:rFonts w:ascii="Times New Roman" w:hAnsi="Times New Roman" w:cs="Times New Roman"/>
          <w:i/>
          <w:iCs/>
          <w:sz w:val="24"/>
          <w:szCs w:val="24"/>
        </w:rPr>
        <w:t>Journal of Finance</w:t>
      </w:r>
      <w:r w:rsidRPr="00024012">
        <w:rPr>
          <w:rFonts w:ascii="Times New Roman" w:hAnsi="Times New Roman" w:cs="Times New Roman"/>
          <w:sz w:val="24"/>
          <w:szCs w:val="24"/>
        </w:rPr>
        <w:t xml:space="preserve">, </w:t>
      </w:r>
      <w:r w:rsidRPr="00024012">
        <w:rPr>
          <w:rFonts w:ascii="Times New Roman" w:hAnsi="Times New Roman" w:cs="Times New Roman"/>
          <w:b/>
          <w:bCs/>
          <w:sz w:val="24"/>
          <w:szCs w:val="24"/>
        </w:rPr>
        <w:t>57</w:t>
      </w:r>
      <w:r w:rsidRPr="00024012">
        <w:rPr>
          <w:rFonts w:ascii="Times New Roman" w:hAnsi="Times New Roman" w:cs="Times New Roman"/>
          <w:sz w:val="24"/>
          <w:szCs w:val="24"/>
        </w:rPr>
        <w:t>(1), (2002), 33-73.</w:t>
      </w:r>
    </w:p>
    <w:p w14:paraId="0E8EF750" w14:textId="00E96713" w:rsidR="00024012" w:rsidRPr="00024012" w:rsidRDefault="00024012" w:rsidP="00024012">
      <w:pPr>
        <w:pStyle w:val="ad"/>
        <w:widowControl/>
        <w:numPr>
          <w:ilvl w:val="0"/>
          <w:numId w:val="7"/>
        </w:numPr>
        <w:autoSpaceDE w:val="0"/>
        <w:autoSpaceDN w:val="0"/>
        <w:adjustRightInd w:val="0"/>
        <w:spacing w:line="360" w:lineRule="auto"/>
        <w:ind w:firstLineChars="0"/>
        <w:textAlignment w:val="bottom"/>
        <w:rPr>
          <w:rFonts w:ascii="Times New Roman" w:eastAsia="DFKai-SB" w:hAnsi="Times New Roman" w:cs="Times New Roman"/>
          <w:color w:val="000000"/>
          <w:sz w:val="24"/>
          <w:szCs w:val="24"/>
        </w:rPr>
      </w:pPr>
      <w:r w:rsidRPr="00024012">
        <w:rPr>
          <w:rFonts w:ascii="Times New Roman" w:eastAsia="DFKai-SB" w:hAnsi="Times New Roman" w:cs="Times New Roman"/>
          <w:color w:val="000000"/>
          <w:sz w:val="24"/>
          <w:szCs w:val="24"/>
        </w:rPr>
        <w:t xml:space="preserve">A. </w:t>
      </w:r>
      <w:proofErr w:type="spellStart"/>
      <w:r w:rsidRPr="00024012">
        <w:rPr>
          <w:rFonts w:ascii="Times New Roman" w:eastAsia="DFKai-SB" w:hAnsi="Times New Roman" w:cs="Times New Roman"/>
          <w:color w:val="000000"/>
          <w:sz w:val="24"/>
          <w:szCs w:val="24"/>
        </w:rPr>
        <w:t>Sunderam</w:t>
      </w:r>
      <w:proofErr w:type="spellEnd"/>
      <w:r w:rsidRPr="00024012">
        <w:rPr>
          <w:rFonts w:ascii="Times New Roman" w:eastAsia="DFKai-SB" w:hAnsi="Times New Roman" w:cs="Times New Roman"/>
          <w:color w:val="000000"/>
          <w:sz w:val="24"/>
          <w:szCs w:val="24"/>
        </w:rPr>
        <w:t xml:space="preserve">, Money creation and the shadow banking system, </w:t>
      </w:r>
      <w:r w:rsidRPr="00024012">
        <w:rPr>
          <w:rFonts w:ascii="Times New Roman" w:eastAsia="DFKai-SB" w:hAnsi="Times New Roman" w:cs="Times New Roman"/>
          <w:i/>
          <w:iCs/>
          <w:color w:val="000000"/>
          <w:sz w:val="24"/>
          <w:szCs w:val="24"/>
        </w:rPr>
        <w:t xml:space="preserve">The </w:t>
      </w:r>
      <w:r w:rsidR="003512AD">
        <w:rPr>
          <w:rFonts w:ascii="Times New Roman" w:eastAsia="DFKai-SB" w:hAnsi="Times New Roman" w:cs="Times New Roman"/>
          <w:i/>
          <w:iCs/>
          <w:color w:val="000000"/>
          <w:sz w:val="24"/>
          <w:szCs w:val="24"/>
        </w:rPr>
        <w:t>R</w:t>
      </w:r>
      <w:r w:rsidRPr="00024012">
        <w:rPr>
          <w:rFonts w:ascii="Times New Roman" w:eastAsia="DFKai-SB" w:hAnsi="Times New Roman" w:cs="Times New Roman"/>
          <w:i/>
          <w:iCs/>
          <w:color w:val="000000"/>
          <w:sz w:val="24"/>
          <w:szCs w:val="24"/>
        </w:rPr>
        <w:t>eview of</w:t>
      </w:r>
      <w:r w:rsidR="003512AD">
        <w:rPr>
          <w:rFonts w:ascii="Times New Roman" w:eastAsia="DFKai-SB" w:hAnsi="Times New Roman" w:cs="Times New Roman"/>
          <w:i/>
          <w:iCs/>
          <w:color w:val="000000"/>
          <w:sz w:val="24"/>
          <w:szCs w:val="24"/>
        </w:rPr>
        <w:t xml:space="preserve"> F</w:t>
      </w:r>
      <w:r w:rsidRPr="00024012">
        <w:rPr>
          <w:rFonts w:ascii="Times New Roman" w:eastAsia="DFKai-SB" w:hAnsi="Times New Roman" w:cs="Times New Roman"/>
          <w:i/>
          <w:iCs/>
          <w:color w:val="000000"/>
          <w:sz w:val="24"/>
          <w:szCs w:val="24"/>
        </w:rPr>
        <w:t xml:space="preserve">inancial </w:t>
      </w:r>
      <w:r w:rsidR="003512AD">
        <w:rPr>
          <w:rFonts w:ascii="Times New Roman" w:eastAsia="DFKai-SB" w:hAnsi="Times New Roman" w:cs="Times New Roman"/>
          <w:i/>
          <w:iCs/>
          <w:color w:val="000000"/>
          <w:sz w:val="24"/>
          <w:szCs w:val="24"/>
        </w:rPr>
        <w:t>S</w:t>
      </w:r>
      <w:r w:rsidRPr="00024012">
        <w:rPr>
          <w:rFonts w:ascii="Times New Roman" w:eastAsia="DFKai-SB" w:hAnsi="Times New Roman" w:cs="Times New Roman"/>
          <w:i/>
          <w:iCs/>
          <w:color w:val="000000"/>
          <w:sz w:val="24"/>
          <w:szCs w:val="24"/>
        </w:rPr>
        <w:t>tudies</w:t>
      </w:r>
      <w:r w:rsidRPr="00024012">
        <w:rPr>
          <w:rFonts w:ascii="Times New Roman" w:eastAsia="DFKai-SB" w:hAnsi="Times New Roman" w:cs="Times New Roman"/>
          <w:color w:val="000000"/>
          <w:sz w:val="24"/>
          <w:szCs w:val="24"/>
        </w:rPr>
        <w:t xml:space="preserve">, </w:t>
      </w:r>
      <w:r w:rsidRPr="00024012">
        <w:rPr>
          <w:rFonts w:ascii="Times New Roman" w:eastAsia="DFKai-SB" w:hAnsi="Times New Roman" w:cs="Times New Roman"/>
          <w:b/>
          <w:bCs/>
          <w:color w:val="000000"/>
          <w:sz w:val="24"/>
          <w:szCs w:val="24"/>
        </w:rPr>
        <w:t>28</w:t>
      </w:r>
      <w:r w:rsidRPr="00024012">
        <w:rPr>
          <w:rFonts w:ascii="Times New Roman" w:eastAsia="DFKai-SB" w:hAnsi="Times New Roman" w:cs="Times New Roman"/>
          <w:color w:val="000000"/>
          <w:sz w:val="24"/>
          <w:szCs w:val="24"/>
        </w:rPr>
        <w:t>(4), (2015), 939-977.</w:t>
      </w:r>
    </w:p>
    <w:p w14:paraId="1DB28085" w14:textId="77777777" w:rsidR="00024012" w:rsidRPr="00024012" w:rsidRDefault="00024012" w:rsidP="00024012">
      <w:pPr>
        <w:pStyle w:val="ad"/>
        <w:widowControl/>
        <w:numPr>
          <w:ilvl w:val="0"/>
          <w:numId w:val="7"/>
        </w:numPr>
        <w:autoSpaceDE w:val="0"/>
        <w:autoSpaceDN w:val="0"/>
        <w:adjustRightInd w:val="0"/>
        <w:spacing w:line="360" w:lineRule="auto"/>
        <w:ind w:firstLineChars="0"/>
        <w:textAlignment w:val="bottom"/>
        <w:rPr>
          <w:rFonts w:ascii="Times New Roman" w:eastAsia="DFKai-SB" w:hAnsi="Times New Roman" w:cs="Times New Roman"/>
          <w:color w:val="000000"/>
          <w:sz w:val="24"/>
          <w:szCs w:val="24"/>
        </w:rPr>
      </w:pPr>
      <w:r w:rsidRPr="00024012">
        <w:rPr>
          <w:rFonts w:ascii="Times New Roman" w:eastAsia="DFKai-SB" w:hAnsi="Times New Roman" w:cs="Times New Roman"/>
          <w:color w:val="000000"/>
          <w:sz w:val="24"/>
          <w:szCs w:val="24"/>
        </w:rPr>
        <w:t xml:space="preserve">B. Bernanke and C. </w:t>
      </w:r>
      <w:proofErr w:type="spellStart"/>
      <w:r w:rsidRPr="00024012">
        <w:rPr>
          <w:rFonts w:ascii="Times New Roman" w:eastAsia="DFKai-SB" w:hAnsi="Times New Roman" w:cs="Times New Roman"/>
          <w:color w:val="000000"/>
          <w:sz w:val="24"/>
          <w:szCs w:val="24"/>
        </w:rPr>
        <w:t>Lown</w:t>
      </w:r>
      <w:proofErr w:type="spellEnd"/>
      <w:r w:rsidRPr="00024012">
        <w:rPr>
          <w:rFonts w:ascii="Times New Roman" w:eastAsia="DFKai-SB" w:hAnsi="Times New Roman" w:cs="Times New Roman"/>
          <w:color w:val="000000"/>
          <w:sz w:val="24"/>
          <w:szCs w:val="24"/>
        </w:rPr>
        <w:t xml:space="preserve">, The credit crunch. </w:t>
      </w:r>
      <w:r w:rsidRPr="00024012">
        <w:rPr>
          <w:rFonts w:ascii="Times New Roman" w:eastAsia="DFKai-SB" w:hAnsi="Times New Roman" w:cs="Times New Roman"/>
          <w:i/>
          <w:iCs/>
          <w:color w:val="000000"/>
          <w:sz w:val="24"/>
          <w:szCs w:val="24"/>
        </w:rPr>
        <w:t>Brookings Papers on Economic Activity</w:t>
      </w:r>
      <w:r w:rsidRPr="00024012">
        <w:rPr>
          <w:rFonts w:ascii="Times New Roman" w:eastAsia="DFKai-SB" w:hAnsi="Times New Roman" w:cs="Times New Roman"/>
          <w:color w:val="000000"/>
          <w:sz w:val="24"/>
          <w:szCs w:val="24"/>
        </w:rPr>
        <w:t xml:space="preserve">, </w:t>
      </w:r>
      <w:r w:rsidRPr="00024012">
        <w:rPr>
          <w:rFonts w:ascii="Times New Roman" w:eastAsia="DFKai-SB" w:hAnsi="Times New Roman" w:cs="Times New Roman"/>
          <w:b/>
          <w:bCs/>
          <w:color w:val="000000"/>
          <w:sz w:val="24"/>
          <w:szCs w:val="24"/>
        </w:rPr>
        <w:t>1991</w:t>
      </w:r>
      <w:r w:rsidRPr="00024012">
        <w:rPr>
          <w:rFonts w:ascii="Times New Roman" w:eastAsia="DFKai-SB" w:hAnsi="Times New Roman" w:cs="Times New Roman"/>
          <w:color w:val="000000"/>
          <w:sz w:val="24"/>
          <w:szCs w:val="24"/>
        </w:rPr>
        <w:t>(2), (1991), 205-247.</w:t>
      </w:r>
    </w:p>
    <w:p w14:paraId="63F93A97" w14:textId="77777777" w:rsidR="00024012" w:rsidRPr="00024012" w:rsidRDefault="00024012" w:rsidP="00024012">
      <w:pPr>
        <w:pStyle w:val="ad"/>
        <w:numPr>
          <w:ilvl w:val="0"/>
          <w:numId w:val="7"/>
        </w:numPr>
        <w:adjustRightInd w:val="0"/>
        <w:spacing w:line="360" w:lineRule="auto"/>
        <w:ind w:firstLineChars="0"/>
        <w:textAlignment w:val="baseline"/>
        <w:rPr>
          <w:rFonts w:ascii="Times New Roman" w:hAnsi="Times New Roman" w:cs="Times New Roman"/>
          <w:sz w:val="24"/>
          <w:szCs w:val="24"/>
        </w:rPr>
      </w:pPr>
      <w:r w:rsidRPr="00024012">
        <w:rPr>
          <w:rFonts w:ascii="Times New Roman" w:hAnsi="Times New Roman" w:cs="Times New Roman"/>
          <w:sz w:val="24"/>
          <w:szCs w:val="24"/>
        </w:rPr>
        <w:t xml:space="preserve">B. Keys, T. Mukherjee, A. </w:t>
      </w:r>
      <w:proofErr w:type="spellStart"/>
      <w:r w:rsidRPr="00024012">
        <w:rPr>
          <w:rFonts w:ascii="Times New Roman" w:hAnsi="Times New Roman" w:cs="Times New Roman"/>
          <w:sz w:val="24"/>
          <w:szCs w:val="24"/>
        </w:rPr>
        <w:t>Seru</w:t>
      </w:r>
      <w:proofErr w:type="spellEnd"/>
      <w:r w:rsidRPr="00024012">
        <w:rPr>
          <w:rFonts w:ascii="Times New Roman" w:hAnsi="Times New Roman" w:cs="Times New Roman"/>
          <w:sz w:val="24"/>
          <w:szCs w:val="24"/>
        </w:rPr>
        <w:t xml:space="preserve"> and V. </w:t>
      </w:r>
      <w:proofErr w:type="spellStart"/>
      <w:r w:rsidRPr="00024012">
        <w:rPr>
          <w:rFonts w:ascii="Times New Roman" w:hAnsi="Times New Roman" w:cs="Times New Roman"/>
          <w:sz w:val="24"/>
          <w:szCs w:val="24"/>
        </w:rPr>
        <w:t>Vig</w:t>
      </w:r>
      <w:proofErr w:type="spellEnd"/>
      <w:r w:rsidRPr="00024012">
        <w:rPr>
          <w:rFonts w:ascii="Times New Roman" w:hAnsi="Times New Roman" w:cs="Times New Roman"/>
          <w:sz w:val="24"/>
          <w:szCs w:val="24"/>
        </w:rPr>
        <w:t xml:space="preserve">, Did securitization lead to lax screening? evidence from subprime loans, </w:t>
      </w:r>
      <w:r w:rsidRPr="00024012">
        <w:rPr>
          <w:rFonts w:ascii="Times New Roman" w:hAnsi="Times New Roman" w:cs="Times New Roman"/>
          <w:i/>
          <w:iCs/>
          <w:sz w:val="24"/>
          <w:szCs w:val="24"/>
        </w:rPr>
        <w:t>The Quarterly Journal of Economics</w:t>
      </w:r>
      <w:r w:rsidRPr="00024012">
        <w:rPr>
          <w:rFonts w:ascii="Times New Roman" w:hAnsi="Times New Roman" w:cs="Times New Roman"/>
          <w:sz w:val="24"/>
          <w:szCs w:val="24"/>
        </w:rPr>
        <w:t xml:space="preserve">, </w:t>
      </w:r>
      <w:r w:rsidRPr="00024012">
        <w:rPr>
          <w:rFonts w:ascii="Times New Roman" w:hAnsi="Times New Roman" w:cs="Times New Roman"/>
          <w:b/>
          <w:bCs/>
          <w:sz w:val="24"/>
          <w:szCs w:val="24"/>
        </w:rPr>
        <w:t>125</w:t>
      </w:r>
      <w:r w:rsidRPr="00024012">
        <w:rPr>
          <w:rFonts w:ascii="Times New Roman" w:hAnsi="Times New Roman" w:cs="Times New Roman"/>
          <w:sz w:val="24"/>
          <w:szCs w:val="24"/>
        </w:rPr>
        <w:t>(1), (2010), 307-362.,</w:t>
      </w:r>
    </w:p>
    <w:p w14:paraId="6B49AF9C" w14:textId="2C5D6C44" w:rsidR="00024012" w:rsidRDefault="00024012" w:rsidP="00024012">
      <w:pPr>
        <w:pStyle w:val="ad"/>
        <w:numPr>
          <w:ilvl w:val="0"/>
          <w:numId w:val="7"/>
        </w:numPr>
        <w:adjustRightInd w:val="0"/>
        <w:spacing w:line="360" w:lineRule="auto"/>
        <w:ind w:firstLineChars="0"/>
        <w:textAlignment w:val="baseline"/>
        <w:rPr>
          <w:rFonts w:ascii="Times New Roman" w:hAnsi="Times New Roman" w:cs="Times New Roman"/>
          <w:sz w:val="24"/>
          <w:szCs w:val="24"/>
        </w:rPr>
      </w:pPr>
      <w:r w:rsidRPr="00024012">
        <w:rPr>
          <w:rFonts w:ascii="Times New Roman" w:hAnsi="Times New Roman" w:cs="Times New Roman"/>
          <w:sz w:val="24"/>
          <w:szCs w:val="24"/>
        </w:rPr>
        <w:t xml:space="preserve">C. Calomiris, Financial innovation, regulation, and reform, </w:t>
      </w:r>
      <w:r w:rsidRPr="00024012">
        <w:rPr>
          <w:rFonts w:ascii="Times New Roman" w:hAnsi="Times New Roman" w:cs="Times New Roman"/>
          <w:i/>
          <w:iCs/>
          <w:sz w:val="24"/>
          <w:szCs w:val="24"/>
        </w:rPr>
        <w:t>Cato Journal</w:t>
      </w:r>
      <w:r w:rsidRPr="00024012">
        <w:rPr>
          <w:rFonts w:ascii="Times New Roman" w:hAnsi="Times New Roman" w:cs="Times New Roman"/>
          <w:sz w:val="24"/>
          <w:szCs w:val="24"/>
        </w:rPr>
        <w:t xml:space="preserve">, </w:t>
      </w:r>
      <w:r w:rsidRPr="00024012">
        <w:rPr>
          <w:rFonts w:ascii="Times New Roman" w:hAnsi="Times New Roman" w:cs="Times New Roman"/>
          <w:b/>
          <w:bCs/>
          <w:sz w:val="24"/>
          <w:szCs w:val="24"/>
        </w:rPr>
        <w:t>29</w:t>
      </w:r>
      <w:r w:rsidRPr="00024012">
        <w:rPr>
          <w:rFonts w:ascii="Times New Roman" w:hAnsi="Times New Roman" w:cs="Times New Roman"/>
          <w:sz w:val="24"/>
          <w:szCs w:val="24"/>
        </w:rPr>
        <w:t>(1), (2009), 65-91.</w:t>
      </w:r>
    </w:p>
    <w:p w14:paraId="170F2BDF" w14:textId="6C194DC9" w:rsidR="00D87584" w:rsidRPr="00024012" w:rsidRDefault="00D87584" w:rsidP="00024012">
      <w:pPr>
        <w:pStyle w:val="ad"/>
        <w:numPr>
          <w:ilvl w:val="0"/>
          <w:numId w:val="7"/>
        </w:numPr>
        <w:adjustRightInd w:val="0"/>
        <w:spacing w:line="360" w:lineRule="auto"/>
        <w:ind w:firstLineChars="0"/>
        <w:textAlignment w:val="baseline"/>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 xml:space="preserve">. Diamond and R. </w:t>
      </w:r>
      <w:proofErr w:type="spellStart"/>
      <w:r>
        <w:rPr>
          <w:rFonts w:ascii="Times New Roman" w:hAnsi="Times New Roman" w:cs="Times New Roman"/>
          <w:sz w:val="24"/>
          <w:szCs w:val="24"/>
        </w:rPr>
        <w:t>Rajan</w:t>
      </w:r>
      <w:proofErr w:type="spellEnd"/>
      <w:r>
        <w:rPr>
          <w:rFonts w:ascii="Times New Roman" w:hAnsi="Times New Roman" w:cs="Times New Roman"/>
          <w:sz w:val="24"/>
          <w:szCs w:val="24"/>
        </w:rPr>
        <w:t xml:space="preserve">, A theory of bank capital, Journal of Finance, (2000), </w:t>
      </w:r>
      <w:r w:rsidR="001E54AD" w:rsidRPr="001E54AD">
        <w:rPr>
          <w:rFonts w:ascii="Times New Roman" w:hAnsi="Times New Roman" w:cs="Times New Roman"/>
          <w:b/>
          <w:bCs/>
          <w:sz w:val="24"/>
          <w:szCs w:val="24"/>
        </w:rPr>
        <w:t>55</w:t>
      </w:r>
      <w:r w:rsidR="001E54AD">
        <w:rPr>
          <w:rFonts w:ascii="Times New Roman" w:hAnsi="Times New Roman" w:cs="Times New Roman"/>
          <w:sz w:val="24"/>
          <w:szCs w:val="24"/>
        </w:rPr>
        <w:t xml:space="preserve">(6), </w:t>
      </w:r>
      <w:r>
        <w:rPr>
          <w:rFonts w:ascii="Times New Roman" w:hAnsi="Times New Roman" w:cs="Times New Roman"/>
          <w:sz w:val="24"/>
          <w:szCs w:val="24"/>
        </w:rPr>
        <w:t>2431-2465.</w:t>
      </w:r>
    </w:p>
    <w:p w14:paraId="04E2DE13" w14:textId="77777777" w:rsidR="00024012" w:rsidRPr="00024012" w:rsidRDefault="00024012" w:rsidP="00024012">
      <w:pPr>
        <w:pStyle w:val="ad"/>
        <w:widowControl/>
        <w:numPr>
          <w:ilvl w:val="0"/>
          <w:numId w:val="7"/>
        </w:numPr>
        <w:autoSpaceDE w:val="0"/>
        <w:autoSpaceDN w:val="0"/>
        <w:adjustRightInd w:val="0"/>
        <w:spacing w:line="360" w:lineRule="auto"/>
        <w:ind w:firstLineChars="0"/>
        <w:textAlignment w:val="bottom"/>
        <w:rPr>
          <w:rFonts w:ascii="Times New Roman" w:eastAsia="DFKai-SB" w:hAnsi="Times New Roman" w:cs="Times New Roman"/>
          <w:color w:val="000000"/>
          <w:sz w:val="24"/>
          <w:szCs w:val="24"/>
        </w:rPr>
      </w:pPr>
      <w:r w:rsidRPr="00024012">
        <w:rPr>
          <w:rFonts w:ascii="Times New Roman" w:eastAsia="DFKai-SB" w:hAnsi="Times New Roman" w:cs="Times New Roman"/>
          <w:color w:val="000000"/>
          <w:sz w:val="24"/>
          <w:szCs w:val="24"/>
        </w:rPr>
        <w:t xml:space="preserve">D. Sherpa, Shadow banking in India and china: causes and consequences, </w:t>
      </w:r>
      <w:r w:rsidRPr="00024012">
        <w:rPr>
          <w:rFonts w:ascii="Times New Roman" w:eastAsia="DFKai-SB" w:hAnsi="Times New Roman" w:cs="Times New Roman"/>
          <w:i/>
          <w:iCs/>
          <w:color w:val="000000"/>
          <w:sz w:val="24"/>
          <w:szCs w:val="24"/>
        </w:rPr>
        <w:t>Economic &amp; Political Weekly,</w:t>
      </w:r>
      <w:r w:rsidRPr="00024012">
        <w:rPr>
          <w:rFonts w:ascii="Times New Roman" w:eastAsia="DFKai-SB" w:hAnsi="Times New Roman" w:cs="Times New Roman"/>
          <w:b/>
          <w:color w:val="000000"/>
          <w:sz w:val="24"/>
          <w:szCs w:val="24"/>
        </w:rPr>
        <w:t xml:space="preserve"> </w:t>
      </w:r>
      <w:r w:rsidRPr="00024012">
        <w:rPr>
          <w:rFonts w:ascii="Times New Roman" w:eastAsia="PMingLiU" w:hAnsi="Times New Roman" w:cs="Times New Roman"/>
          <w:b/>
          <w:bCs/>
          <w:sz w:val="24"/>
          <w:szCs w:val="24"/>
        </w:rPr>
        <w:t>48</w:t>
      </w:r>
      <w:r w:rsidRPr="00024012">
        <w:rPr>
          <w:rFonts w:ascii="Times New Roman" w:eastAsia="DFKai-SB" w:hAnsi="Times New Roman" w:cs="Times New Roman"/>
          <w:color w:val="000000"/>
          <w:sz w:val="24"/>
          <w:szCs w:val="24"/>
        </w:rPr>
        <w:t>(43), (2013), 113-122.</w:t>
      </w:r>
    </w:p>
    <w:p w14:paraId="0E6E2FAF" w14:textId="77777777" w:rsidR="00024012" w:rsidRPr="00024012" w:rsidRDefault="00024012" w:rsidP="00024012">
      <w:pPr>
        <w:pStyle w:val="ad"/>
        <w:numPr>
          <w:ilvl w:val="0"/>
          <w:numId w:val="7"/>
        </w:numPr>
        <w:adjustRightInd w:val="0"/>
        <w:spacing w:line="360" w:lineRule="auto"/>
        <w:ind w:firstLineChars="0"/>
        <w:textAlignment w:val="baseline"/>
        <w:rPr>
          <w:rFonts w:ascii="Times New Roman" w:hAnsi="Times New Roman" w:cs="Times New Roman"/>
          <w:sz w:val="24"/>
          <w:szCs w:val="24"/>
        </w:rPr>
      </w:pPr>
      <w:r w:rsidRPr="00024012">
        <w:rPr>
          <w:rFonts w:ascii="Times New Roman" w:hAnsi="Times New Roman" w:cs="Times New Roman"/>
          <w:sz w:val="24"/>
          <w:szCs w:val="24"/>
        </w:rPr>
        <w:t xml:space="preserve">G. Gorton and A. </w:t>
      </w:r>
      <w:proofErr w:type="spellStart"/>
      <w:r w:rsidRPr="00024012">
        <w:rPr>
          <w:rFonts w:ascii="Times New Roman" w:hAnsi="Times New Roman" w:cs="Times New Roman"/>
          <w:sz w:val="24"/>
          <w:szCs w:val="24"/>
        </w:rPr>
        <w:t>Metrick</w:t>
      </w:r>
      <w:proofErr w:type="spellEnd"/>
      <w:r w:rsidRPr="00024012">
        <w:rPr>
          <w:rFonts w:ascii="Times New Roman" w:hAnsi="Times New Roman" w:cs="Times New Roman"/>
          <w:sz w:val="24"/>
          <w:szCs w:val="24"/>
        </w:rPr>
        <w:t xml:space="preserve">, Securitized banking and the run on repo, </w:t>
      </w:r>
      <w:r w:rsidRPr="00024012">
        <w:rPr>
          <w:rFonts w:ascii="Times New Roman" w:hAnsi="Times New Roman" w:cs="Times New Roman"/>
          <w:i/>
          <w:iCs/>
          <w:sz w:val="24"/>
          <w:szCs w:val="24"/>
        </w:rPr>
        <w:t>Journal of Financial Economics</w:t>
      </w:r>
      <w:r w:rsidRPr="00024012">
        <w:rPr>
          <w:rFonts w:ascii="Times New Roman" w:hAnsi="Times New Roman" w:cs="Times New Roman"/>
          <w:sz w:val="24"/>
          <w:szCs w:val="24"/>
        </w:rPr>
        <w:t xml:space="preserve">, </w:t>
      </w:r>
      <w:r w:rsidRPr="00024012">
        <w:rPr>
          <w:rFonts w:ascii="Times New Roman" w:hAnsi="Times New Roman" w:cs="Times New Roman"/>
          <w:b/>
          <w:bCs/>
          <w:sz w:val="24"/>
          <w:szCs w:val="24"/>
        </w:rPr>
        <w:t>104</w:t>
      </w:r>
      <w:r w:rsidRPr="00024012">
        <w:rPr>
          <w:rFonts w:ascii="Times New Roman" w:hAnsi="Times New Roman" w:cs="Times New Roman"/>
          <w:sz w:val="24"/>
          <w:szCs w:val="24"/>
        </w:rPr>
        <w:t>, (2012), 425-451.</w:t>
      </w:r>
    </w:p>
    <w:p w14:paraId="34280991" w14:textId="77777777" w:rsidR="00024012" w:rsidRPr="00024012" w:rsidRDefault="00024012" w:rsidP="00024012">
      <w:pPr>
        <w:pStyle w:val="ad"/>
        <w:widowControl/>
        <w:numPr>
          <w:ilvl w:val="0"/>
          <w:numId w:val="7"/>
        </w:numPr>
        <w:autoSpaceDE w:val="0"/>
        <w:autoSpaceDN w:val="0"/>
        <w:adjustRightInd w:val="0"/>
        <w:spacing w:line="360" w:lineRule="auto"/>
        <w:ind w:firstLineChars="0"/>
        <w:textAlignment w:val="bottom"/>
        <w:rPr>
          <w:rFonts w:ascii="Times New Roman" w:eastAsia="DFKai-SB" w:hAnsi="Times New Roman" w:cs="Times New Roman"/>
          <w:color w:val="000000"/>
          <w:sz w:val="24"/>
          <w:szCs w:val="24"/>
        </w:rPr>
      </w:pPr>
      <w:r w:rsidRPr="00024012">
        <w:rPr>
          <w:rFonts w:ascii="Times New Roman" w:eastAsia="DFKai-SB" w:hAnsi="Times New Roman" w:cs="Times New Roman"/>
          <w:color w:val="000000"/>
          <w:sz w:val="24"/>
          <w:szCs w:val="24"/>
        </w:rPr>
        <w:t xml:space="preserve">G. Gorton and A. </w:t>
      </w:r>
      <w:proofErr w:type="spellStart"/>
      <w:r w:rsidRPr="00024012">
        <w:rPr>
          <w:rFonts w:ascii="Times New Roman" w:eastAsia="DFKai-SB" w:hAnsi="Times New Roman" w:cs="Times New Roman"/>
          <w:color w:val="000000"/>
          <w:sz w:val="24"/>
          <w:szCs w:val="24"/>
        </w:rPr>
        <w:t>Metrick</w:t>
      </w:r>
      <w:proofErr w:type="spellEnd"/>
      <w:r w:rsidRPr="00024012">
        <w:rPr>
          <w:rFonts w:ascii="Times New Roman" w:eastAsia="DFKai-SB" w:hAnsi="Times New Roman" w:cs="Times New Roman"/>
          <w:color w:val="000000"/>
          <w:sz w:val="24"/>
          <w:szCs w:val="24"/>
        </w:rPr>
        <w:t xml:space="preserve">, Regulating the shadow banking system, </w:t>
      </w:r>
      <w:r w:rsidRPr="00024012">
        <w:rPr>
          <w:rFonts w:ascii="Times New Roman" w:eastAsia="DFKai-SB" w:hAnsi="Times New Roman" w:cs="Times New Roman"/>
          <w:i/>
          <w:iCs/>
          <w:color w:val="000000"/>
          <w:sz w:val="24"/>
          <w:szCs w:val="24"/>
        </w:rPr>
        <w:t>Brookings Papers on Economic Activity</w:t>
      </w:r>
      <w:r w:rsidRPr="00024012">
        <w:rPr>
          <w:rFonts w:ascii="Times New Roman" w:eastAsia="DFKai-SB" w:hAnsi="Times New Roman" w:cs="Times New Roman"/>
          <w:color w:val="000000"/>
          <w:sz w:val="24"/>
          <w:szCs w:val="24"/>
        </w:rPr>
        <w:t xml:space="preserve">, </w:t>
      </w:r>
      <w:r w:rsidRPr="00024012">
        <w:rPr>
          <w:rFonts w:ascii="Times New Roman" w:eastAsia="DFKai-SB" w:hAnsi="Times New Roman" w:cs="Times New Roman"/>
          <w:b/>
          <w:bCs/>
          <w:color w:val="000000"/>
          <w:sz w:val="24"/>
          <w:szCs w:val="24"/>
        </w:rPr>
        <w:t>2010</w:t>
      </w:r>
      <w:r w:rsidRPr="00024012">
        <w:rPr>
          <w:rFonts w:ascii="Times New Roman" w:eastAsia="DFKai-SB" w:hAnsi="Times New Roman" w:cs="Times New Roman"/>
          <w:color w:val="000000"/>
          <w:sz w:val="24"/>
          <w:szCs w:val="24"/>
        </w:rPr>
        <w:t>(FALL), (2010), 261-312.</w:t>
      </w:r>
    </w:p>
    <w:p w14:paraId="7F03D3F7" w14:textId="77777777" w:rsidR="00024012" w:rsidRPr="00024012" w:rsidRDefault="00024012" w:rsidP="00024012">
      <w:pPr>
        <w:pStyle w:val="ad"/>
        <w:numPr>
          <w:ilvl w:val="0"/>
          <w:numId w:val="7"/>
        </w:numPr>
        <w:adjustRightInd w:val="0"/>
        <w:spacing w:line="360" w:lineRule="auto"/>
        <w:ind w:firstLineChars="0"/>
        <w:textAlignment w:val="baseline"/>
        <w:rPr>
          <w:rFonts w:ascii="Times New Roman" w:hAnsi="Times New Roman" w:cs="Times New Roman"/>
          <w:sz w:val="24"/>
          <w:szCs w:val="24"/>
        </w:rPr>
      </w:pPr>
      <w:r w:rsidRPr="00024012">
        <w:rPr>
          <w:rFonts w:ascii="Times New Roman" w:hAnsi="Times New Roman" w:cs="Times New Roman"/>
          <w:sz w:val="24"/>
          <w:szCs w:val="24"/>
        </w:rPr>
        <w:t xml:space="preserve">G. </w:t>
      </w:r>
      <w:proofErr w:type="spellStart"/>
      <w:r w:rsidRPr="00024012">
        <w:rPr>
          <w:rFonts w:ascii="Times New Roman" w:hAnsi="Times New Roman" w:cs="Times New Roman"/>
          <w:sz w:val="24"/>
          <w:szCs w:val="24"/>
        </w:rPr>
        <w:t>Pennacchi</w:t>
      </w:r>
      <w:proofErr w:type="spellEnd"/>
      <w:r w:rsidRPr="00024012">
        <w:rPr>
          <w:rFonts w:ascii="Times New Roman" w:hAnsi="Times New Roman" w:cs="Times New Roman"/>
          <w:sz w:val="24"/>
          <w:szCs w:val="24"/>
        </w:rPr>
        <w:t>, Deposit insurance, bank regulation, and financial system risks, J</w:t>
      </w:r>
      <w:r w:rsidRPr="00024012">
        <w:rPr>
          <w:rFonts w:ascii="Times New Roman" w:hAnsi="Times New Roman" w:cs="Times New Roman"/>
          <w:i/>
          <w:iCs/>
          <w:sz w:val="24"/>
          <w:szCs w:val="24"/>
        </w:rPr>
        <w:t>ournal of Monetary Economics</w:t>
      </w:r>
      <w:r w:rsidRPr="00024012">
        <w:rPr>
          <w:rFonts w:ascii="Times New Roman" w:hAnsi="Times New Roman" w:cs="Times New Roman"/>
          <w:sz w:val="24"/>
          <w:szCs w:val="24"/>
        </w:rPr>
        <w:t xml:space="preserve">, </w:t>
      </w:r>
      <w:r w:rsidRPr="00024012">
        <w:rPr>
          <w:rFonts w:ascii="Times New Roman" w:hAnsi="Times New Roman" w:cs="Times New Roman"/>
          <w:b/>
          <w:bCs/>
          <w:sz w:val="24"/>
          <w:szCs w:val="24"/>
        </w:rPr>
        <w:t>53</w:t>
      </w:r>
      <w:r w:rsidRPr="00024012">
        <w:rPr>
          <w:rFonts w:ascii="Times New Roman" w:hAnsi="Times New Roman" w:cs="Times New Roman"/>
          <w:sz w:val="24"/>
          <w:szCs w:val="24"/>
        </w:rPr>
        <w:t>(1), (2006), 1-30.</w:t>
      </w:r>
    </w:p>
    <w:p w14:paraId="50E7B832" w14:textId="0ECE6E04" w:rsidR="00024012" w:rsidRPr="00024012" w:rsidRDefault="00024012" w:rsidP="00024012">
      <w:pPr>
        <w:pStyle w:val="ad"/>
        <w:numPr>
          <w:ilvl w:val="0"/>
          <w:numId w:val="7"/>
        </w:numPr>
        <w:adjustRightInd w:val="0"/>
        <w:spacing w:line="360" w:lineRule="auto"/>
        <w:ind w:firstLineChars="0"/>
        <w:textAlignment w:val="baseline"/>
        <w:rPr>
          <w:rFonts w:ascii="Times New Roman" w:hAnsi="Times New Roman" w:cs="Times New Roman"/>
          <w:sz w:val="24"/>
          <w:szCs w:val="24"/>
        </w:rPr>
      </w:pPr>
      <w:r w:rsidRPr="00024012">
        <w:rPr>
          <w:rFonts w:ascii="Times New Roman" w:hAnsi="Times New Roman" w:cs="Times New Roman"/>
          <w:sz w:val="24"/>
          <w:szCs w:val="24"/>
        </w:rPr>
        <w:t xml:space="preserve">G. </w:t>
      </w:r>
      <w:proofErr w:type="spellStart"/>
      <w:r w:rsidRPr="00024012">
        <w:rPr>
          <w:rFonts w:ascii="Times New Roman" w:hAnsi="Times New Roman" w:cs="Times New Roman"/>
          <w:sz w:val="24"/>
          <w:szCs w:val="24"/>
        </w:rPr>
        <w:t>Plantin</w:t>
      </w:r>
      <w:proofErr w:type="spellEnd"/>
      <w:r w:rsidRPr="00024012">
        <w:rPr>
          <w:rFonts w:ascii="Times New Roman" w:hAnsi="Times New Roman" w:cs="Times New Roman"/>
          <w:sz w:val="24"/>
          <w:szCs w:val="24"/>
        </w:rPr>
        <w:t xml:space="preserve">, Shadow banking and bank capital regulation. </w:t>
      </w:r>
      <w:r w:rsidRPr="00024012">
        <w:rPr>
          <w:rFonts w:ascii="Times New Roman" w:hAnsi="Times New Roman" w:cs="Times New Roman"/>
          <w:i/>
          <w:iCs/>
          <w:sz w:val="24"/>
          <w:szCs w:val="24"/>
        </w:rPr>
        <w:t xml:space="preserve">The </w:t>
      </w:r>
      <w:r w:rsidR="003512AD">
        <w:rPr>
          <w:rFonts w:ascii="Times New Roman" w:hAnsi="Times New Roman" w:cs="Times New Roman"/>
          <w:i/>
          <w:iCs/>
          <w:sz w:val="24"/>
          <w:szCs w:val="24"/>
        </w:rPr>
        <w:t>R</w:t>
      </w:r>
      <w:r w:rsidRPr="00024012">
        <w:rPr>
          <w:rFonts w:ascii="Times New Roman" w:hAnsi="Times New Roman" w:cs="Times New Roman"/>
          <w:i/>
          <w:iCs/>
          <w:sz w:val="24"/>
          <w:szCs w:val="24"/>
        </w:rPr>
        <w:t xml:space="preserve">eview of </w:t>
      </w:r>
      <w:r w:rsidR="003512AD">
        <w:rPr>
          <w:rFonts w:ascii="Times New Roman" w:hAnsi="Times New Roman" w:cs="Times New Roman"/>
          <w:i/>
          <w:iCs/>
          <w:sz w:val="24"/>
          <w:szCs w:val="24"/>
        </w:rPr>
        <w:t>F</w:t>
      </w:r>
      <w:r w:rsidRPr="00024012">
        <w:rPr>
          <w:rFonts w:ascii="Times New Roman" w:hAnsi="Times New Roman" w:cs="Times New Roman"/>
          <w:i/>
          <w:iCs/>
          <w:sz w:val="24"/>
          <w:szCs w:val="24"/>
        </w:rPr>
        <w:t xml:space="preserve">inancial </w:t>
      </w:r>
      <w:r w:rsidR="003512AD">
        <w:rPr>
          <w:rFonts w:ascii="Times New Roman" w:hAnsi="Times New Roman" w:cs="Times New Roman"/>
          <w:i/>
          <w:iCs/>
          <w:sz w:val="24"/>
          <w:szCs w:val="24"/>
        </w:rPr>
        <w:t>S</w:t>
      </w:r>
      <w:r w:rsidRPr="00024012">
        <w:rPr>
          <w:rFonts w:ascii="Times New Roman" w:hAnsi="Times New Roman" w:cs="Times New Roman"/>
          <w:i/>
          <w:iCs/>
          <w:sz w:val="24"/>
          <w:szCs w:val="24"/>
        </w:rPr>
        <w:t>tudies,</w:t>
      </w:r>
      <w:r w:rsidRPr="00024012">
        <w:rPr>
          <w:rFonts w:ascii="Times New Roman" w:hAnsi="Times New Roman" w:cs="Times New Roman"/>
          <w:sz w:val="24"/>
          <w:szCs w:val="24"/>
        </w:rPr>
        <w:t xml:space="preserve"> </w:t>
      </w:r>
      <w:r w:rsidRPr="00024012">
        <w:rPr>
          <w:rFonts w:ascii="Times New Roman" w:hAnsi="Times New Roman" w:cs="Times New Roman"/>
          <w:b/>
          <w:bCs/>
          <w:sz w:val="24"/>
          <w:szCs w:val="24"/>
        </w:rPr>
        <w:t>28</w:t>
      </w:r>
      <w:r w:rsidRPr="00024012">
        <w:rPr>
          <w:rFonts w:ascii="Times New Roman" w:hAnsi="Times New Roman" w:cs="Times New Roman"/>
          <w:sz w:val="24"/>
          <w:szCs w:val="24"/>
        </w:rPr>
        <w:t>(1), (2015), 146-175.</w:t>
      </w:r>
    </w:p>
    <w:p w14:paraId="64922D9A" w14:textId="77777777" w:rsidR="00024012" w:rsidRPr="00024012" w:rsidRDefault="00024012" w:rsidP="00024012">
      <w:pPr>
        <w:pStyle w:val="ad"/>
        <w:numPr>
          <w:ilvl w:val="0"/>
          <w:numId w:val="7"/>
        </w:numPr>
        <w:adjustRightInd w:val="0"/>
        <w:spacing w:line="360" w:lineRule="auto"/>
        <w:ind w:firstLineChars="0"/>
        <w:textAlignment w:val="baseline"/>
        <w:rPr>
          <w:rFonts w:ascii="Times New Roman" w:hAnsi="Times New Roman" w:cs="Times New Roman"/>
          <w:sz w:val="24"/>
          <w:szCs w:val="24"/>
        </w:rPr>
      </w:pPr>
      <w:r w:rsidRPr="00024012">
        <w:rPr>
          <w:rFonts w:ascii="Times New Roman" w:hAnsi="Times New Roman" w:cs="Times New Roman"/>
          <w:sz w:val="24"/>
          <w:szCs w:val="24"/>
        </w:rPr>
        <w:t xml:space="preserve">J. </w:t>
      </w:r>
      <w:proofErr w:type="spellStart"/>
      <w:r w:rsidRPr="00024012">
        <w:rPr>
          <w:rFonts w:ascii="Times New Roman" w:hAnsi="Times New Roman" w:cs="Times New Roman"/>
          <w:sz w:val="24"/>
          <w:szCs w:val="24"/>
        </w:rPr>
        <w:t>Coval</w:t>
      </w:r>
      <w:proofErr w:type="spellEnd"/>
      <w:r w:rsidRPr="00024012">
        <w:rPr>
          <w:rFonts w:ascii="Times New Roman" w:hAnsi="Times New Roman" w:cs="Times New Roman"/>
          <w:sz w:val="24"/>
          <w:szCs w:val="24"/>
        </w:rPr>
        <w:t xml:space="preserve">, J. Jurek and E. Stafford, Economic catastrophe bonds, </w:t>
      </w:r>
      <w:r w:rsidRPr="00024012">
        <w:rPr>
          <w:rFonts w:ascii="Times New Roman" w:hAnsi="Times New Roman" w:cs="Times New Roman"/>
          <w:i/>
          <w:iCs/>
          <w:sz w:val="24"/>
          <w:szCs w:val="24"/>
        </w:rPr>
        <w:t>American Economic Review</w:t>
      </w:r>
      <w:r w:rsidRPr="00024012">
        <w:rPr>
          <w:rFonts w:ascii="Times New Roman" w:hAnsi="Times New Roman" w:cs="Times New Roman"/>
          <w:sz w:val="24"/>
          <w:szCs w:val="24"/>
        </w:rPr>
        <w:t xml:space="preserve">, </w:t>
      </w:r>
      <w:r w:rsidRPr="00024012">
        <w:rPr>
          <w:rFonts w:ascii="Times New Roman" w:hAnsi="Times New Roman" w:cs="Times New Roman"/>
          <w:b/>
          <w:bCs/>
          <w:sz w:val="24"/>
          <w:szCs w:val="24"/>
        </w:rPr>
        <w:t>99</w:t>
      </w:r>
      <w:r w:rsidRPr="00024012">
        <w:rPr>
          <w:rFonts w:ascii="Times New Roman" w:hAnsi="Times New Roman" w:cs="Times New Roman"/>
          <w:sz w:val="24"/>
          <w:szCs w:val="24"/>
        </w:rPr>
        <w:t>(3), (2009), 628-666.</w:t>
      </w:r>
    </w:p>
    <w:p w14:paraId="56EC6C2C" w14:textId="77777777" w:rsidR="00024012" w:rsidRPr="00024012" w:rsidRDefault="00024012" w:rsidP="00024012">
      <w:pPr>
        <w:pStyle w:val="ad"/>
        <w:numPr>
          <w:ilvl w:val="0"/>
          <w:numId w:val="7"/>
        </w:numPr>
        <w:adjustRightInd w:val="0"/>
        <w:spacing w:line="360" w:lineRule="auto"/>
        <w:ind w:firstLineChars="0"/>
        <w:textAlignment w:val="baseline"/>
        <w:rPr>
          <w:rFonts w:ascii="Times New Roman" w:hAnsi="Times New Roman" w:cs="Times New Roman"/>
          <w:sz w:val="24"/>
          <w:szCs w:val="24"/>
        </w:rPr>
      </w:pPr>
      <w:r w:rsidRPr="00024012">
        <w:rPr>
          <w:rFonts w:ascii="Times New Roman" w:hAnsi="Times New Roman" w:cs="Times New Roman"/>
          <w:sz w:val="24"/>
          <w:szCs w:val="24"/>
        </w:rPr>
        <w:t xml:space="preserve">M. </w:t>
      </w:r>
      <w:proofErr w:type="spellStart"/>
      <w:r w:rsidRPr="00024012">
        <w:rPr>
          <w:rFonts w:ascii="Times New Roman" w:hAnsi="Times New Roman" w:cs="Times New Roman"/>
          <w:sz w:val="24"/>
          <w:szCs w:val="24"/>
        </w:rPr>
        <w:t>Brunnermeier</w:t>
      </w:r>
      <w:proofErr w:type="spellEnd"/>
      <w:r w:rsidRPr="00024012">
        <w:rPr>
          <w:rFonts w:ascii="Times New Roman" w:hAnsi="Times New Roman" w:cs="Times New Roman"/>
          <w:sz w:val="24"/>
          <w:szCs w:val="24"/>
        </w:rPr>
        <w:t xml:space="preserve">, Deciphering the liquidity and credit crunch 2007-2008, </w:t>
      </w:r>
      <w:r w:rsidRPr="00024012">
        <w:rPr>
          <w:rFonts w:ascii="Times New Roman" w:hAnsi="Times New Roman" w:cs="Times New Roman"/>
          <w:i/>
          <w:iCs/>
          <w:sz w:val="24"/>
          <w:szCs w:val="24"/>
        </w:rPr>
        <w:t>Journal of Economic Perspectives,</w:t>
      </w:r>
      <w:r w:rsidRPr="00024012">
        <w:rPr>
          <w:rFonts w:ascii="Times New Roman" w:hAnsi="Times New Roman" w:cs="Times New Roman"/>
          <w:sz w:val="24"/>
          <w:szCs w:val="24"/>
        </w:rPr>
        <w:t xml:space="preserve"> </w:t>
      </w:r>
      <w:r w:rsidRPr="00024012">
        <w:rPr>
          <w:rFonts w:ascii="Times New Roman" w:hAnsi="Times New Roman" w:cs="Times New Roman"/>
          <w:b/>
          <w:bCs/>
          <w:sz w:val="24"/>
          <w:szCs w:val="24"/>
        </w:rPr>
        <w:t>23</w:t>
      </w:r>
      <w:r w:rsidRPr="00024012">
        <w:rPr>
          <w:rFonts w:ascii="Times New Roman" w:hAnsi="Times New Roman" w:cs="Times New Roman"/>
          <w:sz w:val="24"/>
          <w:szCs w:val="24"/>
        </w:rPr>
        <w:t>(1), (2009), 77-100.</w:t>
      </w:r>
    </w:p>
    <w:p w14:paraId="46FEBE28" w14:textId="542AF546" w:rsidR="00024012" w:rsidRPr="00024012" w:rsidRDefault="00024012" w:rsidP="00024012">
      <w:pPr>
        <w:pStyle w:val="ad"/>
        <w:numPr>
          <w:ilvl w:val="0"/>
          <w:numId w:val="7"/>
        </w:numPr>
        <w:adjustRightInd w:val="0"/>
        <w:spacing w:line="360" w:lineRule="auto"/>
        <w:ind w:firstLineChars="0"/>
        <w:textAlignment w:val="baseline"/>
        <w:rPr>
          <w:rFonts w:ascii="Times New Roman" w:eastAsia="DFKai-SB" w:hAnsi="Times New Roman" w:cs="Times New Roman"/>
          <w:color w:val="000000"/>
          <w:sz w:val="24"/>
          <w:szCs w:val="24"/>
        </w:rPr>
      </w:pPr>
      <w:r w:rsidRPr="00024012">
        <w:rPr>
          <w:rFonts w:ascii="Times New Roman" w:eastAsia="DFKai-SB" w:hAnsi="Times New Roman" w:cs="Times New Roman"/>
          <w:color w:val="000000"/>
          <w:sz w:val="24"/>
          <w:szCs w:val="24"/>
        </w:rPr>
        <w:lastRenderedPageBreak/>
        <w:t xml:space="preserve">M. Daniel, L. Biddle and H. Merritt, Shadow banking: the growing sector of non-bank credit activity, </w:t>
      </w:r>
      <w:r w:rsidR="003512AD">
        <w:rPr>
          <w:rFonts w:ascii="Times New Roman" w:eastAsia="DFKai-SB" w:hAnsi="Times New Roman" w:cs="Times New Roman"/>
          <w:i/>
          <w:iCs/>
          <w:color w:val="000000"/>
          <w:sz w:val="24"/>
          <w:szCs w:val="24"/>
        </w:rPr>
        <w:t>B</w:t>
      </w:r>
      <w:r w:rsidRPr="00024012">
        <w:rPr>
          <w:rFonts w:ascii="Times New Roman" w:eastAsia="DFKai-SB" w:hAnsi="Times New Roman" w:cs="Times New Roman"/>
          <w:i/>
          <w:iCs/>
          <w:color w:val="000000"/>
          <w:sz w:val="24"/>
          <w:szCs w:val="24"/>
        </w:rPr>
        <w:t xml:space="preserve">usiness </w:t>
      </w:r>
      <w:r w:rsidR="003512AD">
        <w:rPr>
          <w:rFonts w:ascii="Times New Roman" w:eastAsia="DFKai-SB" w:hAnsi="Times New Roman" w:cs="Times New Roman"/>
          <w:i/>
          <w:iCs/>
          <w:color w:val="000000"/>
          <w:sz w:val="24"/>
          <w:szCs w:val="24"/>
        </w:rPr>
        <w:t>L</w:t>
      </w:r>
      <w:r w:rsidRPr="00024012">
        <w:rPr>
          <w:rFonts w:ascii="Times New Roman" w:eastAsia="DFKai-SB" w:hAnsi="Times New Roman" w:cs="Times New Roman"/>
          <w:i/>
          <w:iCs/>
          <w:color w:val="000000"/>
          <w:sz w:val="24"/>
          <w:szCs w:val="24"/>
        </w:rPr>
        <w:t xml:space="preserve">aw </w:t>
      </w:r>
      <w:r w:rsidR="003512AD">
        <w:rPr>
          <w:rFonts w:ascii="Times New Roman" w:eastAsia="DFKai-SB" w:hAnsi="Times New Roman" w:cs="Times New Roman"/>
          <w:i/>
          <w:iCs/>
          <w:color w:val="000000"/>
          <w:sz w:val="24"/>
          <w:szCs w:val="24"/>
        </w:rPr>
        <w:t>T</w:t>
      </w:r>
      <w:r w:rsidRPr="00024012">
        <w:rPr>
          <w:rFonts w:ascii="Times New Roman" w:eastAsia="DFKai-SB" w:hAnsi="Times New Roman" w:cs="Times New Roman"/>
          <w:i/>
          <w:iCs/>
          <w:color w:val="000000"/>
          <w:sz w:val="24"/>
          <w:szCs w:val="24"/>
        </w:rPr>
        <w:t>oday</w:t>
      </w:r>
      <w:r w:rsidRPr="00024012">
        <w:rPr>
          <w:rFonts w:ascii="Times New Roman" w:eastAsia="DFKai-SB" w:hAnsi="Times New Roman" w:cs="Times New Roman"/>
          <w:color w:val="000000"/>
          <w:sz w:val="24"/>
          <w:szCs w:val="24"/>
        </w:rPr>
        <w:t xml:space="preserve">, </w:t>
      </w:r>
      <w:r w:rsidRPr="00024012">
        <w:rPr>
          <w:rFonts w:ascii="Times New Roman" w:eastAsia="DFKai-SB" w:hAnsi="Times New Roman" w:cs="Times New Roman"/>
          <w:b/>
          <w:bCs/>
          <w:color w:val="000000"/>
          <w:sz w:val="24"/>
          <w:szCs w:val="24"/>
        </w:rPr>
        <w:t>105</w:t>
      </w:r>
      <w:r w:rsidRPr="00024012">
        <w:rPr>
          <w:rFonts w:ascii="Times New Roman" w:eastAsia="DFKai-SB" w:hAnsi="Times New Roman" w:cs="Times New Roman"/>
          <w:color w:val="000000"/>
          <w:sz w:val="24"/>
          <w:szCs w:val="24"/>
        </w:rPr>
        <w:t>(7), (2012), 1-6.</w:t>
      </w:r>
    </w:p>
    <w:p w14:paraId="35D1ED22" w14:textId="77777777" w:rsidR="00024012" w:rsidRPr="00024012" w:rsidRDefault="00024012" w:rsidP="00024012">
      <w:pPr>
        <w:pStyle w:val="ad"/>
        <w:numPr>
          <w:ilvl w:val="0"/>
          <w:numId w:val="7"/>
        </w:numPr>
        <w:adjustRightInd w:val="0"/>
        <w:spacing w:line="360" w:lineRule="auto"/>
        <w:ind w:firstLineChars="0"/>
        <w:textAlignment w:val="baseline"/>
        <w:rPr>
          <w:rFonts w:ascii="Times New Roman" w:hAnsi="Times New Roman" w:cs="Times New Roman"/>
          <w:sz w:val="24"/>
          <w:szCs w:val="24"/>
        </w:rPr>
      </w:pPr>
      <w:r w:rsidRPr="00024012">
        <w:rPr>
          <w:rFonts w:ascii="Times New Roman" w:hAnsi="Times New Roman" w:cs="Times New Roman"/>
          <w:sz w:val="24"/>
          <w:szCs w:val="24"/>
        </w:rPr>
        <w:t xml:space="preserve">M. Gordy, A risk-factor model foundation for ratings-based bank capital rules, </w:t>
      </w:r>
      <w:r w:rsidRPr="00024012">
        <w:rPr>
          <w:rFonts w:ascii="Times New Roman" w:hAnsi="Times New Roman" w:cs="Times New Roman"/>
          <w:i/>
          <w:iCs/>
          <w:sz w:val="24"/>
          <w:szCs w:val="24"/>
        </w:rPr>
        <w:t>Journal of Financial Intermediation</w:t>
      </w:r>
      <w:r w:rsidRPr="00024012">
        <w:rPr>
          <w:rFonts w:ascii="Times New Roman" w:hAnsi="Times New Roman" w:cs="Times New Roman"/>
          <w:sz w:val="24"/>
          <w:szCs w:val="24"/>
        </w:rPr>
        <w:t xml:space="preserve">, </w:t>
      </w:r>
      <w:r w:rsidRPr="00024012">
        <w:rPr>
          <w:rFonts w:ascii="Times New Roman" w:hAnsi="Times New Roman" w:cs="Times New Roman"/>
          <w:b/>
          <w:bCs/>
          <w:sz w:val="24"/>
          <w:szCs w:val="24"/>
        </w:rPr>
        <w:t>2003</w:t>
      </w:r>
      <w:r w:rsidRPr="00024012">
        <w:rPr>
          <w:rFonts w:ascii="Times New Roman" w:hAnsi="Times New Roman" w:cs="Times New Roman"/>
          <w:sz w:val="24"/>
          <w:szCs w:val="24"/>
        </w:rPr>
        <w:t>(12), (2003), 199-232.</w:t>
      </w:r>
    </w:p>
    <w:p w14:paraId="5182FAB5" w14:textId="77777777" w:rsidR="00024012" w:rsidRPr="00024012" w:rsidRDefault="00024012" w:rsidP="00024012">
      <w:pPr>
        <w:pStyle w:val="ad"/>
        <w:widowControl/>
        <w:numPr>
          <w:ilvl w:val="0"/>
          <w:numId w:val="7"/>
        </w:numPr>
        <w:autoSpaceDE w:val="0"/>
        <w:autoSpaceDN w:val="0"/>
        <w:adjustRightInd w:val="0"/>
        <w:spacing w:line="360" w:lineRule="auto"/>
        <w:ind w:firstLineChars="0"/>
        <w:textAlignment w:val="bottom"/>
        <w:rPr>
          <w:rFonts w:ascii="Times New Roman" w:eastAsia="DFKai-SB" w:hAnsi="Times New Roman" w:cs="Times New Roman"/>
          <w:color w:val="000000"/>
          <w:sz w:val="24"/>
          <w:szCs w:val="24"/>
        </w:rPr>
      </w:pPr>
      <w:r w:rsidRPr="00024012">
        <w:rPr>
          <w:rFonts w:ascii="Times New Roman" w:eastAsia="DFKai-SB" w:hAnsi="Times New Roman" w:cs="Times New Roman"/>
          <w:color w:val="000000"/>
          <w:sz w:val="24"/>
          <w:szCs w:val="24"/>
        </w:rPr>
        <w:t xml:space="preserve">N. </w:t>
      </w:r>
      <w:proofErr w:type="spellStart"/>
      <w:r w:rsidRPr="00024012">
        <w:rPr>
          <w:rFonts w:ascii="Times New Roman" w:eastAsia="DFKai-SB" w:hAnsi="Times New Roman" w:cs="Times New Roman"/>
          <w:color w:val="000000"/>
          <w:sz w:val="24"/>
          <w:szCs w:val="24"/>
        </w:rPr>
        <w:t>Gennaioli</w:t>
      </w:r>
      <w:proofErr w:type="spellEnd"/>
      <w:r w:rsidRPr="00024012">
        <w:rPr>
          <w:rFonts w:ascii="Times New Roman" w:eastAsia="DFKai-SB" w:hAnsi="Times New Roman" w:cs="Times New Roman"/>
          <w:color w:val="000000"/>
          <w:sz w:val="24"/>
          <w:szCs w:val="24"/>
        </w:rPr>
        <w:t xml:space="preserve">, A. Shleifer and R. W. </w:t>
      </w:r>
      <w:proofErr w:type="spellStart"/>
      <w:r w:rsidRPr="00024012">
        <w:rPr>
          <w:rFonts w:ascii="Times New Roman" w:eastAsia="DFKai-SB" w:hAnsi="Times New Roman" w:cs="Times New Roman"/>
          <w:color w:val="000000"/>
          <w:sz w:val="24"/>
          <w:szCs w:val="24"/>
        </w:rPr>
        <w:t>Vishny</w:t>
      </w:r>
      <w:proofErr w:type="spellEnd"/>
      <w:r w:rsidRPr="00024012">
        <w:rPr>
          <w:rFonts w:ascii="Times New Roman" w:eastAsia="DFKai-SB" w:hAnsi="Times New Roman" w:cs="Times New Roman"/>
          <w:color w:val="000000"/>
          <w:sz w:val="24"/>
          <w:szCs w:val="24"/>
        </w:rPr>
        <w:t xml:space="preserve">, A model of shadow banking, </w:t>
      </w:r>
      <w:r w:rsidRPr="00024012">
        <w:rPr>
          <w:rFonts w:ascii="Times New Roman" w:eastAsia="DFKai-SB" w:hAnsi="Times New Roman" w:cs="Times New Roman"/>
          <w:i/>
          <w:color w:val="000000"/>
          <w:sz w:val="24"/>
          <w:szCs w:val="24"/>
        </w:rPr>
        <w:t xml:space="preserve">Journal of Finance, </w:t>
      </w:r>
      <w:r w:rsidRPr="00024012">
        <w:rPr>
          <w:rFonts w:ascii="Times New Roman" w:eastAsia="DFKai-SB" w:hAnsi="Times New Roman" w:cs="Times New Roman"/>
          <w:b/>
          <w:color w:val="000000"/>
          <w:sz w:val="24"/>
          <w:szCs w:val="24"/>
        </w:rPr>
        <w:t>68</w:t>
      </w:r>
      <w:r w:rsidRPr="00024012">
        <w:rPr>
          <w:rFonts w:ascii="Times New Roman" w:eastAsia="DFKai-SB" w:hAnsi="Times New Roman" w:cs="Times New Roman"/>
          <w:color w:val="000000"/>
          <w:sz w:val="24"/>
          <w:szCs w:val="24"/>
        </w:rPr>
        <w:t>(4), (2013), 1331-1364.</w:t>
      </w:r>
    </w:p>
    <w:p w14:paraId="28D8C4ED" w14:textId="77777777" w:rsidR="00024012" w:rsidRPr="00024012" w:rsidRDefault="00024012" w:rsidP="00024012">
      <w:pPr>
        <w:pStyle w:val="ad"/>
        <w:numPr>
          <w:ilvl w:val="0"/>
          <w:numId w:val="7"/>
        </w:numPr>
        <w:adjustRightInd w:val="0"/>
        <w:spacing w:line="360" w:lineRule="auto"/>
        <w:ind w:firstLineChars="0"/>
        <w:textAlignment w:val="baseline"/>
        <w:rPr>
          <w:rFonts w:ascii="Times New Roman" w:hAnsi="Times New Roman" w:cs="Times New Roman"/>
          <w:sz w:val="24"/>
          <w:szCs w:val="24"/>
        </w:rPr>
      </w:pPr>
      <w:r w:rsidRPr="00024012">
        <w:rPr>
          <w:rFonts w:ascii="Times New Roman" w:hAnsi="Times New Roman" w:cs="Times New Roman"/>
          <w:sz w:val="24"/>
          <w:szCs w:val="24"/>
        </w:rPr>
        <w:t xml:space="preserve">R. Ramakrishnan and A. </w:t>
      </w:r>
      <w:proofErr w:type="spellStart"/>
      <w:r w:rsidRPr="00024012">
        <w:rPr>
          <w:rFonts w:ascii="Times New Roman" w:hAnsi="Times New Roman" w:cs="Times New Roman"/>
          <w:sz w:val="24"/>
          <w:szCs w:val="24"/>
        </w:rPr>
        <w:t>Thakor</w:t>
      </w:r>
      <w:proofErr w:type="spellEnd"/>
      <w:r w:rsidRPr="00024012">
        <w:rPr>
          <w:rFonts w:ascii="Times New Roman" w:hAnsi="Times New Roman" w:cs="Times New Roman"/>
          <w:sz w:val="24"/>
          <w:szCs w:val="24"/>
        </w:rPr>
        <w:t xml:space="preserve">, Information reliability and a theory of financial intermediation, </w:t>
      </w:r>
      <w:r w:rsidRPr="00024012">
        <w:rPr>
          <w:rFonts w:ascii="Times New Roman" w:hAnsi="Times New Roman" w:cs="Times New Roman"/>
          <w:i/>
          <w:iCs/>
          <w:sz w:val="24"/>
          <w:szCs w:val="24"/>
        </w:rPr>
        <w:t xml:space="preserve">The Review of Economic Studies </w:t>
      </w:r>
      <w:r w:rsidRPr="00024012">
        <w:rPr>
          <w:rFonts w:ascii="Times New Roman" w:hAnsi="Times New Roman" w:cs="Times New Roman"/>
          <w:b/>
          <w:bCs/>
          <w:sz w:val="24"/>
          <w:szCs w:val="24"/>
        </w:rPr>
        <w:t>51</w:t>
      </w:r>
      <w:r w:rsidRPr="00024012">
        <w:rPr>
          <w:rFonts w:ascii="Times New Roman" w:hAnsi="Times New Roman" w:cs="Times New Roman"/>
          <w:sz w:val="24"/>
          <w:szCs w:val="24"/>
        </w:rPr>
        <w:t>(3), (1984), 415-432.</w:t>
      </w:r>
    </w:p>
    <w:p w14:paraId="1F078367" w14:textId="77777777" w:rsidR="00024012" w:rsidRPr="00024012" w:rsidRDefault="00024012" w:rsidP="00024012">
      <w:pPr>
        <w:pStyle w:val="ad"/>
        <w:numPr>
          <w:ilvl w:val="0"/>
          <w:numId w:val="7"/>
        </w:numPr>
        <w:adjustRightInd w:val="0"/>
        <w:spacing w:line="360" w:lineRule="auto"/>
        <w:ind w:firstLineChars="0"/>
        <w:textAlignment w:val="baseline"/>
        <w:rPr>
          <w:rFonts w:ascii="Times New Roman" w:hAnsi="Times New Roman" w:cs="Times New Roman"/>
          <w:sz w:val="24"/>
          <w:szCs w:val="24"/>
        </w:rPr>
      </w:pPr>
      <w:r w:rsidRPr="00024012">
        <w:rPr>
          <w:rFonts w:ascii="Times New Roman" w:hAnsi="Times New Roman" w:cs="Times New Roman"/>
          <w:sz w:val="24"/>
          <w:szCs w:val="24"/>
        </w:rPr>
        <w:t xml:space="preserve">Ralph S. J. </w:t>
      </w:r>
      <w:proofErr w:type="spellStart"/>
      <w:r w:rsidRPr="00024012">
        <w:rPr>
          <w:rFonts w:ascii="Times New Roman" w:hAnsi="Times New Roman" w:cs="Times New Roman"/>
          <w:sz w:val="24"/>
          <w:szCs w:val="24"/>
        </w:rPr>
        <w:t>Koijen</w:t>
      </w:r>
      <w:proofErr w:type="spellEnd"/>
      <w:r w:rsidRPr="00024012">
        <w:rPr>
          <w:rFonts w:ascii="Times New Roman" w:hAnsi="Times New Roman" w:cs="Times New Roman"/>
          <w:sz w:val="24"/>
          <w:szCs w:val="24"/>
        </w:rPr>
        <w:t xml:space="preserve"> and M. </w:t>
      </w:r>
      <w:proofErr w:type="spellStart"/>
      <w:r w:rsidRPr="00024012">
        <w:rPr>
          <w:rFonts w:ascii="Times New Roman" w:hAnsi="Times New Roman" w:cs="Times New Roman"/>
          <w:sz w:val="24"/>
          <w:szCs w:val="24"/>
        </w:rPr>
        <w:t>Yogo</w:t>
      </w:r>
      <w:proofErr w:type="spellEnd"/>
      <w:r w:rsidRPr="00024012">
        <w:rPr>
          <w:rFonts w:ascii="Times New Roman" w:hAnsi="Times New Roman" w:cs="Times New Roman"/>
          <w:sz w:val="24"/>
          <w:szCs w:val="24"/>
        </w:rPr>
        <w:t xml:space="preserve">, Shadow insurance. </w:t>
      </w:r>
      <w:proofErr w:type="spellStart"/>
      <w:r w:rsidRPr="00024012">
        <w:rPr>
          <w:rFonts w:ascii="Times New Roman" w:hAnsi="Times New Roman" w:cs="Times New Roman"/>
          <w:i/>
          <w:iCs/>
          <w:sz w:val="24"/>
          <w:szCs w:val="24"/>
        </w:rPr>
        <w:t>Econometrica</w:t>
      </w:r>
      <w:proofErr w:type="spellEnd"/>
      <w:r w:rsidRPr="00024012">
        <w:rPr>
          <w:rFonts w:ascii="Times New Roman" w:hAnsi="Times New Roman" w:cs="Times New Roman"/>
          <w:i/>
          <w:iCs/>
          <w:sz w:val="24"/>
          <w:szCs w:val="24"/>
        </w:rPr>
        <w:t>,</w:t>
      </w:r>
      <w:r w:rsidRPr="00024012">
        <w:rPr>
          <w:rFonts w:ascii="Times New Roman" w:hAnsi="Times New Roman" w:cs="Times New Roman"/>
          <w:b/>
          <w:bCs/>
          <w:sz w:val="24"/>
          <w:szCs w:val="24"/>
        </w:rPr>
        <w:t xml:space="preserve"> 84</w:t>
      </w:r>
      <w:r w:rsidRPr="00024012">
        <w:rPr>
          <w:rFonts w:ascii="Times New Roman" w:hAnsi="Times New Roman" w:cs="Times New Roman"/>
          <w:sz w:val="24"/>
          <w:szCs w:val="24"/>
        </w:rPr>
        <w:t>(3), (2016), 1265-1287.</w:t>
      </w:r>
    </w:p>
    <w:p w14:paraId="7E48CEF2" w14:textId="3C2C6A30" w:rsidR="00024012" w:rsidRDefault="00024012" w:rsidP="00024012">
      <w:pPr>
        <w:pStyle w:val="ad"/>
        <w:widowControl/>
        <w:numPr>
          <w:ilvl w:val="0"/>
          <w:numId w:val="7"/>
        </w:numPr>
        <w:autoSpaceDE w:val="0"/>
        <w:autoSpaceDN w:val="0"/>
        <w:adjustRightInd w:val="0"/>
        <w:spacing w:line="360" w:lineRule="auto"/>
        <w:ind w:firstLineChars="0"/>
        <w:textAlignment w:val="bottom"/>
        <w:rPr>
          <w:rFonts w:ascii="Times New Roman" w:eastAsia="DFKai-SB" w:hAnsi="Times New Roman" w:cs="Times New Roman"/>
          <w:color w:val="000000"/>
          <w:sz w:val="24"/>
          <w:szCs w:val="24"/>
        </w:rPr>
      </w:pPr>
      <w:r w:rsidRPr="00024012">
        <w:rPr>
          <w:rFonts w:ascii="Times New Roman" w:eastAsia="DFKai-SB" w:hAnsi="Times New Roman" w:cs="Times New Roman"/>
          <w:color w:val="000000"/>
          <w:sz w:val="24"/>
          <w:szCs w:val="24"/>
        </w:rPr>
        <w:t xml:space="preserve">S. Chernenko and A. </w:t>
      </w:r>
      <w:proofErr w:type="spellStart"/>
      <w:r w:rsidRPr="00024012">
        <w:rPr>
          <w:rFonts w:ascii="Times New Roman" w:eastAsia="DFKai-SB" w:hAnsi="Times New Roman" w:cs="Times New Roman"/>
          <w:color w:val="000000"/>
          <w:sz w:val="24"/>
          <w:szCs w:val="24"/>
        </w:rPr>
        <w:t>Sunderam</w:t>
      </w:r>
      <w:proofErr w:type="spellEnd"/>
      <w:r w:rsidRPr="00024012">
        <w:rPr>
          <w:rFonts w:ascii="Times New Roman" w:eastAsia="DFKai-SB" w:hAnsi="Times New Roman" w:cs="Times New Roman"/>
          <w:color w:val="000000"/>
          <w:sz w:val="24"/>
          <w:szCs w:val="24"/>
        </w:rPr>
        <w:t>, Frictions in shadow banking: evidence from the lending behavior of money market mutual funds,</w:t>
      </w:r>
      <w:r w:rsidRPr="00024012">
        <w:rPr>
          <w:rFonts w:ascii="Times New Roman" w:eastAsia="DFKai-SB" w:hAnsi="Times New Roman" w:cs="Times New Roman"/>
          <w:i/>
          <w:iCs/>
          <w:color w:val="000000"/>
          <w:sz w:val="24"/>
          <w:szCs w:val="24"/>
        </w:rPr>
        <w:t xml:space="preserve"> The </w:t>
      </w:r>
      <w:r w:rsidR="00A86FD9">
        <w:rPr>
          <w:rFonts w:ascii="Times New Roman" w:eastAsia="DFKai-SB" w:hAnsi="Times New Roman" w:cs="Times New Roman"/>
          <w:i/>
          <w:iCs/>
          <w:color w:val="000000"/>
          <w:sz w:val="24"/>
          <w:szCs w:val="24"/>
        </w:rPr>
        <w:t>R</w:t>
      </w:r>
      <w:r w:rsidRPr="00024012">
        <w:rPr>
          <w:rFonts w:ascii="Times New Roman" w:eastAsia="DFKai-SB" w:hAnsi="Times New Roman" w:cs="Times New Roman"/>
          <w:i/>
          <w:iCs/>
          <w:color w:val="000000"/>
          <w:sz w:val="24"/>
          <w:szCs w:val="24"/>
        </w:rPr>
        <w:t xml:space="preserve">eview of </w:t>
      </w:r>
      <w:r w:rsidR="00A86FD9">
        <w:rPr>
          <w:rFonts w:ascii="Times New Roman" w:eastAsia="DFKai-SB" w:hAnsi="Times New Roman" w:cs="Times New Roman"/>
          <w:i/>
          <w:iCs/>
          <w:color w:val="000000"/>
          <w:sz w:val="24"/>
          <w:szCs w:val="24"/>
        </w:rPr>
        <w:t>F</w:t>
      </w:r>
      <w:r w:rsidRPr="00024012">
        <w:rPr>
          <w:rFonts w:ascii="Times New Roman" w:eastAsia="DFKai-SB" w:hAnsi="Times New Roman" w:cs="Times New Roman"/>
          <w:i/>
          <w:iCs/>
          <w:color w:val="000000"/>
          <w:sz w:val="24"/>
          <w:szCs w:val="24"/>
        </w:rPr>
        <w:t xml:space="preserve">inancial </w:t>
      </w:r>
      <w:r w:rsidR="00A86FD9">
        <w:rPr>
          <w:rFonts w:ascii="Times New Roman" w:eastAsia="DFKai-SB" w:hAnsi="Times New Roman" w:cs="Times New Roman"/>
          <w:i/>
          <w:iCs/>
          <w:color w:val="000000"/>
          <w:sz w:val="24"/>
          <w:szCs w:val="24"/>
        </w:rPr>
        <w:t>S</w:t>
      </w:r>
      <w:r w:rsidRPr="00024012">
        <w:rPr>
          <w:rFonts w:ascii="Times New Roman" w:eastAsia="DFKai-SB" w:hAnsi="Times New Roman" w:cs="Times New Roman"/>
          <w:i/>
          <w:iCs/>
          <w:color w:val="000000"/>
          <w:sz w:val="24"/>
          <w:szCs w:val="24"/>
        </w:rPr>
        <w:t>tudies</w:t>
      </w:r>
      <w:r w:rsidRPr="00024012">
        <w:rPr>
          <w:rFonts w:ascii="Times New Roman" w:eastAsia="DFKai-SB" w:hAnsi="Times New Roman" w:cs="Times New Roman"/>
          <w:color w:val="000000"/>
          <w:sz w:val="24"/>
          <w:szCs w:val="24"/>
        </w:rPr>
        <w:t xml:space="preserve">, </w:t>
      </w:r>
      <w:r w:rsidRPr="00024012">
        <w:rPr>
          <w:rFonts w:ascii="Times New Roman" w:eastAsia="DFKai-SB" w:hAnsi="Times New Roman" w:cs="Times New Roman"/>
          <w:b/>
          <w:bCs/>
          <w:color w:val="000000"/>
          <w:sz w:val="24"/>
          <w:szCs w:val="24"/>
        </w:rPr>
        <w:t>27</w:t>
      </w:r>
      <w:r w:rsidRPr="00024012">
        <w:rPr>
          <w:rFonts w:ascii="Times New Roman" w:eastAsia="DFKai-SB" w:hAnsi="Times New Roman" w:cs="Times New Roman"/>
          <w:color w:val="000000"/>
          <w:sz w:val="24"/>
          <w:szCs w:val="24"/>
        </w:rPr>
        <w:t>(6), (2014), 1717-1750.</w:t>
      </w:r>
    </w:p>
    <w:p w14:paraId="265532E4" w14:textId="77777777" w:rsidR="00557F89" w:rsidRPr="00557F89" w:rsidRDefault="00557F89" w:rsidP="00557F89">
      <w:pPr>
        <w:pStyle w:val="ad"/>
        <w:numPr>
          <w:ilvl w:val="0"/>
          <w:numId w:val="7"/>
        </w:numPr>
        <w:ind w:firstLineChars="0"/>
        <w:rPr>
          <w:rFonts w:ascii="Times New Roman" w:eastAsia="DFKai-SB" w:hAnsi="Times New Roman" w:cs="Times New Roman"/>
          <w:color w:val="000000"/>
          <w:sz w:val="24"/>
          <w:szCs w:val="24"/>
        </w:rPr>
      </w:pPr>
      <w:r w:rsidRPr="00557F89">
        <w:rPr>
          <w:rFonts w:ascii="Times New Roman" w:eastAsia="DFKai-SB" w:hAnsi="Times New Roman" w:cs="Times New Roman"/>
          <w:color w:val="000000"/>
          <w:sz w:val="24"/>
          <w:szCs w:val="24"/>
        </w:rPr>
        <w:t xml:space="preserve">V. Acharya, P. </w:t>
      </w:r>
      <w:proofErr w:type="spellStart"/>
      <w:r w:rsidRPr="00557F89">
        <w:rPr>
          <w:rFonts w:ascii="Times New Roman" w:eastAsia="DFKai-SB" w:hAnsi="Times New Roman" w:cs="Times New Roman"/>
          <w:color w:val="000000"/>
          <w:sz w:val="24"/>
          <w:szCs w:val="24"/>
        </w:rPr>
        <w:t>Schnabl</w:t>
      </w:r>
      <w:proofErr w:type="spellEnd"/>
      <w:r w:rsidRPr="00557F89">
        <w:rPr>
          <w:rFonts w:ascii="Times New Roman" w:eastAsia="DFKai-SB" w:hAnsi="Times New Roman" w:cs="Times New Roman"/>
          <w:color w:val="000000"/>
          <w:sz w:val="24"/>
          <w:szCs w:val="24"/>
        </w:rPr>
        <w:t xml:space="preserve"> and G. Suarez, Securitization without risk transfer. Journal of Financial Economics, </w:t>
      </w:r>
      <w:r w:rsidRPr="002B7553">
        <w:rPr>
          <w:rFonts w:ascii="Times New Roman" w:eastAsia="DFKai-SB" w:hAnsi="Times New Roman" w:cs="Times New Roman"/>
          <w:b/>
          <w:bCs/>
          <w:color w:val="000000"/>
          <w:sz w:val="24"/>
          <w:szCs w:val="24"/>
        </w:rPr>
        <w:t>107</w:t>
      </w:r>
      <w:r w:rsidRPr="00557F89">
        <w:rPr>
          <w:rFonts w:ascii="Times New Roman" w:eastAsia="DFKai-SB" w:hAnsi="Times New Roman" w:cs="Times New Roman"/>
          <w:color w:val="000000"/>
          <w:sz w:val="24"/>
          <w:szCs w:val="24"/>
        </w:rPr>
        <w:t>(3), (2013), 515-536.</w:t>
      </w:r>
    </w:p>
    <w:p w14:paraId="1FE73533" w14:textId="77777777" w:rsidR="007720C3" w:rsidRPr="00FD4F94" w:rsidRDefault="007720C3" w:rsidP="00024012">
      <w:pPr>
        <w:adjustRightInd w:val="0"/>
        <w:spacing w:line="360" w:lineRule="auto"/>
        <w:jc w:val="left"/>
        <w:textAlignment w:val="baseline"/>
        <w:rPr>
          <w:rFonts w:ascii="Times New Roman" w:hAnsi="Times New Roman" w:cs="Times New Roman" w:hint="eastAsia"/>
          <w:bCs/>
          <w:color w:val="000000"/>
          <w:kern w:val="0"/>
          <w:sz w:val="24"/>
          <w:szCs w:val="24"/>
        </w:rPr>
      </w:pPr>
    </w:p>
    <w:sectPr w:rsidR="007720C3" w:rsidRPr="00FD4F94" w:rsidSect="00FD7A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687ED" w14:textId="77777777" w:rsidR="00A830AE" w:rsidRDefault="00A830AE" w:rsidP="00F97476">
      <w:r>
        <w:separator/>
      </w:r>
    </w:p>
  </w:endnote>
  <w:endnote w:type="continuationSeparator" w:id="0">
    <w:p w14:paraId="41001DAE" w14:textId="77777777" w:rsidR="00A830AE" w:rsidRDefault="00A830AE" w:rsidP="00F9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FKai-SB">
    <w:altName w:val="微软雅黑"/>
    <w:charset w:val="88"/>
    <w:family w:val="script"/>
    <w:pitch w:val="fixed"/>
    <w:sig w:usb0="00000003" w:usb1="080E0000"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716828"/>
      <w:docPartObj>
        <w:docPartGallery w:val="Page Numbers (Bottom of Page)"/>
        <w:docPartUnique/>
      </w:docPartObj>
    </w:sdtPr>
    <w:sdtContent>
      <w:p w14:paraId="353B2C40" w14:textId="77777777" w:rsidR="004B50A1" w:rsidRDefault="004B50A1">
        <w:pPr>
          <w:pStyle w:val="aa"/>
          <w:jc w:val="center"/>
        </w:pPr>
        <w:r>
          <w:fldChar w:fldCharType="begin"/>
        </w:r>
        <w:r>
          <w:instrText>PAGE   \* MERGEFORMAT</w:instrText>
        </w:r>
        <w:r>
          <w:fldChar w:fldCharType="separate"/>
        </w:r>
        <w:r w:rsidRPr="00757A01">
          <w:rPr>
            <w:noProof/>
            <w:lang w:val="zh-CN"/>
          </w:rPr>
          <w:t>10</w:t>
        </w:r>
        <w:r>
          <w:rPr>
            <w:noProof/>
            <w:lang w:val="zh-CN"/>
          </w:rPr>
          <w:fldChar w:fldCharType="end"/>
        </w:r>
      </w:p>
    </w:sdtContent>
  </w:sdt>
  <w:p w14:paraId="3A1D60BA" w14:textId="77777777" w:rsidR="004B50A1" w:rsidRDefault="004B50A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727BE" w14:textId="77777777" w:rsidR="00A830AE" w:rsidRDefault="00A830AE" w:rsidP="00F97476">
      <w:r>
        <w:separator/>
      </w:r>
    </w:p>
  </w:footnote>
  <w:footnote w:type="continuationSeparator" w:id="0">
    <w:p w14:paraId="59FA0F63" w14:textId="77777777" w:rsidR="00A830AE" w:rsidRDefault="00A830AE" w:rsidP="00F97476">
      <w:r>
        <w:continuationSeparator/>
      </w:r>
    </w:p>
  </w:footnote>
  <w:footnote w:id="1">
    <w:p w14:paraId="53BFA398" w14:textId="3E74668B" w:rsidR="004B50A1" w:rsidRDefault="004B50A1">
      <w:pPr>
        <w:pStyle w:val="a3"/>
      </w:pPr>
      <w:r>
        <w:rPr>
          <w:rStyle w:val="a5"/>
        </w:rPr>
        <w:footnoteRef/>
      </w:r>
      <w:r>
        <w:t xml:space="preserve"> </w:t>
      </w:r>
      <w:r w:rsidRPr="00765FFC">
        <w:rPr>
          <w:rFonts w:ascii="Times New Roman" w:eastAsia="PMingLiU" w:hAnsi="Times New Roman" w:cs="Times New Roman"/>
          <w:kern w:val="0"/>
          <w:lang w:eastAsia="zh-TW"/>
        </w:rPr>
        <w:t xml:space="preserve">PBC School of Finance, Tsinghua University, </w:t>
      </w:r>
      <w:r w:rsidRPr="00765FFC">
        <w:rPr>
          <w:rFonts w:ascii="Times New Roman" w:hAnsi="Times New Roman" w:cs="Times New Roman" w:hint="eastAsia"/>
          <w:kern w:val="0"/>
        </w:rPr>
        <w:t xml:space="preserve">Beijing 100083, </w:t>
      </w:r>
      <w:proofErr w:type="spellStart"/>
      <w:r w:rsidRPr="00765FFC">
        <w:rPr>
          <w:rFonts w:ascii="Times New Roman" w:hAnsi="Times New Roman" w:cs="Times New Roman" w:hint="eastAsia"/>
          <w:kern w:val="0"/>
        </w:rPr>
        <w:t>P.</w:t>
      </w:r>
      <w:r w:rsidRPr="00765FFC">
        <w:rPr>
          <w:rFonts w:ascii="Times New Roman" w:eastAsia="PMingLiU" w:hAnsi="Times New Roman" w:cs="Times New Roman"/>
          <w:kern w:val="0"/>
          <w:lang w:eastAsia="zh-TW"/>
        </w:rPr>
        <w:t>R.Ch</w:t>
      </w:r>
      <w:r w:rsidRPr="005B5050">
        <w:rPr>
          <w:rFonts w:ascii="Times New Roman" w:eastAsia="PMingLiU" w:hAnsi="Times New Roman" w:cs="Times New Roman"/>
          <w:kern w:val="0"/>
          <w:lang w:eastAsia="zh-TW"/>
        </w:rPr>
        <w:t>ina</w:t>
      </w:r>
      <w:proofErr w:type="spellEnd"/>
      <w:r w:rsidRPr="005B5050">
        <w:rPr>
          <w:rFonts w:ascii="Times New Roman" w:eastAsia="PMingLiU" w:hAnsi="Times New Roman" w:cs="Times New Roman"/>
          <w:kern w:val="0"/>
          <w:lang w:eastAsia="zh-TW"/>
        </w:rPr>
        <w:t xml:space="preserve">. </w:t>
      </w:r>
      <w:r w:rsidRPr="005B5050">
        <w:rPr>
          <w:rFonts w:ascii="Times New Roman" w:hAnsi="Times New Roman" w:cs="Times New Roman"/>
          <w:kern w:val="0"/>
        </w:rPr>
        <w:t>dengh</w:t>
      </w:r>
      <w:r w:rsidRPr="005B5050">
        <w:rPr>
          <w:rFonts w:ascii="Times New Roman" w:eastAsia="PMingLiU" w:hAnsi="Times New Roman" w:cs="Times New Roman"/>
          <w:kern w:val="0"/>
          <w:lang w:eastAsia="zh-TW"/>
        </w:rPr>
        <w:t>.15</w:t>
      </w:r>
      <w:r w:rsidRPr="00B85481">
        <w:rPr>
          <w:rFonts w:ascii="Times New Roman" w:eastAsia="PMingLiU" w:hAnsi="Times New Roman" w:cs="Times New Roman"/>
          <w:kern w:val="0"/>
          <w:lang w:eastAsia="zh-TW"/>
        </w:rPr>
        <w:t>@pbcsf.tsinghua.edu.cn</w:t>
      </w:r>
      <w:r>
        <w:rPr>
          <w:rFonts w:ascii="Times New Roman" w:eastAsia="PMingLiU" w:hAnsi="Times New Roman" w:cs="Times New Roman"/>
          <w:kern w:val="0"/>
          <w:lang w:eastAsia="zh-TW"/>
        </w:rPr>
        <w:t>.</w:t>
      </w:r>
    </w:p>
  </w:footnote>
  <w:footnote w:id="2">
    <w:p w14:paraId="62E153A7" w14:textId="7DEE3408" w:rsidR="004B50A1" w:rsidRPr="003061BC" w:rsidRDefault="004B50A1" w:rsidP="00101131">
      <w:pPr>
        <w:pStyle w:val="a3"/>
        <w:ind w:left="180" w:hangingChars="100" w:hanging="180"/>
        <w:rPr>
          <w:rFonts w:ascii="Times New Roman" w:hAnsi="Times New Roman" w:cs="Times New Roman"/>
        </w:rPr>
      </w:pPr>
      <w:r w:rsidRPr="003061BC">
        <w:rPr>
          <w:rStyle w:val="a5"/>
          <w:rFonts w:ascii="Times New Roman" w:hAnsi="Times New Roman" w:cs="Times New Roman"/>
        </w:rPr>
        <w:footnoteRef/>
      </w:r>
      <w:r w:rsidRPr="003061BC">
        <w:rPr>
          <w:rFonts w:ascii="Times New Roman" w:hAnsi="Times New Roman" w:cs="Times New Roman"/>
        </w:rPr>
        <w:t xml:space="preserve"> </w:t>
      </w:r>
      <w:proofErr w:type="spellStart"/>
      <w:r>
        <w:rPr>
          <w:rFonts w:ascii="Times New Roman" w:hAnsi="Times New Roman" w:cs="Times New Roman"/>
        </w:rPr>
        <w:t>PingAn</w:t>
      </w:r>
      <w:proofErr w:type="spellEnd"/>
      <w:r>
        <w:rPr>
          <w:rFonts w:ascii="Times New Roman" w:hAnsi="Times New Roman" w:cs="Times New Roman"/>
        </w:rPr>
        <w:t xml:space="preserve"> Bank, No.5047, </w:t>
      </w:r>
      <w:proofErr w:type="spellStart"/>
      <w:r>
        <w:rPr>
          <w:rFonts w:ascii="Times New Roman" w:hAnsi="Times New Roman" w:cs="Times New Roman"/>
        </w:rPr>
        <w:t>Shennan</w:t>
      </w:r>
      <w:proofErr w:type="spellEnd"/>
      <w:r>
        <w:rPr>
          <w:rFonts w:ascii="Times New Roman" w:hAnsi="Times New Roman" w:cs="Times New Roman"/>
        </w:rPr>
        <w:t xml:space="preserve"> Est Road, Shenzhen 518001, </w:t>
      </w:r>
      <w:proofErr w:type="spellStart"/>
      <w:r>
        <w:rPr>
          <w:rFonts w:ascii="Times New Roman" w:hAnsi="Times New Roman" w:cs="Times New Roman"/>
        </w:rPr>
        <w:t>P.R.China</w:t>
      </w:r>
      <w:proofErr w:type="spellEnd"/>
      <w:r>
        <w:rPr>
          <w:rFonts w:ascii="Times New Roman" w:hAnsi="Times New Roman" w:cs="Times New Roman"/>
        </w:rPr>
        <w:t xml:space="preserve">. </w:t>
      </w:r>
      <w:r w:rsidRPr="00101131">
        <w:rPr>
          <w:rFonts w:ascii="Times New Roman" w:hAnsi="Times New Roman" w:cs="Times New Roman"/>
        </w:rPr>
        <w:t>fuyu_cbrc@163.com</w:t>
      </w:r>
      <w:r>
        <w:rPr>
          <w:rFonts w:ascii="Times New Roman" w:hAnsi="Times New Roman" w:cs="Times New Roman"/>
        </w:rPr>
        <w:t>.</w:t>
      </w:r>
    </w:p>
  </w:footnote>
  <w:footnote w:id="3">
    <w:p w14:paraId="72B83585" w14:textId="18B04BB3" w:rsidR="00E20DC4" w:rsidRPr="00E20DC4" w:rsidRDefault="00E20DC4">
      <w:pPr>
        <w:pStyle w:val="a3"/>
        <w:rPr>
          <w:rFonts w:ascii="Times New Roman" w:hAnsi="Times New Roman" w:cs="Times New Roman"/>
        </w:rPr>
      </w:pPr>
      <w:r w:rsidRPr="00E20DC4">
        <w:rPr>
          <w:rStyle w:val="a5"/>
          <w:rFonts w:ascii="Times New Roman" w:hAnsi="Times New Roman" w:cs="Times New Roman"/>
        </w:rPr>
        <w:footnoteRef/>
      </w:r>
      <w:r w:rsidRPr="00E20DC4">
        <w:rPr>
          <w:rFonts w:ascii="Times New Roman" w:hAnsi="Times New Roman" w:cs="Times New Roman"/>
        </w:rPr>
        <w:t xml:space="preserve"> </w:t>
      </w:r>
      <w:r>
        <w:rPr>
          <w:rFonts w:ascii="Times New Roman" w:hAnsi="Times New Roman" w:cs="Times New Roman"/>
        </w:rPr>
        <w:t xml:space="preserve">i.e. the </w:t>
      </w:r>
      <w:r w:rsidRPr="00E20DC4">
        <w:rPr>
          <w:rFonts w:ascii="Times New Roman" w:hAnsi="Times New Roman" w:cs="Times New Roman"/>
        </w:rPr>
        <w:t>5 large commercial banks</w:t>
      </w:r>
      <w:r>
        <w:rPr>
          <w:rFonts w:ascii="Times New Roman" w:hAnsi="Times New Roman" w:cs="Times New Roman"/>
        </w:rPr>
        <w:t xml:space="preserve"> and </w:t>
      </w:r>
      <w:r w:rsidRPr="00E20DC4">
        <w:rPr>
          <w:rFonts w:ascii="Times New Roman" w:hAnsi="Times New Roman" w:cs="Times New Roman"/>
        </w:rPr>
        <w:t>8 national joint-stock commercial banks</w:t>
      </w:r>
      <w:r>
        <w:rPr>
          <w:rFonts w:ascii="Times New Roman" w:hAnsi="Times New Roman" w:cs="Times New Roman"/>
        </w:rPr>
        <w:t xml:space="preserve"> in this paper.</w:t>
      </w:r>
    </w:p>
  </w:footnote>
  <w:footnote w:id="4">
    <w:p w14:paraId="275A275E" w14:textId="7B00F4E8" w:rsidR="004B50A1" w:rsidRPr="00D07E50" w:rsidRDefault="004B50A1" w:rsidP="00DF2BA1">
      <w:pPr>
        <w:pStyle w:val="a3"/>
        <w:jc w:val="both"/>
        <w:rPr>
          <w:rFonts w:ascii="Times New Roman" w:hAnsi="Times New Roman" w:cs="Times New Roman"/>
        </w:rPr>
      </w:pPr>
      <w:r w:rsidRPr="00D07E50">
        <w:rPr>
          <w:rStyle w:val="a5"/>
          <w:rFonts w:ascii="Times New Roman" w:hAnsi="Times New Roman" w:cs="Times New Roman"/>
        </w:rPr>
        <w:footnoteRef/>
      </w:r>
      <w:r>
        <w:rPr>
          <w:rFonts w:ascii="Times New Roman" w:hAnsi="Times New Roman" w:cs="Times New Roman" w:hint="eastAsia"/>
        </w:rPr>
        <w:t xml:space="preserve"> </w:t>
      </w:r>
      <w:r>
        <w:rPr>
          <w:rFonts w:ascii="Times New Roman" w:hAnsi="Times New Roman" w:cs="Times New Roman"/>
        </w:rPr>
        <w:t>Even though the authority claims that the money policy is stable and moderate, but virtually easy.</w:t>
      </w:r>
    </w:p>
  </w:footnote>
  <w:footnote w:id="5">
    <w:p w14:paraId="722D1E61" w14:textId="510986EA" w:rsidR="004B50A1" w:rsidRPr="00E957E2" w:rsidRDefault="004B50A1" w:rsidP="00DF2BA1">
      <w:pPr>
        <w:pStyle w:val="a3"/>
        <w:jc w:val="both"/>
        <w:rPr>
          <w:rFonts w:ascii="Times New Roman" w:hAnsi="Times New Roman" w:cs="Times New Roman"/>
        </w:rPr>
      </w:pPr>
      <w:r w:rsidRPr="00E957E2">
        <w:rPr>
          <w:rStyle w:val="a5"/>
          <w:rFonts w:ascii="Times New Roman" w:hAnsi="Times New Roman" w:cs="Times New Roman"/>
        </w:rPr>
        <w:footnoteRef/>
      </w:r>
      <w:r w:rsidRPr="00E957E2">
        <w:rPr>
          <w:rFonts w:ascii="Times New Roman" w:hAnsi="Times New Roman" w:cs="Times New Roman"/>
        </w:rPr>
        <w:t xml:space="preserve"> </w:t>
      </w:r>
      <w:r>
        <w:rPr>
          <w:rFonts w:ascii="Times New Roman" w:hAnsi="Times New Roman" w:cs="Times New Roman"/>
        </w:rPr>
        <w:t>For instance, the upper limit of the real estate related loans as a share of total loans is 20% and the LGFV financing volume is prohibited to increase.</w:t>
      </w:r>
    </w:p>
  </w:footnote>
  <w:footnote w:id="6">
    <w:p w14:paraId="52A25EAA" w14:textId="0087D6AE" w:rsidR="004B50A1" w:rsidRPr="00DD187E" w:rsidRDefault="004B50A1" w:rsidP="00DF2BA1">
      <w:pPr>
        <w:pStyle w:val="a3"/>
        <w:jc w:val="both"/>
        <w:rPr>
          <w:rFonts w:ascii="Times New Roman" w:hAnsi="Times New Roman" w:cs="Times New Roman"/>
        </w:rPr>
      </w:pPr>
      <w:r w:rsidRPr="00DD187E">
        <w:rPr>
          <w:rStyle w:val="a5"/>
          <w:rFonts w:ascii="Times New Roman" w:hAnsi="Times New Roman" w:cs="Times New Roman"/>
        </w:rPr>
        <w:footnoteRef/>
      </w:r>
      <w:r w:rsidRPr="00DD187E">
        <w:rPr>
          <w:rFonts w:ascii="Times New Roman" w:hAnsi="Times New Roman" w:cs="Times New Roman"/>
        </w:rPr>
        <w:t xml:space="preserve"> </w:t>
      </w:r>
      <w:r>
        <w:rPr>
          <w:rFonts w:ascii="Times New Roman" w:hAnsi="Times New Roman" w:cs="Times New Roman"/>
        </w:rPr>
        <w:t>Actually, those uneconomical enterprises, i.e. unworthy of being financed by banks, also make use of SPV to obtain credit from banks later on.</w:t>
      </w:r>
    </w:p>
  </w:footnote>
  <w:footnote w:id="7">
    <w:p w14:paraId="7E7542BF" w14:textId="3FF4ED95" w:rsidR="004B50A1" w:rsidRPr="003E1438" w:rsidRDefault="004B50A1" w:rsidP="00DF2BA1">
      <w:pPr>
        <w:pStyle w:val="a3"/>
        <w:jc w:val="both"/>
        <w:rPr>
          <w:rFonts w:ascii="Times New Roman" w:hAnsi="Times New Roman" w:cs="Times New Roman"/>
        </w:rPr>
      </w:pPr>
      <w:r w:rsidRPr="003E1438">
        <w:rPr>
          <w:rStyle w:val="a5"/>
          <w:rFonts w:ascii="Times New Roman" w:hAnsi="Times New Roman" w:cs="Times New Roman"/>
        </w:rPr>
        <w:footnoteRef/>
      </w:r>
      <w:r w:rsidRPr="003E1438">
        <w:rPr>
          <w:rFonts w:ascii="Times New Roman" w:hAnsi="Times New Roman" w:cs="Times New Roman"/>
        </w:rPr>
        <w:t xml:space="preserve"> </w:t>
      </w:r>
      <w:r>
        <w:rPr>
          <w:rFonts w:ascii="Times New Roman" w:hAnsi="Times New Roman" w:cs="Times New Roman"/>
        </w:rPr>
        <w:t>He warned that “</w:t>
      </w:r>
      <w:r w:rsidRPr="003E1438">
        <w:rPr>
          <w:rFonts w:ascii="Times New Roman" w:hAnsi="Times New Roman" w:cs="Times New Roman"/>
        </w:rPr>
        <w:t xml:space="preserve">greater regulation of banks would push risky activities into the </w:t>
      </w:r>
      <w:r>
        <w:rPr>
          <w:rFonts w:ascii="Times New Roman" w:hAnsi="Times New Roman" w:cs="Times New Roman"/>
        </w:rPr>
        <w:t>‘</w:t>
      </w:r>
      <w:r w:rsidRPr="003E1438">
        <w:rPr>
          <w:rFonts w:ascii="Times New Roman" w:hAnsi="Times New Roman" w:cs="Times New Roman"/>
        </w:rPr>
        <w:t>shadow banking sector</w:t>
      </w:r>
      <w:r>
        <w:rPr>
          <w:rFonts w:ascii="Times New Roman" w:hAnsi="Times New Roman" w:cs="Times New Roman"/>
        </w:rPr>
        <w:t>’</w:t>
      </w:r>
      <w:r w:rsidRPr="003E1438">
        <w:rPr>
          <w:rFonts w:ascii="Times New Roman" w:hAnsi="Times New Roman" w:cs="Times New Roman"/>
        </w:rPr>
        <w:t xml:space="preserve"> which </w:t>
      </w:r>
      <w:r>
        <w:rPr>
          <w:rFonts w:ascii="Times New Roman" w:hAnsi="Times New Roman" w:cs="Times New Roman"/>
        </w:rPr>
        <w:t>i</w:t>
      </w:r>
      <w:r w:rsidRPr="003E1438">
        <w:rPr>
          <w:rFonts w:ascii="Times New Roman" w:hAnsi="Times New Roman" w:cs="Times New Roman"/>
        </w:rPr>
        <w:t xml:space="preserve">s </w:t>
      </w:r>
      <w:r>
        <w:rPr>
          <w:rFonts w:ascii="Times New Roman" w:hAnsi="Times New Roman" w:cs="Times New Roman"/>
        </w:rPr>
        <w:t>‘</w:t>
      </w:r>
      <w:r w:rsidRPr="003E1438">
        <w:rPr>
          <w:rFonts w:ascii="Times New Roman" w:hAnsi="Times New Roman" w:cs="Times New Roman"/>
        </w:rPr>
        <w:t>less regulated</w:t>
      </w:r>
      <w:r>
        <w:rPr>
          <w:rFonts w:ascii="Times New Roman" w:hAnsi="Times New Roman" w:cs="Times New Roman"/>
        </w:rPr>
        <w:t>’</w:t>
      </w:r>
      <w:r w:rsidRPr="003E1438">
        <w:rPr>
          <w:rFonts w:ascii="Times New Roman" w:hAnsi="Times New Roman" w:cs="Times New Roman"/>
        </w:rPr>
        <w:t xml:space="preserve"> and </w:t>
      </w:r>
      <w:r>
        <w:rPr>
          <w:rFonts w:ascii="Times New Roman" w:hAnsi="Times New Roman" w:cs="Times New Roman"/>
        </w:rPr>
        <w:t>‘</w:t>
      </w:r>
      <w:r w:rsidRPr="003E1438">
        <w:rPr>
          <w:rFonts w:ascii="Times New Roman" w:hAnsi="Times New Roman" w:cs="Times New Roman"/>
        </w:rPr>
        <w:t>opaque</w:t>
      </w:r>
      <w:r>
        <w:rPr>
          <w:rFonts w:ascii="Times New Roman" w:hAnsi="Times New Roman" w:cs="Times New Roman"/>
        </w:rPr>
        <w:t xml:space="preserve">’”, see </w:t>
      </w:r>
      <w:hyperlink r:id="rId1" w:history="1">
        <w:r w:rsidRPr="006D3DB2">
          <w:rPr>
            <w:rStyle w:val="af0"/>
            <w:rFonts w:ascii="Times New Roman" w:hAnsi="Times New Roman" w:cs="Times New Roman"/>
          </w:rPr>
          <w:t>https://www.cnbc.com/id/41309128/</w:t>
        </w:r>
      </w:hyperlink>
      <w:r>
        <w:rPr>
          <w:rFonts w:ascii="Times New Roman" w:hAnsi="Times New Roman" w:cs="Times New Roman"/>
        </w:rPr>
        <w:t xml:space="preserve">. </w:t>
      </w:r>
    </w:p>
  </w:footnote>
  <w:footnote w:id="8">
    <w:p w14:paraId="777AA31C" w14:textId="25F24A8B" w:rsidR="004B50A1" w:rsidRPr="0028575C" w:rsidRDefault="004B50A1" w:rsidP="00DF2BA1">
      <w:pPr>
        <w:pStyle w:val="a3"/>
        <w:jc w:val="both"/>
        <w:rPr>
          <w:rFonts w:ascii="Times New Roman" w:hAnsi="Times New Roman" w:cs="Times New Roman"/>
        </w:rPr>
      </w:pPr>
      <w:r w:rsidRPr="0028575C">
        <w:rPr>
          <w:rStyle w:val="a5"/>
          <w:rFonts w:ascii="Times New Roman" w:hAnsi="Times New Roman" w:cs="Times New Roman"/>
        </w:rPr>
        <w:footnoteRef/>
      </w:r>
      <w:r w:rsidRPr="0028575C">
        <w:rPr>
          <w:rFonts w:ascii="Times New Roman" w:hAnsi="Times New Roman" w:cs="Times New Roman"/>
        </w:rPr>
        <w:t xml:space="preserve"> </w:t>
      </w:r>
      <w:r>
        <w:rPr>
          <w:rFonts w:ascii="Times New Roman" w:hAnsi="Times New Roman" w:cs="Times New Roman"/>
        </w:rPr>
        <w:t xml:space="preserve">As a matter of fact, there is an earlier discussion, see in Gorton and Metric (2010), whose work focuses on regulating the shadow banking system, particularly on the repos and securitization. They propose to employ two methods to emphasize the regulation of which one is the strict guidelines on collateral and the other one is the government-guaranteed insurance. In addition, they also make an analysis about the run on the repo market in Gorton and </w:t>
      </w:r>
      <w:proofErr w:type="spellStart"/>
      <w:r>
        <w:rPr>
          <w:rFonts w:ascii="Times New Roman" w:hAnsi="Times New Roman" w:cs="Times New Roman"/>
        </w:rPr>
        <w:t>Metrick</w:t>
      </w:r>
      <w:proofErr w:type="spellEnd"/>
      <w:r>
        <w:rPr>
          <w:rFonts w:ascii="Times New Roman" w:hAnsi="Times New Roman" w:cs="Times New Roman"/>
        </w:rPr>
        <w:t xml:space="preserve"> (2012).</w:t>
      </w:r>
    </w:p>
  </w:footnote>
  <w:footnote w:id="9">
    <w:p w14:paraId="1B3F4A54" w14:textId="7FA14A9B" w:rsidR="004B50A1" w:rsidRPr="00DF2BA1" w:rsidRDefault="004B50A1">
      <w:pPr>
        <w:pStyle w:val="a3"/>
        <w:rPr>
          <w:rFonts w:ascii="Times New Roman" w:hAnsi="Times New Roman" w:cs="Times New Roman"/>
        </w:rPr>
      </w:pPr>
      <w:r w:rsidRPr="00DF2BA1">
        <w:rPr>
          <w:rStyle w:val="a5"/>
          <w:rFonts w:ascii="Times New Roman" w:hAnsi="Times New Roman" w:cs="Times New Roman"/>
        </w:rPr>
        <w:footnoteRef/>
      </w:r>
      <w:r w:rsidRPr="00DF2BA1">
        <w:rPr>
          <w:rFonts w:ascii="Times New Roman" w:hAnsi="Times New Roman" w:cs="Times New Roman"/>
        </w:rPr>
        <w:t xml:space="preserve"> </w:t>
      </w:r>
      <w:r>
        <w:rPr>
          <w:rFonts w:ascii="Times New Roman" w:hAnsi="Times New Roman" w:cs="Times New Roman"/>
        </w:rPr>
        <w:t xml:space="preserve">An earlier work of Calomiris (2009), prior to the concept of shadow banking, noticed and argued that it is the government-induced distortions and corporate governance problems that play the important role of causing the propensity of such risk-taking financial sector, i.e. shadow banking system later. </w:t>
      </w:r>
    </w:p>
  </w:footnote>
  <w:footnote w:id="10">
    <w:p w14:paraId="63A3FFDA" w14:textId="41E3722F" w:rsidR="004B50A1" w:rsidRPr="00306526" w:rsidRDefault="004B50A1" w:rsidP="00DF2BA1">
      <w:pPr>
        <w:pStyle w:val="a3"/>
        <w:jc w:val="both"/>
        <w:rPr>
          <w:rFonts w:ascii="Times New Roman" w:hAnsi="Times New Roman" w:cs="Times New Roman"/>
        </w:rPr>
      </w:pPr>
      <w:r w:rsidRPr="00306526">
        <w:rPr>
          <w:rStyle w:val="a5"/>
          <w:rFonts w:ascii="Times New Roman" w:hAnsi="Times New Roman" w:cs="Times New Roman"/>
        </w:rPr>
        <w:footnoteRef/>
      </w:r>
      <w:r w:rsidRPr="00306526">
        <w:rPr>
          <w:rFonts w:ascii="Times New Roman" w:hAnsi="Times New Roman" w:cs="Times New Roman"/>
        </w:rPr>
        <w:t xml:space="preserve"> </w:t>
      </w:r>
      <w:r>
        <w:rPr>
          <w:rFonts w:ascii="Times New Roman" w:hAnsi="Times New Roman" w:cs="Times New Roman"/>
        </w:rPr>
        <w:t xml:space="preserve">As they point out, it is consistent with the arguments of </w:t>
      </w:r>
      <w:proofErr w:type="spellStart"/>
      <w:r>
        <w:rPr>
          <w:rFonts w:ascii="Times New Roman" w:hAnsi="Times New Roman" w:cs="Times New Roman"/>
        </w:rPr>
        <w:t>Karshyap</w:t>
      </w:r>
      <w:proofErr w:type="spellEnd"/>
      <w:r>
        <w:rPr>
          <w:rFonts w:ascii="Times New Roman" w:hAnsi="Times New Roman" w:cs="Times New Roman"/>
        </w:rPr>
        <w:t xml:space="preserve"> et al (2002) and </w:t>
      </w:r>
      <w:proofErr w:type="spellStart"/>
      <w:r>
        <w:rPr>
          <w:rFonts w:ascii="Times New Roman" w:hAnsi="Times New Roman" w:cs="Times New Roman"/>
        </w:rPr>
        <w:t>Pennacchi</w:t>
      </w:r>
      <w:proofErr w:type="spellEnd"/>
      <w:r>
        <w:rPr>
          <w:rFonts w:ascii="Times New Roman" w:hAnsi="Times New Roman" w:cs="Times New Roman"/>
        </w:rPr>
        <w:t xml:space="preserve"> (2006). On the other hand, guarantees also plays a role of stimulate sponsors to carefully check the conduit’s asset, see </w:t>
      </w:r>
      <w:r w:rsidRPr="00DF2BA1">
        <w:rPr>
          <w:rFonts w:ascii="Times New Roman" w:hAnsi="Times New Roman" w:cs="Times New Roman"/>
        </w:rPr>
        <w:t xml:space="preserve">Ramakrishnan and </w:t>
      </w:r>
      <w:proofErr w:type="spellStart"/>
      <w:r w:rsidRPr="00DF2BA1">
        <w:rPr>
          <w:rFonts w:ascii="Times New Roman" w:hAnsi="Times New Roman" w:cs="Times New Roman"/>
        </w:rPr>
        <w:t>Thakor</w:t>
      </w:r>
      <w:proofErr w:type="spellEnd"/>
      <w:r>
        <w:rPr>
          <w:rFonts w:ascii="Times New Roman" w:hAnsi="Times New Roman" w:cs="Times New Roman"/>
        </w:rPr>
        <w:t xml:space="preserve"> (1984), Keys et al (2010).</w:t>
      </w:r>
    </w:p>
  </w:footnote>
  <w:footnote w:id="11">
    <w:p w14:paraId="58E3E32E" w14:textId="4A2454A5" w:rsidR="0009168B" w:rsidRPr="0009168B" w:rsidRDefault="0009168B">
      <w:pPr>
        <w:pStyle w:val="a3"/>
        <w:rPr>
          <w:rFonts w:ascii="Times New Roman" w:hAnsi="Times New Roman" w:cs="Times New Roman"/>
        </w:rPr>
      </w:pPr>
      <w:r w:rsidRPr="0009168B">
        <w:rPr>
          <w:rStyle w:val="a5"/>
          <w:rFonts w:ascii="Times New Roman" w:hAnsi="Times New Roman" w:cs="Times New Roman"/>
        </w:rPr>
        <w:footnoteRef/>
      </w:r>
      <w:r w:rsidRPr="0009168B">
        <w:rPr>
          <w:rFonts w:ascii="Times New Roman" w:hAnsi="Times New Roman" w:cs="Times New Roman"/>
        </w:rPr>
        <w:t xml:space="preserve"> </w:t>
      </w:r>
      <w:r>
        <w:rPr>
          <w:rFonts w:ascii="Times New Roman" w:hAnsi="Times New Roman" w:cs="Times New Roman"/>
        </w:rPr>
        <w:t>It also has another popular and famous name of the ‘nonstandard asset’.</w:t>
      </w:r>
    </w:p>
  </w:footnote>
  <w:footnote w:id="12">
    <w:p w14:paraId="08681814" w14:textId="5506B1AD" w:rsidR="00DE12E7" w:rsidRPr="00DE12E7" w:rsidRDefault="00DE12E7">
      <w:pPr>
        <w:pStyle w:val="a3"/>
        <w:rPr>
          <w:rFonts w:ascii="Times New Roman" w:hAnsi="Times New Roman" w:cs="Times New Roman"/>
        </w:rPr>
      </w:pPr>
      <w:r w:rsidRPr="00DE12E7">
        <w:rPr>
          <w:rStyle w:val="a5"/>
          <w:rFonts w:ascii="Times New Roman" w:hAnsi="Times New Roman" w:cs="Times New Roman"/>
        </w:rPr>
        <w:footnoteRef/>
      </w:r>
      <w:r w:rsidRPr="00DE12E7">
        <w:rPr>
          <w:rFonts w:ascii="Times New Roman" w:hAnsi="Times New Roman" w:cs="Times New Roman"/>
        </w:rPr>
        <w:t xml:space="preserve"> </w:t>
      </w:r>
      <w:r>
        <w:rPr>
          <w:rFonts w:ascii="Times New Roman" w:hAnsi="Times New Roman" w:cs="Times New Roman"/>
        </w:rPr>
        <w:t>They are not listed firms and it is relatively hard to collect regarding data as they are distributed in 30 different provinces.</w:t>
      </w:r>
    </w:p>
  </w:footnote>
  <w:footnote w:id="13">
    <w:p w14:paraId="453A1481" w14:textId="157A81AC" w:rsidR="004B50A1" w:rsidRPr="00BB33BB" w:rsidRDefault="004B50A1">
      <w:pPr>
        <w:pStyle w:val="a3"/>
        <w:rPr>
          <w:rFonts w:ascii="Times New Roman" w:hAnsi="Times New Roman" w:cs="Times New Roman"/>
        </w:rPr>
      </w:pPr>
      <w:r w:rsidRPr="00BB33BB">
        <w:rPr>
          <w:rStyle w:val="a5"/>
          <w:rFonts w:ascii="Times New Roman" w:hAnsi="Times New Roman" w:cs="Times New Roman"/>
        </w:rPr>
        <w:footnoteRef/>
      </w:r>
      <w:r w:rsidRPr="00BB33BB">
        <w:rPr>
          <w:rFonts w:ascii="Times New Roman" w:hAnsi="Times New Roman" w:cs="Times New Roman"/>
        </w:rPr>
        <w:t xml:space="preserve"> </w:t>
      </w:r>
      <w:r>
        <w:rPr>
          <w:rFonts w:ascii="Times New Roman" w:hAnsi="Times New Roman" w:cs="Times New Roman"/>
        </w:rPr>
        <w:t>They are ICBC (</w:t>
      </w:r>
      <w:r w:rsidRPr="00066CD5">
        <w:rPr>
          <w:rFonts w:ascii="Times New Roman" w:hAnsi="Times New Roman" w:cs="Times New Roman"/>
        </w:rPr>
        <w:t>Industrial and Commercial Bank of China</w:t>
      </w:r>
      <w:r>
        <w:rPr>
          <w:rFonts w:ascii="Times New Roman" w:hAnsi="Times New Roman" w:cs="Times New Roman"/>
        </w:rPr>
        <w:t>), ABC (Agricultural Bank of China), BOC (Bank of China), CCB (China Construction Bank) and BC (Bank of Communications).</w:t>
      </w:r>
    </w:p>
  </w:footnote>
  <w:footnote w:id="14">
    <w:p w14:paraId="008021DF" w14:textId="489C9031" w:rsidR="004B50A1" w:rsidRPr="00554A97" w:rsidRDefault="004B50A1">
      <w:pPr>
        <w:pStyle w:val="a3"/>
        <w:rPr>
          <w:rFonts w:ascii="Times New Roman" w:hAnsi="Times New Roman" w:cs="Times New Roman"/>
        </w:rPr>
      </w:pPr>
      <w:r w:rsidRPr="00554A97">
        <w:rPr>
          <w:rStyle w:val="a5"/>
          <w:rFonts w:ascii="Times New Roman" w:hAnsi="Times New Roman" w:cs="Times New Roman"/>
        </w:rPr>
        <w:footnoteRef/>
      </w:r>
      <w:r w:rsidRPr="00554A97">
        <w:rPr>
          <w:rFonts w:ascii="Times New Roman" w:hAnsi="Times New Roman" w:cs="Times New Roman"/>
        </w:rPr>
        <w:t xml:space="preserve"> </w:t>
      </w:r>
      <w:r>
        <w:rPr>
          <w:rFonts w:ascii="Times New Roman" w:hAnsi="Times New Roman" w:cs="Times New Roman"/>
        </w:rPr>
        <w:t xml:space="preserve">They are </w:t>
      </w:r>
      <w:r w:rsidRPr="00554A97">
        <w:rPr>
          <w:rFonts w:ascii="Times New Roman" w:hAnsi="Times New Roman" w:cs="Times New Roman"/>
        </w:rPr>
        <w:t>SPDB</w:t>
      </w:r>
      <w:r>
        <w:rPr>
          <w:rFonts w:ascii="Times New Roman" w:hAnsi="Times New Roman" w:cs="Times New Roman"/>
        </w:rPr>
        <w:t xml:space="preserve"> </w:t>
      </w:r>
      <w:r w:rsidRPr="00554A97">
        <w:rPr>
          <w:rFonts w:ascii="Times New Roman" w:hAnsi="Times New Roman" w:cs="Times New Roman"/>
        </w:rPr>
        <w:t>(Shanghai Pudong Development Bank)</w:t>
      </w:r>
      <w:r>
        <w:rPr>
          <w:rFonts w:ascii="Times New Roman" w:hAnsi="Times New Roman" w:cs="Times New Roman"/>
        </w:rPr>
        <w:t xml:space="preserve">, </w:t>
      </w:r>
      <w:r w:rsidRPr="00554A97">
        <w:rPr>
          <w:rFonts w:ascii="Times New Roman" w:hAnsi="Times New Roman" w:cs="Times New Roman"/>
        </w:rPr>
        <w:t xml:space="preserve">CMBC (China </w:t>
      </w:r>
      <w:proofErr w:type="spellStart"/>
      <w:r w:rsidRPr="00554A97">
        <w:rPr>
          <w:rFonts w:ascii="Times New Roman" w:hAnsi="Times New Roman" w:cs="Times New Roman"/>
        </w:rPr>
        <w:t>Minsheng</w:t>
      </w:r>
      <w:proofErr w:type="spellEnd"/>
      <w:r w:rsidRPr="00554A97">
        <w:rPr>
          <w:rFonts w:ascii="Times New Roman" w:hAnsi="Times New Roman" w:cs="Times New Roman"/>
        </w:rPr>
        <w:t xml:space="preserve"> Banking </w:t>
      </w:r>
      <w:proofErr w:type="spellStart"/>
      <w:r w:rsidRPr="00554A97">
        <w:rPr>
          <w:rFonts w:ascii="Times New Roman" w:hAnsi="Times New Roman" w:cs="Times New Roman"/>
        </w:rPr>
        <w:t>Corp.Ltd</w:t>
      </w:r>
      <w:proofErr w:type="spellEnd"/>
      <w:r w:rsidRPr="00554A97">
        <w:rPr>
          <w:rFonts w:ascii="Times New Roman" w:hAnsi="Times New Roman" w:cs="Times New Roman"/>
        </w:rPr>
        <w:t>.)</w:t>
      </w:r>
      <w:r>
        <w:rPr>
          <w:rFonts w:ascii="Times New Roman" w:hAnsi="Times New Roman" w:cs="Times New Roman"/>
        </w:rPr>
        <w:t xml:space="preserve">, </w:t>
      </w:r>
      <w:r w:rsidRPr="00554A97">
        <w:rPr>
          <w:rFonts w:ascii="Times New Roman" w:hAnsi="Times New Roman" w:cs="Times New Roman"/>
        </w:rPr>
        <w:t>CMBC</w:t>
      </w:r>
      <w:r>
        <w:rPr>
          <w:rFonts w:ascii="Times New Roman" w:hAnsi="Times New Roman" w:cs="Times New Roman"/>
        </w:rPr>
        <w:t xml:space="preserve"> </w:t>
      </w:r>
      <w:r w:rsidRPr="00554A97">
        <w:rPr>
          <w:rFonts w:ascii="Times New Roman" w:hAnsi="Times New Roman" w:cs="Times New Roman"/>
        </w:rPr>
        <w:t>(China Merchants Bank)</w:t>
      </w:r>
      <w:r>
        <w:rPr>
          <w:rFonts w:ascii="Times New Roman" w:hAnsi="Times New Roman" w:cs="Times New Roman"/>
        </w:rPr>
        <w:t xml:space="preserve">, </w:t>
      </w:r>
      <w:r w:rsidRPr="00554A97">
        <w:rPr>
          <w:rFonts w:ascii="Times New Roman" w:hAnsi="Times New Roman" w:cs="Times New Roman"/>
        </w:rPr>
        <w:t>HXB(Hua Xia Bank)</w:t>
      </w:r>
      <w:r>
        <w:rPr>
          <w:rFonts w:ascii="Times New Roman" w:hAnsi="Times New Roman" w:cs="Times New Roman"/>
        </w:rPr>
        <w:t>, PAB (</w:t>
      </w:r>
      <w:proofErr w:type="spellStart"/>
      <w:r>
        <w:rPr>
          <w:rFonts w:ascii="Times New Roman" w:hAnsi="Times New Roman" w:cs="Times New Roman"/>
        </w:rPr>
        <w:t>PingAn</w:t>
      </w:r>
      <w:proofErr w:type="spellEnd"/>
      <w:r>
        <w:rPr>
          <w:rFonts w:ascii="Times New Roman" w:hAnsi="Times New Roman" w:cs="Times New Roman"/>
        </w:rPr>
        <w:t xml:space="preserve"> Bank), IB (</w:t>
      </w:r>
      <w:r w:rsidRPr="00554A97">
        <w:rPr>
          <w:rFonts w:ascii="Times New Roman" w:hAnsi="Times New Roman" w:cs="Times New Roman"/>
        </w:rPr>
        <w:t>Industrial Bank</w:t>
      </w:r>
      <w:r>
        <w:rPr>
          <w:rFonts w:ascii="Times New Roman" w:hAnsi="Times New Roman" w:cs="Times New Roman"/>
        </w:rPr>
        <w:t xml:space="preserve">), CCB (China </w:t>
      </w:r>
      <w:proofErr w:type="spellStart"/>
      <w:r>
        <w:rPr>
          <w:rFonts w:ascii="Times New Roman" w:hAnsi="Times New Roman" w:cs="Times New Roman"/>
        </w:rPr>
        <w:t>Citic</w:t>
      </w:r>
      <w:proofErr w:type="spellEnd"/>
      <w:r>
        <w:rPr>
          <w:rFonts w:ascii="Times New Roman" w:hAnsi="Times New Roman" w:cs="Times New Roman"/>
        </w:rPr>
        <w:t xml:space="preserve"> Bank) and </w:t>
      </w:r>
      <w:r w:rsidRPr="00D44241">
        <w:rPr>
          <w:rFonts w:ascii="Times New Roman" w:hAnsi="Times New Roman" w:cs="Times New Roman"/>
        </w:rPr>
        <w:t>CEB (China Everbright Bank)</w:t>
      </w:r>
      <w:r>
        <w:rPr>
          <w:rFonts w:ascii="Times New Roman" w:hAnsi="Times New Roman" w:cs="Times New Roman"/>
        </w:rPr>
        <w:t>.</w:t>
      </w:r>
    </w:p>
  </w:footnote>
  <w:footnote w:id="15">
    <w:p w14:paraId="34C03D92" w14:textId="30049490" w:rsidR="004B50A1" w:rsidRPr="00434FDD" w:rsidRDefault="004B50A1">
      <w:pPr>
        <w:pStyle w:val="a3"/>
        <w:rPr>
          <w:rFonts w:ascii="Times New Roman" w:hAnsi="Times New Roman" w:cs="Times New Roman"/>
        </w:rPr>
      </w:pPr>
      <w:r w:rsidRPr="00434FDD">
        <w:rPr>
          <w:rStyle w:val="a5"/>
          <w:rFonts w:ascii="Times New Roman" w:hAnsi="Times New Roman" w:cs="Times New Roman"/>
        </w:rPr>
        <w:footnoteRef/>
      </w:r>
      <w:r w:rsidRPr="00434FDD">
        <w:rPr>
          <w:rFonts w:ascii="Times New Roman" w:hAnsi="Times New Roman" w:cs="Times New Roman"/>
        </w:rPr>
        <w:t xml:space="preserve"> </w:t>
      </w:r>
      <w:r>
        <w:rPr>
          <w:rFonts w:ascii="Times New Roman" w:hAnsi="Times New Roman" w:cs="Times New Roman"/>
        </w:rPr>
        <w:t>They are independent with the residual serials by test.</w:t>
      </w:r>
    </w:p>
  </w:footnote>
  <w:footnote w:id="16">
    <w:p w14:paraId="2DC7FDDD" w14:textId="5463C5AB" w:rsidR="004B50A1" w:rsidRPr="00AF1CDD" w:rsidRDefault="004B50A1">
      <w:pPr>
        <w:pStyle w:val="a3"/>
        <w:rPr>
          <w:rFonts w:ascii="Times New Roman" w:hAnsi="Times New Roman" w:cs="Times New Roman"/>
        </w:rPr>
      </w:pPr>
      <w:r w:rsidRPr="00AF1CDD">
        <w:rPr>
          <w:rStyle w:val="a5"/>
          <w:rFonts w:ascii="Times New Roman" w:hAnsi="Times New Roman" w:cs="Times New Roman"/>
        </w:rPr>
        <w:footnoteRef/>
      </w:r>
      <w:r w:rsidRPr="00AF1CDD">
        <w:rPr>
          <w:rFonts w:ascii="Times New Roman" w:hAnsi="Times New Roman" w:cs="Times New Roman"/>
        </w:rPr>
        <w:t xml:space="preserve"> </w:t>
      </w:r>
      <w:r>
        <w:rPr>
          <w:rFonts w:ascii="Times New Roman" w:hAnsi="Times New Roman" w:cs="Times New Roman"/>
        </w:rPr>
        <w:t xml:space="preserve">The </w:t>
      </w:r>
      <w:proofErr w:type="spellStart"/>
      <w:r>
        <w:rPr>
          <w:rFonts w:ascii="Times New Roman" w:hAnsi="Times New Roman" w:cs="Times New Roman"/>
        </w:rPr>
        <w:t>Sargan</w:t>
      </w:r>
      <w:proofErr w:type="spellEnd"/>
      <w:r>
        <w:rPr>
          <w:rFonts w:ascii="Times New Roman" w:hAnsi="Times New Roman" w:cs="Times New Roman"/>
        </w:rPr>
        <w:t xml:space="preserve"> Test shows the P-value (0.4247) is much greater than 0, so the instruments variables are effective.</w:t>
      </w:r>
    </w:p>
  </w:footnote>
  <w:footnote w:id="17">
    <w:p w14:paraId="407F80EA" w14:textId="3E6CFACF" w:rsidR="004B50A1" w:rsidRPr="00FD79BD" w:rsidRDefault="004B50A1">
      <w:pPr>
        <w:pStyle w:val="a3"/>
        <w:rPr>
          <w:rFonts w:ascii="Times New Roman" w:hAnsi="Times New Roman" w:cs="Times New Roman"/>
        </w:rPr>
      </w:pPr>
      <w:r w:rsidRPr="00FD79BD">
        <w:rPr>
          <w:rStyle w:val="a5"/>
          <w:rFonts w:ascii="Times New Roman" w:hAnsi="Times New Roman" w:cs="Times New Roman"/>
        </w:rPr>
        <w:footnoteRef/>
      </w:r>
      <w:r w:rsidRPr="00FD79BD">
        <w:rPr>
          <w:rFonts w:ascii="Times New Roman" w:hAnsi="Times New Roman" w:cs="Times New Roman"/>
        </w:rPr>
        <w:t xml:space="preserve"> </w:t>
      </w:r>
      <w:r>
        <w:rPr>
          <w:rFonts w:ascii="Times New Roman" w:hAnsi="Times New Roman" w:cs="Times New Roman"/>
        </w:rPr>
        <w:t xml:space="preserve">The </w:t>
      </w:r>
      <w:r w:rsidRPr="00FD79BD">
        <w:rPr>
          <w:rFonts w:ascii="Times New Roman" w:hAnsi="Times New Roman" w:cs="Times New Roman"/>
        </w:rPr>
        <w:t>disturbance term of the difference</w:t>
      </w:r>
      <w:r>
        <w:rPr>
          <w:rFonts w:ascii="Times New Roman" w:hAnsi="Times New Roman" w:cs="Times New Roman"/>
        </w:rPr>
        <w:t xml:space="preserve"> equation is of first-order autocorrelation but not second-order autocorrelation.</w:t>
      </w:r>
    </w:p>
  </w:footnote>
  <w:footnote w:id="18">
    <w:p w14:paraId="4B30DEC9" w14:textId="3FD8A290" w:rsidR="004B50A1" w:rsidRPr="0087060A" w:rsidRDefault="004B50A1">
      <w:pPr>
        <w:pStyle w:val="a3"/>
        <w:rPr>
          <w:rFonts w:ascii="Times New Roman" w:hAnsi="Times New Roman" w:cs="Times New Roman"/>
        </w:rPr>
      </w:pPr>
      <w:r w:rsidRPr="0087060A">
        <w:rPr>
          <w:rStyle w:val="a5"/>
          <w:rFonts w:ascii="Times New Roman" w:hAnsi="Times New Roman" w:cs="Times New Roman"/>
        </w:rPr>
        <w:footnoteRef/>
      </w:r>
      <w:r w:rsidRPr="0087060A">
        <w:rPr>
          <w:rFonts w:ascii="Times New Roman" w:hAnsi="Times New Roman" w:cs="Times New Roman"/>
        </w:rPr>
        <w:t xml:space="preserve"> </w:t>
      </w:r>
      <w:bookmarkStart w:id="13" w:name="_Hlk37860757"/>
      <w:r>
        <w:rPr>
          <w:rFonts w:ascii="Times New Roman" w:hAnsi="Times New Roman" w:cs="Times New Roman"/>
        </w:rPr>
        <w:t>T</w:t>
      </w:r>
      <w:r w:rsidRPr="0087060A">
        <w:rPr>
          <w:rFonts w:ascii="Times New Roman" w:hAnsi="Times New Roman" w:cs="Times New Roman"/>
        </w:rPr>
        <w:t>he residual serials have neither common unit root nor individual unit root.</w:t>
      </w:r>
      <w:bookmarkEnd w:id="13"/>
    </w:p>
  </w:footnote>
  <w:footnote w:id="19">
    <w:p w14:paraId="1E2FDCB3" w14:textId="36F530E6" w:rsidR="004B50A1" w:rsidRPr="00AA55F9" w:rsidRDefault="004B50A1">
      <w:pPr>
        <w:pStyle w:val="a3"/>
        <w:rPr>
          <w:rFonts w:ascii="Times New Roman" w:hAnsi="Times New Roman" w:cs="Times New Roman"/>
        </w:rPr>
      </w:pPr>
      <w:r w:rsidRPr="00AA55F9">
        <w:rPr>
          <w:rStyle w:val="a5"/>
          <w:rFonts w:ascii="Times New Roman" w:hAnsi="Times New Roman" w:cs="Times New Roman"/>
        </w:rPr>
        <w:footnoteRef/>
      </w:r>
      <w:r w:rsidRPr="00AA55F9">
        <w:rPr>
          <w:rFonts w:ascii="Times New Roman" w:hAnsi="Times New Roman" w:cs="Times New Roman"/>
        </w:rPr>
        <w:t xml:space="preserve"> Null: Unit root (assumes common unit root process).</w:t>
      </w:r>
    </w:p>
  </w:footnote>
  <w:footnote w:id="20">
    <w:p w14:paraId="1EBFE161" w14:textId="682516BD" w:rsidR="004B50A1" w:rsidRDefault="004B50A1">
      <w:pPr>
        <w:pStyle w:val="a3"/>
      </w:pPr>
      <w:r>
        <w:rPr>
          <w:rStyle w:val="a5"/>
        </w:rPr>
        <w:footnoteRef/>
      </w:r>
      <w:r>
        <w:t xml:space="preserve"> </w:t>
      </w:r>
      <w:r w:rsidRPr="00AA55F9">
        <w:rPr>
          <w:rFonts w:ascii="Times New Roman" w:hAnsi="Times New Roman" w:cs="Times New Roman"/>
        </w:rPr>
        <w:t>Null: Unit root (assumes individual unit root process)</w:t>
      </w:r>
      <w:r>
        <w:rPr>
          <w:rFonts w:ascii="Times New Roman" w:hAnsi="Times New Roman" w:cs="Times New Roman"/>
        </w:rPr>
        <w:t>.</w:t>
      </w:r>
    </w:p>
  </w:footnote>
  <w:footnote w:id="21">
    <w:p w14:paraId="1668DF19" w14:textId="1BFD5A2F" w:rsidR="004B50A1" w:rsidRPr="009651B4" w:rsidRDefault="004B50A1">
      <w:pPr>
        <w:pStyle w:val="a3"/>
        <w:rPr>
          <w:rFonts w:ascii="Times New Roman" w:hAnsi="Times New Roman" w:cs="Times New Roman"/>
        </w:rPr>
      </w:pPr>
      <w:r w:rsidRPr="009651B4">
        <w:rPr>
          <w:rStyle w:val="a5"/>
          <w:rFonts w:ascii="Times New Roman" w:hAnsi="Times New Roman" w:cs="Times New Roman"/>
        </w:rPr>
        <w:footnoteRef/>
      </w:r>
      <w:r w:rsidRPr="009651B4">
        <w:rPr>
          <w:rFonts w:ascii="Times New Roman" w:hAnsi="Times New Roman" w:cs="Times New Roman"/>
        </w:rPr>
        <w:t xml:space="preserve"> </w:t>
      </w:r>
      <w:r>
        <w:rPr>
          <w:rFonts w:ascii="Times New Roman" w:hAnsi="Times New Roman" w:cs="Times New Roman"/>
        </w:rPr>
        <w:t>As the case of full sample model, t</w:t>
      </w:r>
      <w:r w:rsidRPr="009651B4">
        <w:rPr>
          <w:rFonts w:ascii="Times New Roman" w:hAnsi="Times New Roman" w:cs="Times New Roman"/>
        </w:rPr>
        <w:t>he disturbance term of the difference</w:t>
      </w:r>
      <w:r>
        <w:rPr>
          <w:rFonts w:ascii="Times New Roman" w:hAnsi="Times New Roman" w:cs="Times New Roman"/>
        </w:rPr>
        <w:t xml:space="preserve"> equation</w:t>
      </w:r>
      <w:r w:rsidRPr="009651B4">
        <w:rPr>
          <w:rFonts w:ascii="Times New Roman" w:hAnsi="Times New Roman" w:cs="Times New Roman"/>
        </w:rPr>
        <w:t xml:space="preserve"> </w:t>
      </w:r>
      <w:r>
        <w:rPr>
          <w:rFonts w:ascii="Times New Roman" w:hAnsi="Times New Roman" w:cs="Times New Roman"/>
        </w:rPr>
        <w:t>is of</w:t>
      </w:r>
      <w:r w:rsidRPr="009651B4">
        <w:rPr>
          <w:rFonts w:ascii="Times New Roman" w:hAnsi="Times New Roman" w:cs="Times New Roman"/>
        </w:rPr>
        <w:t xml:space="preserve"> first-order autocorrelation but not second-order autocorrelation</w:t>
      </w:r>
      <w:r>
        <w:rPr>
          <w:rFonts w:ascii="Times New Roman" w:hAnsi="Times New Roman" w:cs="Times New Roman"/>
        </w:rPr>
        <w:t xml:space="preserve"> for all heterogenous models</w:t>
      </w:r>
      <w:r w:rsidRPr="009651B4">
        <w:rPr>
          <w:rFonts w:ascii="Times New Roman" w:hAnsi="Times New Roman" w:cs="Times New Roman"/>
        </w:rPr>
        <w:t>.</w:t>
      </w:r>
      <w:r>
        <w:rPr>
          <w:rFonts w:ascii="Times New Roman" w:hAnsi="Times New Roman" w:cs="Times New Roman"/>
        </w:rPr>
        <w:t xml:space="preserve"> Meanwhile, t</w:t>
      </w:r>
      <w:r w:rsidRPr="009651B4">
        <w:rPr>
          <w:rFonts w:ascii="Times New Roman" w:hAnsi="Times New Roman" w:cs="Times New Roman"/>
        </w:rPr>
        <w:t>he residual serials have neither common unit root nor individual unit root.</w:t>
      </w:r>
      <w:r>
        <w:rPr>
          <w:rFonts w:ascii="Times New Roman" w:hAnsi="Times New Roman" w:cs="Times New Roman"/>
        </w:rPr>
        <w:t xml:space="preserve"> We omit the residual test results.</w:t>
      </w:r>
    </w:p>
  </w:footnote>
  <w:footnote w:id="22">
    <w:p w14:paraId="00911B8F" w14:textId="54BBE034" w:rsidR="004B50A1" w:rsidRPr="004220D3" w:rsidRDefault="004B50A1">
      <w:pPr>
        <w:pStyle w:val="a3"/>
        <w:rPr>
          <w:rFonts w:ascii="Times New Roman" w:hAnsi="Times New Roman" w:cs="Times New Roman"/>
        </w:rPr>
      </w:pPr>
      <w:r w:rsidRPr="004220D3">
        <w:rPr>
          <w:rStyle w:val="a5"/>
          <w:rFonts w:ascii="Times New Roman" w:hAnsi="Times New Roman" w:cs="Times New Roman"/>
        </w:rPr>
        <w:footnoteRef/>
      </w:r>
      <w:r w:rsidRPr="004220D3">
        <w:rPr>
          <w:rFonts w:ascii="Times New Roman" w:hAnsi="Times New Roman" w:cs="Times New Roman"/>
        </w:rPr>
        <w:t xml:space="preserve"> </w:t>
      </w:r>
      <w:r>
        <w:rPr>
          <w:rFonts w:ascii="Times New Roman" w:hAnsi="Times New Roman" w:cs="Times New Roman"/>
        </w:rPr>
        <w:t xml:space="preserve">***, **, </w:t>
      </w:r>
      <w:r>
        <w:rPr>
          <w:rFonts w:ascii="Times New Roman" w:hAnsi="Times New Roman" w:cs="Times New Roman" w:hint="eastAsia"/>
        </w:rPr>
        <w:t>*</w:t>
      </w:r>
      <w:r>
        <w:rPr>
          <w:rFonts w:ascii="Times New Roman" w:hAnsi="Times New Roman" w:cs="Times New Roman"/>
        </w:rPr>
        <w:t xml:space="preserve"> represents 1%, 5% and 10% significance, respectively.</w:t>
      </w:r>
    </w:p>
  </w:footnote>
  <w:footnote w:id="23">
    <w:p w14:paraId="0C2A71FC" w14:textId="155488E3" w:rsidR="004B50A1" w:rsidRPr="00EA2785" w:rsidRDefault="004B50A1">
      <w:pPr>
        <w:pStyle w:val="a3"/>
        <w:rPr>
          <w:rFonts w:ascii="Times New Roman" w:hAnsi="Times New Roman" w:cs="Times New Roman"/>
        </w:rPr>
      </w:pPr>
      <w:r w:rsidRPr="00EA2785">
        <w:rPr>
          <w:rStyle w:val="a5"/>
          <w:rFonts w:ascii="Times New Roman" w:hAnsi="Times New Roman" w:cs="Times New Roman"/>
        </w:rPr>
        <w:footnoteRef/>
      </w:r>
      <w:r w:rsidRPr="00EA2785">
        <w:rPr>
          <w:rFonts w:ascii="Times New Roman" w:hAnsi="Times New Roman" w:cs="Times New Roman"/>
        </w:rPr>
        <w:t xml:space="preserve"> </w:t>
      </w:r>
      <w:r>
        <w:rPr>
          <w:rFonts w:ascii="Times New Roman" w:hAnsi="Times New Roman" w:cs="Times New Roman"/>
        </w:rPr>
        <w:t>As a matter of fact, there are other series of regulations for CCBs, requiring them to keep the volume and percentage of loans increasing.</w:t>
      </w:r>
    </w:p>
  </w:footnote>
  <w:footnote w:id="24">
    <w:p w14:paraId="5E2A1FEC" w14:textId="633DB3F3" w:rsidR="00CE2294" w:rsidRPr="00CE2294" w:rsidRDefault="00CE2294">
      <w:pPr>
        <w:pStyle w:val="a3"/>
        <w:rPr>
          <w:rFonts w:ascii="Times New Roman" w:hAnsi="Times New Roman" w:cs="Times New Roman"/>
        </w:rPr>
      </w:pPr>
      <w:r w:rsidRPr="00CE2294">
        <w:rPr>
          <w:rStyle w:val="a5"/>
          <w:rFonts w:ascii="Times New Roman" w:hAnsi="Times New Roman" w:cs="Times New Roman"/>
        </w:rPr>
        <w:footnoteRef/>
      </w:r>
      <w:r w:rsidRPr="00CE2294">
        <w:rPr>
          <w:rFonts w:ascii="Times New Roman" w:hAnsi="Times New Roman" w:cs="Times New Roman"/>
        </w:rPr>
        <w:t xml:space="preserve"> </w:t>
      </w:r>
      <w:r>
        <w:rPr>
          <w:rFonts w:ascii="Times New Roman" w:hAnsi="Times New Roman" w:cs="Times New Roman"/>
        </w:rPr>
        <w:t xml:space="preserve">Although the CBL effect is significant for RCBs, we still omit this funding channel for RCBs as the CBL as a share of liabilities of RCBs is too small to be </w:t>
      </w:r>
      <w:r w:rsidR="00F311CC">
        <w:rPr>
          <w:rFonts w:ascii="Times New Roman" w:hAnsi="Times New Roman" w:cs="Times New Roman"/>
        </w:rPr>
        <w:t>meaningful. Most RCBs are disqualified to lend from the central banks and would not count on CBL.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D06"/>
    <w:multiLevelType w:val="hybridMultilevel"/>
    <w:tmpl w:val="019C19D8"/>
    <w:lvl w:ilvl="0" w:tplc="77EC2C40">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C70504"/>
    <w:multiLevelType w:val="hybridMultilevel"/>
    <w:tmpl w:val="FC1A179C"/>
    <w:lvl w:ilvl="0" w:tplc="8AB6EC7C">
      <w:start w:val="1"/>
      <w:numFmt w:val="decimal"/>
      <w:lvlText w:val="%1."/>
      <w:lvlJc w:val="left"/>
      <w:pPr>
        <w:ind w:left="570" w:hanging="360"/>
      </w:pPr>
      <w:rPr>
        <w:rFonts w:eastAsiaTheme="minorEastAsia"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15:restartNumberingAfterBreak="0">
    <w:nsid w:val="0D5476A4"/>
    <w:multiLevelType w:val="hybridMultilevel"/>
    <w:tmpl w:val="1DFA8244"/>
    <w:lvl w:ilvl="0" w:tplc="B68A71DA">
      <w:start w:val="1"/>
      <w:numFmt w:val="lowerRoman"/>
      <w:lvlText w:val="%1)"/>
      <w:lvlJc w:val="left"/>
      <w:pPr>
        <w:ind w:left="720" w:hanging="720"/>
      </w:pPr>
      <w:rPr>
        <w:rFonts w:hint="default"/>
        <w:i/>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0A7B53"/>
    <w:multiLevelType w:val="hybridMultilevel"/>
    <w:tmpl w:val="FC1A179C"/>
    <w:lvl w:ilvl="0" w:tplc="8AB6EC7C">
      <w:start w:val="1"/>
      <w:numFmt w:val="decimal"/>
      <w:lvlText w:val="%1."/>
      <w:lvlJc w:val="left"/>
      <w:pPr>
        <w:ind w:left="570" w:hanging="360"/>
      </w:pPr>
      <w:rPr>
        <w:rFonts w:eastAsiaTheme="minorEastAsia"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15:restartNumberingAfterBreak="0">
    <w:nsid w:val="51F852D4"/>
    <w:multiLevelType w:val="multilevel"/>
    <w:tmpl w:val="FCBA2042"/>
    <w:lvl w:ilvl="0">
      <w:start w:val="1"/>
      <w:numFmt w:val="decimal"/>
      <w:lvlText w:val="[%1]"/>
      <w:lvlJc w:val="left"/>
      <w:pPr>
        <w:ind w:left="680" w:hanging="538"/>
      </w:pPr>
      <w:rPr>
        <w:rFonts w:hint="eastAsia"/>
        <w:i w:val="0"/>
      </w:rPr>
    </w:lvl>
    <w:lvl w:ilvl="1">
      <w:start w:val="1"/>
      <w:numFmt w:val="lowerLetter"/>
      <w:lvlText w:val="%2)"/>
      <w:lvlJc w:val="left"/>
      <w:pPr>
        <w:ind w:left="945" w:hanging="420"/>
      </w:pPr>
      <w:rPr>
        <w:rFonts w:hint="eastAsia"/>
      </w:rPr>
    </w:lvl>
    <w:lvl w:ilvl="2">
      <w:start w:val="1"/>
      <w:numFmt w:val="lowerRoman"/>
      <w:lvlText w:val="%3."/>
      <w:lvlJc w:val="right"/>
      <w:pPr>
        <w:ind w:left="1365" w:hanging="420"/>
      </w:pPr>
      <w:rPr>
        <w:rFonts w:hint="eastAsia"/>
      </w:rPr>
    </w:lvl>
    <w:lvl w:ilvl="3">
      <w:start w:val="1"/>
      <w:numFmt w:val="decimal"/>
      <w:lvlText w:val="%4."/>
      <w:lvlJc w:val="left"/>
      <w:pPr>
        <w:ind w:left="1785" w:hanging="420"/>
      </w:pPr>
      <w:rPr>
        <w:rFonts w:hint="eastAsia"/>
      </w:rPr>
    </w:lvl>
    <w:lvl w:ilvl="4">
      <w:start w:val="1"/>
      <w:numFmt w:val="lowerLetter"/>
      <w:lvlText w:val="%5)"/>
      <w:lvlJc w:val="left"/>
      <w:pPr>
        <w:ind w:left="2205" w:hanging="420"/>
      </w:pPr>
      <w:rPr>
        <w:rFonts w:hint="eastAsia"/>
      </w:rPr>
    </w:lvl>
    <w:lvl w:ilvl="5">
      <w:start w:val="1"/>
      <w:numFmt w:val="lowerRoman"/>
      <w:lvlText w:val="%6."/>
      <w:lvlJc w:val="right"/>
      <w:pPr>
        <w:ind w:left="2625" w:hanging="420"/>
      </w:pPr>
      <w:rPr>
        <w:rFonts w:hint="eastAsia"/>
      </w:rPr>
    </w:lvl>
    <w:lvl w:ilvl="6">
      <w:start w:val="1"/>
      <w:numFmt w:val="decimal"/>
      <w:lvlText w:val="%7."/>
      <w:lvlJc w:val="left"/>
      <w:pPr>
        <w:ind w:left="3045" w:hanging="420"/>
      </w:pPr>
      <w:rPr>
        <w:rFonts w:hint="eastAsia"/>
      </w:rPr>
    </w:lvl>
    <w:lvl w:ilvl="7">
      <w:start w:val="1"/>
      <w:numFmt w:val="lowerLetter"/>
      <w:lvlText w:val="%8)"/>
      <w:lvlJc w:val="left"/>
      <w:pPr>
        <w:ind w:left="3465" w:hanging="420"/>
      </w:pPr>
      <w:rPr>
        <w:rFonts w:hint="eastAsia"/>
      </w:rPr>
    </w:lvl>
    <w:lvl w:ilvl="8">
      <w:start w:val="1"/>
      <w:numFmt w:val="lowerRoman"/>
      <w:lvlText w:val="%9."/>
      <w:lvlJc w:val="right"/>
      <w:pPr>
        <w:ind w:left="3885" w:hanging="420"/>
      </w:pPr>
      <w:rPr>
        <w:rFonts w:hint="eastAsia"/>
      </w:rPr>
    </w:lvl>
  </w:abstractNum>
  <w:abstractNum w:abstractNumId="5" w15:restartNumberingAfterBreak="0">
    <w:nsid w:val="61FD7BC4"/>
    <w:multiLevelType w:val="hybridMultilevel"/>
    <w:tmpl w:val="85C0A2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4C347A3"/>
    <w:multiLevelType w:val="hybridMultilevel"/>
    <w:tmpl w:val="1D20A2D8"/>
    <w:lvl w:ilvl="0" w:tplc="127A3FB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09B36FA"/>
    <w:multiLevelType w:val="hybridMultilevel"/>
    <w:tmpl w:val="FC1A179C"/>
    <w:lvl w:ilvl="0" w:tplc="8AB6EC7C">
      <w:start w:val="1"/>
      <w:numFmt w:val="decimal"/>
      <w:lvlText w:val="%1."/>
      <w:lvlJc w:val="left"/>
      <w:pPr>
        <w:ind w:left="570" w:hanging="360"/>
      </w:pPr>
      <w:rPr>
        <w:rFonts w:eastAsiaTheme="minorEastAsia"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B1"/>
    <w:rsid w:val="00000FC2"/>
    <w:rsid w:val="0000310E"/>
    <w:rsid w:val="000044A9"/>
    <w:rsid w:val="00004FBB"/>
    <w:rsid w:val="0001089A"/>
    <w:rsid w:val="00010A57"/>
    <w:rsid w:val="00011FAA"/>
    <w:rsid w:val="000138FB"/>
    <w:rsid w:val="0001671E"/>
    <w:rsid w:val="00024012"/>
    <w:rsid w:val="00024915"/>
    <w:rsid w:val="00042382"/>
    <w:rsid w:val="00050FF6"/>
    <w:rsid w:val="0005534B"/>
    <w:rsid w:val="00056E44"/>
    <w:rsid w:val="00066CD5"/>
    <w:rsid w:val="00073068"/>
    <w:rsid w:val="000732A3"/>
    <w:rsid w:val="0008451C"/>
    <w:rsid w:val="0008635F"/>
    <w:rsid w:val="0009168B"/>
    <w:rsid w:val="00093350"/>
    <w:rsid w:val="000B0FE7"/>
    <w:rsid w:val="000D1363"/>
    <w:rsid w:val="000D46F0"/>
    <w:rsid w:val="000E1451"/>
    <w:rsid w:val="000F0112"/>
    <w:rsid w:val="000F0174"/>
    <w:rsid w:val="000F182F"/>
    <w:rsid w:val="000F4F60"/>
    <w:rsid w:val="000F6956"/>
    <w:rsid w:val="00101131"/>
    <w:rsid w:val="00101E45"/>
    <w:rsid w:val="00103AD7"/>
    <w:rsid w:val="00104841"/>
    <w:rsid w:val="00110489"/>
    <w:rsid w:val="00115510"/>
    <w:rsid w:val="001204E5"/>
    <w:rsid w:val="001206EF"/>
    <w:rsid w:val="0012382E"/>
    <w:rsid w:val="001239DB"/>
    <w:rsid w:val="00124143"/>
    <w:rsid w:val="001361BA"/>
    <w:rsid w:val="001407FB"/>
    <w:rsid w:val="00140CC9"/>
    <w:rsid w:val="00142ADE"/>
    <w:rsid w:val="001443C3"/>
    <w:rsid w:val="00145A3B"/>
    <w:rsid w:val="00146852"/>
    <w:rsid w:val="001548C2"/>
    <w:rsid w:val="00166513"/>
    <w:rsid w:val="00167664"/>
    <w:rsid w:val="00171C3A"/>
    <w:rsid w:val="00173FBE"/>
    <w:rsid w:val="00180DAA"/>
    <w:rsid w:val="00181945"/>
    <w:rsid w:val="001870EA"/>
    <w:rsid w:val="0018788C"/>
    <w:rsid w:val="001975B2"/>
    <w:rsid w:val="001A102F"/>
    <w:rsid w:val="001A4C35"/>
    <w:rsid w:val="001A650D"/>
    <w:rsid w:val="001B35B1"/>
    <w:rsid w:val="001B7846"/>
    <w:rsid w:val="001C0003"/>
    <w:rsid w:val="001D071F"/>
    <w:rsid w:val="001D0E15"/>
    <w:rsid w:val="001D194F"/>
    <w:rsid w:val="001D1F4B"/>
    <w:rsid w:val="001E052A"/>
    <w:rsid w:val="001E54AD"/>
    <w:rsid w:val="001E5502"/>
    <w:rsid w:val="001E556F"/>
    <w:rsid w:val="001E61B4"/>
    <w:rsid w:val="001F151C"/>
    <w:rsid w:val="001F6A71"/>
    <w:rsid w:val="00202E88"/>
    <w:rsid w:val="0021128D"/>
    <w:rsid w:val="00223896"/>
    <w:rsid w:val="002360CD"/>
    <w:rsid w:val="002424F1"/>
    <w:rsid w:val="00245488"/>
    <w:rsid w:val="0024576E"/>
    <w:rsid w:val="00254C30"/>
    <w:rsid w:val="00255158"/>
    <w:rsid w:val="00264C52"/>
    <w:rsid w:val="00271D1E"/>
    <w:rsid w:val="00281398"/>
    <w:rsid w:val="00282A15"/>
    <w:rsid w:val="0028575C"/>
    <w:rsid w:val="00286D24"/>
    <w:rsid w:val="00287BA6"/>
    <w:rsid w:val="002910B3"/>
    <w:rsid w:val="00295489"/>
    <w:rsid w:val="002B1B59"/>
    <w:rsid w:val="002B5F97"/>
    <w:rsid w:val="002B7553"/>
    <w:rsid w:val="002C35AA"/>
    <w:rsid w:val="002E06B3"/>
    <w:rsid w:val="002E15CA"/>
    <w:rsid w:val="002F1D63"/>
    <w:rsid w:val="002F3902"/>
    <w:rsid w:val="00305361"/>
    <w:rsid w:val="003061BC"/>
    <w:rsid w:val="00306526"/>
    <w:rsid w:val="003129D8"/>
    <w:rsid w:val="00315826"/>
    <w:rsid w:val="00321FD1"/>
    <w:rsid w:val="003239D2"/>
    <w:rsid w:val="0032448F"/>
    <w:rsid w:val="00327AAA"/>
    <w:rsid w:val="003337BB"/>
    <w:rsid w:val="0034010D"/>
    <w:rsid w:val="00341CE5"/>
    <w:rsid w:val="00344F33"/>
    <w:rsid w:val="00345758"/>
    <w:rsid w:val="00350EDA"/>
    <w:rsid w:val="003512AD"/>
    <w:rsid w:val="003635AE"/>
    <w:rsid w:val="003655AA"/>
    <w:rsid w:val="0036727E"/>
    <w:rsid w:val="003717F2"/>
    <w:rsid w:val="00371B6A"/>
    <w:rsid w:val="003745BB"/>
    <w:rsid w:val="003772FD"/>
    <w:rsid w:val="003815DD"/>
    <w:rsid w:val="00384605"/>
    <w:rsid w:val="0038784D"/>
    <w:rsid w:val="003923E4"/>
    <w:rsid w:val="0039453C"/>
    <w:rsid w:val="00395D84"/>
    <w:rsid w:val="00396A70"/>
    <w:rsid w:val="003A47AF"/>
    <w:rsid w:val="003B1205"/>
    <w:rsid w:val="003B130B"/>
    <w:rsid w:val="003D0EF2"/>
    <w:rsid w:val="003D1C2F"/>
    <w:rsid w:val="003D3EB4"/>
    <w:rsid w:val="003D4A29"/>
    <w:rsid w:val="003D5093"/>
    <w:rsid w:val="003D565F"/>
    <w:rsid w:val="003D7DF7"/>
    <w:rsid w:val="003E1438"/>
    <w:rsid w:val="003E1ABB"/>
    <w:rsid w:val="003E1E3C"/>
    <w:rsid w:val="003E65BD"/>
    <w:rsid w:val="003E6EE7"/>
    <w:rsid w:val="003F039E"/>
    <w:rsid w:val="003F3849"/>
    <w:rsid w:val="00400EAD"/>
    <w:rsid w:val="00405C97"/>
    <w:rsid w:val="0041471D"/>
    <w:rsid w:val="00414AD6"/>
    <w:rsid w:val="00421BDD"/>
    <w:rsid w:val="004220D3"/>
    <w:rsid w:val="00423839"/>
    <w:rsid w:val="00425E92"/>
    <w:rsid w:val="004319FA"/>
    <w:rsid w:val="00431FC2"/>
    <w:rsid w:val="00434FDD"/>
    <w:rsid w:val="004365C9"/>
    <w:rsid w:val="00440A5D"/>
    <w:rsid w:val="00440DBA"/>
    <w:rsid w:val="00441ABF"/>
    <w:rsid w:val="00442293"/>
    <w:rsid w:val="00442636"/>
    <w:rsid w:val="00445485"/>
    <w:rsid w:val="004472C0"/>
    <w:rsid w:val="00450497"/>
    <w:rsid w:val="00456803"/>
    <w:rsid w:val="004714C9"/>
    <w:rsid w:val="00480CC7"/>
    <w:rsid w:val="004829DA"/>
    <w:rsid w:val="004849D5"/>
    <w:rsid w:val="00486F3F"/>
    <w:rsid w:val="00490791"/>
    <w:rsid w:val="00491F29"/>
    <w:rsid w:val="00492CC8"/>
    <w:rsid w:val="004A0554"/>
    <w:rsid w:val="004A398B"/>
    <w:rsid w:val="004A49DC"/>
    <w:rsid w:val="004A7A63"/>
    <w:rsid w:val="004B36C7"/>
    <w:rsid w:val="004B3C43"/>
    <w:rsid w:val="004B46DF"/>
    <w:rsid w:val="004B50A1"/>
    <w:rsid w:val="004B5B99"/>
    <w:rsid w:val="004B70B0"/>
    <w:rsid w:val="004C5665"/>
    <w:rsid w:val="004C5A80"/>
    <w:rsid w:val="004C6EDF"/>
    <w:rsid w:val="004C7E44"/>
    <w:rsid w:val="004D37F1"/>
    <w:rsid w:val="004D546F"/>
    <w:rsid w:val="004D6B44"/>
    <w:rsid w:val="004E2A4A"/>
    <w:rsid w:val="004E2D2C"/>
    <w:rsid w:val="004E3353"/>
    <w:rsid w:val="004E63F4"/>
    <w:rsid w:val="004F088B"/>
    <w:rsid w:val="004F149A"/>
    <w:rsid w:val="004F6047"/>
    <w:rsid w:val="0050081A"/>
    <w:rsid w:val="00500F9B"/>
    <w:rsid w:val="005030AF"/>
    <w:rsid w:val="00506A4A"/>
    <w:rsid w:val="00506B82"/>
    <w:rsid w:val="005116B9"/>
    <w:rsid w:val="00511929"/>
    <w:rsid w:val="0051203B"/>
    <w:rsid w:val="00522212"/>
    <w:rsid w:val="00523562"/>
    <w:rsid w:val="00524CC6"/>
    <w:rsid w:val="005313DB"/>
    <w:rsid w:val="00540996"/>
    <w:rsid w:val="00546713"/>
    <w:rsid w:val="00554A97"/>
    <w:rsid w:val="005557C0"/>
    <w:rsid w:val="00557F89"/>
    <w:rsid w:val="00562F61"/>
    <w:rsid w:val="005651C0"/>
    <w:rsid w:val="00567036"/>
    <w:rsid w:val="00575B28"/>
    <w:rsid w:val="00582ACD"/>
    <w:rsid w:val="005866C9"/>
    <w:rsid w:val="00594131"/>
    <w:rsid w:val="00595041"/>
    <w:rsid w:val="00595237"/>
    <w:rsid w:val="005966B4"/>
    <w:rsid w:val="00596E5F"/>
    <w:rsid w:val="005B1A92"/>
    <w:rsid w:val="005B393C"/>
    <w:rsid w:val="005B5050"/>
    <w:rsid w:val="005D490D"/>
    <w:rsid w:val="005D6A1A"/>
    <w:rsid w:val="005D7966"/>
    <w:rsid w:val="005D7A31"/>
    <w:rsid w:val="005E6DF2"/>
    <w:rsid w:val="005F0CF9"/>
    <w:rsid w:val="00612CF8"/>
    <w:rsid w:val="00613877"/>
    <w:rsid w:val="00623412"/>
    <w:rsid w:val="00624A11"/>
    <w:rsid w:val="00632CEB"/>
    <w:rsid w:val="00635083"/>
    <w:rsid w:val="00647BCA"/>
    <w:rsid w:val="006536C0"/>
    <w:rsid w:val="00654592"/>
    <w:rsid w:val="0065607E"/>
    <w:rsid w:val="00657DC7"/>
    <w:rsid w:val="00663F3F"/>
    <w:rsid w:val="0066639D"/>
    <w:rsid w:val="006672C5"/>
    <w:rsid w:val="00670242"/>
    <w:rsid w:val="006727E3"/>
    <w:rsid w:val="006846C6"/>
    <w:rsid w:val="00692EC2"/>
    <w:rsid w:val="006A0029"/>
    <w:rsid w:val="006A5F5F"/>
    <w:rsid w:val="006B2CEA"/>
    <w:rsid w:val="006B329D"/>
    <w:rsid w:val="006B6848"/>
    <w:rsid w:val="006C4AA2"/>
    <w:rsid w:val="006C6629"/>
    <w:rsid w:val="006D19D9"/>
    <w:rsid w:val="006D571F"/>
    <w:rsid w:val="006F1564"/>
    <w:rsid w:val="006F6633"/>
    <w:rsid w:val="00703620"/>
    <w:rsid w:val="007121CE"/>
    <w:rsid w:val="00721F6D"/>
    <w:rsid w:val="00722559"/>
    <w:rsid w:val="007307E3"/>
    <w:rsid w:val="00742970"/>
    <w:rsid w:val="00745A65"/>
    <w:rsid w:val="0075122D"/>
    <w:rsid w:val="007514DE"/>
    <w:rsid w:val="00757A01"/>
    <w:rsid w:val="00760CC1"/>
    <w:rsid w:val="00765766"/>
    <w:rsid w:val="00765FFC"/>
    <w:rsid w:val="00771EF6"/>
    <w:rsid w:val="007720C3"/>
    <w:rsid w:val="0077716B"/>
    <w:rsid w:val="007776D6"/>
    <w:rsid w:val="007A2201"/>
    <w:rsid w:val="007B1D3F"/>
    <w:rsid w:val="007B7D5C"/>
    <w:rsid w:val="007C20E8"/>
    <w:rsid w:val="007C25BD"/>
    <w:rsid w:val="007C74DE"/>
    <w:rsid w:val="007D1B36"/>
    <w:rsid w:val="007D7A9C"/>
    <w:rsid w:val="007E0B6A"/>
    <w:rsid w:val="007E3454"/>
    <w:rsid w:val="007F01AA"/>
    <w:rsid w:val="007F0F17"/>
    <w:rsid w:val="007F335F"/>
    <w:rsid w:val="007F37FA"/>
    <w:rsid w:val="007F6B74"/>
    <w:rsid w:val="00805035"/>
    <w:rsid w:val="008208EF"/>
    <w:rsid w:val="008229E7"/>
    <w:rsid w:val="00822C0C"/>
    <w:rsid w:val="008273A7"/>
    <w:rsid w:val="00827EF6"/>
    <w:rsid w:val="00831B57"/>
    <w:rsid w:val="00842C8D"/>
    <w:rsid w:val="0084734C"/>
    <w:rsid w:val="00850CFC"/>
    <w:rsid w:val="008516FB"/>
    <w:rsid w:val="008518CA"/>
    <w:rsid w:val="00854133"/>
    <w:rsid w:val="00861CAE"/>
    <w:rsid w:val="00863C4C"/>
    <w:rsid w:val="0087060A"/>
    <w:rsid w:val="0087288D"/>
    <w:rsid w:val="00875531"/>
    <w:rsid w:val="00877735"/>
    <w:rsid w:val="008821C6"/>
    <w:rsid w:val="008835DF"/>
    <w:rsid w:val="00895717"/>
    <w:rsid w:val="008963E5"/>
    <w:rsid w:val="00896E3E"/>
    <w:rsid w:val="008A612C"/>
    <w:rsid w:val="008B5F01"/>
    <w:rsid w:val="008B62B7"/>
    <w:rsid w:val="008D1933"/>
    <w:rsid w:val="008D52F9"/>
    <w:rsid w:val="008D5987"/>
    <w:rsid w:val="008E157E"/>
    <w:rsid w:val="008E335D"/>
    <w:rsid w:val="008E4213"/>
    <w:rsid w:val="008E5E81"/>
    <w:rsid w:val="008E7FEC"/>
    <w:rsid w:val="008F085D"/>
    <w:rsid w:val="008F435B"/>
    <w:rsid w:val="008F4665"/>
    <w:rsid w:val="008F514E"/>
    <w:rsid w:val="008F5CF8"/>
    <w:rsid w:val="008F7B7F"/>
    <w:rsid w:val="009074DE"/>
    <w:rsid w:val="00914FBA"/>
    <w:rsid w:val="00915762"/>
    <w:rsid w:val="0091660C"/>
    <w:rsid w:val="00920133"/>
    <w:rsid w:val="00933C01"/>
    <w:rsid w:val="0093478D"/>
    <w:rsid w:val="00940A70"/>
    <w:rsid w:val="009419F5"/>
    <w:rsid w:val="00942B0C"/>
    <w:rsid w:val="0094402F"/>
    <w:rsid w:val="00944327"/>
    <w:rsid w:val="009455E8"/>
    <w:rsid w:val="00945C6B"/>
    <w:rsid w:val="00950AC8"/>
    <w:rsid w:val="00952730"/>
    <w:rsid w:val="0095286F"/>
    <w:rsid w:val="00956773"/>
    <w:rsid w:val="0095687E"/>
    <w:rsid w:val="009651B4"/>
    <w:rsid w:val="00997EC6"/>
    <w:rsid w:val="009A3060"/>
    <w:rsid w:val="009A7947"/>
    <w:rsid w:val="009B58A6"/>
    <w:rsid w:val="009B5B3B"/>
    <w:rsid w:val="009C4007"/>
    <w:rsid w:val="009E3C0B"/>
    <w:rsid w:val="009E3DB0"/>
    <w:rsid w:val="009E6AD8"/>
    <w:rsid w:val="009F0966"/>
    <w:rsid w:val="009F2E9A"/>
    <w:rsid w:val="009F3451"/>
    <w:rsid w:val="009F5934"/>
    <w:rsid w:val="00A00624"/>
    <w:rsid w:val="00A038ED"/>
    <w:rsid w:val="00A064CD"/>
    <w:rsid w:val="00A07B76"/>
    <w:rsid w:val="00A11DCD"/>
    <w:rsid w:val="00A175A9"/>
    <w:rsid w:val="00A2047C"/>
    <w:rsid w:val="00A252A7"/>
    <w:rsid w:val="00A317B9"/>
    <w:rsid w:val="00A42C36"/>
    <w:rsid w:val="00A435F5"/>
    <w:rsid w:val="00A45284"/>
    <w:rsid w:val="00A47D04"/>
    <w:rsid w:val="00A537CE"/>
    <w:rsid w:val="00A53FBB"/>
    <w:rsid w:val="00A54887"/>
    <w:rsid w:val="00A57363"/>
    <w:rsid w:val="00A61511"/>
    <w:rsid w:val="00A61CE1"/>
    <w:rsid w:val="00A61D77"/>
    <w:rsid w:val="00A640A1"/>
    <w:rsid w:val="00A7426C"/>
    <w:rsid w:val="00A76034"/>
    <w:rsid w:val="00A76F46"/>
    <w:rsid w:val="00A822FE"/>
    <w:rsid w:val="00A830AE"/>
    <w:rsid w:val="00A84570"/>
    <w:rsid w:val="00A86FD9"/>
    <w:rsid w:val="00A87730"/>
    <w:rsid w:val="00A91EB7"/>
    <w:rsid w:val="00A94069"/>
    <w:rsid w:val="00AA2F94"/>
    <w:rsid w:val="00AA55F9"/>
    <w:rsid w:val="00AB3323"/>
    <w:rsid w:val="00AB505C"/>
    <w:rsid w:val="00AB5323"/>
    <w:rsid w:val="00AB6CD7"/>
    <w:rsid w:val="00AC026C"/>
    <w:rsid w:val="00AC5719"/>
    <w:rsid w:val="00AC7D91"/>
    <w:rsid w:val="00AD217B"/>
    <w:rsid w:val="00AD21EE"/>
    <w:rsid w:val="00AD77E0"/>
    <w:rsid w:val="00AE26E1"/>
    <w:rsid w:val="00AE6BE8"/>
    <w:rsid w:val="00AF124C"/>
    <w:rsid w:val="00AF1CDD"/>
    <w:rsid w:val="00B0049C"/>
    <w:rsid w:val="00B02206"/>
    <w:rsid w:val="00B0601C"/>
    <w:rsid w:val="00B075D3"/>
    <w:rsid w:val="00B27735"/>
    <w:rsid w:val="00B27E13"/>
    <w:rsid w:val="00B3509F"/>
    <w:rsid w:val="00B35DEF"/>
    <w:rsid w:val="00B40E35"/>
    <w:rsid w:val="00B422BF"/>
    <w:rsid w:val="00B470A0"/>
    <w:rsid w:val="00B4733D"/>
    <w:rsid w:val="00B50B67"/>
    <w:rsid w:val="00B52EC8"/>
    <w:rsid w:val="00B53FF1"/>
    <w:rsid w:val="00B61D3B"/>
    <w:rsid w:val="00B633C3"/>
    <w:rsid w:val="00B64F73"/>
    <w:rsid w:val="00B65B0F"/>
    <w:rsid w:val="00B65E51"/>
    <w:rsid w:val="00B66DB3"/>
    <w:rsid w:val="00B817BB"/>
    <w:rsid w:val="00B83C16"/>
    <w:rsid w:val="00B84E92"/>
    <w:rsid w:val="00B85481"/>
    <w:rsid w:val="00B85E3C"/>
    <w:rsid w:val="00B8753E"/>
    <w:rsid w:val="00B87E2D"/>
    <w:rsid w:val="00B94241"/>
    <w:rsid w:val="00B94D3F"/>
    <w:rsid w:val="00B953A6"/>
    <w:rsid w:val="00B953DA"/>
    <w:rsid w:val="00B9658E"/>
    <w:rsid w:val="00BB0D7B"/>
    <w:rsid w:val="00BB1B4F"/>
    <w:rsid w:val="00BB33BB"/>
    <w:rsid w:val="00BD5140"/>
    <w:rsid w:val="00BD7D8B"/>
    <w:rsid w:val="00BF2EA0"/>
    <w:rsid w:val="00BF54F5"/>
    <w:rsid w:val="00C016E6"/>
    <w:rsid w:val="00C223B0"/>
    <w:rsid w:val="00C276DE"/>
    <w:rsid w:val="00C30D90"/>
    <w:rsid w:val="00C36644"/>
    <w:rsid w:val="00C3745F"/>
    <w:rsid w:val="00C374BD"/>
    <w:rsid w:val="00C37E61"/>
    <w:rsid w:val="00C43883"/>
    <w:rsid w:val="00C55830"/>
    <w:rsid w:val="00C573F6"/>
    <w:rsid w:val="00C57E54"/>
    <w:rsid w:val="00C66D2F"/>
    <w:rsid w:val="00C758B2"/>
    <w:rsid w:val="00C81045"/>
    <w:rsid w:val="00C824D8"/>
    <w:rsid w:val="00C83392"/>
    <w:rsid w:val="00CA7EBC"/>
    <w:rsid w:val="00CB28DA"/>
    <w:rsid w:val="00CB5179"/>
    <w:rsid w:val="00CC06E3"/>
    <w:rsid w:val="00CC152E"/>
    <w:rsid w:val="00CD6EE8"/>
    <w:rsid w:val="00CE089F"/>
    <w:rsid w:val="00CE0BBF"/>
    <w:rsid w:val="00CE2294"/>
    <w:rsid w:val="00CE2C16"/>
    <w:rsid w:val="00CF3461"/>
    <w:rsid w:val="00D01716"/>
    <w:rsid w:val="00D04B9B"/>
    <w:rsid w:val="00D05894"/>
    <w:rsid w:val="00D07E50"/>
    <w:rsid w:val="00D10C11"/>
    <w:rsid w:val="00D10FBE"/>
    <w:rsid w:val="00D14318"/>
    <w:rsid w:val="00D1459D"/>
    <w:rsid w:val="00D1630F"/>
    <w:rsid w:val="00D22A20"/>
    <w:rsid w:val="00D279AB"/>
    <w:rsid w:val="00D44241"/>
    <w:rsid w:val="00D5515B"/>
    <w:rsid w:val="00D5541E"/>
    <w:rsid w:val="00D644F7"/>
    <w:rsid w:val="00D7340F"/>
    <w:rsid w:val="00D73F81"/>
    <w:rsid w:val="00D74A0F"/>
    <w:rsid w:val="00D80531"/>
    <w:rsid w:val="00D83697"/>
    <w:rsid w:val="00D852B0"/>
    <w:rsid w:val="00D859D6"/>
    <w:rsid w:val="00D86AAB"/>
    <w:rsid w:val="00D87584"/>
    <w:rsid w:val="00D90CA1"/>
    <w:rsid w:val="00DA22B4"/>
    <w:rsid w:val="00DA5597"/>
    <w:rsid w:val="00DC0D60"/>
    <w:rsid w:val="00DD187E"/>
    <w:rsid w:val="00DD1D09"/>
    <w:rsid w:val="00DD1DCD"/>
    <w:rsid w:val="00DE12E7"/>
    <w:rsid w:val="00DE15B7"/>
    <w:rsid w:val="00DE4224"/>
    <w:rsid w:val="00DE7177"/>
    <w:rsid w:val="00DF2BA1"/>
    <w:rsid w:val="00E04EBA"/>
    <w:rsid w:val="00E05B35"/>
    <w:rsid w:val="00E06952"/>
    <w:rsid w:val="00E11D11"/>
    <w:rsid w:val="00E20DC4"/>
    <w:rsid w:val="00E210F5"/>
    <w:rsid w:val="00E2268D"/>
    <w:rsid w:val="00E2616C"/>
    <w:rsid w:val="00E261AF"/>
    <w:rsid w:val="00E328A8"/>
    <w:rsid w:val="00E337CA"/>
    <w:rsid w:val="00E33A0E"/>
    <w:rsid w:val="00E353E1"/>
    <w:rsid w:val="00E40F4E"/>
    <w:rsid w:val="00E53540"/>
    <w:rsid w:val="00E578CD"/>
    <w:rsid w:val="00E6243D"/>
    <w:rsid w:val="00E67359"/>
    <w:rsid w:val="00E907D8"/>
    <w:rsid w:val="00E93FB8"/>
    <w:rsid w:val="00E957E2"/>
    <w:rsid w:val="00EA1E58"/>
    <w:rsid w:val="00EA2785"/>
    <w:rsid w:val="00EA2B18"/>
    <w:rsid w:val="00EC14E6"/>
    <w:rsid w:val="00EC45E7"/>
    <w:rsid w:val="00EC55FC"/>
    <w:rsid w:val="00ED23FA"/>
    <w:rsid w:val="00ED2AE6"/>
    <w:rsid w:val="00ED53BA"/>
    <w:rsid w:val="00EE4273"/>
    <w:rsid w:val="00EE4BF5"/>
    <w:rsid w:val="00EE5323"/>
    <w:rsid w:val="00EE6FD3"/>
    <w:rsid w:val="00EE774E"/>
    <w:rsid w:val="00EF0369"/>
    <w:rsid w:val="00EF34BD"/>
    <w:rsid w:val="00EF7BBF"/>
    <w:rsid w:val="00F10DE4"/>
    <w:rsid w:val="00F115AC"/>
    <w:rsid w:val="00F11B3D"/>
    <w:rsid w:val="00F15AB9"/>
    <w:rsid w:val="00F17923"/>
    <w:rsid w:val="00F21D87"/>
    <w:rsid w:val="00F2468D"/>
    <w:rsid w:val="00F24AF9"/>
    <w:rsid w:val="00F268FB"/>
    <w:rsid w:val="00F311CC"/>
    <w:rsid w:val="00F35BB1"/>
    <w:rsid w:val="00F4257F"/>
    <w:rsid w:val="00F44B95"/>
    <w:rsid w:val="00F46CEC"/>
    <w:rsid w:val="00F56439"/>
    <w:rsid w:val="00F60A54"/>
    <w:rsid w:val="00F61DB6"/>
    <w:rsid w:val="00F669F8"/>
    <w:rsid w:val="00F75FB4"/>
    <w:rsid w:val="00F802BF"/>
    <w:rsid w:val="00F86ADD"/>
    <w:rsid w:val="00F90FF4"/>
    <w:rsid w:val="00F97476"/>
    <w:rsid w:val="00FA302A"/>
    <w:rsid w:val="00FA327F"/>
    <w:rsid w:val="00FA6523"/>
    <w:rsid w:val="00FA715C"/>
    <w:rsid w:val="00FA7495"/>
    <w:rsid w:val="00FB363B"/>
    <w:rsid w:val="00FC3DD1"/>
    <w:rsid w:val="00FD2F3F"/>
    <w:rsid w:val="00FD4F94"/>
    <w:rsid w:val="00FD79BD"/>
    <w:rsid w:val="00FD7A8B"/>
    <w:rsid w:val="00FE1647"/>
    <w:rsid w:val="00FE58C6"/>
    <w:rsid w:val="00FE5AFE"/>
    <w:rsid w:val="00FE6193"/>
    <w:rsid w:val="00FF3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BB55"/>
  <w15:docId w15:val="{4D56D7C1-BC8E-482F-9EEA-397E7B51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3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7476"/>
    <w:pPr>
      <w:snapToGrid w:val="0"/>
      <w:jc w:val="left"/>
    </w:pPr>
    <w:rPr>
      <w:sz w:val="18"/>
      <w:szCs w:val="18"/>
    </w:rPr>
  </w:style>
  <w:style w:type="character" w:customStyle="1" w:styleId="a4">
    <w:name w:val="脚注文本 字符"/>
    <w:basedOn w:val="a0"/>
    <w:link w:val="a3"/>
    <w:uiPriority w:val="99"/>
    <w:semiHidden/>
    <w:rsid w:val="00F97476"/>
    <w:rPr>
      <w:sz w:val="18"/>
      <w:szCs w:val="18"/>
    </w:rPr>
  </w:style>
  <w:style w:type="character" w:styleId="a5">
    <w:name w:val="footnote reference"/>
    <w:basedOn w:val="a0"/>
    <w:uiPriority w:val="99"/>
    <w:unhideWhenUsed/>
    <w:qFormat/>
    <w:rsid w:val="00F97476"/>
    <w:rPr>
      <w:vertAlign w:val="superscript"/>
    </w:rPr>
  </w:style>
  <w:style w:type="paragraph" w:styleId="a6">
    <w:name w:val="Body Text"/>
    <w:basedOn w:val="a"/>
    <w:link w:val="a7"/>
    <w:rsid w:val="00F97476"/>
    <w:pPr>
      <w:widowControl/>
      <w:autoSpaceDE w:val="0"/>
      <w:autoSpaceDN w:val="0"/>
      <w:adjustRightInd w:val="0"/>
      <w:spacing w:line="300" w:lineRule="atLeast"/>
      <w:jc w:val="center"/>
      <w:textAlignment w:val="bottom"/>
    </w:pPr>
    <w:rPr>
      <w:rFonts w:ascii="Tms Rmn" w:eastAsia="PMingLiU" w:hAnsi="Tms Rmn" w:cs="Times New Roman"/>
      <w:b/>
      <w:kern w:val="0"/>
      <w:sz w:val="32"/>
      <w:szCs w:val="20"/>
      <w:lang w:eastAsia="zh-TW"/>
    </w:rPr>
  </w:style>
  <w:style w:type="character" w:customStyle="1" w:styleId="a7">
    <w:name w:val="正文文本 字符"/>
    <w:basedOn w:val="a0"/>
    <w:link w:val="a6"/>
    <w:rsid w:val="00F97476"/>
    <w:rPr>
      <w:rFonts w:ascii="Tms Rmn" w:eastAsia="PMingLiU" w:hAnsi="Tms Rmn" w:cs="Times New Roman"/>
      <w:b/>
      <w:kern w:val="0"/>
      <w:sz w:val="32"/>
      <w:szCs w:val="20"/>
      <w:lang w:eastAsia="zh-TW"/>
    </w:rPr>
  </w:style>
  <w:style w:type="paragraph" w:styleId="a8">
    <w:name w:val="header"/>
    <w:basedOn w:val="a"/>
    <w:link w:val="a9"/>
    <w:uiPriority w:val="99"/>
    <w:unhideWhenUsed/>
    <w:rsid w:val="00FE5AF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E5AFE"/>
    <w:rPr>
      <w:sz w:val="18"/>
      <w:szCs w:val="18"/>
    </w:rPr>
  </w:style>
  <w:style w:type="paragraph" w:styleId="aa">
    <w:name w:val="footer"/>
    <w:basedOn w:val="a"/>
    <w:link w:val="ab"/>
    <w:uiPriority w:val="99"/>
    <w:unhideWhenUsed/>
    <w:rsid w:val="00FE5AFE"/>
    <w:pPr>
      <w:tabs>
        <w:tab w:val="center" w:pos="4153"/>
        <w:tab w:val="right" w:pos="8306"/>
      </w:tabs>
      <w:snapToGrid w:val="0"/>
      <w:jc w:val="left"/>
    </w:pPr>
    <w:rPr>
      <w:sz w:val="18"/>
      <w:szCs w:val="18"/>
    </w:rPr>
  </w:style>
  <w:style w:type="character" w:customStyle="1" w:styleId="ab">
    <w:name w:val="页脚 字符"/>
    <w:basedOn w:val="a0"/>
    <w:link w:val="aa"/>
    <w:uiPriority w:val="99"/>
    <w:rsid w:val="00FE5AFE"/>
    <w:rPr>
      <w:sz w:val="18"/>
      <w:szCs w:val="18"/>
    </w:rPr>
  </w:style>
  <w:style w:type="character" w:styleId="ac">
    <w:name w:val="Placeholder Text"/>
    <w:basedOn w:val="a0"/>
    <w:uiPriority w:val="99"/>
    <w:semiHidden/>
    <w:rsid w:val="00D22A20"/>
    <w:rPr>
      <w:color w:val="808080"/>
    </w:rPr>
  </w:style>
  <w:style w:type="paragraph" w:styleId="ad">
    <w:name w:val="List Paragraph"/>
    <w:basedOn w:val="a"/>
    <w:uiPriority w:val="34"/>
    <w:qFormat/>
    <w:rsid w:val="00C66D2F"/>
    <w:pPr>
      <w:ind w:firstLineChars="200" w:firstLine="420"/>
    </w:pPr>
  </w:style>
  <w:style w:type="paragraph" w:styleId="ae">
    <w:name w:val="Balloon Text"/>
    <w:basedOn w:val="a"/>
    <w:link w:val="af"/>
    <w:uiPriority w:val="99"/>
    <w:semiHidden/>
    <w:unhideWhenUsed/>
    <w:rsid w:val="00F802BF"/>
    <w:rPr>
      <w:sz w:val="18"/>
      <w:szCs w:val="18"/>
    </w:rPr>
  </w:style>
  <w:style w:type="character" w:customStyle="1" w:styleId="af">
    <w:name w:val="批注框文本 字符"/>
    <w:basedOn w:val="a0"/>
    <w:link w:val="ae"/>
    <w:uiPriority w:val="99"/>
    <w:semiHidden/>
    <w:rsid w:val="00F802BF"/>
    <w:rPr>
      <w:sz w:val="18"/>
      <w:szCs w:val="18"/>
    </w:rPr>
  </w:style>
  <w:style w:type="character" w:styleId="af0">
    <w:name w:val="Hyperlink"/>
    <w:basedOn w:val="a0"/>
    <w:uiPriority w:val="99"/>
    <w:unhideWhenUsed/>
    <w:rsid w:val="00BF54F5"/>
    <w:rPr>
      <w:color w:val="0000FF"/>
      <w:u w:val="single"/>
    </w:rPr>
  </w:style>
  <w:style w:type="character" w:styleId="af1">
    <w:name w:val="Unresolved Mention"/>
    <w:basedOn w:val="a0"/>
    <w:uiPriority w:val="99"/>
    <w:semiHidden/>
    <w:unhideWhenUsed/>
    <w:rsid w:val="003E1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nbc.com/id/4130912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20603674540682"/>
          <c:y val="2.5428331875182269E-2"/>
          <c:w val="0.85334951881014875"/>
          <c:h val="0.53032947888021587"/>
        </c:manualLayout>
      </c:layout>
      <c:lineChart>
        <c:grouping val="stacked"/>
        <c:varyColors val="0"/>
        <c:ser>
          <c:idx val="0"/>
          <c:order val="0"/>
          <c:tx>
            <c:strRef>
              <c:f>描述性统计!$A$25</c:f>
              <c:strCache>
                <c:ptCount val="1"/>
                <c:pt idx="0">
                  <c:v>RCBs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描述性统计!$B$24:$AB$24</c:f>
              <c:numCache>
                <c:formatCode>m/d/yyyy</c:formatCode>
                <c:ptCount val="27"/>
                <c:pt idx="0">
                  <c:v>41364</c:v>
                </c:pt>
                <c:pt idx="1">
                  <c:v>41455</c:v>
                </c:pt>
                <c:pt idx="2">
                  <c:v>41547</c:v>
                </c:pt>
                <c:pt idx="3">
                  <c:v>41639</c:v>
                </c:pt>
                <c:pt idx="4">
                  <c:v>41729</c:v>
                </c:pt>
                <c:pt idx="5">
                  <c:v>41820</c:v>
                </c:pt>
                <c:pt idx="6">
                  <c:v>41912</c:v>
                </c:pt>
                <c:pt idx="7">
                  <c:v>42004</c:v>
                </c:pt>
                <c:pt idx="8">
                  <c:v>42094</c:v>
                </c:pt>
                <c:pt idx="9">
                  <c:v>42185</c:v>
                </c:pt>
                <c:pt idx="10">
                  <c:v>42277</c:v>
                </c:pt>
                <c:pt idx="11">
                  <c:v>42369</c:v>
                </c:pt>
                <c:pt idx="12">
                  <c:v>42460</c:v>
                </c:pt>
                <c:pt idx="13">
                  <c:v>42551</c:v>
                </c:pt>
                <c:pt idx="14">
                  <c:v>42643</c:v>
                </c:pt>
                <c:pt idx="15">
                  <c:v>42735</c:v>
                </c:pt>
                <c:pt idx="16">
                  <c:v>42825</c:v>
                </c:pt>
                <c:pt idx="17">
                  <c:v>42916</c:v>
                </c:pt>
                <c:pt idx="18">
                  <c:v>43008</c:v>
                </c:pt>
                <c:pt idx="19">
                  <c:v>43100</c:v>
                </c:pt>
                <c:pt idx="20">
                  <c:v>43190</c:v>
                </c:pt>
                <c:pt idx="21">
                  <c:v>43281</c:v>
                </c:pt>
                <c:pt idx="22">
                  <c:v>43373</c:v>
                </c:pt>
                <c:pt idx="23">
                  <c:v>43465</c:v>
                </c:pt>
                <c:pt idx="24">
                  <c:v>43555</c:v>
                </c:pt>
                <c:pt idx="25">
                  <c:v>43646</c:v>
                </c:pt>
                <c:pt idx="26">
                  <c:v>43738</c:v>
                </c:pt>
              </c:numCache>
            </c:numRef>
          </c:cat>
          <c:val>
            <c:numRef>
              <c:f>描述性统计!$B$25:$AB$25</c:f>
              <c:numCache>
                <c:formatCode>0.00%</c:formatCode>
                <c:ptCount val="27"/>
                <c:pt idx="0">
                  <c:v>1.7913581437484921E-2</c:v>
                </c:pt>
                <c:pt idx="1">
                  <c:v>2.2968384093781827E-2</c:v>
                </c:pt>
                <c:pt idx="2">
                  <c:v>2.5921621457058015E-2</c:v>
                </c:pt>
                <c:pt idx="3">
                  <c:v>2.6491406041568143E-2</c:v>
                </c:pt>
                <c:pt idx="4">
                  <c:v>3.3128670113948051E-2</c:v>
                </c:pt>
                <c:pt idx="5">
                  <c:v>3.8901125251260563E-2</c:v>
                </c:pt>
                <c:pt idx="6">
                  <c:v>4.6241859236178622E-2</c:v>
                </c:pt>
                <c:pt idx="7">
                  <c:v>4.7398609973993165E-2</c:v>
                </c:pt>
                <c:pt idx="8">
                  <c:v>5.8309885756225206E-2</c:v>
                </c:pt>
                <c:pt idx="9">
                  <c:v>7.8228455559862922E-2</c:v>
                </c:pt>
                <c:pt idx="10">
                  <c:v>8.6298161314378521E-2</c:v>
                </c:pt>
                <c:pt idx="11">
                  <c:v>0.10227182616518897</c:v>
                </c:pt>
                <c:pt idx="12">
                  <c:v>0.12474502456628932</c:v>
                </c:pt>
                <c:pt idx="13">
                  <c:v>0.1337928227001691</c:v>
                </c:pt>
                <c:pt idx="14">
                  <c:v>0.14638170226704167</c:v>
                </c:pt>
                <c:pt idx="15">
                  <c:v>0.14336041844176933</c:v>
                </c:pt>
                <c:pt idx="16">
                  <c:v>0.14978551849388799</c:v>
                </c:pt>
                <c:pt idx="17">
                  <c:v>0.14384145088549519</c:v>
                </c:pt>
                <c:pt idx="18">
                  <c:v>0.14718197491716892</c:v>
                </c:pt>
                <c:pt idx="19">
                  <c:v>0.14067264124801124</c:v>
                </c:pt>
                <c:pt idx="20">
                  <c:v>0.14321350143955189</c:v>
                </c:pt>
                <c:pt idx="21">
                  <c:v>0.12261898713321906</c:v>
                </c:pt>
                <c:pt idx="22">
                  <c:v>0.1139029617881064</c:v>
                </c:pt>
                <c:pt idx="23">
                  <c:v>0.10694081727453643</c:v>
                </c:pt>
                <c:pt idx="24">
                  <c:v>0.10520715194643079</c:v>
                </c:pt>
                <c:pt idx="25">
                  <c:v>9.4352573709250584E-2</c:v>
                </c:pt>
                <c:pt idx="26">
                  <c:v>9.014412405657285E-2</c:v>
                </c:pt>
              </c:numCache>
            </c:numRef>
          </c:val>
          <c:smooth val="0"/>
          <c:extLst>
            <c:ext xmlns:c16="http://schemas.microsoft.com/office/drawing/2014/chart" uri="{C3380CC4-5D6E-409C-BE32-E72D297353CC}">
              <c16:uniqueId val="{00000000-517A-4E0E-8008-9595D6A20D62}"/>
            </c:ext>
          </c:extLst>
        </c:ser>
        <c:ser>
          <c:idx val="1"/>
          <c:order val="1"/>
          <c:tx>
            <c:strRef>
              <c:f>描述性统计!$A$26</c:f>
              <c:strCache>
                <c:ptCount val="1"/>
                <c:pt idx="0">
                  <c:v>CCBs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描述性统计!$B$24:$AB$24</c:f>
              <c:numCache>
                <c:formatCode>m/d/yyyy</c:formatCode>
                <c:ptCount val="27"/>
                <c:pt idx="0">
                  <c:v>41364</c:v>
                </c:pt>
                <c:pt idx="1">
                  <c:v>41455</c:v>
                </c:pt>
                <c:pt idx="2">
                  <c:v>41547</c:v>
                </c:pt>
                <c:pt idx="3">
                  <c:v>41639</c:v>
                </c:pt>
                <c:pt idx="4">
                  <c:v>41729</c:v>
                </c:pt>
                <c:pt idx="5">
                  <c:v>41820</c:v>
                </c:pt>
                <c:pt idx="6">
                  <c:v>41912</c:v>
                </c:pt>
                <c:pt idx="7">
                  <c:v>42004</c:v>
                </c:pt>
                <c:pt idx="8">
                  <c:v>42094</c:v>
                </c:pt>
                <c:pt idx="9">
                  <c:v>42185</c:v>
                </c:pt>
                <c:pt idx="10">
                  <c:v>42277</c:v>
                </c:pt>
                <c:pt idx="11">
                  <c:v>42369</c:v>
                </c:pt>
                <c:pt idx="12">
                  <c:v>42460</c:v>
                </c:pt>
                <c:pt idx="13">
                  <c:v>42551</c:v>
                </c:pt>
                <c:pt idx="14">
                  <c:v>42643</c:v>
                </c:pt>
                <c:pt idx="15">
                  <c:v>42735</c:v>
                </c:pt>
                <c:pt idx="16">
                  <c:v>42825</c:v>
                </c:pt>
                <c:pt idx="17">
                  <c:v>42916</c:v>
                </c:pt>
                <c:pt idx="18">
                  <c:v>43008</c:v>
                </c:pt>
                <c:pt idx="19">
                  <c:v>43100</c:v>
                </c:pt>
                <c:pt idx="20">
                  <c:v>43190</c:v>
                </c:pt>
                <c:pt idx="21">
                  <c:v>43281</c:v>
                </c:pt>
                <c:pt idx="22">
                  <c:v>43373</c:v>
                </c:pt>
                <c:pt idx="23">
                  <c:v>43465</c:v>
                </c:pt>
                <c:pt idx="24">
                  <c:v>43555</c:v>
                </c:pt>
                <c:pt idx="25">
                  <c:v>43646</c:v>
                </c:pt>
                <c:pt idx="26">
                  <c:v>43738</c:v>
                </c:pt>
              </c:numCache>
            </c:numRef>
          </c:cat>
          <c:val>
            <c:numRef>
              <c:f>描述性统计!$B$26:$AB$26</c:f>
              <c:numCache>
                <c:formatCode>0.0%</c:formatCode>
                <c:ptCount val="27"/>
                <c:pt idx="0">
                  <c:v>0.11569845624757075</c:v>
                </c:pt>
                <c:pt idx="1">
                  <c:v>0.12024062168455421</c:v>
                </c:pt>
                <c:pt idx="2">
                  <c:v>0.11933352031324605</c:v>
                </c:pt>
                <c:pt idx="3">
                  <c:v>0.11538595488248909</c:v>
                </c:pt>
                <c:pt idx="4">
                  <c:v>0.12193303169422316</c:v>
                </c:pt>
                <c:pt idx="5">
                  <c:v>0.13735536283454358</c:v>
                </c:pt>
                <c:pt idx="6">
                  <c:v>0.14337482500100851</c:v>
                </c:pt>
                <c:pt idx="7">
                  <c:v>0.15516721084714313</c:v>
                </c:pt>
                <c:pt idx="8">
                  <c:v>0.17501323341155123</c:v>
                </c:pt>
                <c:pt idx="9">
                  <c:v>0.20533986387565736</c:v>
                </c:pt>
                <c:pt idx="10">
                  <c:v>0.20521536192745249</c:v>
                </c:pt>
                <c:pt idx="11">
                  <c:v>0.22529335421012994</c:v>
                </c:pt>
                <c:pt idx="12">
                  <c:v>0.25136851728440246</c:v>
                </c:pt>
                <c:pt idx="13">
                  <c:v>0.26944078340708005</c:v>
                </c:pt>
                <c:pt idx="14">
                  <c:v>0.27875330855596853</c:v>
                </c:pt>
                <c:pt idx="15">
                  <c:v>0.27682071351991444</c:v>
                </c:pt>
                <c:pt idx="16">
                  <c:v>0.28553574864760328</c:v>
                </c:pt>
                <c:pt idx="17">
                  <c:v>0.27386975468116703</c:v>
                </c:pt>
                <c:pt idx="18">
                  <c:v>0.27517666021256471</c:v>
                </c:pt>
                <c:pt idx="19">
                  <c:v>0.27120599875703844</c:v>
                </c:pt>
                <c:pt idx="20">
                  <c:v>0.26023477336241968</c:v>
                </c:pt>
                <c:pt idx="21">
                  <c:v>0.24239999071970675</c:v>
                </c:pt>
                <c:pt idx="22">
                  <c:v>0.23066770515015236</c:v>
                </c:pt>
                <c:pt idx="23">
                  <c:v>0.21631266546493211</c:v>
                </c:pt>
                <c:pt idx="24">
                  <c:v>0.21564528433427779</c:v>
                </c:pt>
                <c:pt idx="25">
                  <c:v>0.20469343342947199</c:v>
                </c:pt>
                <c:pt idx="26">
                  <c:v>0.19902321401128079</c:v>
                </c:pt>
              </c:numCache>
            </c:numRef>
          </c:val>
          <c:smooth val="0"/>
          <c:extLst>
            <c:ext xmlns:c16="http://schemas.microsoft.com/office/drawing/2014/chart" uri="{C3380CC4-5D6E-409C-BE32-E72D297353CC}">
              <c16:uniqueId val="{00000001-517A-4E0E-8008-9595D6A20D62}"/>
            </c:ext>
          </c:extLst>
        </c:ser>
        <c:ser>
          <c:idx val="2"/>
          <c:order val="2"/>
          <c:tx>
            <c:strRef>
              <c:f>描述性统计!$A$27</c:f>
              <c:strCache>
                <c:ptCount val="1"/>
                <c:pt idx="0">
                  <c:v>LCBs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描述性统计!$B$24:$AB$24</c:f>
              <c:numCache>
                <c:formatCode>m/d/yyyy</c:formatCode>
                <c:ptCount val="27"/>
                <c:pt idx="0">
                  <c:v>41364</c:v>
                </c:pt>
                <c:pt idx="1">
                  <c:v>41455</c:v>
                </c:pt>
                <c:pt idx="2">
                  <c:v>41547</c:v>
                </c:pt>
                <c:pt idx="3">
                  <c:v>41639</c:v>
                </c:pt>
                <c:pt idx="4">
                  <c:v>41729</c:v>
                </c:pt>
                <c:pt idx="5">
                  <c:v>41820</c:v>
                </c:pt>
                <c:pt idx="6">
                  <c:v>41912</c:v>
                </c:pt>
                <c:pt idx="7">
                  <c:v>42004</c:v>
                </c:pt>
                <c:pt idx="8">
                  <c:v>42094</c:v>
                </c:pt>
                <c:pt idx="9">
                  <c:v>42185</c:v>
                </c:pt>
                <c:pt idx="10">
                  <c:v>42277</c:v>
                </c:pt>
                <c:pt idx="11">
                  <c:v>42369</c:v>
                </c:pt>
                <c:pt idx="12">
                  <c:v>42460</c:v>
                </c:pt>
                <c:pt idx="13">
                  <c:v>42551</c:v>
                </c:pt>
                <c:pt idx="14">
                  <c:v>42643</c:v>
                </c:pt>
                <c:pt idx="15">
                  <c:v>42735</c:v>
                </c:pt>
                <c:pt idx="16">
                  <c:v>42825</c:v>
                </c:pt>
                <c:pt idx="17">
                  <c:v>42916</c:v>
                </c:pt>
                <c:pt idx="18">
                  <c:v>43008</c:v>
                </c:pt>
                <c:pt idx="19">
                  <c:v>43100</c:v>
                </c:pt>
                <c:pt idx="20">
                  <c:v>43190</c:v>
                </c:pt>
                <c:pt idx="21">
                  <c:v>43281</c:v>
                </c:pt>
                <c:pt idx="22">
                  <c:v>43373</c:v>
                </c:pt>
                <c:pt idx="23">
                  <c:v>43465</c:v>
                </c:pt>
                <c:pt idx="24">
                  <c:v>43555</c:v>
                </c:pt>
                <c:pt idx="25">
                  <c:v>43646</c:v>
                </c:pt>
                <c:pt idx="26">
                  <c:v>43738</c:v>
                </c:pt>
              </c:numCache>
            </c:numRef>
          </c:cat>
          <c:val>
            <c:numRef>
              <c:f>描述性统计!$B$27:$AB$27</c:f>
              <c:numCache>
                <c:formatCode>0.00%</c:formatCode>
                <c:ptCount val="27"/>
                <c:pt idx="0">
                  <c:v>1.0449091616196581E-2</c:v>
                </c:pt>
                <c:pt idx="1">
                  <c:v>1.3394821643920779E-2</c:v>
                </c:pt>
                <c:pt idx="2">
                  <c:v>1.4933603645604107E-2</c:v>
                </c:pt>
                <c:pt idx="3">
                  <c:v>1.6059999999999998E-2</c:v>
                </c:pt>
                <c:pt idx="4">
                  <c:v>1.7299532903105715E-2</c:v>
                </c:pt>
                <c:pt idx="5">
                  <c:v>1.6260432364392632E-2</c:v>
                </c:pt>
                <c:pt idx="6">
                  <c:v>1.9501970440107104E-2</c:v>
                </c:pt>
                <c:pt idx="7">
                  <c:v>2.0430524775568587E-2</c:v>
                </c:pt>
                <c:pt idx="8">
                  <c:v>2.1630897087934108E-2</c:v>
                </c:pt>
                <c:pt idx="9">
                  <c:v>2.3633466188890357E-2</c:v>
                </c:pt>
                <c:pt idx="10">
                  <c:v>2.4390578348677871E-2</c:v>
                </c:pt>
                <c:pt idx="11">
                  <c:v>2.3813749897131687E-2</c:v>
                </c:pt>
                <c:pt idx="12">
                  <c:v>2.5060134573861324E-2</c:v>
                </c:pt>
                <c:pt idx="13">
                  <c:v>2.4322286031938416E-2</c:v>
                </c:pt>
                <c:pt idx="14">
                  <c:v>2.426570851323891E-2</c:v>
                </c:pt>
                <c:pt idx="15">
                  <c:v>2.6171576258257591E-2</c:v>
                </c:pt>
                <c:pt idx="16">
                  <c:v>3.1128063041816402E-2</c:v>
                </c:pt>
                <c:pt idx="17">
                  <c:v>2.7990488799356849E-2</c:v>
                </c:pt>
                <c:pt idx="18">
                  <c:v>2.6378278903112486E-2</c:v>
                </c:pt>
                <c:pt idx="19">
                  <c:v>2.6810516951494258E-2</c:v>
                </c:pt>
                <c:pt idx="20">
                  <c:v>2.6974703336165001E-2</c:v>
                </c:pt>
                <c:pt idx="21">
                  <c:v>2.6451475074998499E-2</c:v>
                </c:pt>
                <c:pt idx="22">
                  <c:v>2.4804700032960262E-2</c:v>
                </c:pt>
                <c:pt idx="23">
                  <c:v>2.4944236806652774E-2</c:v>
                </c:pt>
                <c:pt idx="24">
                  <c:v>2.5493194687506548E-2</c:v>
                </c:pt>
                <c:pt idx="25">
                  <c:v>2.5595975274515161E-2</c:v>
                </c:pt>
                <c:pt idx="26">
                  <c:v>2.5182380174034368E-2</c:v>
                </c:pt>
              </c:numCache>
            </c:numRef>
          </c:val>
          <c:smooth val="0"/>
          <c:extLst>
            <c:ext xmlns:c16="http://schemas.microsoft.com/office/drawing/2014/chart" uri="{C3380CC4-5D6E-409C-BE32-E72D297353CC}">
              <c16:uniqueId val="{00000002-517A-4E0E-8008-9595D6A20D62}"/>
            </c:ext>
          </c:extLst>
        </c:ser>
        <c:ser>
          <c:idx val="3"/>
          <c:order val="3"/>
          <c:tx>
            <c:strRef>
              <c:f>描述性统计!$A$28</c:f>
              <c:strCache>
                <c:ptCount val="1"/>
                <c:pt idx="0">
                  <c:v>NJSCBs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描述性统计!$B$24:$AB$24</c:f>
              <c:numCache>
                <c:formatCode>m/d/yyyy</c:formatCode>
                <c:ptCount val="27"/>
                <c:pt idx="0">
                  <c:v>41364</c:v>
                </c:pt>
                <c:pt idx="1">
                  <c:v>41455</c:v>
                </c:pt>
                <c:pt idx="2">
                  <c:v>41547</c:v>
                </c:pt>
                <c:pt idx="3">
                  <c:v>41639</c:v>
                </c:pt>
                <c:pt idx="4">
                  <c:v>41729</c:v>
                </c:pt>
                <c:pt idx="5">
                  <c:v>41820</c:v>
                </c:pt>
                <c:pt idx="6">
                  <c:v>41912</c:v>
                </c:pt>
                <c:pt idx="7">
                  <c:v>42004</c:v>
                </c:pt>
                <c:pt idx="8">
                  <c:v>42094</c:v>
                </c:pt>
                <c:pt idx="9">
                  <c:v>42185</c:v>
                </c:pt>
                <c:pt idx="10">
                  <c:v>42277</c:v>
                </c:pt>
                <c:pt idx="11">
                  <c:v>42369</c:v>
                </c:pt>
                <c:pt idx="12">
                  <c:v>42460</c:v>
                </c:pt>
                <c:pt idx="13">
                  <c:v>42551</c:v>
                </c:pt>
                <c:pt idx="14">
                  <c:v>42643</c:v>
                </c:pt>
                <c:pt idx="15">
                  <c:v>42735</c:v>
                </c:pt>
                <c:pt idx="16">
                  <c:v>42825</c:v>
                </c:pt>
                <c:pt idx="17">
                  <c:v>42916</c:v>
                </c:pt>
                <c:pt idx="18">
                  <c:v>43008</c:v>
                </c:pt>
                <c:pt idx="19">
                  <c:v>43100</c:v>
                </c:pt>
                <c:pt idx="20">
                  <c:v>43190</c:v>
                </c:pt>
                <c:pt idx="21">
                  <c:v>43281</c:v>
                </c:pt>
                <c:pt idx="22">
                  <c:v>43373</c:v>
                </c:pt>
                <c:pt idx="23">
                  <c:v>43465</c:v>
                </c:pt>
                <c:pt idx="24">
                  <c:v>43555</c:v>
                </c:pt>
                <c:pt idx="25">
                  <c:v>43646</c:v>
                </c:pt>
                <c:pt idx="26">
                  <c:v>43738</c:v>
                </c:pt>
              </c:numCache>
            </c:numRef>
          </c:cat>
          <c:val>
            <c:numRef>
              <c:f>描述性统计!$B$28:$AB$28</c:f>
              <c:numCache>
                <c:formatCode>0.00%</c:formatCode>
                <c:ptCount val="27"/>
                <c:pt idx="0">
                  <c:v>4.7520204111896093E-2</c:v>
                </c:pt>
                <c:pt idx="1">
                  <c:v>6.1400119933686818E-2</c:v>
                </c:pt>
                <c:pt idx="2">
                  <c:v>6.8888726663507649E-2</c:v>
                </c:pt>
                <c:pt idx="3">
                  <c:v>6.7225000000000007E-2</c:v>
                </c:pt>
                <c:pt idx="4">
                  <c:v>6.9705969445485252E-2</c:v>
                </c:pt>
                <c:pt idx="5">
                  <c:v>7.5684978424480437E-2</c:v>
                </c:pt>
                <c:pt idx="6">
                  <c:v>8.0946159474432344E-2</c:v>
                </c:pt>
                <c:pt idx="7">
                  <c:v>9.2798529810844632E-2</c:v>
                </c:pt>
                <c:pt idx="8">
                  <c:v>0.1136121565369913</c:v>
                </c:pt>
                <c:pt idx="9">
                  <c:v>0.13260225874073825</c:v>
                </c:pt>
                <c:pt idx="10">
                  <c:v>0.13359145994478996</c:v>
                </c:pt>
                <c:pt idx="11">
                  <c:v>0.14110683165957705</c:v>
                </c:pt>
                <c:pt idx="12">
                  <c:v>0.15330879705262704</c:v>
                </c:pt>
                <c:pt idx="13">
                  <c:v>0.15704809354131705</c:v>
                </c:pt>
                <c:pt idx="14">
                  <c:v>0.16904961953997655</c:v>
                </c:pt>
                <c:pt idx="15">
                  <c:v>0.16951185118234371</c:v>
                </c:pt>
                <c:pt idx="16">
                  <c:v>0.18454381905073097</c:v>
                </c:pt>
                <c:pt idx="17">
                  <c:v>0.17025599574220004</c:v>
                </c:pt>
                <c:pt idx="18">
                  <c:v>0.15835165558776568</c:v>
                </c:pt>
                <c:pt idx="19">
                  <c:v>0.15317334306413602</c:v>
                </c:pt>
                <c:pt idx="20">
                  <c:v>0.13865702699567886</c:v>
                </c:pt>
                <c:pt idx="21">
                  <c:v>0.12713973498537615</c:v>
                </c:pt>
                <c:pt idx="22">
                  <c:v>0.1148890111407876</c:v>
                </c:pt>
                <c:pt idx="23">
                  <c:v>0.11342845527682598</c:v>
                </c:pt>
                <c:pt idx="24">
                  <c:v>0.1160472384422868</c:v>
                </c:pt>
                <c:pt idx="25">
                  <c:v>0.11020727398703795</c:v>
                </c:pt>
                <c:pt idx="26">
                  <c:v>9.8641479892597375E-2</c:v>
                </c:pt>
              </c:numCache>
            </c:numRef>
          </c:val>
          <c:smooth val="0"/>
          <c:extLst>
            <c:ext xmlns:c16="http://schemas.microsoft.com/office/drawing/2014/chart" uri="{C3380CC4-5D6E-409C-BE32-E72D297353CC}">
              <c16:uniqueId val="{00000003-517A-4E0E-8008-9595D6A20D62}"/>
            </c:ext>
          </c:extLst>
        </c:ser>
        <c:dLbls>
          <c:showLegendKey val="0"/>
          <c:showVal val="0"/>
          <c:showCatName val="0"/>
          <c:showSerName val="0"/>
          <c:showPercent val="0"/>
          <c:showBubbleSize val="0"/>
        </c:dLbls>
        <c:marker val="1"/>
        <c:smooth val="0"/>
        <c:axId val="454685680"/>
        <c:axId val="1"/>
      </c:lineChart>
      <c:dateAx>
        <c:axId val="454685680"/>
        <c:scaling>
          <c:orientation val="minMax"/>
        </c:scaling>
        <c:delete val="0"/>
        <c:axPos val="b"/>
        <c:numFmt formatCode="m/d/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
        <c:crosses val="autoZero"/>
        <c:auto val="1"/>
        <c:lblOffset val="100"/>
        <c:baseTimeUnit val="months"/>
      </c:dateAx>
      <c:valAx>
        <c:axId val="1"/>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54685680"/>
        <c:crosses val="autoZero"/>
        <c:crossBetween val="between"/>
      </c:valAx>
      <c:spPr>
        <a:noFill/>
        <a:ln w="25400">
          <a:noFill/>
        </a:ln>
      </c:spPr>
    </c:plotArea>
    <c:legend>
      <c:legendPos val="b"/>
      <c:layout>
        <c:manualLayout>
          <c:xMode val="edge"/>
          <c:yMode val="edge"/>
          <c:x val="0.11862756455610883"/>
          <c:y val="0.86022414226421262"/>
          <c:w val="0.75294189734786432"/>
          <c:h val="0.1109487127558079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微软雅黑" panose="020B0503020204020204" pitchFamily="34" charset="-122"/>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92997-5CA9-4F1E-BC51-882A4218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4903</Words>
  <Characters>27951</Characters>
  <Application>Microsoft Office Word</Application>
  <DocSecurity>0</DocSecurity>
  <Lines>232</Lines>
  <Paragraphs>65</Paragraphs>
  <ScaleCrop>false</ScaleCrop>
  <Company/>
  <LinksUpToDate>false</LinksUpToDate>
  <CharactersWithSpaces>32789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denghui828@outlook.com</dc:creator>
  <cp:lastModifiedBy>denghui828@outlook.com</cp:lastModifiedBy>
  <cp:revision>5</cp:revision>
  <cp:lastPrinted>2020-03-12T02:02:00Z</cp:lastPrinted>
  <dcterms:created xsi:type="dcterms:W3CDTF">2020-04-20T14:35:00Z</dcterms:created>
  <dcterms:modified xsi:type="dcterms:W3CDTF">2020-04-20T14:38:00Z</dcterms:modified>
</cp:coreProperties>
</file>