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before="0" w:beforeAutospacing="0" w:after="0" w:afterAutospacing="0" w:line="360" w:lineRule="auto"/>
        <w:contextualSpacing/>
        <w:rPr>
          <w:rFonts w:ascii="Times New Roman" w:hAnsi="Times New Roman" w:cs="Times New Roman"/>
          <w:b/>
          <w:lang w:val="en-GB"/>
        </w:rPr>
      </w:pPr>
      <w:r>
        <w:rPr>
          <w:rFonts w:ascii="Times New Roman" w:hAnsi="Times New Roman" w:cs="Times New Roman"/>
          <w:b/>
          <w:lang w:val="en-GB"/>
        </w:rPr>
        <w:t>Research on Influencing Factors of the Leverage Ratio of Non-financial Enterprises in the Guangdong-Hong Kong-Macao Greater Bay Area</w:t>
      </w:r>
    </w:p>
    <w:p>
      <w:pPr>
        <w:pStyle w:val="12"/>
        <w:spacing w:before="0" w:beforeAutospacing="0" w:after="0" w:afterAutospacing="0" w:line="360" w:lineRule="auto"/>
        <w:contextualSpacing/>
        <w:rPr>
          <w:rFonts w:ascii="Times New Roman" w:hAnsi="Times New Roman" w:cs="Times New Roman"/>
          <w:lang w:val="en-GB"/>
        </w:rPr>
      </w:pPr>
    </w:p>
    <w:p>
      <w:pPr>
        <w:adjustRightInd w:val="0"/>
        <w:snapToGrid w:val="0"/>
        <w:spacing w:line="480" w:lineRule="auto"/>
        <w:contextualSpacing/>
        <w:jc w:val="left"/>
        <w:rPr>
          <w:rFonts w:hint="eastAsia" w:ascii="Times New Roman" w:hAnsi="Times New Roman" w:eastAsia="宋体" w:cs="Times New Roman"/>
          <w:sz w:val="24"/>
          <w:szCs w:val="24"/>
          <w:lang w:eastAsia="zh-CN"/>
        </w:rPr>
      </w:pPr>
      <w:r>
        <w:rPr>
          <w:rFonts w:ascii="Times New Roman" w:hAnsi="Times New Roman" w:cs="Times New Roman"/>
          <w:sz w:val="24"/>
          <w:szCs w:val="24"/>
        </w:rPr>
        <w:t>Shihong Zeng</w:t>
      </w:r>
      <w:r>
        <w:rPr>
          <w:rFonts w:hint="eastAsia" w:cs="Times New Roman"/>
          <w:sz w:val="24"/>
          <w:szCs w:val="24"/>
          <w:vertAlign w:val="superscript"/>
          <w:lang w:val="en-US" w:eastAsia="zh-CN"/>
        </w:rPr>
        <w:t>1,2</w:t>
      </w:r>
      <w:r>
        <w:rPr>
          <w:rFonts w:ascii="Times New Roman" w:hAnsi="Times New Roman" w:eastAsia="Tahoma" w:cs="Times New Roman"/>
          <w:sz w:val="24"/>
          <w:szCs w:val="24"/>
          <w:vertAlign w:val="superscript"/>
        </w:rPr>
        <w:t>,*</w:t>
      </w:r>
      <w:r>
        <w:rPr>
          <w:rFonts w:ascii="Times New Roman" w:hAnsi="Times New Roman" w:eastAsia="Tahoma" w:cs="Times New Roman"/>
          <w:sz w:val="24"/>
          <w:szCs w:val="24"/>
        </w:rPr>
        <w:t>,</w:t>
      </w:r>
      <w:r>
        <w:rPr>
          <w:rFonts w:ascii="Times New Roman" w:hAnsi="Times New Roman" w:cs="Times New Roman"/>
          <w:sz w:val="24"/>
          <w:szCs w:val="24"/>
        </w:rPr>
        <w:t xml:space="preserve"> </w:t>
      </w:r>
      <w:r>
        <w:rPr>
          <w:rFonts w:hint="eastAsia" w:cs="Times New Roman"/>
          <w:sz w:val="24"/>
          <w:szCs w:val="24"/>
          <w:lang w:val="en-US" w:eastAsia="zh-CN"/>
        </w:rPr>
        <w:t>Fan</w:t>
      </w:r>
      <w:r>
        <w:rPr>
          <w:rFonts w:ascii="Times New Roman" w:hAnsi="Times New Roman" w:cs="Times New Roman"/>
          <w:sz w:val="24"/>
          <w:szCs w:val="24"/>
        </w:rPr>
        <w:t xml:space="preserve"> Li</w:t>
      </w:r>
      <w:r>
        <w:rPr>
          <w:rFonts w:hint="eastAsia" w:cs="Times New Roman"/>
          <w:sz w:val="24"/>
          <w:szCs w:val="24"/>
          <w:vertAlign w:val="superscript"/>
          <w:lang w:val="en-US" w:eastAsia="zh-CN"/>
        </w:rPr>
        <w:t xml:space="preserve">1,2 </w:t>
      </w:r>
      <w:r>
        <w:rPr>
          <w:rFonts w:hint="eastAsia" w:cs="Times New Roman"/>
          <w:sz w:val="24"/>
          <w:szCs w:val="24"/>
          <w:vertAlign w:val="baseline"/>
          <w:lang w:val="en-US" w:eastAsia="zh-CN"/>
        </w:rPr>
        <w:t>and</w:t>
      </w:r>
      <w:r>
        <w:rPr>
          <w:rFonts w:hint="eastAsia" w:cs="Times New Roman"/>
          <w:sz w:val="24"/>
          <w:szCs w:val="24"/>
          <w:vertAlign w:val="superscript"/>
          <w:lang w:val="en-US" w:eastAsia="zh-CN"/>
        </w:rPr>
        <w:t xml:space="preserve"> </w:t>
      </w:r>
      <w:r>
        <w:rPr>
          <w:rFonts w:ascii="Times New Roman" w:hAnsi="Times New Roman" w:eastAsia="宋体" w:cs="Times New Roman"/>
          <w:sz w:val="24"/>
          <w:szCs w:val="24"/>
        </w:rPr>
        <w:t>Zhen Zhong</w:t>
      </w:r>
      <w:r>
        <w:rPr>
          <w:rFonts w:hint="eastAsia" w:cs="Times New Roman"/>
          <w:sz w:val="24"/>
          <w:szCs w:val="24"/>
          <w:vertAlign w:val="superscript"/>
          <w:lang w:val="en-US" w:eastAsia="zh-CN"/>
        </w:rPr>
        <w:t>3</w:t>
      </w:r>
      <w:r>
        <w:rPr>
          <w:rFonts w:ascii="Times New Roman" w:hAnsi="Times New Roman" w:eastAsia="Tahoma" w:cs="Times New Roman"/>
          <w:sz w:val="24"/>
          <w:szCs w:val="24"/>
          <w:vertAlign w:val="superscript"/>
        </w:rPr>
        <w:t>,*</w:t>
      </w:r>
    </w:p>
    <w:p>
      <w:pPr>
        <w:adjustRightInd w:val="0"/>
        <w:snapToGrid w:val="0"/>
        <w:spacing w:line="480" w:lineRule="auto"/>
        <w:contextualSpacing/>
        <w:jc w:val="left"/>
        <w:rPr>
          <w:rFonts w:ascii="Times New Roman" w:hAnsi="Times New Roman" w:eastAsia="等线" w:cs="Times New Roman"/>
          <w:sz w:val="24"/>
          <w:szCs w:val="24"/>
        </w:rPr>
      </w:pPr>
    </w:p>
    <w:p>
      <w:pPr>
        <w:adjustRightInd w:val="0"/>
        <w:snapToGrid w:val="0"/>
        <w:spacing w:line="480" w:lineRule="auto"/>
        <w:contextualSpacing/>
        <w:jc w:val="left"/>
        <w:rPr>
          <w:rFonts w:hint="eastAsia" w:ascii="Times New Roman" w:hAnsi="Times New Roman" w:eastAsia="宋体" w:cs="Times New Roman"/>
          <w:sz w:val="24"/>
          <w:szCs w:val="24"/>
          <w:lang w:val="en-US" w:eastAsia="zh-CN"/>
        </w:rPr>
      </w:pPr>
      <w:r>
        <w:rPr>
          <w:rFonts w:hint="eastAsia" w:cs="Times New Roman"/>
          <w:sz w:val="24"/>
          <w:szCs w:val="24"/>
          <w:vertAlign w:val="superscript"/>
          <w:lang w:val="en-US" w:eastAsia="zh-CN"/>
        </w:rPr>
        <w:t xml:space="preserve">1 </w:t>
      </w:r>
      <w:r>
        <w:rPr>
          <w:rFonts w:hint="eastAsia" w:cs="Times New Roman"/>
          <w:vertAlign w:val="baseline"/>
        </w:rPr>
        <w:t xml:space="preserve">Department of Applied Economics, </w:t>
      </w:r>
      <w:r>
        <w:rPr>
          <w:rFonts w:ascii="Times New Roman" w:hAnsi="Times New Roman" w:cs="Times New Roman"/>
          <w:sz w:val="24"/>
          <w:szCs w:val="24"/>
        </w:rPr>
        <w:t xml:space="preserve">College of Economics &amp; Management, Beijing University of Technology, </w:t>
      </w:r>
      <w:r>
        <w:rPr>
          <w:rFonts w:hint="eastAsia" w:cs="Times New Roman"/>
          <w:vertAlign w:val="baseline"/>
        </w:rPr>
        <w:t>Beijing 100124, China</w:t>
      </w:r>
    </w:p>
    <w:p>
      <w:pPr>
        <w:adjustRightInd w:val="0"/>
        <w:snapToGrid w:val="0"/>
        <w:spacing w:line="480" w:lineRule="auto"/>
        <w:contextualSpacing/>
        <w:jc w:val="left"/>
        <w:rPr>
          <w:rFonts w:hint="eastAsia" w:ascii="Times New Roman" w:hAnsi="Times New Roman" w:eastAsia="宋体" w:cs="Times New Roman"/>
          <w:sz w:val="24"/>
          <w:szCs w:val="24"/>
          <w:lang w:val="en-US" w:eastAsia="zh-CN"/>
        </w:rPr>
      </w:pPr>
      <w:r>
        <w:rPr>
          <w:rFonts w:hint="eastAsia" w:cs="Times New Roman"/>
          <w:sz w:val="24"/>
          <w:szCs w:val="24"/>
          <w:vertAlign w:val="superscript"/>
          <w:lang w:val="en-US" w:eastAsia="zh-CN"/>
        </w:rPr>
        <w:t xml:space="preserve">2 </w:t>
      </w:r>
      <w:r>
        <w:rPr>
          <w:rFonts w:hint="eastAsia" w:cs="Times New Roman"/>
          <w:vertAlign w:val="baseline"/>
        </w:rPr>
        <w:t xml:space="preserve">Finance and Economics Development Research Center, College of Economics &amp; Management, Beijing University of Technology, </w:t>
      </w:r>
      <w:bookmarkStart w:id="0" w:name="OLE_LINK1"/>
      <w:r>
        <w:rPr>
          <w:rFonts w:hint="eastAsia" w:cs="Times New Roman"/>
          <w:vertAlign w:val="baseline"/>
        </w:rPr>
        <w:t>Beijing 100124, China</w:t>
      </w:r>
    </w:p>
    <w:bookmarkEnd w:id="0"/>
    <w:p>
      <w:pPr>
        <w:adjustRightInd w:val="0"/>
        <w:snapToGrid w:val="0"/>
        <w:spacing w:line="480" w:lineRule="auto"/>
        <w:contextualSpacing/>
        <w:jc w:val="left"/>
        <w:rPr>
          <w:rFonts w:ascii="Times New Roman" w:hAnsi="Times New Roman" w:eastAsia="Tahoma" w:cs="Times New Roman"/>
          <w:sz w:val="24"/>
          <w:szCs w:val="24"/>
        </w:rPr>
      </w:pPr>
      <w:bookmarkStart w:id="4" w:name="_GoBack"/>
      <w:bookmarkEnd w:id="4"/>
      <w:r>
        <w:rPr>
          <w:rFonts w:hint="eastAsia" w:cs="Times New Roman"/>
          <w:sz w:val="24"/>
          <w:szCs w:val="24"/>
          <w:vertAlign w:val="superscript"/>
          <w:lang w:val="en-US" w:eastAsia="zh-CN"/>
        </w:rPr>
        <w:t xml:space="preserve">3 </w:t>
      </w:r>
      <w:r>
        <w:rPr>
          <w:rFonts w:ascii="Times New Roman" w:hAnsi="Times New Roman" w:eastAsia="宋体" w:cs="Times New Roman"/>
          <w:sz w:val="24"/>
          <w:szCs w:val="24"/>
        </w:rPr>
        <w:t>Research Institute of Finance and Banking, The People's Bank of China</w:t>
      </w:r>
      <w:r>
        <w:rPr>
          <w:rFonts w:ascii="Times New Roman" w:hAnsi="Times New Roman" w:cs="Times New Roman"/>
          <w:sz w:val="24"/>
          <w:szCs w:val="24"/>
        </w:rPr>
        <w:t xml:space="preserve">, </w:t>
      </w:r>
      <w:r>
        <w:rPr>
          <w:rFonts w:hint="eastAsia" w:ascii="Times New Roman" w:hAnsi="Times New Roman" w:cs="Times New Roman"/>
          <w:sz w:val="24"/>
          <w:szCs w:val="24"/>
        </w:rPr>
        <w:t xml:space="preserve">Beijing, </w:t>
      </w:r>
      <w:r>
        <w:rPr>
          <w:rFonts w:hint="eastAsia" w:cs="Times New Roman"/>
        </w:rPr>
        <w:t>100800</w:t>
      </w:r>
      <w:r>
        <w:rPr>
          <w:rFonts w:hint="eastAsia" w:cs="Times New Roman"/>
          <w:lang w:val="en-US" w:eastAsia="zh-CN"/>
        </w:rPr>
        <w:t>,</w:t>
      </w:r>
      <w:r>
        <w:rPr>
          <w:rFonts w:ascii="Times New Roman" w:hAnsi="Times New Roman" w:cs="Times New Roman"/>
          <w:sz w:val="24"/>
          <w:szCs w:val="24"/>
        </w:rPr>
        <w:t>China</w:t>
      </w:r>
    </w:p>
    <w:p>
      <w:pPr>
        <w:adjustRightInd w:val="0"/>
        <w:snapToGrid w:val="0"/>
        <w:spacing w:line="480" w:lineRule="auto"/>
        <w:contextualSpacing/>
        <w:jc w:val="left"/>
        <w:rPr>
          <w:rFonts w:hint="eastAsia" w:ascii="Times New Roman" w:hAnsi="Times New Roman" w:eastAsia="Tahoma" w:cs="Times New Roman"/>
          <w:sz w:val="24"/>
          <w:szCs w:val="24"/>
        </w:rPr>
      </w:pPr>
      <w:r>
        <w:rPr>
          <w:rFonts w:hint="eastAsia" w:ascii="Times New Roman" w:hAnsi="Times New Roman" w:eastAsia="Tahoma" w:cs="Times New Roman"/>
          <w:sz w:val="24"/>
          <w:szCs w:val="24"/>
        </w:rPr>
        <w:t>* Corresponding author.</w:t>
      </w:r>
    </w:p>
    <w:p>
      <w:pPr>
        <w:adjustRightInd w:val="0"/>
        <w:snapToGrid w:val="0"/>
        <w:spacing w:line="480" w:lineRule="auto"/>
        <w:contextualSpacing/>
        <w:jc w:val="left"/>
        <w:rPr>
          <w:rFonts w:ascii="Times New Roman" w:hAnsi="Times New Roman" w:cs="Times New Roman"/>
          <w:sz w:val="24"/>
          <w:szCs w:val="24"/>
        </w:rPr>
      </w:pPr>
      <w:r>
        <w:rPr>
          <w:rFonts w:hint="eastAsia" w:ascii="Times New Roman" w:hAnsi="Times New Roman" w:eastAsia="Tahoma" w:cs="Times New Roman"/>
          <w:sz w:val="24"/>
          <w:szCs w:val="24"/>
        </w:rPr>
        <w:t>E-mail addresses:</w:t>
      </w:r>
      <w:r>
        <w:rPr>
          <w:rFonts w:hint="eastAsia" w:ascii="Times New Roman" w:hAnsi="Times New Roman" w:eastAsia="宋体"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"mailto:zengshihong2000@aliyun.com" </w:instrText>
      </w:r>
      <w:r>
        <w:rPr>
          <w:rFonts w:ascii="Times New Roman" w:hAnsi="Times New Roman" w:cs="Times New Roman"/>
          <w:sz w:val="24"/>
          <w:szCs w:val="24"/>
        </w:rPr>
        <w:fldChar w:fldCharType="separate"/>
      </w:r>
      <w:r>
        <w:rPr>
          <w:rStyle w:val="18"/>
          <w:rFonts w:ascii="Times New Roman" w:hAnsi="Times New Roman" w:cs="Times New Roman"/>
          <w:sz w:val="24"/>
          <w:szCs w:val="24"/>
        </w:rPr>
        <w:t>zengshihong2000@aliyun.com</w:t>
      </w:r>
      <w:r>
        <w:rPr>
          <w:rFonts w:ascii="Times New Roman" w:hAnsi="Times New Roman" w:cs="Times New Roman"/>
          <w:sz w:val="24"/>
          <w:szCs w:val="24"/>
        </w:rPr>
        <w:fldChar w:fldCharType="end"/>
      </w:r>
      <w:r>
        <w:rPr>
          <w:rFonts w:hint="eastAsia" w:ascii="Times New Roman" w:hAnsi="Times New Roman" w:cs="Times New Roman"/>
          <w:sz w:val="24"/>
          <w:szCs w:val="24"/>
        </w:rPr>
        <w:t xml:space="preserve"> (S. Zeng), </w:t>
      </w:r>
      <w:r>
        <w:rPr>
          <w:rFonts w:hint="eastAsia" w:cs="Times New Roman"/>
        </w:rPr>
        <w:fldChar w:fldCharType="begin"/>
      </w:r>
      <w:r>
        <w:rPr>
          <w:rFonts w:hint="eastAsia" w:cs="Times New Roman"/>
        </w:rPr>
        <w:instrText xml:space="preserve"> HYPERLINK "mailto:zhongzhen96@163.com" </w:instrText>
      </w:r>
      <w:r>
        <w:rPr>
          <w:rFonts w:hint="eastAsia" w:cs="Times New Roman"/>
        </w:rPr>
        <w:fldChar w:fldCharType="separate"/>
      </w:r>
      <w:r>
        <w:rPr>
          <w:rStyle w:val="18"/>
          <w:rFonts w:hint="eastAsia" w:cs="Times New Roman"/>
        </w:rPr>
        <w:t>zhongzhen96@163.com</w:t>
      </w:r>
      <w:r>
        <w:rPr>
          <w:rFonts w:hint="eastAsia" w:cs="Times New Roman"/>
        </w:rPr>
        <w:fldChar w:fldCharType="end"/>
      </w:r>
      <w:r>
        <w:rPr>
          <w:rFonts w:hint="eastAsia" w:cs="Times New Roman"/>
          <w:lang w:val="en-US" w:eastAsia="zh-CN"/>
        </w:rPr>
        <w:t xml:space="preserve"> </w:t>
      </w:r>
      <w:r>
        <w:rPr>
          <w:rFonts w:hint="eastAsia" w:ascii="Times New Roman" w:hAnsi="Times New Roman" w:cs="Times New Roman"/>
          <w:sz w:val="24"/>
          <w:szCs w:val="24"/>
        </w:rPr>
        <w:t>(</w:t>
      </w:r>
      <w:r>
        <w:rPr>
          <w:rFonts w:hint="eastAsia" w:cs="Times New Roman"/>
          <w:sz w:val="24"/>
          <w:szCs w:val="24"/>
          <w:lang w:val="en-US" w:eastAsia="zh-CN"/>
        </w:rPr>
        <w:t>Z</w:t>
      </w:r>
      <w:r>
        <w:rPr>
          <w:rFonts w:hint="eastAsia" w:ascii="Times New Roman" w:hAnsi="Times New Roman" w:cs="Times New Roman"/>
          <w:sz w:val="24"/>
          <w:szCs w:val="24"/>
        </w:rPr>
        <w:t>. Z</w:t>
      </w:r>
      <w:r>
        <w:rPr>
          <w:rFonts w:hint="eastAsia" w:cs="Times New Roman"/>
          <w:sz w:val="24"/>
          <w:szCs w:val="24"/>
          <w:lang w:val="en-US" w:eastAsia="zh-CN"/>
        </w:rPr>
        <w:t>ho</w:t>
      </w:r>
      <w:r>
        <w:rPr>
          <w:rFonts w:hint="eastAsia" w:ascii="Times New Roman" w:hAnsi="Times New Roman" w:cs="Times New Roman"/>
          <w:sz w:val="24"/>
          <w:szCs w:val="24"/>
        </w:rPr>
        <w:t>ng)</w:t>
      </w:r>
    </w:p>
    <w:p>
      <w:pPr>
        <w:pStyle w:val="12"/>
        <w:spacing w:before="0" w:beforeAutospacing="0" w:after="0" w:afterAutospacing="0" w:line="360" w:lineRule="auto"/>
        <w:contextualSpacing/>
        <w:rPr>
          <w:rFonts w:ascii="Times New Roman" w:hAnsi="Times New Roman" w:cs="Times New Roman"/>
          <w:lang w:val="en-GB"/>
        </w:rPr>
      </w:pPr>
    </w:p>
    <w:p>
      <w:pPr>
        <w:pStyle w:val="12"/>
        <w:spacing w:before="0" w:beforeAutospacing="0" w:after="0" w:afterAutospacing="0" w:line="360" w:lineRule="auto"/>
        <w:contextualSpacing/>
        <w:rPr>
          <w:rFonts w:ascii="Times New Roman" w:hAnsi="Times New Roman" w:cs="Times New Roman"/>
          <w:lang w:val="en-GB"/>
        </w:rPr>
      </w:pPr>
    </w:p>
    <w:p>
      <w:pPr>
        <w:spacing w:line="360" w:lineRule="auto"/>
        <w:contextualSpacing/>
        <w:jc w:val="left"/>
        <w:rPr>
          <w:rFonts w:cs="Times New Roman"/>
          <w:b/>
          <w:bCs/>
          <w:lang w:val="en-GB"/>
        </w:rPr>
      </w:pPr>
      <w:r>
        <w:rPr>
          <w:rFonts w:cs="Times New Roman"/>
          <w:b/>
          <w:bCs/>
          <w:lang w:val="en-GB"/>
        </w:rPr>
        <w:t>Abstract</w:t>
      </w:r>
    </w:p>
    <w:p>
      <w:pPr>
        <w:spacing w:line="360" w:lineRule="auto"/>
        <w:contextualSpacing/>
        <w:jc w:val="left"/>
        <w:rPr>
          <w:rFonts w:cs="Times New Roman"/>
          <w:lang w:val="en-GB"/>
        </w:rPr>
      </w:pPr>
      <w:r>
        <w:rPr>
          <w:rFonts w:cs="Times New Roman"/>
          <w:lang w:val="en-GB"/>
        </w:rPr>
        <w:t>This paper studies the factors influencing the leverage ratio of non-financial enterprises in the Guangdong, Hong Kong and Macao Greater Bay Area from 2007 to 2017. On the whole, the leverage ratio of non-financial enterprises in the greater bay area is not high. From the perspective of ownership, state-owned enterprises have a higher leverage ratio than non-state-owned enterprises. The leverage ratio differs significantly across industries. From the regional perspective, before 2008, enterprises in Macao had the lowest leverage ratio, and those in Guangdong had the highest. In recent years, the corporate leverage ratio has tended to be similar among the enterprises in Guangdong, Hong Kong and Macao. Corporate profitability is the most important micro-level factor affecting the leverage ratio, and economic growth has the most significant direct impact on the leverage ratio of non-state-owned enterprises. In addition, the economic growth rate, the M2 growth rate and policy uncertainty have a clear indirect impact on the leverage ratio.</w:t>
      </w:r>
    </w:p>
    <w:p>
      <w:pPr>
        <w:spacing w:line="360" w:lineRule="auto"/>
        <w:contextualSpacing/>
        <w:jc w:val="left"/>
        <w:rPr>
          <w:rFonts w:cs="Times New Roman"/>
          <w:lang w:val="en-GB"/>
        </w:rPr>
      </w:pPr>
    </w:p>
    <w:p>
      <w:pPr>
        <w:widowControl/>
        <w:spacing w:line="360" w:lineRule="auto"/>
        <w:contextualSpacing/>
        <w:jc w:val="left"/>
        <w:rPr>
          <w:rFonts w:cs="Times New Roman"/>
          <w:lang w:val="en-GB"/>
        </w:rPr>
      </w:pPr>
    </w:p>
    <w:p>
      <w:pPr>
        <w:widowControl/>
        <w:spacing w:line="360" w:lineRule="auto"/>
        <w:contextualSpacing/>
        <w:jc w:val="left"/>
        <w:rPr>
          <w:rFonts w:cs="Times New Roman"/>
          <w:b/>
          <w:lang w:val="en-GB"/>
        </w:rPr>
      </w:pPr>
      <w:r>
        <w:rPr>
          <w:rFonts w:cs="Times New Roman"/>
          <w:b/>
          <w:lang w:val="en-GB"/>
        </w:rPr>
        <w:t>Classification codes</w:t>
      </w:r>
    </w:p>
    <w:p>
      <w:pPr>
        <w:widowControl/>
        <w:spacing w:line="360" w:lineRule="auto"/>
        <w:contextualSpacing/>
        <w:jc w:val="left"/>
        <w:rPr>
          <w:rFonts w:hint="eastAsia" w:cs="Times New Roman"/>
          <w:lang w:val="en-US" w:eastAsia="zh-CN"/>
        </w:rPr>
      </w:pPr>
      <w:r>
        <w:rPr>
          <w:rFonts w:hint="eastAsia" w:cs="Times New Roman"/>
          <w:lang w:val="en-GB"/>
        </w:rPr>
        <w:t>JEL classification numbers:</w:t>
      </w:r>
      <w:r>
        <w:rPr>
          <w:rFonts w:hint="eastAsia" w:cs="Times New Roman"/>
          <w:lang w:val="en-US" w:eastAsia="zh-CN"/>
        </w:rPr>
        <w:t xml:space="preserve"> G11, G24, G34</w:t>
      </w:r>
    </w:p>
    <w:p>
      <w:pPr>
        <w:widowControl/>
        <w:spacing w:line="360" w:lineRule="auto"/>
        <w:contextualSpacing/>
        <w:jc w:val="left"/>
        <w:rPr>
          <w:rFonts w:hint="eastAsia" w:cs="Times New Roman"/>
          <w:lang w:val="en-US" w:eastAsia="zh-CN"/>
        </w:rPr>
      </w:pPr>
    </w:p>
    <w:p>
      <w:pPr>
        <w:spacing w:line="360" w:lineRule="auto"/>
        <w:contextualSpacing/>
        <w:jc w:val="left"/>
        <w:rPr>
          <w:rFonts w:cs="Times New Roman"/>
          <w:b/>
          <w:bCs/>
          <w:lang w:val="en-GB"/>
        </w:rPr>
      </w:pPr>
      <w:r>
        <w:rPr>
          <w:rFonts w:cs="Times New Roman"/>
          <w:b/>
          <w:bCs/>
          <w:lang w:val="en-GB"/>
        </w:rPr>
        <w:t>Keywords:</w:t>
      </w:r>
    </w:p>
    <w:p>
      <w:pPr>
        <w:spacing w:line="360" w:lineRule="auto"/>
        <w:contextualSpacing/>
        <w:jc w:val="left"/>
        <w:rPr>
          <w:rFonts w:cs="Times New Roman"/>
          <w:lang w:val="en-GB"/>
        </w:rPr>
      </w:pPr>
      <w:r>
        <w:rPr>
          <w:rFonts w:cs="Times New Roman"/>
          <w:lang w:val="en-GB"/>
        </w:rPr>
        <w:t>Guangdong-Hong Kong-Macao Greater Bay Area, Leverage ratio, Influencing factors, Two-way fixed effects</w:t>
      </w:r>
    </w:p>
    <w:p>
      <w:pPr>
        <w:widowControl/>
        <w:spacing w:line="360" w:lineRule="auto"/>
        <w:contextualSpacing/>
        <w:jc w:val="left"/>
        <w:rPr>
          <w:rFonts w:cs="Times New Roman"/>
          <w:lang w:val="en-GB"/>
        </w:rPr>
      </w:pPr>
      <w:r>
        <w:rPr>
          <w:rFonts w:cs="Times New Roman"/>
          <w:lang w:val="en-GB"/>
        </w:rPr>
        <w:br w:type="page"/>
      </w:r>
    </w:p>
    <w:p>
      <w:pPr>
        <w:pStyle w:val="2"/>
        <w:spacing w:before="0" w:after="0" w:line="360" w:lineRule="auto"/>
        <w:contextualSpacing/>
        <w:jc w:val="left"/>
        <w:rPr>
          <w:rFonts w:cs="Times New Roman"/>
          <w:b/>
          <w:sz w:val="24"/>
          <w:szCs w:val="24"/>
          <w:lang w:val="en-GB"/>
        </w:rPr>
      </w:pPr>
      <w:r>
        <w:rPr>
          <w:rFonts w:cs="Times New Roman"/>
          <w:b/>
          <w:sz w:val="24"/>
          <w:szCs w:val="24"/>
          <w:lang w:val="en-GB"/>
        </w:rPr>
        <w:t>1 Introduction</w:t>
      </w:r>
    </w:p>
    <w:p>
      <w:pPr>
        <w:pStyle w:val="12"/>
        <w:spacing w:before="0" w:beforeAutospacing="0" w:after="0" w:afterAutospacing="0" w:line="360" w:lineRule="auto"/>
        <w:ind w:firstLine="720"/>
        <w:contextualSpacing/>
        <w:rPr>
          <w:rFonts w:ascii="Times New Roman" w:hAnsi="Times New Roman" w:cs="Times New Roman"/>
          <w:lang w:val="en-GB"/>
        </w:rPr>
      </w:pPr>
      <w:r>
        <w:rPr>
          <w:rFonts w:ascii="Times New Roman" w:hAnsi="Times New Roman" w:cs="Times New Roman"/>
          <w:lang w:val="en-GB"/>
        </w:rPr>
        <w:t>The Guangdong-Hong Kong-Macao Greater Bay Area is a world-class city cluster built by comparison with the bay areas of New York, San Francisco and Tokyo. It bears the important responsibility of revitalizing the Chinese economy, supporting the construction of the "One Belt and One Road" and participating in global competition. On February 18, 2019, the Communist Party of China (CPC) Central Committee and the State Council issued</w:t>
      </w:r>
      <w:r>
        <w:rPr>
          <w:rFonts w:ascii="Times New Roman" w:hAnsi="Times New Roman" w:cs="Times New Roman"/>
          <w:i/>
          <w:iCs/>
          <w:lang w:val="en-GB"/>
        </w:rPr>
        <w:t xml:space="preserve"> the outline of the development plan for the Guangdong-Hong Kong-Macao Greater Bay Area</w:t>
      </w:r>
      <w:r>
        <w:rPr>
          <w:rFonts w:ascii="Times New Roman" w:hAnsi="Times New Roman" w:cs="Times New Roman"/>
          <w:lang w:val="en-GB"/>
        </w:rPr>
        <w:t>. The outline calls for "giving full play to the capital markets and financial services functions of Hong Kong, Macao, Shenzhen and Guangzhou and cooperating to build diversified, international and trans-regional investment and financing systems for scientific and technological innovation. We will vigorously expand direct financing channels and build financial support platforms for scientific and technological innovation by relying on regional equity trading markets.” Therefore, scholars are interested in how to make full use of the market and geographical advantages of the Guangdong-Hong Kong-Macao Greater Bay Area to build a modern investment and financing platform.</w:t>
      </w:r>
    </w:p>
    <w:p>
      <w:pPr>
        <w:pStyle w:val="12"/>
        <w:spacing w:before="0" w:beforeAutospacing="0" w:after="0" w:afterAutospacing="0" w:line="360" w:lineRule="auto"/>
        <w:ind w:firstLine="720"/>
        <w:contextualSpacing/>
        <w:rPr>
          <w:rFonts w:ascii="Times New Roman" w:hAnsi="Times New Roman" w:cs="Times New Roman"/>
          <w:lang w:val="en-GB"/>
        </w:rPr>
      </w:pPr>
      <w:r>
        <w:rPr>
          <w:rFonts w:ascii="Times New Roman" w:hAnsi="Times New Roman" w:cs="Times New Roman"/>
          <w:lang w:val="en-GB"/>
        </w:rPr>
        <w:t>The leverage ratio is an important indicator reflecting the investment and financing structure of enterprises and the overall financial risk. Since the financial crisis in 2007, the leverage ratio of non-financial enterprises in Guangdong, Hong Kong and Macao has been increasing. According to data from the national balance sheet research centre (CNBS), from 1993 to 2008, the leverage ratio of the non-financial corporate sector in China fluctuated between 80% and 100%, while that in Hong Kong fluctuated between 90% and 140%. After 2008, the leverage ratio of non-financial enterprises in China began to increase year by year. Leverage in the non-financial corporate sector has been rising since a brief decline in 2011, peaking at 161.4% in the first quarter of 2017. Leverage in Hong Kong's non-financial corporate sector has grown even faster, peaking at 234.70% in the first quarter of 2018.</w:t>
      </w:r>
    </w:p>
    <w:p>
      <w:pPr>
        <w:pStyle w:val="12"/>
        <w:spacing w:before="0" w:beforeAutospacing="0" w:after="0" w:afterAutospacing="0" w:line="360" w:lineRule="auto"/>
        <w:ind w:firstLine="720"/>
        <w:contextualSpacing/>
        <w:rPr>
          <w:rFonts w:ascii="Times New Roman" w:hAnsi="Times New Roman" w:cs="Times New Roman"/>
          <w:lang w:val="en-GB"/>
        </w:rPr>
      </w:pPr>
      <w:r>
        <w:rPr>
          <w:rFonts w:ascii="Times New Roman" w:hAnsi="Times New Roman" w:cs="Times New Roman"/>
          <w:lang w:val="en-GB"/>
        </w:rPr>
        <w:t>In recent years, the downward pressure on China's economy has intensified, the leverage ratio of non-financial enterprises has remained high, and the hidden risks have become increasingly apparent. In January 2016, the central economic work conference put forward the supply-side structural reform plan, in which "deleveraging" was listed as one of the five core tasks of China's economic reform. As a highly open and internationalized city group in China, the Guangdong-Hong Kong-Macao Greater Bay Area plays an important role in the revitalization of China's economic construction. In 2018, its economic aggregate exceeded 10.8 trillion yuan, accounting for approximately 12% of China's GDP. The study of "deleveraging" in the greater bay area of Guangdong, Hong Kong and Macao can provide guidance for government departments to better control the leverage ratio. The influencing factors must be clarified in order to control the leverage ratio of non-financial enterprises. Based on this background, this paper studies the influencing factors of the leverage ratio of non-financial enterprises in the Guangdong-Hong Kong-Macao Greater Bay Area.</w:t>
      </w:r>
    </w:p>
    <w:p>
      <w:pPr>
        <w:pStyle w:val="2"/>
        <w:spacing w:before="0" w:after="0" w:line="360" w:lineRule="auto"/>
        <w:contextualSpacing/>
        <w:jc w:val="left"/>
        <w:rPr>
          <w:rFonts w:cs="Times New Roman"/>
          <w:sz w:val="24"/>
          <w:szCs w:val="24"/>
          <w:lang w:val="en-GB"/>
        </w:rPr>
      </w:pPr>
    </w:p>
    <w:p>
      <w:pPr>
        <w:pStyle w:val="2"/>
        <w:spacing w:before="0" w:after="0" w:line="360" w:lineRule="auto"/>
        <w:contextualSpacing/>
        <w:jc w:val="left"/>
        <w:rPr>
          <w:rFonts w:cs="Times New Roman"/>
          <w:b/>
          <w:sz w:val="24"/>
          <w:szCs w:val="24"/>
          <w:lang w:val="en-GB"/>
        </w:rPr>
      </w:pPr>
      <w:r>
        <w:rPr>
          <w:rFonts w:cs="Times New Roman"/>
          <w:b/>
          <w:sz w:val="24"/>
          <w:szCs w:val="24"/>
          <w:lang w:val="en-GB"/>
        </w:rPr>
        <w:t>2 Literature review</w:t>
      </w:r>
    </w:p>
    <w:p>
      <w:pPr>
        <w:spacing w:line="360" w:lineRule="auto"/>
        <w:ind w:firstLine="720"/>
        <w:contextualSpacing/>
        <w:jc w:val="left"/>
        <w:rPr>
          <w:rFonts w:cs="Times New Roman"/>
          <w:lang w:val="en-GB"/>
        </w:rPr>
      </w:pPr>
      <w:r>
        <w:rPr>
          <w:rFonts w:cs="Times New Roman"/>
          <w:lang w:val="en-GB"/>
        </w:rPr>
        <w:t>Previous studies have explained the factors affecting the leverage ratio mainly based on the theories of tradeoff, pecking order, adverse selection and balance sheet recession. These factors can be divided into micro factors and macro factors.</w:t>
      </w:r>
    </w:p>
    <w:p>
      <w:pPr>
        <w:pStyle w:val="3"/>
        <w:spacing w:before="0" w:after="0" w:line="360" w:lineRule="auto"/>
        <w:contextualSpacing/>
        <w:jc w:val="left"/>
        <w:rPr>
          <w:rFonts w:cs="Times New Roman"/>
          <w:sz w:val="24"/>
          <w:szCs w:val="24"/>
          <w:lang w:val="en-GB"/>
        </w:rPr>
      </w:pPr>
    </w:p>
    <w:p>
      <w:pPr>
        <w:pStyle w:val="3"/>
        <w:spacing w:before="0" w:after="0" w:line="360" w:lineRule="auto"/>
        <w:contextualSpacing/>
        <w:jc w:val="left"/>
        <w:rPr>
          <w:rFonts w:cs="Times New Roman"/>
          <w:b/>
          <w:i/>
          <w:sz w:val="24"/>
          <w:szCs w:val="24"/>
          <w:lang w:val="en-GB"/>
        </w:rPr>
      </w:pPr>
      <w:r>
        <w:rPr>
          <w:rFonts w:cs="Times New Roman"/>
          <w:b/>
          <w:i/>
          <w:sz w:val="24"/>
          <w:szCs w:val="24"/>
          <w:lang w:val="en-GB"/>
        </w:rPr>
        <w:t>2.1 Literature review on micro-influencing factors</w:t>
      </w:r>
    </w:p>
    <w:p>
      <w:pPr>
        <w:spacing w:line="360" w:lineRule="auto"/>
        <w:contextualSpacing/>
        <w:jc w:val="left"/>
        <w:rPr>
          <w:rFonts w:cs="Times New Roman"/>
          <w:lang w:val="en-GB"/>
        </w:rPr>
      </w:pPr>
    </w:p>
    <w:p>
      <w:pPr>
        <w:pStyle w:val="4"/>
        <w:spacing w:before="0" w:after="0" w:line="360" w:lineRule="auto"/>
        <w:contextualSpacing/>
        <w:jc w:val="left"/>
        <w:rPr>
          <w:rFonts w:cs="Times New Roman"/>
          <w:i/>
          <w:szCs w:val="24"/>
          <w:lang w:val="en-GB"/>
        </w:rPr>
      </w:pPr>
      <w:r>
        <w:rPr>
          <w:rFonts w:cs="Times New Roman"/>
          <w:i/>
          <w:szCs w:val="24"/>
          <w:lang w:val="en-GB"/>
        </w:rPr>
        <w:t>2.1.1 Profitability</w:t>
      </w:r>
    </w:p>
    <w:p>
      <w:pPr>
        <w:pStyle w:val="12"/>
        <w:spacing w:before="0" w:beforeAutospacing="0" w:after="0" w:afterAutospacing="0" w:line="360" w:lineRule="auto"/>
        <w:ind w:firstLine="720"/>
        <w:contextualSpacing/>
        <w:rPr>
          <w:rFonts w:ascii="Times New Roman" w:hAnsi="Times New Roman" w:cs="Times New Roman"/>
          <w:color w:val="000000" w:themeColor="text1"/>
          <w:lang w:val="en-GB"/>
          <w14:textFill>
            <w14:solidFill>
              <w14:schemeClr w14:val="tx1"/>
            </w14:solidFill>
          </w14:textFill>
        </w:rPr>
      </w:pPr>
      <w:r>
        <w:rPr>
          <w:rFonts w:ascii="Times New Roman" w:hAnsi="Times New Roman" w:cs="Times New Roman"/>
          <w:color w:val="000000" w:themeColor="text1"/>
          <w:lang w:val="en-GB"/>
          <w14:textFill>
            <w14:solidFill>
              <w14:schemeClr w14:val="tx1"/>
            </w14:solidFill>
          </w14:textFill>
        </w:rPr>
        <w:t xml:space="preserve">According to the pecking order theory, enterprises with good profitability have more retained earnings, so when they need financing, they first turn to internal financing and thus have a lower leverage ratio. According to the tradeoff theory, under market conditions with financial friction, the stronger the profitability of an enterprise is, the easier it will be for the enterprise to obtain low-cost debt financing, thus leading to a higher leverage ratio. </w:t>
      </w:r>
      <w:r>
        <w:rPr>
          <w:rFonts w:ascii="Times New Roman" w:hAnsi="Times New Roman" w:cs="Times New Roman"/>
          <w:color w:val="00B0F0"/>
          <w:lang w:val="en-GB"/>
        </w:rPr>
        <w:t>Tan, Yin, and Yang (2018)</w:t>
      </w:r>
      <w:r>
        <w:rPr>
          <w:rFonts w:ascii="Times New Roman" w:hAnsi="Times New Roman" w:cs="Times New Roman"/>
          <w:color w:val="000000" w:themeColor="text1"/>
          <w:lang w:val="en-GB"/>
          <w14:textFill>
            <w14:solidFill>
              <w14:schemeClr w14:val="tx1"/>
            </w14:solidFill>
          </w14:textFill>
        </w:rPr>
        <w:t xml:space="preserve"> believed that corporate profitability is negatively correlated with the leverage ratio. </w:t>
      </w:r>
      <w:r>
        <w:rPr>
          <w:rFonts w:ascii="Times New Roman" w:hAnsi="Times New Roman" w:cs="Times New Roman"/>
          <w:color w:val="00B0F0"/>
          <w:lang w:val="en-GB"/>
        </w:rPr>
        <w:t xml:space="preserve">Xiao and Zou’s (2008) findings supported this negative correlation </w:t>
      </w:r>
      <w:r>
        <w:rPr>
          <w:rFonts w:ascii="Times New Roman" w:hAnsi="Times New Roman" w:cs="Times New Roman"/>
          <w:color w:val="000000" w:themeColor="text1"/>
          <w:lang w:val="en-GB"/>
          <w14:textFill>
            <w14:solidFill>
              <w14:schemeClr w14:val="tx1"/>
            </w14:solidFill>
          </w14:textFill>
        </w:rPr>
        <w:t xml:space="preserve">and suggested that companies with strong profitability usually have less debt. Through further research, they found that this is because listed companies in China have a strong preference for equity financing, and companies with strong profitability are more likely to obtain funds from the stock market. The empirical results of </w:t>
      </w:r>
      <w:r>
        <w:rPr>
          <w:rFonts w:ascii="Times New Roman" w:hAnsi="Times New Roman" w:cs="Times New Roman"/>
          <w:color w:val="00B0F0"/>
          <w:lang w:val="en-GB"/>
        </w:rPr>
        <w:t xml:space="preserve">Su and Zeng (2009) </w:t>
      </w:r>
      <w:r>
        <w:rPr>
          <w:rFonts w:ascii="Times New Roman" w:hAnsi="Times New Roman" w:cs="Times New Roman"/>
          <w:color w:val="000000" w:themeColor="text1"/>
          <w:lang w:val="en-GB"/>
          <w14:textFill>
            <w14:solidFill>
              <w14:schemeClr w14:val="tx1"/>
            </w14:solidFill>
          </w14:textFill>
        </w:rPr>
        <w:t>showed that the profitability of enterprises, measured by ROA, was negatively correlated with the asset-liability ratio.</w:t>
      </w:r>
    </w:p>
    <w:p>
      <w:pPr>
        <w:pStyle w:val="4"/>
        <w:spacing w:before="0" w:after="0" w:line="360" w:lineRule="auto"/>
        <w:contextualSpacing/>
        <w:jc w:val="left"/>
        <w:rPr>
          <w:rFonts w:cs="Times New Roman"/>
          <w:szCs w:val="24"/>
          <w:lang w:val="en-GB"/>
        </w:rPr>
      </w:pPr>
    </w:p>
    <w:p>
      <w:pPr>
        <w:pStyle w:val="4"/>
        <w:spacing w:before="0" w:after="0" w:line="360" w:lineRule="auto"/>
        <w:contextualSpacing/>
        <w:jc w:val="left"/>
        <w:rPr>
          <w:rFonts w:cs="Times New Roman"/>
          <w:i/>
          <w:szCs w:val="24"/>
          <w:lang w:val="en-GB"/>
        </w:rPr>
      </w:pPr>
      <w:r>
        <w:rPr>
          <w:rFonts w:cs="Times New Roman"/>
          <w:i/>
          <w:szCs w:val="24"/>
          <w:lang w:val="en-GB"/>
        </w:rPr>
        <w:t>2.1.2 Tangibility</w:t>
      </w:r>
    </w:p>
    <w:p>
      <w:pPr>
        <w:pStyle w:val="12"/>
        <w:spacing w:before="0" w:beforeAutospacing="0" w:after="0" w:afterAutospacing="0" w:line="360" w:lineRule="auto"/>
        <w:ind w:firstLine="720"/>
        <w:contextualSpacing/>
        <w:rPr>
          <w:rFonts w:ascii="Times New Roman" w:hAnsi="Times New Roman" w:cs="Times New Roman"/>
          <w:color w:val="000000" w:themeColor="text1"/>
          <w:lang w:val="en-GB"/>
          <w14:textFill>
            <w14:solidFill>
              <w14:schemeClr w14:val="tx1"/>
            </w14:solidFill>
          </w14:textFill>
        </w:rPr>
      </w:pPr>
      <w:r>
        <w:rPr>
          <w:rFonts w:ascii="Times New Roman" w:hAnsi="Times New Roman" w:cs="Times New Roman"/>
          <w:color w:val="000000" w:themeColor="text1"/>
          <w:lang w:val="en-GB"/>
          <w14:textFill>
            <w14:solidFill>
              <w14:schemeClr w14:val="tx1"/>
            </w14:solidFill>
          </w14:textFill>
        </w:rPr>
        <w:t xml:space="preserve">According to the tradeoff theory, the higher the ratio of tangible assets is, the more assets can be mortgaged in debt financing and the higher the leverage ratio. According to the adverse selection theory, tangible assets account for a relatively high proportion of enterprises assets, which reduces the cost to creditors of obtaining enterprise information and is therefore conducive to the convenient realization of debt financing, so the leverage ratio of enterprises is relatively high. </w:t>
      </w:r>
      <w:r>
        <w:rPr>
          <w:rFonts w:ascii="Times New Roman" w:hAnsi="Times New Roman" w:cs="Times New Roman"/>
          <w:color w:val="00B0F0"/>
          <w:lang w:val="en-GB"/>
        </w:rPr>
        <w:t xml:space="preserve">Xiao and Zou (2008) </w:t>
      </w:r>
      <w:r>
        <w:rPr>
          <w:rFonts w:ascii="Times New Roman" w:hAnsi="Times New Roman" w:cs="Times New Roman"/>
          <w:color w:val="000000" w:themeColor="text1"/>
          <w:lang w:val="en-GB"/>
          <w14:textFill>
            <w14:solidFill>
              <w14:schemeClr w14:val="tx1"/>
            </w14:solidFill>
          </w14:textFill>
        </w:rPr>
        <w:t xml:space="preserve">verified the above theory by finding that companies with a high proportion of tangible assets generally resort to more debt. </w:t>
      </w:r>
    </w:p>
    <w:p>
      <w:pPr>
        <w:pStyle w:val="4"/>
        <w:spacing w:before="0" w:after="0" w:line="360" w:lineRule="auto"/>
        <w:contextualSpacing/>
        <w:jc w:val="left"/>
        <w:rPr>
          <w:rFonts w:cs="Times New Roman"/>
          <w:i/>
          <w:szCs w:val="24"/>
          <w:lang w:val="en-GB"/>
        </w:rPr>
      </w:pPr>
    </w:p>
    <w:p>
      <w:pPr>
        <w:pStyle w:val="4"/>
        <w:spacing w:before="0" w:after="0" w:line="360" w:lineRule="auto"/>
        <w:contextualSpacing/>
        <w:jc w:val="left"/>
        <w:rPr>
          <w:rFonts w:cs="Times New Roman"/>
          <w:i/>
          <w:szCs w:val="24"/>
          <w:lang w:val="en-GB"/>
        </w:rPr>
      </w:pPr>
      <w:r>
        <w:rPr>
          <w:rFonts w:cs="Times New Roman"/>
          <w:i/>
          <w:szCs w:val="24"/>
          <w:lang w:val="en-GB"/>
        </w:rPr>
        <w:t>2.1.3 Enterprise scale</w:t>
      </w:r>
    </w:p>
    <w:p>
      <w:pPr>
        <w:pStyle w:val="12"/>
        <w:spacing w:before="0" w:beforeAutospacing="0" w:after="0" w:afterAutospacing="0" w:line="360" w:lineRule="auto"/>
        <w:ind w:firstLine="720"/>
        <w:contextualSpacing/>
        <w:rPr>
          <w:rFonts w:ascii="Times New Roman" w:hAnsi="Times New Roman" w:cs="Times New Roman"/>
          <w:color w:val="000000" w:themeColor="text1"/>
          <w:lang w:val="en-GB"/>
          <w14:textFill>
            <w14:solidFill>
              <w14:schemeClr w14:val="tx1"/>
            </w14:solidFill>
          </w14:textFill>
        </w:rPr>
      </w:pPr>
      <w:r>
        <w:rPr>
          <w:rFonts w:ascii="Times New Roman" w:hAnsi="Times New Roman" w:cs="Times New Roman"/>
          <w:color w:val="000000" w:themeColor="text1"/>
          <w:lang w:val="en-GB"/>
          <w14:textFill>
            <w14:solidFill>
              <w14:schemeClr w14:val="tx1"/>
            </w14:solidFill>
          </w14:textFill>
        </w:rPr>
        <w:t xml:space="preserve">According to the static tradeoff theory, the larger an enterprise is, the stronger its debt financing ability and the higher its leverage ratio will be. However, according to the pecking order theory, the larger an enterprise is, the lower the information asymmetry and equity financing cost will be, which leads to a preference for equity financing and a lower leverage ratio. </w:t>
      </w:r>
      <w:r>
        <w:rPr>
          <w:rFonts w:ascii="Times New Roman" w:hAnsi="Times New Roman" w:cs="Times New Roman"/>
          <w:color w:val="00B0F0"/>
          <w:lang w:val="en-GB"/>
        </w:rPr>
        <w:t>Xiao and Zou (2008)</w:t>
      </w:r>
      <w:r>
        <w:rPr>
          <w:rFonts w:ascii="Times New Roman" w:hAnsi="Times New Roman" w:cs="Times New Roman"/>
          <w:color w:val="000000" w:themeColor="text1"/>
          <w:lang w:val="en-GB"/>
          <w14:textFill>
            <w14:solidFill>
              <w14:schemeClr w14:val="tx1"/>
            </w14:solidFill>
          </w14:textFill>
        </w:rPr>
        <w:t xml:space="preserve"> believed that the relationship between company size and leverage ratio was consistent with the expectation of the static tradeoff model</w:t>
      </w:r>
      <w:r>
        <w:rPr>
          <w:rFonts w:ascii="Times New Roman" w:hAnsi="Times New Roman" w:cs="Times New Roman"/>
          <w:color w:val="000000"/>
          <w:lang w:val="en-GB"/>
        </w:rPr>
        <w:t>;</w:t>
      </w:r>
      <w:r>
        <w:rPr>
          <w:rFonts w:ascii="Times New Roman" w:hAnsi="Times New Roman" w:cs="Times New Roman"/>
          <w:color w:val="000000" w:themeColor="text1"/>
          <w:lang w:val="en-GB"/>
          <w14:textFill>
            <w14:solidFill>
              <w14:schemeClr w14:val="tx1"/>
            </w14:solidFill>
          </w14:textFill>
        </w:rPr>
        <w:t xml:space="preserve"> that is, company size is positively correlated with leverage ratio.</w:t>
      </w:r>
      <w:r>
        <w:rPr>
          <w:rFonts w:ascii="Times New Roman" w:hAnsi="Times New Roman" w:cs="Times New Roman"/>
          <w:color w:val="00B0F0"/>
          <w:lang w:val="en-GB"/>
        </w:rPr>
        <w:t xml:space="preserve"> Su and Zeng (2009)</w:t>
      </w:r>
      <w:r>
        <w:rPr>
          <w:rFonts w:ascii="Times New Roman" w:hAnsi="Times New Roman" w:cs="Times New Roman"/>
          <w:color w:val="000000" w:themeColor="text1"/>
          <w:lang w:val="en-GB"/>
          <w14:textFill>
            <w14:solidFill>
              <w14:schemeClr w14:val="tx1"/>
            </w14:solidFill>
          </w14:textFill>
        </w:rPr>
        <w:t xml:space="preserve"> used the natural logarithm of enterprise operating income after adjusting for inflation to measure the scale of enterprises and concluded that the larger the scale of enterprises is, the higher the leverage ratio will be. </w:t>
      </w:r>
    </w:p>
    <w:p>
      <w:pPr>
        <w:pStyle w:val="4"/>
        <w:spacing w:before="0" w:after="0" w:line="360" w:lineRule="auto"/>
        <w:contextualSpacing/>
        <w:jc w:val="left"/>
        <w:rPr>
          <w:rFonts w:cs="Times New Roman"/>
          <w:szCs w:val="24"/>
          <w:lang w:val="en-GB"/>
        </w:rPr>
      </w:pPr>
    </w:p>
    <w:p>
      <w:pPr>
        <w:pStyle w:val="4"/>
        <w:spacing w:before="0" w:after="0" w:line="360" w:lineRule="auto"/>
        <w:contextualSpacing/>
        <w:jc w:val="left"/>
        <w:rPr>
          <w:rFonts w:cs="Times New Roman"/>
          <w:i/>
          <w:szCs w:val="24"/>
          <w:lang w:val="en-GB"/>
        </w:rPr>
      </w:pPr>
      <w:r>
        <w:rPr>
          <w:rFonts w:cs="Times New Roman"/>
          <w:i/>
          <w:szCs w:val="24"/>
          <w:lang w:val="en-GB"/>
        </w:rPr>
        <w:t>2.1.4 Growth opportunity</w:t>
      </w:r>
    </w:p>
    <w:p>
      <w:pPr>
        <w:pStyle w:val="12"/>
        <w:spacing w:before="0" w:beforeAutospacing="0" w:after="0" w:afterAutospacing="0" w:line="360" w:lineRule="auto"/>
        <w:ind w:firstLine="720"/>
        <w:contextualSpacing/>
        <w:rPr>
          <w:rFonts w:ascii="Times New Roman" w:hAnsi="Times New Roman" w:cs="Times New Roman"/>
          <w:color w:val="000000" w:themeColor="text1"/>
          <w:lang w:val="en-GB"/>
          <w14:textFill>
            <w14:solidFill>
              <w14:schemeClr w14:val="tx1"/>
            </w14:solidFill>
          </w14:textFill>
        </w:rPr>
      </w:pPr>
      <w:r>
        <w:rPr>
          <w:rFonts w:ascii="Times New Roman" w:hAnsi="Times New Roman" w:cs="Times New Roman"/>
          <w:color w:val="00B0F0"/>
          <w:lang w:val="en-GB"/>
        </w:rPr>
        <w:t>Xiao and Zou (2008)</w:t>
      </w:r>
      <w:r>
        <w:rPr>
          <w:rFonts w:ascii="Times New Roman" w:hAnsi="Times New Roman" w:cs="Times New Roman"/>
          <w:color w:val="000000" w:themeColor="text1"/>
          <w:lang w:val="en-GB"/>
          <w14:textFill>
            <w14:solidFill>
              <w14:schemeClr w14:val="tx1"/>
            </w14:solidFill>
          </w14:textFill>
        </w:rPr>
        <w:t xml:space="preserve"> found that companies with more growth opportunities generally have lower leverage </w:t>
      </w:r>
      <w:r>
        <w:rPr>
          <w:rFonts w:ascii="Times New Roman" w:hAnsi="Times New Roman" w:cs="Times New Roman"/>
          <w:color w:val="000000"/>
          <w:lang w:val="en-GB"/>
        </w:rPr>
        <w:t>ratios</w:t>
      </w:r>
      <w:r>
        <w:rPr>
          <w:rFonts w:ascii="Times New Roman" w:hAnsi="Times New Roman" w:cs="Times New Roman"/>
          <w:color w:val="000000" w:themeColor="text1"/>
          <w:lang w:val="en-GB"/>
          <w14:textFill>
            <w14:solidFill>
              <w14:schemeClr w14:val="tx1"/>
            </w14:solidFill>
          </w14:textFill>
        </w:rPr>
        <w:t xml:space="preserve">, which is consistent with the tradeoff theory. </w:t>
      </w:r>
      <w:r>
        <w:rPr>
          <w:rFonts w:ascii="Times New Roman" w:hAnsi="Times New Roman" w:cs="Times New Roman"/>
          <w:color w:val="00B0F0"/>
          <w:lang w:val="en-GB"/>
        </w:rPr>
        <w:t>Belkhir, Maghyereh, and Awartani (2016)</w:t>
      </w:r>
      <w:r>
        <w:rPr>
          <w:rFonts w:ascii="Times New Roman" w:hAnsi="Times New Roman" w:cs="Times New Roman"/>
          <w:color w:val="000000" w:themeColor="text1"/>
          <w:lang w:val="en-GB"/>
          <w14:textFill>
            <w14:solidFill>
              <w14:schemeClr w14:val="tx1"/>
            </w14:solidFill>
          </w14:textFill>
        </w:rPr>
        <w:t xml:space="preserve"> </w:t>
      </w:r>
      <w:r>
        <w:rPr>
          <w:rFonts w:ascii="Times New Roman" w:hAnsi="Times New Roman" w:cs="Times New Roman"/>
          <w:color w:val="000000"/>
          <w:lang w:val="en-GB"/>
        </w:rPr>
        <w:t>used</w:t>
      </w:r>
      <w:r>
        <w:rPr>
          <w:rFonts w:ascii="Times New Roman" w:hAnsi="Times New Roman" w:cs="Times New Roman"/>
          <w:color w:val="000000" w:themeColor="text1"/>
          <w:lang w:val="en-GB"/>
          <w14:textFill>
            <w14:solidFill>
              <w14:schemeClr w14:val="tx1"/>
            </w14:solidFill>
          </w14:textFill>
        </w:rPr>
        <w:t xml:space="preserve"> companies from the Middle East and </w:t>
      </w:r>
      <w:r>
        <w:rPr>
          <w:rFonts w:ascii="Times New Roman" w:hAnsi="Times New Roman" w:cs="Times New Roman"/>
          <w:color w:val="000000"/>
          <w:lang w:val="en-GB"/>
        </w:rPr>
        <w:t>North</w:t>
      </w:r>
      <w:r>
        <w:rPr>
          <w:rFonts w:ascii="Times New Roman" w:hAnsi="Times New Roman" w:cs="Times New Roman"/>
          <w:color w:val="000000" w:themeColor="text1"/>
          <w:lang w:val="en-GB"/>
          <w14:textFill>
            <w14:solidFill>
              <w14:schemeClr w14:val="tx1"/>
            </w14:solidFill>
          </w14:textFill>
        </w:rPr>
        <w:t xml:space="preserve"> Africa as research samples and measured the growth capacity by the ratio of equity market value and book value of debt to total assets. The study found that, except for enterprises in some countries, the growth capacity of companies was negatively correlated with the leverage ratio.</w:t>
      </w:r>
      <w:r>
        <w:rPr>
          <w:rFonts w:ascii="Times New Roman" w:hAnsi="Times New Roman" w:cs="Times New Roman"/>
          <w:color w:val="00B0F0"/>
          <w:lang w:val="en-GB"/>
        </w:rPr>
        <w:t xml:space="preserve"> Su and Zeng (2009) </w:t>
      </w:r>
      <w:r>
        <w:rPr>
          <w:rFonts w:ascii="Times New Roman" w:hAnsi="Times New Roman" w:cs="Times New Roman"/>
          <w:color w:val="000000" w:themeColor="text1"/>
          <w:lang w:val="en-GB"/>
          <w14:textFill>
            <w14:solidFill>
              <w14:schemeClr w14:val="tx1"/>
            </w14:solidFill>
          </w14:textFill>
        </w:rPr>
        <w:t>used Tobin's Q to measure the development opportunity of the company and found that the development prospect of a company was directly proportional to its external capital. According to the tradeoff theory, enterprises with good growth opportunities tend to prefer equity financing because high growth opportunities often mean an increase in the risk and cost of financial distress to enterprises, and enterprises tend to use stock market financing to reduce their debt financing risks. However, the pecking order theory holds that high growth opportunities are accompanied by aggravated information asymmetry and increased equity financing cost, and enterprises prefer debt financing, which increases the leverage ratio.</w:t>
      </w:r>
    </w:p>
    <w:p>
      <w:pPr>
        <w:pStyle w:val="4"/>
        <w:spacing w:before="0" w:after="0" w:line="360" w:lineRule="auto"/>
        <w:contextualSpacing/>
        <w:jc w:val="left"/>
        <w:rPr>
          <w:rFonts w:cs="Times New Roman"/>
          <w:szCs w:val="24"/>
          <w:lang w:val="en-GB"/>
        </w:rPr>
      </w:pPr>
    </w:p>
    <w:p>
      <w:pPr>
        <w:pStyle w:val="4"/>
        <w:spacing w:before="0" w:after="0" w:line="360" w:lineRule="auto"/>
        <w:contextualSpacing/>
        <w:jc w:val="left"/>
        <w:rPr>
          <w:rFonts w:cs="Times New Roman"/>
          <w:i/>
          <w:szCs w:val="24"/>
          <w:lang w:val="en-GB"/>
        </w:rPr>
      </w:pPr>
      <w:r>
        <w:rPr>
          <w:rFonts w:cs="Times New Roman"/>
          <w:i/>
          <w:szCs w:val="24"/>
          <w:lang w:val="en-GB"/>
        </w:rPr>
        <w:t>2.1.5 Tax shield</w:t>
      </w:r>
    </w:p>
    <w:p>
      <w:pPr>
        <w:pStyle w:val="12"/>
        <w:spacing w:before="0" w:beforeAutospacing="0" w:after="0" w:afterAutospacing="0" w:line="360" w:lineRule="auto"/>
        <w:ind w:firstLine="720"/>
        <w:contextualSpacing/>
        <w:rPr>
          <w:rFonts w:ascii="Times New Roman" w:hAnsi="Times New Roman" w:cs="Times New Roman"/>
          <w:color w:val="000000" w:themeColor="text1"/>
          <w:lang w:val="en-GB"/>
          <w14:textFill>
            <w14:solidFill>
              <w14:schemeClr w14:val="tx1"/>
            </w14:solidFill>
          </w14:textFill>
        </w:rPr>
      </w:pPr>
      <w:r>
        <w:rPr>
          <w:rFonts w:ascii="Times New Roman" w:hAnsi="Times New Roman" w:cs="Times New Roman"/>
          <w:color w:val="00B0F0"/>
          <w:lang w:val="en-GB"/>
        </w:rPr>
        <w:t>Su and Zeng (2009)</w:t>
      </w:r>
      <w:r>
        <w:rPr>
          <w:rFonts w:ascii="Times New Roman" w:hAnsi="Times New Roman" w:cs="Times New Roman"/>
          <w:color w:val="000000" w:themeColor="text1"/>
          <w:lang w:val="en-GB"/>
          <w14:textFill>
            <w14:solidFill>
              <w14:schemeClr w14:val="tx1"/>
            </w14:solidFill>
          </w14:textFill>
        </w:rPr>
        <w:t xml:space="preserve"> measured the company's non-debt tax shield by comparing the accumulated depreciation, unamortized expenses, deferred assets, and start-up expenses to the total assets. They found that the less a company gains from interest tax deduction, the less willing it will be to expand debt, and the non-debt tax shield of the company is negatively correlated with the leverage ratio. </w:t>
      </w:r>
      <w:r>
        <w:rPr>
          <w:rFonts w:ascii="Times New Roman" w:hAnsi="Times New Roman" w:cs="Times New Roman"/>
          <w:color w:val="00B0F0"/>
          <w:lang w:val="en-GB"/>
        </w:rPr>
        <w:t>Liang, Li, and Song (2014)</w:t>
      </w:r>
      <w:r>
        <w:rPr>
          <w:rFonts w:ascii="Times New Roman" w:hAnsi="Times New Roman" w:cs="Times New Roman"/>
          <w:color w:val="000000" w:themeColor="text1"/>
          <w:lang w:val="en-GB"/>
          <w14:textFill>
            <w14:solidFill>
              <w14:schemeClr w14:val="tx1"/>
            </w14:solidFill>
          </w14:textFill>
        </w:rPr>
        <w:t xml:space="preserve"> found that the tax shield effect of debt interest was negatively correlated with the leverage ratio.</w:t>
      </w:r>
    </w:p>
    <w:p>
      <w:pPr>
        <w:pStyle w:val="4"/>
        <w:spacing w:before="0" w:after="0" w:line="360" w:lineRule="auto"/>
        <w:contextualSpacing/>
        <w:jc w:val="left"/>
        <w:rPr>
          <w:rFonts w:cs="Times New Roman"/>
          <w:szCs w:val="24"/>
          <w:lang w:val="en-GB"/>
        </w:rPr>
      </w:pPr>
    </w:p>
    <w:p>
      <w:pPr>
        <w:pStyle w:val="4"/>
        <w:spacing w:before="0" w:after="0" w:line="360" w:lineRule="auto"/>
        <w:contextualSpacing/>
        <w:jc w:val="left"/>
        <w:rPr>
          <w:rFonts w:cs="Times New Roman"/>
          <w:i/>
          <w:szCs w:val="24"/>
          <w:lang w:val="en-GB"/>
        </w:rPr>
      </w:pPr>
      <w:r>
        <w:rPr>
          <w:rFonts w:cs="Times New Roman"/>
          <w:i/>
          <w:szCs w:val="24"/>
          <w:lang w:val="en-GB"/>
        </w:rPr>
        <w:t>2.1.6 Corporate ownership</w:t>
      </w:r>
    </w:p>
    <w:p>
      <w:pPr>
        <w:pStyle w:val="12"/>
        <w:spacing w:before="0" w:beforeAutospacing="0" w:after="0" w:afterAutospacing="0" w:line="360" w:lineRule="auto"/>
        <w:ind w:firstLine="720"/>
        <w:contextualSpacing/>
        <w:rPr>
          <w:rFonts w:ascii="Times New Roman" w:hAnsi="Times New Roman" w:cs="Times New Roman"/>
          <w:bCs/>
          <w:color w:val="000000" w:themeColor="text1"/>
          <w:lang w:val="en-GB"/>
          <w14:textFill>
            <w14:solidFill>
              <w14:schemeClr w14:val="tx1"/>
            </w14:solidFill>
          </w14:textFill>
        </w:rPr>
      </w:pPr>
      <w:r>
        <w:rPr>
          <w:rFonts w:ascii="Times New Roman" w:hAnsi="Times New Roman" w:cs="Times New Roman"/>
          <w:bCs/>
          <w:color w:val="000000" w:themeColor="text1"/>
          <w:lang w:val="en-GB"/>
          <w14:textFill>
            <w14:solidFill>
              <w14:schemeClr w14:val="tx1"/>
            </w14:solidFill>
          </w14:textFill>
        </w:rPr>
        <w:t xml:space="preserve">In China, state-owned enterprises have close links with banks, which can reduce the cost to banks of evaluating their credit qualifications; on the other hand, they have implicit government </w:t>
      </w:r>
      <w:r>
        <w:rPr>
          <w:rFonts w:ascii="Times New Roman" w:hAnsi="Times New Roman" w:cs="Times New Roman"/>
          <w:bCs/>
          <w:color w:val="000000"/>
          <w:lang w:val="en-GB"/>
        </w:rPr>
        <w:t>guarantees</w:t>
      </w:r>
      <w:r>
        <w:rPr>
          <w:rFonts w:ascii="Times New Roman" w:hAnsi="Times New Roman" w:cs="Times New Roman"/>
          <w:bCs/>
          <w:color w:val="000000" w:themeColor="text1"/>
          <w:lang w:val="en-GB"/>
          <w14:textFill>
            <w14:solidFill>
              <w14:schemeClr w14:val="tx1"/>
            </w14:solidFill>
          </w14:textFill>
        </w:rPr>
        <w:t xml:space="preserve">, which makes it easier for them to borrow money and leads their leverage ratio to be higher than that of non-state-owned enterprises. </w:t>
      </w:r>
      <w:r>
        <w:rPr>
          <w:rFonts w:ascii="Times New Roman" w:hAnsi="Times New Roman" w:cs="Times New Roman"/>
          <w:bCs/>
          <w:color w:val="00B0F0"/>
          <w:lang w:val="en-GB"/>
        </w:rPr>
        <w:t>Belkhir et al. (2016)</w:t>
      </w:r>
      <w:r>
        <w:rPr>
          <w:rFonts w:ascii="Times New Roman" w:hAnsi="Times New Roman" w:cs="Times New Roman"/>
          <w:bCs/>
          <w:color w:val="000000" w:themeColor="text1"/>
          <w:lang w:val="en-GB"/>
          <w14:textFill>
            <w14:solidFill>
              <w14:schemeClr w14:val="tx1"/>
            </w14:solidFill>
          </w14:textFill>
        </w:rPr>
        <w:t xml:space="preserve"> found that the institutional quality of a country has a crucial impact on the decision-making concerning enterprise capital structure.</w:t>
      </w:r>
      <w:r>
        <w:rPr>
          <w:rFonts w:ascii="Times New Roman" w:hAnsi="Times New Roman" w:cs="Times New Roman"/>
          <w:bCs/>
          <w:color w:val="00B0F0"/>
          <w:lang w:val="en-GB"/>
        </w:rPr>
        <w:t xml:space="preserve"> Liang et al. (2014)</w:t>
      </w:r>
      <w:r>
        <w:rPr>
          <w:rFonts w:ascii="Times New Roman" w:hAnsi="Times New Roman" w:cs="Times New Roman"/>
          <w:bCs/>
          <w:color w:val="000000" w:themeColor="text1"/>
          <w:lang w:val="en-GB"/>
          <w14:textFill>
            <w14:solidFill>
              <w14:schemeClr w14:val="tx1"/>
            </w14:solidFill>
          </w14:textFill>
        </w:rPr>
        <w:t xml:space="preserve"> found that the state-owned holding ratio of listed companies in China was positively correlated with the leverage ratio. However, </w:t>
      </w:r>
      <w:r>
        <w:rPr>
          <w:rFonts w:ascii="Times New Roman" w:hAnsi="Times New Roman" w:cs="Times New Roman"/>
          <w:bCs/>
          <w:color w:val="00B0F0"/>
          <w:lang w:val="en-GB"/>
        </w:rPr>
        <w:t xml:space="preserve">Lu, He, Dou, Peking University, and Ji’nan University (2015) </w:t>
      </w:r>
      <w:r>
        <w:rPr>
          <w:rFonts w:ascii="Times New Roman" w:hAnsi="Times New Roman" w:cs="Times New Roman"/>
          <w:bCs/>
          <w:color w:val="000000" w:themeColor="text1"/>
          <w:lang w:val="en-GB"/>
          <w14:textFill>
            <w14:solidFill>
              <w14:schemeClr w14:val="tx1"/>
            </w14:solidFill>
          </w14:textFill>
        </w:rPr>
        <w:t>confirmed that high debt is not the same as excessive debt and</w:t>
      </w:r>
      <w:r>
        <w:rPr>
          <w:rFonts w:ascii="Times New Roman" w:hAnsi="Times New Roman" w:cs="Times New Roman"/>
          <w:bCs/>
          <w:color w:val="000000"/>
          <w:lang w:val="en-GB"/>
        </w:rPr>
        <w:t xml:space="preserve"> that</w:t>
      </w:r>
      <w:r>
        <w:rPr>
          <w:rFonts w:ascii="Times New Roman" w:hAnsi="Times New Roman" w:cs="Times New Roman"/>
          <w:bCs/>
          <w:color w:val="000000" w:themeColor="text1"/>
          <w:lang w:val="en-GB"/>
          <w14:textFill>
            <w14:solidFill>
              <w14:schemeClr w14:val="tx1"/>
            </w14:solidFill>
          </w14:textFill>
        </w:rPr>
        <w:t xml:space="preserve"> state-owned enterprises have a lower possibility of excessive debt.</w:t>
      </w:r>
    </w:p>
    <w:p>
      <w:pPr>
        <w:pStyle w:val="4"/>
        <w:spacing w:before="0" w:after="0" w:line="360" w:lineRule="auto"/>
        <w:contextualSpacing/>
        <w:jc w:val="left"/>
        <w:rPr>
          <w:rFonts w:cs="Times New Roman"/>
          <w:szCs w:val="24"/>
          <w:lang w:val="en-GB"/>
        </w:rPr>
      </w:pPr>
    </w:p>
    <w:p>
      <w:pPr>
        <w:pStyle w:val="4"/>
        <w:spacing w:before="0" w:after="0" w:line="360" w:lineRule="auto"/>
        <w:contextualSpacing/>
        <w:jc w:val="left"/>
        <w:rPr>
          <w:rFonts w:cs="Times New Roman"/>
          <w:i/>
          <w:szCs w:val="24"/>
          <w:lang w:val="en-GB"/>
        </w:rPr>
      </w:pPr>
      <w:r>
        <w:rPr>
          <w:rFonts w:cs="Times New Roman"/>
          <w:i/>
          <w:szCs w:val="24"/>
          <w:lang w:val="en-GB"/>
        </w:rPr>
        <w:t>2.1.7 Industry</w:t>
      </w:r>
    </w:p>
    <w:p>
      <w:pPr>
        <w:pStyle w:val="12"/>
        <w:spacing w:before="0" w:beforeAutospacing="0" w:after="0" w:afterAutospacing="0" w:line="360" w:lineRule="auto"/>
        <w:ind w:firstLine="720"/>
        <w:contextualSpacing/>
        <w:rPr>
          <w:rFonts w:ascii="Times New Roman" w:hAnsi="Times New Roman" w:cs="Times New Roman"/>
          <w:color w:val="000000" w:themeColor="text1"/>
          <w:lang w:val="en-GB"/>
          <w14:textFill>
            <w14:solidFill>
              <w14:schemeClr w14:val="tx1"/>
            </w14:solidFill>
          </w14:textFill>
        </w:rPr>
      </w:pPr>
      <w:r>
        <w:rPr>
          <w:rFonts w:ascii="Times New Roman" w:hAnsi="Times New Roman" w:cs="Times New Roman"/>
          <w:color w:val="000000" w:themeColor="text1"/>
          <w:lang w:val="en-GB"/>
          <w14:textFill>
            <w14:solidFill>
              <w14:schemeClr w14:val="tx1"/>
            </w14:solidFill>
          </w14:textFill>
        </w:rPr>
        <w:t xml:space="preserve">Through empirical analysis of Chinese listed companies, </w:t>
      </w:r>
      <w:r>
        <w:rPr>
          <w:rFonts w:ascii="Times New Roman" w:hAnsi="Times New Roman" w:cs="Times New Roman"/>
          <w:color w:val="00B0F0"/>
          <w:lang w:val="en-GB"/>
        </w:rPr>
        <w:t xml:space="preserve">Guo and Sun (2003) </w:t>
      </w:r>
      <w:r>
        <w:rPr>
          <w:rFonts w:ascii="Times New Roman" w:hAnsi="Times New Roman" w:cs="Times New Roman"/>
          <w:color w:val="000000" w:themeColor="text1"/>
          <w:lang w:val="en-GB"/>
          <w14:textFill>
            <w14:solidFill>
              <w14:schemeClr w14:val="tx1"/>
            </w14:solidFill>
          </w14:textFill>
        </w:rPr>
        <w:t>found that industry is an important factor affecting the debt ratio of enterprises and</w:t>
      </w:r>
      <w:r>
        <w:rPr>
          <w:rFonts w:ascii="Times New Roman" w:hAnsi="Times New Roman" w:cs="Times New Roman"/>
          <w:color w:val="000000"/>
          <w:lang w:val="en-GB"/>
        </w:rPr>
        <w:t xml:space="preserve"> that</w:t>
      </w:r>
      <w:r>
        <w:rPr>
          <w:rFonts w:ascii="Times New Roman" w:hAnsi="Times New Roman" w:cs="Times New Roman"/>
          <w:color w:val="000000" w:themeColor="text1"/>
          <w:lang w:val="en-GB"/>
          <w14:textFill>
            <w14:solidFill>
              <w14:schemeClr w14:val="tx1"/>
            </w14:solidFill>
          </w14:textFill>
        </w:rPr>
        <w:t xml:space="preserve"> the capital structure of listed companies in the same industry is stable and significantly different from that in other industries.</w:t>
      </w:r>
      <w:r>
        <w:rPr>
          <w:rFonts w:ascii="Times New Roman" w:hAnsi="Times New Roman" w:cs="Times New Roman"/>
          <w:color w:val="00B0F0"/>
          <w:lang w:val="en-GB"/>
        </w:rPr>
        <w:t xml:space="preserve"> Tan et al. (2018)</w:t>
      </w:r>
      <w:r>
        <w:rPr>
          <w:rFonts w:ascii="Times New Roman" w:hAnsi="Times New Roman" w:cs="Times New Roman"/>
          <w:color w:val="000000" w:themeColor="text1"/>
          <w:lang w:val="en-GB"/>
          <w14:textFill>
            <w14:solidFill>
              <w14:schemeClr w14:val="tx1"/>
            </w14:solidFill>
          </w14:textFill>
        </w:rPr>
        <w:t xml:space="preserve"> conducted an empirical study using the median leverage ratio of the industry and found that</w:t>
      </w:r>
      <w:r>
        <w:rPr>
          <w:rFonts w:ascii="Times New Roman" w:hAnsi="Times New Roman" w:cs="Times New Roman"/>
          <w:color w:val="000000"/>
          <w:lang w:val="en-GB"/>
        </w:rPr>
        <w:t xml:space="preserve"> the</w:t>
      </w:r>
      <w:r>
        <w:rPr>
          <w:rFonts w:ascii="Times New Roman" w:hAnsi="Times New Roman" w:cs="Times New Roman"/>
          <w:color w:val="000000" w:themeColor="text1"/>
          <w:lang w:val="en-GB"/>
          <w14:textFill>
            <w14:solidFill>
              <w14:schemeClr w14:val="tx1"/>
            </w14:solidFill>
          </w14:textFill>
        </w:rPr>
        <w:t xml:space="preserve"> corporate leverage ratio was closely related to industry characteristics. </w:t>
      </w:r>
      <w:r>
        <w:rPr>
          <w:rFonts w:ascii="Times New Roman" w:hAnsi="Times New Roman" w:cs="Times New Roman"/>
          <w:color w:val="00B0F0"/>
          <w:lang w:val="en-GB"/>
        </w:rPr>
        <w:t>Li and Islam (2019)</w:t>
      </w:r>
      <w:r>
        <w:rPr>
          <w:rFonts w:ascii="Times New Roman" w:hAnsi="Times New Roman" w:cs="Times New Roman"/>
          <w:color w:val="000000" w:themeColor="text1"/>
          <w:lang w:val="en-GB"/>
          <w14:textFill>
            <w14:solidFill>
              <w14:schemeClr w14:val="tx1"/>
            </w14:solidFill>
          </w14:textFill>
        </w:rPr>
        <w:t xml:space="preserve">, </w:t>
      </w:r>
      <w:r>
        <w:rPr>
          <w:rFonts w:ascii="Times New Roman" w:hAnsi="Times New Roman" w:cs="Times New Roman"/>
          <w:color w:val="00B0F0"/>
          <w:lang w:val="en-GB"/>
        </w:rPr>
        <w:t xml:space="preserve">Koksal and Orman (2015) </w:t>
      </w:r>
      <w:r>
        <w:rPr>
          <w:rFonts w:ascii="Times New Roman" w:hAnsi="Times New Roman" w:cs="Times New Roman"/>
          <w:color w:val="000000" w:themeColor="text1"/>
          <w:lang w:val="en-GB"/>
          <w14:textFill>
            <w14:solidFill>
              <w14:schemeClr w14:val="tx1"/>
            </w14:solidFill>
          </w14:textFill>
        </w:rPr>
        <w:t>found that industry factors had an important impact on the leverage ratio.</w:t>
      </w:r>
    </w:p>
    <w:p>
      <w:pPr>
        <w:pStyle w:val="12"/>
        <w:spacing w:before="0" w:beforeAutospacing="0" w:after="0" w:afterAutospacing="0" w:line="360" w:lineRule="auto"/>
        <w:contextualSpacing/>
        <w:rPr>
          <w:rFonts w:ascii="Times New Roman" w:hAnsi="Times New Roman" w:cs="Times New Roman"/>
          <w:color w:val="000000" w:themeColor="text1"/>
          <w:lang w:val="en-GB"/>
          <w14:textFill>
            <w14:solidFill>
              <w14:schemeClr w14:val="tx1"/>
            </w14:solidFill>
          </w14:textFill>
        </w:rPr>
      </w:pPr>
    </w:p>
    <w:p>
      <w:pPr>
        <w:pStyle w:val="3"/>
        <w:spacing w:before="0" w:after="0" w:line="360" w:lineRule="auto"/>
        <w:contextualSpacing/>
        <w:jc w:val="left"/>
        <w:rPr>
          <w:rFonts w:cs="Times New Roman"/>
          <w:b/>
          <w:i/>
          <w:sz w:val="24"/>
          <w:szCs w:val="24"/>
          <w:lang w:val="en-GB"/>
        </w:rPr>
      </w:pPr>
      <w:r>
        <w:rPr>
          <w:rFonts w:cs="Times New Roman"/>
          <w:b/>
          <w:i/>
          <w:sz w:val="24"/>
          <w:szCs w:val="24"/>
          <w:lang w:val="en-GB"/>
        </w:rPr>
        <w:t>2.2 Literature review of macrolevel influencing factors</w:t>
      </w:r>
    </w:p>
    <w:p>
      <w:pPr>
        <w:pStyle w:val="4"/>
        <w:spacing w:before="0" w:after="0" w:line="360" w:lineRule="auto"/>
        <w:contextualSpacing/>
        <w:jc w:val="left"/>
        <w:rPr>
          <w:rFonts w:cs="Times New Roman"/>
          <w:i/>
          <w:szCs w:val="24"/>
          <w:lang w:val="en-GB"/>
        </w:rPr>
      </w:pPr>
    </w:p>
    <w:p>
      <w:pPr>
        <w:pStyle w:val="4"/>
        <w:spacing w:before="0" w:after="0" w:line="360" w:lineRule="auto"/>
        <w:contextualSpacing/>
        <w:jc w:val="left"/>
        <w:rPr>
          <w:rFonts w:cs="Times New Roman"/>
          <w:i/>
          <w:szCs w:val="24"/>
          <w:lang w:val="en-GB"/>
        </w:rPr>
      </w:pPr>
      <w:r>
        <w:rPr>
          <w:rFonts w:cs="Times New Roman"/>
          <w:i/>
          <w:szCs w:val="24"/>
          <w:lang w:val="en-GB"/>
        </w:rPr>
        <w:t>2.2.1 Economic growth</w:t>
      </w:r>
    </w:p>
    <w:p>
      <w:pPr>
        <w:pStyle w:val="12"/>
        <w:spacing w:before="0" w:beforeAutospacing="0" w:after="0" w:afterAutospacing="0" w:line="360" w:lineRule="auto"/>
        <w:ind w:firstLine="720"/>
        <w:contextualSpacing/>
        <w:rPr>
          <w:rFonts w:ascii="Times New Roman" w:hAnsi="Times New Roman" w:cs="Times New Roman"/>
          <w:color w:val="000000" w:themeColor="text1"/>
          <w:lang w:val="en-GB"/>
          <w14:textFill>
            <w14:solidFill>
              <w14:schemeClr w14:val="tx1"/>
            </w14:solidFill>
          </w14:textFill>
        </w:rPr>
      </w:pPr>
      <w:r>
        <w:rPr>
          <w:rFonts w:ascii="Times New Roman" w:hAnsi="Times New Roman" w:cs="Times New Roman"/>
          <w:color w:val="00B0F0"/>
          <w:lang w:val="en-GB"/>
        </w:rPr>
        <w:t>Chen and Xiong (2017)</w:t>
      </w:r>
      <w:r>
        <w:rPr>
          <w:rFonts w:ascii="Times New Roman" w:hAnsi="Times New Roman" w:cs="Times New Roman"/>
          <w:color w:val="000000" w:themeColor="text1"/>
          <w:lang w:val="en-GB"/>
          <w14:textFill>
            <w14:solidFill>
              <w14:schemeClr w14:val="tx1"/>
            </w14:solidFill>
          </w14:textFill>
        </w:rPr>
        <w:t xml:space="preserve"> believed that an important reason for the increase in corporate debt pressure is the decline of China's economic growth rate. </w:t>
      </w:r>
      <w:r>
        <w:rPr>
          <w:rFonts w:ascii="Times New Roman" w:hAnsi="Times New Roman" w:cs="Times New Roman"/>
          <w:color w:val="00B0F0"/>
          <w:lang w:val="en-GB"/>
        </w:rPr>
        <w:t>Su and Zeng (2009)</w:t>
      </w:r>
      <w:r>
        <w:rPr>
          <w:rFonts w:ascii="Times New Roman" w:hAnsi="Times New Roman" w:cs="Times New Roman"/>
          <w:color w:val="000000" w:themeColor="text1"/>
          <w:lang w:val="en-GB"/>
          <w14:textFill>
            <w14:solidFill>
              <w14:schemeClr w14:val="tx1"/>
            </w14:solidFill>
          </w14:textFill>
        </w:rPr>
        <w:t xml:space="preserve"> found that the company's debt ratio was closely related to the macroeconomic cycle. When the </w:t>
      </w:r>
      <w:r>
        <w:rPr>
          <w:rFonts w:ascii="Times New Roman" w:hAnsi="Times New Roman" w:cs="Times New Roman"/>
          <w:color w:val="000000"/>
          <w:lang w:val="en-GB"/>
        </w:rPr>
        <w:t xml:space="preserve">macroeconomy </w:t>
      </w:r>
      <w:r>
        <w:rPr>
          <w:rFonts w:ascii="Times New Roman" w:hAnsi="Times New Roman" w:cs="Times New Roman"/>
          <w:color w:val="000000" w:themeColor="text1"/>
          <w:lang w:val="en-GB"/>
          <w14:textFill>
            <w14:solidFill>
              <w14:schemeClr w14:val="tx1"/>
            </w14:solidFill>
          </w14:textFill>
        </w:rPr>
        <w:t>improved,</w:t>
      </w:r>
      <w:r>
        <w:rPr>
          <w:rFonts w:ascii="Times New Roman" w:hAnsi="Times New Roman" w:cs="Times New Roman"/>
          <w:color w:val="000000"/>
          <w:lang w:val="en-GB"/>
        </w:rPr>
        <w:t xml:space="preserve"> the</w:t>
      </w:r>
      <w:r>
        <w:rPr>
          <w:rFonts w:ascii="Times New Roman" w:hAnsi="Times New Roman" w:cs="Times New Roman"/>
          <w:lang w:val="en-GB"/>
        </w:rPr>
        <w:t xml:space="preserve"> </w:t>
      </w:r>
      <w:r>
        <w:rPr>
          <w:rFonts w:ascii="Times New Roman" w:hAnsi="Times New Roman" w:cs="Times New Roman"/>
          <w:color w:val="000000" w:themeColor="text1"/>
          <w:lang w:val="en-GB"/>
          <w14:textFill>
            <w14:solidFill>
              <w14:schemeClr w14:val="tx1"/>
            </w14:solidFill>
          </w14:textFill>
        </w:rPr>
        <w:t>corporate debt ratio fell</w:t>
      </w:r>
      <w:r>
        <w:rPr>
          <w:rFonts w:ascii="Times New Roman" w:hAnsi="Times New Roman" w:cs="Times New Roman"/>
          <w:color w:val="000000"/>
          <w:lang w:val="en-GB"/>
        </w:rPr>
        <w:t>;</w:t>
      </w:r>
      <w:r>
        <w:rPr>
          <w:rFonts w:ascii="Times New Roman" w:hAnsi="Times New Roman" w:cs="Times New Roman"/>
          <w:color w:val="000000" w:themeColor="text1"/>
          <w:lang w:val="en-GB"/>
          <w14:textFill>
            <w14:solidFill>
              <w14:schemeClr w14:val="tx1"/>
            </w14:solidFill>
          </w14:textFill>
        </w:rPr>
        <w:t xml:space="preserve"> when it deteriorated, the debt ratio increased.</w:t>
      </w:r>
      <w:r>
        <w:rPr>
          <w:rFonts w:ascii="Times New Roman" w:hAnsi="Times New Roman" w:cs="Times New Roman"/>
          <w:color w:val="00B0F0"/>
          <w:lang w:val="en-GB"/>
        </w:rPr>
        <w:t xml:space="preserve"> Halling, Yu, and Zechner (2016) </w:t>
      </w:r>
      <w:r>
        <w:rPr>
          <w:rFonts w:ascii="Times New Roman" w:hAnsi="Times New Roman" w:cs="Times New Roman"/>
          <w:color w:val="000000" w:themeColor="text1"/>
          <w:lang w:val="en-GB"/>
          <w14:textFill>
            <w14:solidFill>
              <w14:schemeClr w14:val="tx1"/>
            </w14:solidFill>
          </w14:textFill>
        </w:rPr>
        <w:t xml:space="preserve">also verified the counter-cyclical characteristics of </w:t>
      </w:r>
      <w:r>
        <w:rPr>
          <w:rFonts w:ascii="Times New Roman" w:hAnsi="Times New Roman" w:cs="Times New Roman"/>
          <w:color w:val="000000"/>
          <w:lang w:val="en-GB"/>
        </w:rPr>
        <w:t xml:space="preserve">the </w:t>
      </w:r>
      <w:r>
        <w:rPr>
          <w:rFonts w:ascii="Times New Roman" w:hAnsi="Times New Roman" w:cs="Times New Roman"/>
          <w:color w:val="000000" w:themeColor="text1"/>
          <w:lang w:val="en-GB"/>
          <w14:textFill>
            <w14:solidFill>
              <w14:schemeClr w14:val="tx1"/>
            </w14:solidFill>
          </w14:textFill>
        </w:rPr>
        <w:t>enterprise leverage ratio.</w:t>
      </w:r>
    </w:p>
    <w:p>
      <w:pPr>
        <w:pStyle w:val="4"/>
        <w:spacing w:before="0" w:after="0" w:line="360" w:lineRule="auto"/>
        <w:contextualSpacing/>
        <w:jc w:val="left"/>
        <w:rPr>
          <w:rFonts w:cs="Times New Roman"/>
          <w:szCs w:val="24"/>
          <w:lang w:val="en-GB"/>
        </w:rPr>
      </w:pPr>
    </w:p>
    <w:p>
      <w:pPr>
        <w:pStyle w:val="4"/>
        <w:spacing w:before="0" w:after="0" w:line="360" w:lineRule="auto"/>
        <w:contextualSpacing/>
        <w:jc w:val="left"/>
        <w:rPr>
          <w:rFonts w:cs="Times New Roman"/>
          <w:i/>
          <w:szCs w:val="24"/>
          <w:lang w:val="en-GB"/>
        </w:rPr>
      </w:pPr>
      <w:r>
        <w:rPr>
          <w:rFonts w:cs="Times New Roman"/>
          <w:i/>
          <w:szCs w:val="24"/>
          <w:lang w:val="en-GB"/>
        </w:rPr>
        <w:t>2.2.2 Inflation</w:t>
      </w:r>
    </w:p>
    <w:p>
      <w:pPr>
        <w:pStyle w:val="12"/>
        <w:spacing w:before="0" w:beforeAutospacing="0" w:after="0" w:afterAutospacing="0" w:line="360" w:lineRule="auto"/>
        <w:ind w:firstLine="720"/>
        <w:contextualSpacing/>
        <w:rPr>
          <w:rFonts w:ascii="Times New Roman" w:hAnsi="Times New Roman" w:cs="Times New Roman"/>
          <w:color w:val="000000" w:themeColor="text1"/>
          <w:lang w:val="en-GB"/>
          <w14:textFill>
            <w14:solidFill>
              <w14:schemeClr w14:val="tx1"/>
            </w14:solidFill>
          </w14:textFill>
        </w:rPr>
      </w:pPr>
      <w:r>
        <w:rPr>
          <w:rFonts w:ascii="Times New Roman" w:hAnsi="Times New Roman" w:cs="Times New Roman"/>
          <w:color w:val="000000" w:themeColor="text1"/>
          <w:lang w:val="en-GB"/>
          <w14:textFill>
            <w14:solidFill>
              <w14:schemeClr w14:val="tx1"/>
            </w14:solidFill>
          </w14:textFill>
        </w:rPr>
        <w:t xml:space="preserve">According to </w:t>
      </w:r>
      <w:r>
        <w:rPr>
          <w:rFonts w:ascii="Times New Roman" w:hAnsi="Times New Roman" w:cs="Times New Roman"/>
          <w:color w:val="00B0F0"/>
          <w:lang w:val="en-GB"/>
        </w:rPr>
        <w:t>Koksal and Orman (2015)</w:t>
      </w:r>
      <w:r>
        <w:rPr>
          <w:rFonts w:ascii="Times New Roman" w:hAnsi="Times New Roman" w:cs="Times New Roman"/>
          <w:color w:val="000000" w:themeColor="text1"/>
          <w:lang w:val="en-GB"/>
          <w14:textFill>
            <w14:solidFill>
              <w14:schemeClr w14:val="tx1"/>
            </w14:solidFill>
          </w14:textFill>
        </w:rPr>
        <w:t>, corporate liabilities increase with inflation.</w:t>
      </w:r>
      <w:r>
        <w:rPr>
          <w:rFonts w:ascii="Times New Roman" w:hAnsi="Times New Roman" w:cs="Times New Roman"/>
          <w:lang w:val="en-GB"/>
        </w:rPr>
        <w:t xml:space="preserve"> </w:t>
      </w:r>
      <w:r>
        <w:rPr>
          <w:rFonts w:ascii="Times New Roman" w:hAnsi="Times New Roman" w:cs="Times New Roman"/>
          <w:color w:val="000000" w:themeColor="text1"/>
          <w:lang w:val="en-GB"/>
          <w14:textFill>
            <w14:solidFill>
              <w14:schemeClr w14:val="tx1"/>
            </w14:solidFill>
          </w14:textFill>
        </w:rPr>
        <w:t xml:space="preserve">However, </w:t>
      </w:r>
      <w:r>
        <w:rPr>
          <w:rFonts w:ascii="Times New Roman" w:hAnsi="Times New Roman" w:cs="Times New Roman"/>
          <w:color w:val="00B0F0"/>
          <w:lang w:val="en-GB"/>
        </w:rPr>
        <w:t xml:space="preserve">Liu, Chen, and Xu (2018) </w:t>
      </w:r>
      <w:r>
        <w:rPr>
          <w:rFonts w:ascii="Times New Roman" w:hAnsi="Times New Roman" w:cs="Times New Roman"/>
          <w:color w:val="000000" w:themeColor="text1"/>
          <w:lang w:val="en-GB"/>
          <w14:textFill>
            <w14:solidFill>
              <w14:schemeClr w14:val="tx1"/>
            </w14:solidFill>
          </w14:textFill>
        </w:rPr>
        <w:t>found that the inflation rate has a significant "deleveraging" effect in the short and medium terms.</w:t>
      </w:r>
      <w:r>
        <w:rPr>
          <w:rFonts w:ascii="Times New Roman" w:hAnsi="Times New Roman" w:cs="Times New Roman"/>
          <w:color w:val="00B0F0"/>
          <w:lang w:val="en-GB"/>
        </w:rPr>
        <w:t xml:space="preserve"> Tan et al. (2018)</w:t>
      </w:r>
      <w:r>
        <w:rPr>
          <w:rFonts w:ascii="Times New Roman" w:hAnsi="Times New Roman" w:cs="Times New Roman"/>
          <w:color w:val="000000" w:themeColor="text1"/>
          <w:lang w:val="en-GB"/>
          <w14:textFill>
            <w14:solidFill>
              <w14:schemeClr w14:val="tx1"/>
            </w14:solidFill>
          </w14:textFill>
        </w:rPr>
        <w:t xml:space="preserve"> elaborated</w:t>
      </w:r>
      <w:r>
        <w:rPr>
          <w:rFonts w:ascii="Times New Roman" w:hAnsi="Times New Roman" w:cs="Times New Roman"/>
          <w:color w:val="000000"/>
          <w:lang w:val="en-GB"/>
        </w:rPr>
        <w:t xml:space="preserve"> on</w:t>
      </w:r>
      <w:r>
        <w:rPr>
          <w:rFonts w:ascii="Times New Roman" w:hAnsi="Times New Roman" w:cs="Times New Roman"/>
          <w:color w:val="000000" w:themeColor="text1"/>
          <w:lang w:val="en-GB"/>
          <w14:textFill>
            <w14:solidFill>
              <w14:schemeClr w14:val="tx1"/>
            </w14:solidFill>
          </w14:textFill>
        </w:rPr>
        <w:t xml:space="preserve"> the indirect influence of the inflation rate on the leverage ratio and believed that an increase in the inflation rate would weaken the effect of the non-debt tax shield and size on</w:t>
      </w:r>
      <w:r>
        <w:rPr>
          <w:rFonts w:ascii="Times New Roman" w:hAnsi="Times New Roman" w:cs="Times New Roman"/>
          <w:color w:val="000000"/>
          <w:lang w:val="en-GB"/>
        </w:rPr>
        <w:t xml:space="preserve"> the</w:t>
      </w:r>
      <w:r>
        <w:rPr>
          <w:rFonts w:ascii="Times New Roman" w:hAnsi="Times New Roman" w:cs="Times New Roman"/>
          <w:color w:val="000000" w:themeColor="text1"/>
          <w:lang w:val="en-GB"/>
          <w14:textFill>
            <w14:solidFill>
              <w14:schemeClr w14:val="tx1"/>
            </w14:solidFill>
          </w14:textFill>
        </w:rPr>
        <w:t xml:space="preserve"> leverage ratio of state-owned enterprises, while the opposite was true for non-state-owned enterprises.</w:t>
      </w:r>
    </w:p>
    <w:p>
      <w:pPr>
        <w:pStyle w:val="4"/>
        <w:spacing w:before="0" w:after="0" w:line="360" w:lineRule="auto"/>
        <w:contextualSpacing/>
        <w:jc w:val="left"/>
        <w:rPr>
          <w:rFonts w:cs="Times New Roman"/>
          <w:szCs w:val="24"/>
          <w:lang w:val="en-GB"/>
        </w:rPr>
      </w:pPr>
    </w:p>
    <w:p>
      <w:pPr>
        <w:pStyle w:val="4"/>
        <w:spacing w:before="0" w:after="0" w:line="360" w:lineRule="auto"/>
        <w:contextualSpacing/>
        <w:jc w:val="left"/>
        <w:rPr>
          <w:rFonts w:cs="Times New Roman"/>
          <w:i/>
          <w:szCs w:val="24"/>
          <w:lang w:val="en-GB"/>
        </w:rPr>
      </w:pPr>
      <w:r>
        <w:rPr>
          <w:rFonts w:cs="Times New Roman"/>
          <w:i/>
          <w:szCs w:val="24"/>
          <w:lang w:val="en-GB"/>
        </w:rPr>
        <w:t>2.2.3 Economic policy uncertainty</w:t>
      </w:r>
    </w:p>
    <w:p>
      <w:pPr>
        <w:pStyle w:val="12"/>
        <w:spacing w:before="0" w:beforeAutospacing="0" w:after="0" w:afterAutospacing="0" w:line="360" w:lineRule="auto"/>
        <w:ind w:firstLine="720"/>
        <w:contextualSpacing/>
        <w:rPr>
          <w:rFonts w:ascii="Times New Roman" w:hAnsi="Times New Roman" w:cs="Times New Roman"/>
          <w:color w:val="000000" w:themeColor="text1"/>
          <w:lang w:val="en-GB"/>
          <w14:textFill>
            <w14:solidFill>
              <w14:schemeClr w14:val="tx1"/>
            </w14:solidFill>
          </w14:textFill>
        </w:rPr>
      </w:pPr>
      <w:r>
        <w:rPr>
          <w:rFonts w:ascii="Times New Roman" w:hAnsi="Times New Roman" w:cs="Times New Roman"/>
          <w:color w:val="000000" w:themeColor="text1"/>
          <w:lang w:val="en-GB"/>
          <w14:textFill>
            <w14:solidFill>
              <w14:schemeClr w14:val="tx1"/>
            </w14:solidFill>
          </w14:textFill>
        </w:rPr>
        <w:t>The economic policy uncertainty index, compiled by Scott R.</w:t>
      </w:r>
      <w:r>
        <w:rPr>
          <w:rFonts w:ascii="Times New Roman" w:hAnsi="Times New Roman" w:cs="Times New Roman"/>
          <w:color w:val="000000"/>
          <w:lang w:val="en-GB"/>
        </w:rPr>
        <w:t xml:space="preserve"> </w:t>
      </w:r>
      <w:r>
        <w:rPr>
          <w:rFonts w:ascii="Times New Roman" w:hAnsi="Times New Roman" w:cs="Times New Roman"/>
          <w:color w:val="000000" w:themeColor="text1"/>
          <w:lang w:val="en-GB"/>
          <w14:textFill>
            <w14:solidFill>
              <w14:schemeClr w14:val="tx1"/>
            </w14:solidFill>
          </w14:textFill>
        </w:rPr>
        <w:t>Baker, Nicholas Bloom and Steven J.</w:t>
      </w:r>
      <w:r>
        <w:rPr>
          <w:rFonts w:ascii="Times New Roman" w:hAnsi="Times New Roman" w:cs="Times New Roman"/>
          <w:color w:val="000000"/>
          <w:lang w:val="en-GB"/>
        </w:rPr>
        <w:t xml:space="preserve"> </w:t>
      </w:r>
      <w:r>
        <w:rPr>
          <w:rFonts w:ascii="Times New Roman" w:hAnsi="Times New Roman" w:cs="Times New Roman"/>
          <w:color w:val="000000" w:themeColor="text1"/>
          <w:lang w:val="en-GB"/>
          <w14:textFill>
            <w14:solidFill>
              <w14:schemeClr w14:val="tx1"/>
            </w14:solidFill>
          </w14:textFill>
        </w:rPr>
        <w:t>By,  can be used to reflect the economic and policy uncertainty of the world's major economies.</w:t>
      </w:r>
      <w:r>
        <w:rPr>
          <w:rFonts w:ascii="Times New Roman" w:hAnsi="Times New Roman" w:cs="Times New Roman"/>
          <w:color w:val="00B0F0"/>
          <w:lang w:val="en-GB"/>
        </w:rPr>
        <w:t xml:space="preserve"> Rao, Yue, and Jiang (2017) </w:t>
      </w:r>
      <w:r>
        <w:rPr>
          <w:rFonts w:ascii="Times New Roman" w:hAnsi="Times New Roman" w:cs="Times New Roman"/>
          <w:color w:val="000000" w:themeColor="text1"/>
          <w:lang w:val="en-GB"/>
          <w14:textFill>
            <w14:solidFill>
              <w14:schemeClr w14:val="tx1"/>
            </w14:solidFill>
          </w14:textFill>
        </w:rPr>
        <w:t>believed that the increase in economic policy uncertainty will significantly reduce enterprise investment and increase the investment efficiency.</w:t>
      </w:r>
      <w:r>
        <w:rPr>
          <w:rFonts w:ascii="Times New Roman" w:hAnsi="Times New Roman" w:cs="Times New Roman"/>
          <w:color w:val="00B0F0"/>
          <w:lang w:val="en-GB"/>
        </w:rPr>
        <w:t xml:space="preserve"> Ji, Wang, Tan, and Huang (2018)</w:t>
      </w:r>
      <w:r>
        <w:rPr>
          <w:rFonts w:ascii="Times New Roman" w:hAnsi="Times New Roman" w:cs="Times New Roman"/>
          <w:color w:val="000000" w:themeColor="text1"/>
          <w:lang w:val="en-GB"/>
          <w14:textFill>
            <w14:solidFill>
              <w14:schemeClr w14:val="tx1"/>
            </w14:solidFill>
          </w14:textFill>
        </w:rPr>
        <w:t xml:space="preserve"> found that </w:t>
      </w:r>
      <w:r>
        <w:rPr>
          <w:rFonts w:ascii="Times New Roman" w:hAnsi="Times New Roman" w:cs="Times New Roman"/>
          <w:color w:val="000000"/>
          <w:lang w:val="en-GB"/>
        </w:rPr>
        <w:t>an</w:t>
      </w:r>
      <w:r>
        <w:rPr>
          <w:rFonts w:ascii="Times New Roman" w:hAnsi="Times New Roman" w:cs="Times New Roman"/>
          <w:color w:val="000000" w:themeColor="text1"/>
          <w:lang w:val="en-GB"/>
          <w14:textFill>
            <w14:solidFill>
              <w14:schemeClr w14:val="tx1"/>
            </w14:solidFill>
          </w14:textFill>
        </w:rPr>
        <w:t xml:space="preserve"> increase </w:t>
      </w:r>
      <w:r>
        <w:rPr>
          <w:rFonts w:ascii="Times New Roman" w:hAnsi="Times New Roman" w:cs="Times New Roman"/>
          <w:color w:val="000000"/>
          <w:lang w:val="en-GB"/>
        </w:rPr>
        <w:t>in</w:t>
      </w:r>
      <w:r>
        <w:rPr>
          <w:rFonts w:ascii="Times New Roman" w:hAnsi="Times New Roman" w:cs="Times New Roman"/>
          <w:color w:val="000000" w:themeColor="text1"/>
          <w:lang w:val="en-GB"/>
          <w14:textFill>
            <w14:solidFill>
              <w14:schemeClr w14:val="tx1"/>
            </w14:solidFill>
          </w14:textFill>
        </w:rPr>
        <w:t xml:space="preserve"> economic policy uncertainty would lead to </w:t>
      </w:r>
      <w:r>
        <w:rPr>
          <w:rFonts w:ascii="Times New Roman" w:hAnsi="Times New Roman" w:cs="Times New Roman"/>
          <w:color w:val="000000"/>
          <w:lang w:val="en-GB"/>
        </w:rPr>
        <w:t>an</w:t>
      </w:r>
      <w:r>
        <w:rPr>
          <w:rFonts w:ascii="Times New Roman" w:hAnsi="Times New Roman" w:cs="Times New Roman"/>
          <w:color w:val="000000" w:themeColor="text1"/>
          <w:lang w:val="en-GB"/>
          <w14:textFill>
            <w14:solidFill>
              <w14:schemeClr w14:val="tx1"/>
            </w14:solidFill>
          </w14:textFill>
        </w:rPr>
        <w:t xml:space="preserve"> increase </w:t>
      </w:r>
      <w:r>
        <w:rPr>
          <w:rFonts w:ascii="Times New Roman" w:hAnsi="Times New Roman" w:cs="Times New Roman"/>
          <w:color w:val="000000"/>
          <w:lang w:val="en-GB"/>
        </w:rPr>
        <w:t>in</w:t>
      </w:r>
      <w:r>
        <w:rPr>
          <w:rFonts w:ascii="Times New Roman" w:hAnsi="Times New Roman" w:cs="Times New Roman"/>
          <w:color w:val="000000" w:themeColor="text1"/>
          <w:lang w:val="en-GB"/>
          <w14:textFill>
            <w14:solidFill>
              <w14:schemeClr w14:val="tx1"/>
            </w14:solidFill>
          </w14:textFill>
        </w:rPr>
        <w:t xml:space="preserve"> the leverage ratio of state-owned enterprises and </w:t>
      </w:r>
      <w:r>
        <w:rPr>
          <w:rFonts w:ascii="Times New Roman" w:hAnsi="Times New Roman" w:cs="Times New Roman"/>
          <w:color w:val="000000"/>
          <w:lang w:val="en-GB"/>
        </w:rPr>
        <w:t>a</w:t>
      </w:r>
      <w:r>
        <w:rPr>
          <w:rFonts w:ascii="Times New Roman" w:hAnsi="Times New Roman" w:cs="Times New Roman"/>
          <w:color w:val="000000" w:themeColor="text1"/>
          <w:lang w:val="en-GB"/>
          <w14:textFill>
            <w14:solidFill>
              <w14:schemeClr w14:val="tx1"/>
            </w14:solidFill>
          </w14:textFill>
        </w:rPr>
        <w:t xml:space="preserve"> decrease </w:t>
      </w:r>
      <w:r>
        <w:rPr>
          <w:rFonts w:ascii="Times New Roman" w:hAnsi="Times New Roman" w:cs="Times New Roman"/>
          <w:color w:val="000000"/>
          <w:lang w:val="en-GB"/>
        </w:rPr>
        <w:t>in</w:t>
      </w:r>
      <w:r>
        <w:rPr>
          <w:rFonts w:ascii="Times New Roman" w:hAnsi="Times New Roman" w:cs="Times New Roman"/>
          <w:color w:val="000000" w:themeColor="text1"/>
          <w:lang w:val="en-GB"/>
          <w14:textFill>
            <w14:solidFill>
              <w14:schemeClr w14:val="tx1"/>
            </w14:solidFill>
          </w14:textFill>
        </w:rPr>
        <w:t xml:space="preserve"> the leverage ratio of non-state-owned enterprises, and this difference was more obvious in regions with strong financial repression.</w:t>
      </w:r>
    </w:p>
    <w:p>
      <w:pPr>
        <w:pStyle w:val="4"/>
        <w:spacing w:before="0" w:after="0" w:line="360" w:lineRule="auto"/>
        <w:contextualSpacing/>
        <w:jc w:val="left"/>
        <w:rPr>
          <w:rFonts w:cs="Times New Roman"/>
          <w:szCs w:val="24"/>
          <w:lang w:val="en-GB"/>
        </w:rPr>
      </w:pPr>
    </w:p>
    <w:p>
      <w:pPr>
        <w:pStyle w:val="4"/>
        <w:spacing w:before="0" w:after="0" w:line="360" w:lineRule="auto"/>
        <w:contextualSpacing/>
        <w:jc w:val="left"/>
        <w:rPr>
          <w:rFonts w:cs="Times New Roman"/>
          <w:i/>
          <w:szCs w:val="24"/>
          <w:lang w:val="en-GB"/>
        </w:rPr>
      </w:pPr>
      <w:r>
        <w:rPr>
          <w:rFonts w:cs="Times New Roman"/>
          <w:i/>
          <w:szCs w:val="24"/>
          <w:lang w:val="en-GB"/>
        </w:rPr>
        <w:t>2.2.4 M2 growth rate</w:t>
      </w:r>
    </w:p>
    <w:p>
      <w:pPr>
        <w:pStyle w:val="12"/>
        <w:spacing w:before="0" w:beforeAutospacing="0" w:after="0" w:afterAutospacing="0" w:line="360" w:lineRule="auto"/>
        <w:ind w:firstLine="720"/>
        <w:contextualSpacing/>
        <w:rPr>
          <w:rFonts w:ascii="Times New Roman" w:hAnsi="Times New Roman" w:cs="Times New Roman"/>
          <w:color w:val="000000" w:themeColor="text1"/>
          <w:lang w:val="en-GB"/>
          <w14:textFill>
            <w14:solidFill>
              <w14:schemeClr w14:val="tx1"/>
            </w14:solidFill>
          </w14:textFill>
        </w:rPr>
      </w:pPr>
      <w:r>
        <w:rPr>
          <w:rFonts w:ascii="Times New Roman" w:hAnsi="Times New Roman" w:cs="Times New Roman"/>
          <w:color w:val="000000" w:themeColor="text1"/>
          <w:lang w:val="en-GB"/>
          <w14:textFill>
            <w14:solidFill>
              <w14:schemeClr w14:val="tx1"/>
            </w14:solidFill>
          </w14:textFill>
        </w:rPr>
        <w:t>The broad measure of money supply (M2) reflects the degree of easing in credit markets.</w:t>
      </w:r>
      <w:r>
        <w:rPr>
          <w:rFonts w:ascii="Times New Roman" w:hAnsi="Times New Roman" w:cs="Times New Roman"/>
          <w:lang w:val="en-GB"/>
        </w:rPr>
        <w:t xml:space="preserve"> </w:t>
      </w:r>
      <w:r>
        <w:rPr>
          <w:rFonts w:ascii="Times New Roman" w:hAnsi="Times New Roman" w:cs="Times New Roman"/>
          <w:color w:val="00B0F0"/>
          <w:lang w:val="en-GB"/>
        </w:rPr>
        <w:t>Tan et al. (2018)</w:t>
      </w:r>
      <w:r>
        <w:rPr>
          <w:rFonts w:ascii="Times New Roman" w:hAnsi="Times New Roman" w:cs="Times New Roman"/>
          <w:color w:val="000000" w:themeColor="text1"/>
          <w:lang w:val="en-GB"/>
          <w14:textFill>
            <w14:solidFill>
              <w14:schemeClr w14:val="tx1"/>
            </w14:solidFill>
          </w14:textFill>
        </w:rPr>
        <w:t xml:space="preserve"> found that M2 year-on-year growth had a negative impact on the leverage ratio of state-owned enterprises before the financial crisis, while after the financial crisis, the impact turned positive.</w:t>
      </w:r>
      <w:r>
        <w:rPr>
          <w:rFonts w:ascii="Times New Roman" w:hAnsi="Times New Roman" w:cs="Times New Roman"/>
          <w:color w:val="00B0F0"/>
          <w:lang w:val="en-GB"/>
        </w:rPr>
        <w:t xml:space="preserve"> Su and Zeng (2009) </w:t>
      </w:r>
      <w:r>
        <w:rPr>
          <w:rFonts w:ascii="Times New Roman" w:hAnsi="Times New Roman" w:cs="Times New Roman"/>
          <w:color w:val="000000" w:themeColor="text1"/>
          <w:lang w:val="en-GB"/>
          <w14:textFill>
            <w14:solidFill>
              <w14:schemeClr w14:val="tx1"/>
            </w14:solidFill>
          </w14:textFill>
        </w:rPr>
        <w:t>measured credit default risk by taking the natural logarithm of banks' non-performing loans and eliminating the time trend, and the empirical results showed that the credit default risk was negatively correlated with the company's leverage ratio.</w:t>
      </w:r>
      <w:r>
        <w:rPr>
          <w:rFonts w:ascii="Times New Roman" w:hAnsi="Times New Roman" w:cs="Times New Roman"/>
          <w:lang w:val="en-GB"/>
        </w:rPr>
        <w:t xml:space="preserve"> </w:t>
      </w:r>
      <w:r>
        <w:rPr>
          <w:rFonts w:ascii="Times New Roman" w:hAnsi="Times New Roman" w:cs="Times New Roman"/>
          <w:color w:val="000000" w:themeColor="text1"/>
          <w:lang w:val="en-GB"/>
          <w14:textFill>
            <w14:solidFill>
              <w14:schemeClr w14:val="tx1"/>
            </w14:solidFill>
          </w14:textFill>
        </w:rPr>
        <w:t>Through the simulation of China's quarterly macroeconomic model,</w:t>
      </w:r>
      <w:r>
        <w:rPr>
          <w:rFonts w:ascii="Times New Roman" w:hAnsi="Times New Roman" w:cs="Times New Roman"/>
          <w:color w:val="00B0F0"/>
          <w:lang w:val="en-GB"/>
        </w:rPr>
        <w:t xml:space="preserve"> Li, Yu, and Wu (2017)</w:t>
      </w:r>
      <w:r>
        <w:rPr>
          <w:rFonts w:ascii="Times New Roman" w:hAnsi="Times New Roman" w:cs="Times New Roman"/>
          <w:color w:val="000000" w:themeColor="text1"/>
          <w:lang w:val="en-GB"/>
          <w14:textFill>
            <w14:solidFill>
              <w14:schemeClr w14:val="tx1"/>
            </w14:solidFill>
          </w14:textFill>
        </w:rPr>
        <w:t xml:space="preserve"> found that reducing </w:t>
      </w:r>
      <w:r>
        <w:rPr>
          <w:rFonts w:ascii="Times New Roman" w:hAnsi="Times New Roman" w:cs="Times New Roman"/>
          <w:color w:val="000000"/>
          <w:lang w:val="en-GB"/>
        </w:rPr>
        <w:t xml:space="preserve">the </w:t>
      </w:r>
      <w:r>
        <w:rPr>
          <w:rFonts w:ascii="Times New Roman" w:hAnsi="Times New Roman" w:cs="Times New Roman"/>
          <w:color w:val="000000" w:themeColor="text1"/>
          <w:lang w:val="en-GB"/>
          <w14:textFill>
            <w14:solidFill>
              <w14:schemeClr w14:val="tx1"/>
            </w14:solidFill>
          </w14:textFill>
        </w:rPr>
        <w:t>M2 growth rate under the soft budget constraint of state-owned enterprises could not achieve the policy goal of "deleveraging".</w:t>
      </w:r>
    </w:p>
    <w:p>
      <w:pPr>
        <w:pStyle w:val="3"/>
        <w:spacing w:before="0" w:after="0" w:line="360" w:lineRule="auto"/>
        <w:contextualSpacing/>
        <w:jc w:val="left"/>
        <w:rPr>
          <w:rFonts w:cs="Times New Roman"/>
          <w:sz w:val="24"/>
          <w:szCs w:val="24"/>
          <w:lang w:val="en-GB"/>
        </w:rPr>
      </w:pPr>
    </w:p>
    <w:p>
      <w:pPr>
        <w:pStyle w:val="3"/>
        <w:spacing w:before="0" w:after="0" w:line="360" w:lineRule="auto"/>
        <w:contextualSpacing/>
        <w:jc w:val="left"/>
        <w:rPr>
          <w:rFonts w:eastAsia="宋体" w:cs="Times New Roman"/>
          <w:bCs w:val="0"/>
          <w:color w:val="000000" w:themeColor="text1"/>
          <w:sz w:val="24"/>
          <w:szCs w:val="24"/>
          <w:lang w:val="en-GB"/>
          <w14:textFill>
            <w14:solidFill>
              <w14:schemeClr w14:val="tx1"/>
            </w14:solidFill>
          </w14:textFill>
        </w:rPr>
      </w:pPr>
      <w:r>
        <w:rPr>
          <w:rFonts w:cs="Times New Roman"/>
          <w:b/>
          <w:i/>
          <w:sz w:val="24"/>
          <w:szCs w:val="24"/>
          <w:lang w:val="en-GB"/>
        </w:rPr>
        <w:t>2.3 Innovation</w:t>
      </w:r>
    </w:p>
    <w:p>
      <w:pPr>
        <w:pStyle w:val="12"/>
        <w:spacing w:before="0" w:beforeAutospacing="0" w:after="0" w:afterAutospacing="0" w:line="360" w:lineRule="auto"/>
        <w:ind w:firstLine="720"/>
        <w:contextualSpacing/>
        <w:rPr>
          <w:rFonts w:ascii="Times New Roman" w:hAnsi="Times New Roman" w:cs="Times New Roman"/>
          <w:color w:val="000000" w:themeColor="text1"/>
          <w:lang w:val="en-GB"/>
          <w14:textFill>
            <w14:solidFill>
              <w14:schemeClr w14:val="tx1"/>
            </w14:solidFill>
          </w14:textFill>
        </w:rPr>
      </w:pPr>
      <w:r>
        <w:rPr>
          <w:rFonts w:ascii="Times New Roman" w:hAnsi="Times New Roman" w:cs="Times New Roman"/>
          <w:color w:val="000000" w:themeColor="text1"/>
          <w:lang w:val="en-GB"/>
          <w14:textFill>
            <w14:solidFill>
              <w14:schemeClr w14:val="tx1"/>
            </w14:solidFill>
          </w14:textFill>
        </w:rPr>
        <w:t xml:space="preserve">Above all, this study focuses on the indirect influence of macro factors on </w:t>
      </w:r>
      <w:r>
        <w:rPr>
          <w:rFonts w:ascii="Times New Roman" w:hAnsi="Times New Roman" w:cs="Times New Roman"/>
          <w:color w:val="000000"/>
          <w:lang w:val="en-GB"/>
        </w:rPr>
        <w:t xml:space="preserve">the </w:t>
      </w:r>
      <w:r>
        <w:rPr>
          <w:rFonts w:ascii="Times New Roman" w:hAnsi="Times New Roman" w:cs="Times New Roman"/>
          <w:color w:val="000000" w:themeColor="text1"/>
          <w:lang w:val="en-GB"/>
          <w14:textFill>
            <w14:solidFill>
              <w14:schemeClr w14:val="tx1"/>
            </w14:solidFill>
          </w14:textFill>
        </w:rPr>
        <w:t xml:space="preserve">leverage ratio. </w:t>
      </w:r>
      <w:r>
        <w:rPr>
          <w:rFonts w:ascii="Times New Roman" w:hAnsi="Times New Roman" w:cs="Times New Roman"/>
          <w:color w:val="000000"/>
          <w:lang w:val="en-GB"/>
        </w:rPr>
        <w:t>First</w:t>
      </w:r>
      <w:r>
        <w:rPr>
          <w:rFonts w:ascii="Times New Roman" w:hAnsi="Times New Roman" w:cs="Times New Roman"/>
          <w:color w:val="000000" w:themeColor="text1"/>
          <w:lang w:val="en-GB"/>
          <w14:textFill>
            <w14:solidFill>
              <w14:schemeClr w14:val="tx1"/>
            </w14:solidFill>
          </w14:textFill>
        </w:rPr>
        <w:t xml:space="preserve">, it analyses the direct influence of macro factors on </w:t>
      </w:r>
      <w:r>
        <w:rPr>
          <w:rFonts w:ascii="Times New Roman" w:hAnsi="Times New Roman" w:cs="Times New Roman"/>
          <w:color w:val="000000"/>
          <w:lang w:val="en-GB"/>
        </w:rPr>
        <w:t xml:space="preserve">the </w:t>
      </w:r>
      <w:r>
        <w:rPr>
          <w:rFonts w:ascii="Times New Roman" w:hAnsi="Times New Roman" w:cs="Times New Roman"/>
          <w:color w:val="000000" w:themeColor="text1"/>
          <w:lang w:val="en-GB"/>
          <w14:textFill>
            <w14:solidFill>
              <w14:schemeClr w14:val="tx1"/>
            </w14:solidFill>
          </w14:textFill>
        </w:rPr>
        <w:t xml:space="preserve">leverage ratio and their indirect influence through micro enterprise-level variables. </w:t>
      </w:r>
      <w:r>
        <w:rPr>
          <w:rFonts w:ascii="Times New Roman" w:hAnsi="Times New Roman" w:cs="Times New Roman"/>
          <w:color w:val="000000"/>
          <w:lang w:val="en-GB"/>
        </w:rPr>
        <w:t>Second</w:t>
      </w:r>
      <w:r>
        <w:rPr>
          <w:rFonts w:ascii="Times New Roman" w:hAnsi="Times New Roman" w:cs="Times New Roman"/>
          <w:color w:val="000000" w:themeColor="text1"/>
          <w:lang w:val="en-GB"/>
          <w14:textFill>
            <w14:solidFill>
              <w14:schemeClr w14:val="tx1"/>
            </w14:solidFill>
          </w14:textFill>
        </w:rPr>
        <w:t xml:space="preserve">, the study adopts a different research perspective. While most previous </w:t>
      </w:r>
      <w:r>
        <w:rPr>
          <w:rFonts w:ascii="Times New Roman" w:hAnsi="Times New Roman" w:cs="Times New Roman"/>
          <w:color w:val="000000"/>
          <w:lang w:val="en-GB"/>
        </w:rPr>
        <w:t>studies</w:t>
      </w:r>
      <w:r>
        <w:rPr>
          <w:rFonts w:ascii="Times New Roman" w:hAnsi="Times New Roman" w:cs="Times New Roman"/>
          <w:color w:val="000000" w:themeColor="text1"/>
          <w:lang w:val="en-GB"/>
          <w14:textFill>
            <w14:solidFill>
              <w14:schemeClr w14:val="tx1"/>
            </w14:solidFill>
          </w14:textFill>
        </w:rPr>
        <w:t xml:space="preserve"> focus on the leverage ratio of enterprises in a certain country or industry, this paper analyses the leverage ratio of enterprises in the Guangdong-Hong Kong-Macao Greater Bay Area. Finally, the research content of this paper is closely related to the national policies of deleveraging and planning in the Guangdong-Hong Kong-Macao Greater Bay Area, and the research results are of practical significance.</w:t>
      </w:r>
    </w:p>
    <w:p>
      <w:pPr>
        <w:pStyle w:val="2"/>
        <w:spacing w:before="0" w:after="0" w:line="360" w:lineRule="auto"/>
        <w:contextualSpacing/>
        <w:jc w:val="left"/>
        <w:rPr>
          <w:rFonts w:cs="Times New Roman"/>
          <w:sz w:val="24"/>
          <w:szCs w:val="24"/>
          <w:lang w:val="en-GB"/>
        </w:rPr>
      </w:pPr>
    </w:p>
    <w:p>
      <w:pPr>
        <w:pStyle w:val="2"/>
        <w:spacing w:before="0" w:after="0" w:line="360" w:lineRule="auto"/>
        <w:contextualSpacing/>
        <w:jc w:val="left"/>
        <w:rPr>
          <w:rFonts w:cs="Times New Roman"/>
          <w:b/>
          <w:sz w:val="24"/>
          <w:szCs w:val="24"/>
          <w:lang w:val="en-GB"/>
        </w:rPr>
      </w:pPr>
      <w:r>
        <w:rPr>
          <w:rFonts w:cs="Times New Roman"/>
          <w:b/>
          <w:sz w:val="24"/>
          <w:szCs w:val="24"/>
          <w:lang w:val="en-GB"/>
        </w:rPr>
        <w:t>3 Characteristics of the leverage ratio of non-financial enterprises in the Guangdong-Hong Kong-Macao Greater Bay Area</w:t>
      </w:r>
    </w:p>
    <w:p>
      <w:pPr>
        <w:pStyle w:val="12"/>
        <w:spacing w:before="0" w:beforeAutospacing="0" w:after="0" w:afterAutospacing="0" w:line="360" w:lineRule="auto"/>
        <w:ind w:firstLine="720"/>
        <w:contextualSpacing/>
        <w:rPr>
          <w:rFonts w:ascii="Times New Roman" w:hAnsi="Times New Roman" w:cs="Times New Roman"/>
          <w:color w:val="000000" w:themeColor="text1"/>
          <w:lang w:val="en-GB"/>
          <w14:textFill>
            <w14:solidFill>
              <w14:schemeClr w14:val="tx1"/>
            </w14:solidFill>
          </w14:textFill>
        </w:rPr>
      </w:pPr>
      <w:r>
        <w:rPr>
          <w:rFonts w:ascii="Times New Roman" w:hAnsi="Times New Roman" w:cs="Times New Roman"/>
          <w:color w:val="000000" w:themeColor="text1"/>
          <w:lang w:val="en-GB"/>
          <w14:textFill>
            <w14:solidFill>
              <w14:schemeClr w14:val="tx1"/>
            </w14:solidFill>
          </w14:textFill>
        </w:rPr>
        <w:t xml:space="preserve">This paper selects non-financial listed companies in Guangdong, Hong Kong and Macao for analysis. After data processing, the leverage ratio of non-financial enterprises in the greater bay area is shown to have been relatively stable over the past 19 years, with </w:t>
      </w:r>
      <w:r>
        <w:rPr>
          <w:rFonts w:ascii="Times New Roman" w:hAnsi="Times New Roman" w:cs="Times New Roman"/>
          <w:color w:val="000000"/>
          <w:lang w:val="en-GB"/>
        </w:rPr>
        <w:t>an</w:t>
      </w:r>
      <w:r>
        <w:rPr>
          <w:rFonts w:ascii="Times New Roman" w:hAnsi="Times New Roman" w:cs="Times New Roman"/>
          <w:color w:val="000000" w:themeColor="text1"/>
          <w:lang w:val="en-GB"/>
          <w14:textFill>
            <w14:solidFill>
              <w14:schemeClr w14:val="tx1"/>
            </w14:solidFill>
          </w14:textFill>
        </w:rPr>
        <w:t xml:space="preserve"> average leverage ratio between 41.56% and 54.22%. The peak of the average corporate leverage ratio was 54.22% in 2006, the eve of the financial crisis. The leverage ratio of non-financial enterprises in the Guangdong-Hong Kong-Macao Greater Bay Area shows the following characteristics:</w:t>
      </w:r>
    </w:p>
    <w:p>
      <w:pPr>
        <w:pStyle w:val="12"/>
        <w:spacing w:before="0" w:beforeAutospacing="0" w:after="0" w:afterAutospacing="0" w:line="360" w:lineRule="auto"/>
        <w:ind w:firstLine="720"/>
        <w:contextualSpacing/>
        <w:rPr>
          <w:rFonts w:ascii="Times New Roman" w:hAnsi="Times New Roman" w:cs="Times New Roman"/>
          <w:color w:val="000000" w:themeColor="text1"/>
          <w:lang w:val="en-GB"/>
          <w14:textFill>
            <w14:solidFill>
              <w14:schemeClr w14:val="tx1"/>
            </w14:solidFill>
          </w14:textFill>
        </w:rPr>
      </w:pPr>
      <w:r>
        <w:rPr>
          <w:rFonts w:ascii="Times New Roman" w:hAnsi="Times New Roman" w:cs="Times New Roman"/>
          <w:color w:val="000000" w:themeColor="text1"/>
          <w:lang w:val="en-GB"/>
          <w14:textFill>
            <w14:solidFill>
              <w14:schemeClr w14:val="tx1"/>
            </w14:solidFill>
          </w14:textFill>
        </w:rPr>
        <w:t xml:space="preserve">From the perspective of ownership (see Figure 1), before 2009, there was little difference in the leverage ratio of state-owned enterprises and non-state-owned enterprises in Guangdong, Hong Kong and Macao. </w:t>
      </w:r>
      <w:r>
        <w:rPr>
          <w:rFonts w:ascii="Times New Roman" w:hAnsi="Times New Roman" w:cs="Times New Roman"/>
          <w:color w:val="000000"/>
          <w:lang w:val="en-GB"/>
        </w:rPr>
        <w:t xml:space="preserve">The </w:t>
      </w:r>
      <w:r>
        <w:rPr>
          <w:rFonts w:ascii="Times New Roman" w:hAnsi="Times New Roman" w:cs="Times New Roman"/>
          <w:color w:val="000000" w:themeColor="text1"/>
          <w:lang w:val="en-GB"/>
          <w14:textFill>
            <w14:solidFill>
              <w14:schemeClr w14:val="tx1"/>
            </w14:solidFill>
          </w14:textFill>
        </w:rPr>
        <w:t xml:space="preserve">leverage ratio of state-owned enterprises began to be significantly higher than that of non-state-owned enterprises after 2009. From 2000 to 2006, the leverage ratio of both types of enterprises in the Guangdong-Hong Kong-Macao Greater Bay Area showed a steady rise, while it fell by nearly 12% in 2007 and further plunged from 2009 to 2011. </w:t>
      </w:r>
      <w:r>
        <w:rPr>
          <w:rFonts w:ascii="Times New Roman" w:hAnsi="Times New Roman" w:cs="Times New Roman"/>
          <w:color w:val="000000"/>
          <w:lang w:val="en-GB"/>
        </w:rPr>
        <w:t>However,</w:t>
      </w:r>
      <w:r>
        <w:rPr>
          <w:rFonts w:ascii="Times New Roman" w:hAnsi="Times New Roman" w:cs="Times New Roman"/>
          <w:color w:val="000000" w:themeColor="text1"/>
          <w:lang w:val="en-GB"/>
          <w14:textFill>
            <w14:solidFill>
              <w14:schemeClr w14:val="tx1"/>
            </w14:solidFill>
          </w14:textFill>
        </w:rPr>
        <w:t xml:space="preserve"> the leverage ratio of non-state-owned enterprises fell by 19.2%, a much greater decline than the 5% decrease sustained by state-owned enterprises. This marked the beginning of the divergence between state-owned enterprises and non-state-owned enterprises in terms of the leverage ratio. Since 2009, the leverage ratio of state-owned enterprises in the greater bay area of Guangdong, Hong Kong and Macao has remained </w:t>
      </w:r>
      <w:r>
        <w:rPr>
          <w:rFonts w:ascii="Times New Roman" w:hAnsi="Times New Roman" w:cs="Times New Roman"/>
          <w:color w:val="000000"/>
          <w:lang w:val="en-GB"/>
        </w:rPr>
        <w:t>approximately</w:t>
      </w:r>
      <w:r>
        <w:rPr>
          <w:rFonts w:ascii="Times New Roman" w:hAnsi="Times New Roman" w:cs="Times New Roman"/>
          <w:color w:val="000000" w:themeColor="text1"/>
          <w:lang w:val="en-GB"/>
          <w14:textFill>
            <w14:solidFill>
              <w14:schemeClr w14:val="tx1"/>
            </w14:solidFill>
          </w14:textFill>
        </w:rPr>
        <w:t xml:space="preserve"> 50%, with a steady trend. After adjustment, the average leverage ratio of non-state-owned enterprises has been maintained at 40% in recent years, showing an overall downward trend. In 2018, the leverage ratio of non-state-owned enterprises decreased by 21.55% compared with that of 2009.</w:t>
      </w:r>
    </w:p>
    <w:p>
      <w:pPr>
        <w:spacing w:line="360" w:lineRule="auto"/>
        <w:jc w:val="left"/>
        <w:rPr>
          <w:rFonts w:cs="Times New Roman"/>
          <w:lang w:val="en-GB"/>
        </w:rPr>
      </w:pPr>
      <w:r>
        <w:rPr>
          <w:rFonts w:cs="Times New Roman"/>
          <w:lang w:val="en-GB"/>
        </w:rPr>
        <w:drawing>
          <wp:inline distT="0" distB="0" distL="0" distR="0">
            <wp:extent cx="5029200" cy="2171700"/>
            <wp:effectExtent l="0" t="0" r="0" b="0"/>
            <wp:docPr id="1721575348"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spacing w:line="360" w:lineRule="auto"/>
        <w:contextualSpacing/>
        <w:jc w:val="left"/>
        <w:rPr>
          <w:rFonts w:cs="Times New Roman"/>
          <w:lang w:val="en-GB"/>
        </w:rPr>
      </w:pPr>
      <w:r>
        <w:rPr>
          <w:rFonts w:cs="Times New Roman"/>
          <w:lang w:val="en-GB"/>
        </w:rPr>
        <w:t>Data source: Wind</w:t>
      </w:r>
    </w:p>
    <w:p>
      <w:pPr>
        <w:spacing w:line="360" w:lineRule="auto"/>
        <w:contextualSpacing/>
        <w:jc w:val="left"/>
        <w:rPr>
          <w:rFonts w:eastAsia="黑体" w:cs="Times New Roman"/>
          <w:lang w:val="en-GB"/>
        </w:rPr>
      </w:pPr>
      <w:r>
        <w:rPr>
          <w:rFonts w:eastAsia="黑体" w:cs="Times New Roman"/>
          <w:b/>
          <w:lang w:val="en-GB"/>
        </w:rPr>
        <w:t>Figure 1</w:t>
      </w:r>
      <w:r>
        <w:rPr>
          <w:rFonts w:eastAsia="黑体" w:cs="Times New Roman"/>
          <w:lang w:val="en-GB"/>
        </w:rPr>
        <w:t xml:space="preserve">. Average leverage ratio of </w:t>
      </w:r>
      <w:r>
        <w:rPr>
          <w:rFonts w:cs="Times New Roman"/>
          <w:color w:val="000000" w:themeColor="text1"/>
          <w:lang w:val="en-GB"/>
          <w14:textFill>
            <w14:solidFill>
              <w14:schemeClr w14:val="tx1"/>
            </w14:solidFill>
          </w14:textFill>
        </w:rPr>
        <w:t>Guangdong-Hong Kong-Macao</w:t>
      </w:r>
      <w:r>
        <w:rPr>
          <w:rFonts w:eastAsia="黑体" w:cs="Times New Roman"/>
          <w:lang w:val="en-GB"/>
        </w:rPr>
        <w:t xml:space="preserve"> Greater Bay Area enterprises by ownership</w:t>
      </w:r>
    </w:p>
    <w:p>
      <w:pPr>
        <w:pStyle w:val="12"/>
        <w:spacing w:before="0" w:beforeAutospacing="0" w:after="0" w:afterAutospacing="0" w:line="360" w:lineRule="auto"/>
        <w:ind w:firstLine="720"/>
        <w:contextualSpacing/>
        <w:rPr>
          <w:rFonts w:ascii="Times New Roman" w:hAnsi="Times New Roman" w:cs="Times New Roman"/>
          <w:color w:val="000000" w:themeColor="text1"/>
          <w:lang w:val="en-GB"/>
          <w14:textFill>
            <w14:solidFill>
              <w14:schemeClr w14:val="tx1"/>
            </w14:solidFill>
          </w14:textFill>
        </w:rPr>
      </w:pPr>
    </w:p>
    <w:p>
      <w:pPr>
        <w:pStyle w:val="12"/>
        <w:spacing w:before="0" w:beforeAutospacing="0" w:after="0" w:afterAutospacing="0" w:line="360" w:lineRule="auto"/>
        <w:ind w:firstLine="720"/>
        <w:contextualSpacing/>
        <w:rPr>
          <w:rFonts w:ascii="Times New Roman" w:hAnsi="Times New Roman" w:cs="Times New Roman"/>
          <w:color w:val="000000" w:themeColor="text1"/>
          <w:lang w:val="en-GB"/>
          <w14:textFill>
            <w14:solidFill>
              <w14:schemeClr w14:val="tx1"/>
            </w14:solidFill>
          </w14:textFill>
        </w:rPr>
      </w:pPr>
      <w:r>
        <w:rPr>
          <w:rFonts w:ascii="Times New Roman" w:hAnsi="Times New Roman" w:cs="Times New Roman"/>
          <w:color w:val="000000" w:themeColor="text1"/>
          <w:lang w:val="en-GB"/>
          <w14:textFill>
            <w14:solidFill>
              <w14:schemeClr w14:val="tx1"/>
            </w14:solidFill>
          </w14:textFill>
        </w:rPr>
        <w:t>A more detailed classification of enterprises by ownership (see Figure 2) shows that since 2009, the average leverage ratio of state-owned enterprises in the central bay area of Guangdong, Hong Kong and Macao has been significantly higher than that of enterprises with other ownership, while foreign enterprises have the lowest leverage ratio. The average leverage ratio of central state-owned enterprises increased by 32.03% from 2007 to 2009 and then showed a steady downward trend. The average leverage ratio of central state-owned enterprises was 14.36% lower in 2018 than in 2009.</w:t>
      </w:r>
      <w:r>
        <w:rPr>
          <w:rFonts w:ascii="Times New Roman" w:hAnsi="Times New Roman" w:cs="Times New Roman"/>
          <w:color w:val="000000"/>
          <w:lang w:val="en-GB"/>
        </w:rPr>
        <w:t xml:space="preserve"> </w:t>
      </w:r>
      <w:r>
        <w:rPr>
          <w:rFonts w:ascii="Times New Roman" w:hAnsi="Times New Roman" w:cs="Times New Roman"/>
          <w:color w:val="000000" w:themeColor="text1"/>
          <w:lang w:val="en-GB"/>
          <w14:textFill>
            <w14:solidFill>
              <w14:schemeClr w14:val="tx1"/>
            </w14:solidFill>
          </w14:textFill>
        </w:rPr>
        <w:t>The average leverage ratio of local state-owned enterprises peaked at 49.93% in 2007 and fell to 46.82% in 2008.</w:t>
      </w:r>
      <w:r>
        <w:rPr>
          <w:rFonts w:ascii="Times New Roman" w:hAnsi="Times New Roman" w:cs="Times New Roman"/>
          <w:color w:val="000000"/>
          <w:lang w:val="en-GB"/>
        </w:rPr>
        <w:t xml:space="preserve"> </w:t>
      </w:r>
      <w:r>
        <w:rPr>
          <w:rFonts w:ascii="Times New Roman" w:hAnsi="Times New Roman" w:cs="Times New Roman"/>
          <w:color w:val="000000" w:themeColor="text1"/>
          <w:lang w:val="en-GB"/>
          <w14:textFill>
            <w14:solidFill>
              <w14:schemeClr w14:val="tx1"/>
            </w14:solidFill>
          </w14:textFill>
        </w:rPr>
        <w:t>In recent years, the leverage ratio of local state-owned enterprises has been stable, slightly increasing in 2018.</w:t>
      </w:r>
      <w:r>
        <w:rPr>
          <w:rFonts w:ascii="Times New Roman" w:hAnsi="Times New Roman" w:cs="Times New Roman"/>
          <w:color w:val="000000"/>
          <w:lang w:val="en-GB"/>
        </w:rPr>
        <w:t xml:space="preserve"> </w:t>
      </w:r>
      <w:r>
        <w:rPr>
          <w:rFonts w:ascii="Times New Roman" w:hAnsi="Times New Roman" w:cs="Times New Roman"/>
          <w:color w:val="000000" w:themeColor="text1"/>
          <w:lang w:val="en-GB"/>
          <w14:textFill>
            <w14:solidFill>
              <w14:schemeClr w14:val="tx1"/>
            </w14:solidFill>
          </w14:textFill>
        </w:rPr>
        <w:t>The average leverage ratio of foreign-funded enterprises has been relatively stable, fluctuating in the range of 38.52% to 47.39%.</w:t>
      </w:r>
    </w:p>
    <w:p>
      <w:pPr>
        <w:spacing w:line="360" w:lineRule="auto"/>
        <w:jc w:val="left"/>
        <w:rPr>
          <w:rFonts w:cs="Times New Roman"/>
          <w:lang w:val="en-GB"/>
        </w:rPr>
      </w:pPr>
      <w:r>
        <w:rPr>
          <w:rFonts w:cs="Times New Roman"/>
          <w:lang w:val="en-GB"/>
        </w:rPr>
        <w:drawing>
          <wp:inline distT="0" distB="0" distL="0" distR="0">
            <wp:extent cx="4981575" cy="2571750"/>
            <wp:effectExtent l="0" t="0" r="9525" b="0"/>
            <wp:docPr id="1971979893"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360" w:lineRule="auto"/>
        <w:contextualSpacing/>
        <w:jc w:val="left"/>
        <w:rPr>
          <w:rFonts w:cs="Times New Roman"/>
          <w:lang w:val="en-GB"/>
        </w:rPr>
      </w:pPr>
      <w:r>
        <w:rPr>
          <w:rFonts w:cs="Times New Roman"/>
          <w:lang w:val="en-GB"/>
        </w:rPr>
        <w:t>Data source: Wind</w:t>
      </w:r>
    </w:p>
    <w:p>
      <w:pPr>
        <w:spacing w:line="360" w:lineRule="auto"/>
        <w:contextualSpacing/>
        <w:jc w:val="left"/>
        <w:rPr>
          <w:rFonts w:cs="Times New Roman"/>
          <w:lang w:val="en-GB"/>
        </w:rPr>
      </w:pPr>
      <w:r>
        <w:rPr>
          <w:rFonts w:cs="Times New Roman"/>
          <w:b/>
          <w:lang w:val="en-GB"/>
        </w:rPr>
        <w:t>Figure 2.</w:t>
      </w:r>
      <w:r>
        <w:rPr>
          <w:rFonts w:cs="Times New Roman"/>
          <w:lang w:val="en-GB"/>
        </w:rPr>
        <w:t xml:space="preserve"> Average leverage ratio of </w:t>
      </w:r>
      <w:r>
        <w:rPr>
          <w:rFonts w:cs="Times New Roman"/>
          <w:color w:val="000000" w:themeColor="text1"/>
          <w:lang w:val="en-GB"/>
          <w14:textFill>
            <w14:solidFill>
              <w14:schemeClr w14:val="tx1"/>
            </w14:solidFill>
          </w14:textFill>
        </w:rPr>
        <w:t>Guangdong-Hong Kong-Macao</w:t>
      </w:r>
      <w:r>
        <w:rPr>
          <w:rFonts w:cs="Times New Roman"/>
          <w:lang w:val="en-GB"/>
        </w:rPr>
        <w:t xml:space="preserve"> Greater Bay Area enterprises: detailed division by ownership structure</w:t>
      </w:r>
    </w:p>
    <w:p>
      <w:pPr>
        <w:pStyle w:val="12"/>
        <w:spacing w:before="0" w:beforeAutospacing="0" w:after="0" w:afterAutospacing="0" w:line="360" w:lineRule="auto"/>
        <w:ind w:firstLine="720"/>
        <w:contextualSpacing/>
        <w:rPr>
          <w:rFonts w:ascii="Times New Roman" w:hAnsi="Times New Roman" w:cs="Times New Roman"/>
          <w:color w:val="000000" w:themeColor="text1"/>
          <w:lang w:val="en-GB"/>
          <w14:textFill>
            <w14:solidFill>
              <w14:schemeClr w14:val="tx1"/>
            </w14:solidFill>
          </w14:textFill>
        </w:rPr>
      </w:pPr>
    </w:p>
    <w:p>
      <w:pPr>
        <w:pStyle w:val="12"/>
        <w:spacing w:before="0" w:beforeAutospacing="0" w:after="0" w:afterAutospacing="0" w:line="360" w:lineRule="auto"/>
        <w:ind w:firstLine="720"/>
        <w:contextualSpacing/>
        <w:rPr>
          <w:rFonts w:ascii="Times New Roman" w:hAnsi="Times New Roman" w:cs="Times New Roman"/>
          <w:color w:val="000000" w:themeColor="text1"/>
          <w:lang w:val="en-GB"/>
          <w14:textFill>
            <w14:solidFill>
              <w14:schemeClr w14:val="tx1"/>
            </w14:solidFill>
          </w14:textFill>
        </w:rPr>
      </w:pPr>
      <w:r>
        <w:rPr>
          <w:rFonts w:ascii="Times New Roman" w:hAnsi="Times New Roman" w:cs="Times New Roman"/>
          <w:color w:val="000000" w:themeColor="text1"/>
          <w:lang w:val="en-GB"/>
          <w14:textFill>
            <w14:solidFill>
              <w14:schemeClr w14:val="tx1"/>
            </w14:solidFill>
          </w14:textFill>
        </w:rPr>
        <w:t xml:space="preserve">Quantile analysis of the leverage ratio of central state-owned enterprises and local state-owned enterprises (see Figure 3) shows that after 2007, the leverage ratios of central state-owned enterprises in the lowest quantile (25%), median and top quantile (75%) became significantly higher than the leverage ratios of local state-owned enterprises in the corresponding quantiles. The leverage ratios of central state-owned enterprises in the 75% quantile have experienced an upward trend since 2007, indicating that the increasing leverage ratio of central state-owned enterprises is mainly driven by enterprises with high leverage ratio. Therefore, deleveraging efforts should focus on central state-owned enterprises with high leverage </w:t>
      </w:r>
      <w:r>
        <w:rPr>
          <w:rFonts w:ascii="Times New Roman" w:hAnsi="Times New Roman" w:cs="Times New Roman"/>
          <w:color w:val="000000"/>
          <w:lang w:val="en-GB"/>
        </w:rPr>
        <w:t>ratios</w:t>
      </w:r>
      <w:r>
        <w:rPr>
          <w:rFonts w:ascii="Times New Roman" w:hAnsi="Times New Roman" w:cs="Times New Roman"/>
          <w:color w:val="000000" w:themeColor="text1"/>
          <w:lang w:val="en-GB"/>
          <w14:textFill>
            <w14:solidFill>
              <w14:schemeClr w14:val="tx1"/>
            </w14:solidFill>
          </w14:textFill>
        </w:rPr>
        <w:t>.</w:t>
      </w:r>
    </w:p>
    <w:p>
      <w:pPr>
        <w:spacing w:line="360" w:lineRule="auto"/>
        <w:jc w:val="left"/>
        <w:rPr>
          <w:rFonts w:cs="Times New Roman"/>
          <w:lang w:val="en-GB"/>
        </w:rPr>
      </w:pPr>
      <w:r>
        <w:rPr>
          <w:lang w:val="en-GB"/>
        </w:rPr>
        <w:drawing>
          <wp:inline distT="0" distB="0" distL="0" distR="0">
            <wp:extent cx="4945380" cy="2448560"/>
            <wp:effectExtent l="0" t="0" r="7620" b="8890"/>
            <wp:docPr id="1018008496"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360" w:lineRule="auto"/>
        <w:contextualSpacing/>
        <w:jc w:val="left"/>
        <w:rPr>
          <w:rFonts w:cs="Times New Roman"/>
          <w:lang w:val="en-GB"/>
        </w:rPr>
      </w:pPr>
      <w:r>
        <w:rPr>
          <w:rFonts w:cs="Times New Roman"/>
          <w:lang w:val="en-GB"/>
        </w:rPr>
        <w:t>Data source: Wind</w:t>
      </w:r>
    </w:p>
    <w:p>
      <w:pPr>
        <w:spacing w:line="360" w:lineRule="auto"/>
        <w:contextualSpacing/>
        <w:jc w:val="left"/>
        <w:rPr>
          <w:rFonts w:eastAsia="黑体" w:cs="Times New Roman"/>
          <w:lang w:val="en-GB"/>
        </w:rPr>
      </w:pPr>
      <w:r>
        <w:rPr>
          <w:rFonts w:eastAsia="黑体" w:cs="Times New Roman"/>
          <w:b/>
          <w:lang w:val="en-GB"/>
        </w:rPr>
        <w:t>Figure 3.</w:t>
      </w:r>
      <w:r>
        <w:rPr>
          <w:rFonts w:eastAsia="黑体" w:cs="Times New Roman"/>
          <w:lang w:val="en-GB"/>
        </w:rPr>
        <w:t xml:space="preserve"> Average leverage ratio of enterprises in the Guangdong-Hong Kong-Macao Greater Bay Area: ownership quantile</w:t>
      </w:r>
    </w:p>
    <w:p>
      <w:pPr>
        <w:pStyle w:val="12"/>
        <w:spacing w:before="0" w:beforeAutospacing="0" w:after="0" w:afterAutospacing="0" w:line="360" w:lineRule="auto"/>
        <w:ind w:firstLine="720"/>
        <w:contextualSpacing/>
        <w:rPr>
          <w:rFonts w:ascii="Times New Roman" w:hAnsi="Times New Roman" w:cs="Times New Roman"/>
          <w:color w:val="000000" w:themeColor="text1"/>
          <w:lang w:val="en-GB"/>
          <w14:textFill>
            <w14:solidFill>
              <w14:schemeClr w14:val="tx1"/>
            </w14:solidFill>
          </w14:textFill>
        </w:rPr>
      </w:pPr>
    </w:p>
    <w:p>
      <w:pPr>
        <w:pStyle w:val="12"/>
        <w:spacing w:before="0" w:beforeAutospacing="0" w:after="0" w:afterAutospacing="0" w:line="360" w:lineRule="auto"/>
        <w:ind w:firstLine="720"/>
        <w:contextualSpacing/>
        <w:rPr>
          <w:rFonts w:ascii="Times New Roman" w:hAnsi="Times New Roman" w:cs="Times New Roman"/>
          <w:color w:val="000000" w:themeColor="text1"/>
          <w:lang w:val="en-GB"/>
          <w14:textFill>
            <w14:solidFill>
              <w14:schemeClr w14:val="tx1"/>
            </w14:solidFill>
          </w14:textFill>
        </w:rPr>
      </w:pPr>
      <w:r>
        <w:rPr>
          <w:rFonts w:ascii="Times New Roman" w:hAnsi="Times New Roman" w:cs="Times New Roman"/>
          <w:color w:val="000000" w:themeColor="text1"/>
          <w:lang w:val="en-GB"/>
          <w14:textFill>
            <w14:solidFill>
              <w14:schemeClr w14:val="tx1"/>
            </w14:solidFill>
          </w14:textFill>
        </w:rPr>
        <w:t>In terms of industry, the real estate management and development industry in the Guangdong-Hong Kong-Macao Greater Bay Area has the largest number of enterprises, accounting for 10.3% of non-financial enterprises. Other sectors</w:t>
      </w:r>
      <w:r>
        <w:rPr>
          <w:rFonts w:ascii="Times New Roman" w:hAnsi="Times New Roman" w:cs="Times New Roman"/>
          <w:color w:val="000000"/>
          <w:lang w:val="en-GB"/>
        </w:rPr>
        <w:t>,</w:t>
      </w:r>
      <w:r>
        <w:rPr>
          <w:rFonts w:ascii="Times New Roman" w:hAnsi="Times New Roman" w:cs="Times New Roman"/>
          <w:color w:val="000000" w:themeColor="text1"/>
          <w:lang w:val="en-GB"/>
          <w14:textFill>
            <w14:solidFill>
              <w14:schemeClr w14:val="tx1"/>
            </w14:solidFill>
          </w14:textFill>
        </w:rPr>
        <w:t xml:space="preserve"> such as electronics, instruments and components, construction and engineering, textiles, clothing and luxury goods, hotels, restaurants and leisure industry</w:t>
      </w:r>
      <w:r>
        <w:rPr>
          <w:rFonts w:ascii="Times New Roman" w:hAnsi="Times New Roman" w:cs="Times New Roman"/>
          <w:color w:val="000000"/>
          <w:lang w:val="en-GB"/>
        </w:rPr>
        <w:t>,</w:t>
      </w:r>
      <w:r>
        <w:rPr>
          <w:rFonts w:ascii="Times New Roman" w:hAnsi="Times New Roman" w:cs="Times New Roman"/>
          <w:color w:val="000000" w:themeColor="text1"/>
          <w:lang w:val="en-GB"/>
          <w14:textFill>
            <w14:solidFill>
              <w14:schemeClr w14:val="tx1"/>
            </w14:solidFill>
          </w14:textFill>
        </w:rPr>
        <w:t xml:space="preserve"> accounted for more than 5%. The specific distribution of the top ten industries in the Guangdong-Hong Kong-Macao Greater Bay Area is shown in Figure 4.</w:t>
      </w:r>
    </w:p>
    <w:p>
      <w:pPr>
        <w:spacing w:line="360" w:lineRule="auto"/>
        <w:jc w:val="left"/>
        <w:rPr>
          <w:rFonts w:cs="Times New Roman"/>
          <w:lang w:val="en-GB"/>
        </w:rPr>
      </w:pPr>
      <w:r>
        <w:rPr>
          <w:rFonts w:cs="Times New Roman"/>
          <w:lang w:val="en-GB"/>
        </w:rPr>
        <w:drawing>
          <wp:inline distT="0" distB="0" distL="0" distR="0">
            <wp:extent cx="5391150" cy="2752725"/>
            <wp:effectExtent l="0" t="0" r="0" b="9525"/>
            <wp:docPr id="285438859"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360" w:lineRule="auto"/>
        <w:contextualSpacing/>
        <w:jc w:val="left"/>
        <w:rPr>
          <w:rFonts w:cs="Times New Roman"/>
          <w:lang w:val="en-GB"/>
        </w:rPr>
      </w:pPr>
      <w:r>
        <w:rPr>
          <w:rFonts w:cs="Times New Roman"/>
          <w:lang w:val="en-GB"/>
        </w:rPr>
        <w:t>Data source: Wind</w:t>
      </w:r>
    </w:p>
    <w:p>
      <w:pPr>
        <w:spacing w:line="360" w:lineRule="auto"/>
        <w:contextualSpacing/>
        <w:jc w:val="left"/>
        <w:rPr>
          <w:rFonts w:eastAsia="黑体" w:cs="Times New Roman"/>
          <w:lang w:val="en-GB"/>
        </w:rPr>
      </w:pPr>
      <w:r>
        <w:rPr>
          <w:rFonts w:eastAsia="黑体" w:cs="Times New Roman"/>
          <w:b/>
          <w:lang w:val="en-GB"/>
        </w:rPr>
        <w:t>Figure 4.</w:t>
      </w:r>
      <w:r>
        <w:rPr>
          <w:rFonts w:eastAsia="黑体" w:cs="Times New Roman"/>
          <w:lang w:val="en-GB"/>
        </w:rPr>
        <w:t xml:space="preserve"> Major industries of the Guangdong-Hong Kong-Macao Greater Bay Area in 2017</w:t>
      </w:r>
    </w:p>
    <w:p>
      <w:pPr>
        <w:pStyle w:val="12"/>
        <w:spacing w:before="0" w:beforeAutospacing="0" w:after="0" w:afterAutospacing="0" w:line="360" w:lineRule="auto"/>
        <w:ind w:firstLine="720"/>
        <w:contextualSpacing/>
        <w:rPr>
          <w:rFonts w:ascii="Times New Roman" w:hAnsi="Times New Roman" w:cs="Times New Roman"/>
          <w:color w:val="000000" w:themeColor="text1"/>
          <w:lang w:val="en-GB"/>
          <w14:textFill>
            <w14:solidFill>
              <w14:schemeClr w14:val="tx1"/>
            </w14:solidFill>
          </w14:textFill>
        </w:rPr>
      </w:pPr>
    </w:p>
    <w:p>
      <w:pPr>
        <w:pStyle w:val="12"/>
        <w:spacing w:before="0" w:beforeAutospacing="0" w:after="0" w:afterAutospacing="0" w:line="360" w:lineRule="auto"/>
        <w:ind w:firstLine="720"/>
        <w:contextualSpacing/>
        <w:rPr>
          <w:rFonts w:ascii="Times New Roman" w:hAnsi="Times New Roman" w:cs="Times New Roman"/>
          <w:color w:val="000000" w:themeColor="text1"/>
          <w:lang w:val="en-GB"/>
          <w14:textFill>
            <w14:solidFill>
              <w14:schemeClr w14:val="tx1"/>
            </w14:solidFill>
          </w14:textFill>
        </w:rPr>
      </w:pPr>
      <w:r>
        <w:rPr>
          <w:rFonts w:ascii="Times New Roman" w:hAnsi="Times New Roman" w:cs="Times New Roman"/>
          <w:color w:val="000000" w:themeColor="text1"/>
          <w:lang w:val="en-GB"/>
          <w14:textFill>
            <w14:solidFill>
              <w14:schemeClr w14:val="tx1"/>
            </w14:solidFill>
          </w14:textFill>
        </w:rPr>
        <w:t xml:space="preserve">Further analysis </w:t>
      </w:r>
      <w:r>
        <w:rPr>
          <w:rFonts w:ascii="Times New Roman" w:hAnsi="Times New Roman" w:cs="Times New Roman"/>
          <w:color w:val="000000"/>
          <w:lang w:val="en-GB"/>
        </w:rPr>
        <w:t>of</w:t>
      </w:r>
      <w:r>
        <w:rPr>
          <w:rFonts w:ascii="Times New Roman" w:hAnsi="Times New Roman" w:cs="Times New Roman"/>
          <w:color w:val="000000" w:themeColor="text1"/>
          <w:lang w:val="en-GB"/>
          <w14:textFill>
            <w14:solidFill>
              <w14:schemeClr w14:val="tx1"/>
            </w14:solidFill>
          </w14:textFill>
        </w:rPr>
        <w:t xml:space="preserve"> the leverage ratio of major industries in the greater bay area (see </w:t>
      </w:r>
      <w:r>
        <w:rPr>
          <w:rFonts w:ascii="Times New Roman" w:hAnsi="Times New Roman" w:cs="Times New Roman"/>
          <w:color w:val="00B0F0"/>
          <w:lang w:val="en-GB"/>
        </w:rPr>
        <w:t>Figure 5</w:t>
      </w:r>
      <w:r>
        <w:rPr>
          <w:rFonts w:ascii="Times New Roman" w:hAnsi="Times New Roman" w:cs="Times New Roman"/>
          <w:color w:val="000000" w:themeColor="text1"/>
          <w:lang w:val="en-GB"/>
          <w14:textFill>
            <w14:solidFill>
              <w14:schemeClr w14:val="tx1"/>
            </w14:solidFill>
          </w14:textFill>
        </w:rPr>
        <w:t>) shows that the construction and engineering industry has the highest average leverage ratio, with 57.56%, and the textile, clothing and luxury industry has the lowest average leverage ratio, with  39.79%. The leverage ratio of the construction and engineering industry increased significantly from 2010 to 2013, rising by 18.79%, and then steadily declined, falling by 21.52% in 2018 compared with 2013. In recent years, the growth of</w:t>
      </w:r>
      <w:r>
        <w:rPr>
          <w:rFonts w:ascii="Times New Roman" w:hAnsi="Times New Roman" w:cs="Times New Roman"/>
          <w:color w:val="000000"/>
          <w:lang w:val="en-GB"/>
        </w:rPr>
        <w:t xml:space="preserve"> the</w:t>
      </w:r>
      <w:r>
        <w:rPr>
          <w:rFonts w:ascii="Times New Roman" w:hAnsi="Times New Roman" w:cs="Times New Roman"/>
          <w:color w:val="000000" w:themeColor="text1"/>
          <w:lang w:val="en-GB"/>
          <w14:textFill>
            <w14:solidFill>
              <w14:schemeClr w14:val="tx1"/>
            </w14:solidFill>
          </w14:textFill>
        </w:rPr>
        <w:t xml:space="preserve"> leverage ratio </w:t>
      </w:r>
      <w:r>
        <w:rPr>
          <w:rFonts w:ascii="Times New Roman" w:hAnsi="Times New Roman" w:cs="Times New Roman"/>
          <w:color w:val="000000"/>
          <w:lang w:val="en-GB"/>
        </w:rPr>
        <w:t>has become</w:t>
      </w:r>
      <w:r>
        <w:rPr>
          <w:rFonts w:ascii="Times New Roman" w:hAnsi="Times New Roman" w:cs="Times New Roman"/>
          <w:color w:val="000000" w:themeColor="text1"/>
          <w:lang w:val="en-GB"/>
          <w14:textFill>
            <w14:solidFill>
              <w14:schemeClr w14:val="tx1"/>
            </w14:solidFill>
          </w14:textFill>
        </w:rPr>
        <w:t xml:space="preserve"> obvious mainly among enterprises in the real estate management and development industry, among which the average asset-liability ratio reached a peak of 49.24% in 2006. After a period of fluctuations, the ratio began to rise steadily in 2013, presenting an increase of 9.56% in 2018 compared with 2013. Overall, the average leverage ratio differs significantly across industries.</w:t>
      </w:r>
    </w:p>
    <w:p>
      <w:pPr>
        <w:spacing w:line="360" w:lineRule="auto"/>
        <w:jc w:val="left"/>
        <w:rPr>
          <w:rFonts w:cs="Times New Roman"/>
          <w:lang w:val="en-GB"/>
        </w:rPr>
      </w:pPr>
      <w:r>
        <w:rPr>
          <w:rFonts w:cs="Times New Roman"/>
          <w:lang w:val="en-GB"/>
        </w:rPr>
        <w:drawing>
          <wp:inline distT="0" distB="0" distL="0" distR="0">
            <wp:extent cx="5753100" cy="4086225"/>
            <wp:effectExtent l="0" t="0" r="0" b="9525"/>
            <wp:docPr id="629983270"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360" w:lineRule="auto"/>
        <w:contextualSpacing/>
        <w:jc w:val="left"/>
        <w:rPr>
          <w:rFonts w:cs="Times New Roman"/>
          <w:lang w:val="en-GB"/>
        </w:rPr>
      </w:pPr>
      <w:r>
        <w:rPr>
          <w:rFonts w:cs="Times New Roman"/>
          <w:lang w:val="en-GB"/>
        </w:rPr>
        <w:t>Data source: Wind</w:t>
      </w:r>
    </w:p>
    <w:p>
      <w:pPr>
        <w:spacing w:line="360" w:lineRule="auto"/>
        <w:contextualSpacing/>
        <w:jc w:val="left"/>
        <w:rPr>
          <w:rFonts w:eastAsia="黑体" w:cs="Times New Roman"/>
          <w:lang w:val="en-GB"/>
        </w:rPr>
      </w:pPr>
      <w:r>
        <w:rPr>
          <w:rFonts w:eastAsia="黑体" w:cs="Times New Roman"/>
          <w:b/>
          <w:lang w:val="en-GB"/>
        </w:rPr>
        <w:t>Figure 5.</w:t>
      </w:r>
      <w:r>
        <w:rPr>
          <w:rFonts w:eastAsia="黑体" w:cs="Times New Roman"/>
          <w:lang w:val="en-GB"/>
        </w:rPr>
        <w:t xml:space="preserve"> Average leverage ratio of enterprises in the Guangdong-Hong Kong-Macao Greater Bay Area: major industries</w:t>
      </w:r>
    </w:p>
    <w:p>
      <w:pPr>
        <w:spacing w:line="360" w:lineRule="auto"/>
        <w:ind w:firstLine="720"/>
        <w:contextualSpacing/>
        <w:jc w:val="left"/>
        <w:rPr>
          <w:rFonts w:cs="Times New Roman"/>
          <w:color w:val="000000" w:themeColor="text1"/>
          <w:lang w:val="en-GB"/>
          <w14:textFill>
            <w14:solidFill>
              <w14:schemeClr w14:val="tx1"/>
            </w14:solidFill>
          </w14:textFill>
        </w:rPr>
      </w:pPr>
    </w:p>
    <w:p>
      <w:pPr>
        <w:spacing w:line="360" w:lineRule="auto"/>
        <w:ind w:firstLine="720"/>
        <w:contextualSpacing/>
        <w:jc w:val="left"/>
        <w:rPr>
          <w:rFonts w:hint="default" w:eastAsia="宋体" w:cs="Times New Roman"/>
          <w:color w:val="000000" w:themeColor="text1"/>
          <w:lang w:val="en-US" w:eastAsia="zh-CN"/>
          <w14:textFill>
            <w14:solidFill>
              <w14:schemeClr w14:val="tx1"/>
            </w14:solidFill>
          </w14:textFill>
        </w:rPr>
      </w:pPr>
      <w:r>
        <w:rPr>
          <w:rFonts w:cs="Times New Roman"/>
          <w:color w:val="000000" w:themeColor="text1"/>
          <w:lang w:val="en-GB"/>
          <w14:textFill>
            <w14:solidFill>
              <w14:schemeClr w14:val="tx1"/>
            </w14:solidFill>
          </w14:textFill>
        </w:rPr>
        <w:t xml:space="preserve">From the regional perspective, on the whole, non-financial enterprises in Macao have the lowest leverage ratio in the greater bay area, and these are mainly foreign-funded and private enterprises, without state-owned enterprises. Before 2008, enterprises in Guangdong had a significantly higher leverage ratio than enterprises in Hong Kong and Macao. </w:t>
      </w:r>
      <w:r>
        <w:rPr>
          <w:rFonts w:cs="Times New Roman"/>
          <w:color w:val="000000"/>
          <w:lang w:val="en-GB"/>
        </w:rPr>
        <w:t xml:space="preserve">Since </w:t>
      </w:r>
      <w:r>
        <w:rPr>
          <w:rFonts w:cs="Times New Roman"/>
          <w:color w:val="000000" w:themeColor="text1"/>
          <w:lang w:val="en-GB"/>
          <w14:textFill>
            <w14:solidFill>
              <w14:schemeClr w14:val="tx1"/>
            </w14:solidFill>
          </w14:textFill>
        </w:rPr>
        <w:t xml:space="preserve">2014, the leverage ratio of enterprises in Guangdong, Hong Kong and Macao has been trending in the same direction. In the </w:t>
      </w:r>
      <w:r>
        <w:rPr>
          <w:rFonts w:cs="Times New Roman"/>
          <w:color w:val="000000"/>
          <w:lang w:val="en-GB"/>
        </w:rPr>
        <w:t>last</w:t>
      </w:r>
      <w:r>
        <w:rPr>
          <w:rFonts w:cs="Times New Roman"/>
          <w:color w:val="000000" w:themeColor="text1"/>
          <w:lang w:val="en-GB"/>
          <w14:textFill>
            <w14:solidFill>
              <w14:schemeClr w14:val="tx1"/>
            </w14:solidFill>
          </w14:textFill>
        </w:rPr>
        <w:t xml:space="preserve"> three years, the leverage ratio of enterprises in Guangdong Province has grown at the highest rate, with 5.12%, while that of enterprises in Macao has grown most slowly, decreasing by 10.22%. The leverage ratio of non-financial companies in Hong Kong is less volatile, falling 2.66 percentage points, on average, in the past three years.</w:t>
      </w:r>
      <w:r>
        <w:rPr>
          <w:rFonts w:hint="eastAsia" w:cs="Times New Roman"/>
          <w:color w:val="000000" w:themeColor="text1"/>
          <w:lang w:val="en-US" w:eastAsia="zh-CN"/>
          <w14:textFill>
            <w14:solidFill>
              <w14:schemeClr w14:val="tx1"/>
            </w14:solidFill>
          </w14:textFill>
        </w:rPr>
        <w:t xml:space="preserve"> The </w:t>
      </w:r>
      <w:r>
        <w:rPr>
          <w:rFonts w:hint="eastAsia" w:cs="Times New Roman"/>
          <w:color w:val="000000" w:themeColor="text1"/>
          <w:lang w:val="en-GB"/>
          <w14:textFill>
            <w14:solidFill>
              <w14:schemeClr w14:val="tx1"/>
            </w14:solidFill>
          </w14:textFill>
        </w:rPr>
        <w:t>Average leverage ratio of enterprises in the Guangdong-Hong Kong-Macao Greater Bay Area</w:t>
      </w:r>
      <w:r>
        <w:rPr>
          <w:rFonts w:hint="eastAsia" w:cs="Times New Roman"/>
          <w:color w:val="000000" w:themeColor="text1"/>
          <w:lang w:val="en-US" w:eastAsia="zh-CN"/>
          <w14:textFill>
            <w14:solidFill>
              <w14:schemeClr w14:val="tx1"/>
            </w14:solidFill>
          </w14:textFill>
        </w:rPr>
        <w:t xml:space="preserve"> as </w:t>
      </w:r>
      <w:r>
        <w:rPr>
          <w:rFonts w:ascii="Times New Roman" w:hAnsi="Times New Roman" w:cs="Times New Roman"/>
          <w:color w:val="00B0F0"/>
          <w:lang w:val="en-GB"/>
        </w:rPr>
        <w:t xml:space="preserve">Figure </w:t>
      </w:r>
      <w:r>
        <w:rPr>
          <w:rFonts w:hint="eastAsia" w:cs="Times New Roman"/>
          <w:color w:val="00B0F0"/>
          <w:lang w:val="en-US" w:eastAsia="zh-CN"/>
        </w:rPr>
        <w:t>6.</w:t>
      </w:r>
      <w:r>
        <w:rPr>
          <w:rFonts w:hint="eastAsia" w:cs="Times New Roman"/>
          <w:color w:val="000000" w:themeColor="text1"/>
          <w:lang w:val="en-US" w:eastAsia="zh-CN"/>
          <w14:textFill>
            <w14:solidFill>
              <w14:schemeClr w14:val="tx1"/>
            </w14:solidFill>
          </w14:textFill>
        </w:rPr>
        <w:t xml:space="preserve"> </w:t>
      </w:r>
    </w:p>
    <w:p>
      <w:pPr>
        <w:spacing w:line="360" w:lineRule="auto"/>
        <w:jc w:val="left"/>
        <w:rPr>
          <w:rFonts w:cs="Times New Roman"/>
          <w:color w:val="000000" w:themeColor="text1"/>
          <w:lang w:val="en-GB"/>
          <w14:textFill>
            <w14:solidFill>
              <w14:schemeClr w14:val="tx1"/>
            </w14:solidFill>
          </w14:textFill>
        </w:rPr>
      </w:pPr>
      <w:r>
        <w:rPr>
          <w:rFonts w:cs="Times New Roman"/>
          <w:lang w:val="en-GB"/>
        </w:rPr>
        <w:drawing>
          <wp:inline distT="0" distB="0" distL="0" distR="0">
            <wp:extent cx="4826000" cy="2281555"/>
            <wp:effectExtent l="0" t="0" r="12700" b="4445"/>
            <wp:docPr id="30105507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360" w:lineRule="auto"/>
        <w:contextualSpacing/>
        <w:jc w:val="left"/>
        <w:rPr>
          <w:rFonts w:cs="Times New Roman"/>
          <w:lang w:val="en-GB"/>
        </w:rPr>
      </w:pPr>
      <w:r>
        <w:rPr>
          <w:rFonts w:cs="Times New Roman"/>
          <w:lang w:val="en-GB"/>
        </w:rPr>
        <w:t>Data source: Wind</w:t>
      </w:r>
    </w:p>
    <w:p>
      <w:pPr>
        <w:spacing w:line="360" w:lineRule="auto"/>
        <w:contextualSpacing/>
        <w:jc w:val="left"/>
        <w:rPr>
          <w:rFonts w:eastAsia="黑体" w:cs="Times New Roman"/>
          <w:lang w:val="en-GB"/>
        </w:rPr>
      </w:pPr>
      <w:r>
        <w:rPr>
          <w:rFonts w:eastAsia="黑体" w:cs="Times New Roman"/>
          <w:b/>
          <w:lang w:val="en-GB"/>
        </w:rPr>
        <w:t>Figure 6.</w:t>
      </w:r>
      <w:r>
        <w:rPr>
          <w:rFonts w:eastAsia="黑体" w:cs="Times New Roman"/>
          <w:lang w:val="en-GB"/>
        </w:rPr>
        <w:t xml:space="preserve"> Average leverage ratio of enterprises in the Guangdong-Hong Kong-Macao Greater Bay Area</w:t>
      </w:r>
    </w:p>
    <w:p>
      <w:pPr>
        <w:spacing w:line="360" w:lineRule="auto"/>
        <w:ind w:firstLine="720"/>
        <w:contextualSpacing/>
        <w:jc w:val="left"/>
        <w:rPr>
          <w:rFonts w:cs="Times New Roman"/>
          <w:color w:val="00B0F0"/>
          <w:lang w:val="en-GB"/>
        </w:rPr>
      </w:pPr>
    </w:p>
    <w:p>
      <w:pPr>
        <w:spacing w:line="360" w:lineRule="auto"/>
        <w:ind w:firstLine="720"/>
        <w:contextualSpacing/>
        <w:jc w:val="left"/>
        <w:rPr>
          <w:rFonts w:cs="Times New Roman"/>
          <w:color w:val="000000" w:themeColor="text1"/>
          <w:lang w:val="en-GB"/>
          <w14:textFill>
            <w14:solidFill>
              <w14:schemeClr w14:val="tx1"/>
            </w14:solidFill>
          </w14:textFill>
        </w:rPr>
      </w:pPr>
      <w:r>
        <w:rPr>
          <w:rFonts w:cs="Times New Roman"/>
          <w:color w:val="00B0F0"/>
          <w:lang w:val="en-GB"/>
        </w:rPr>
        <w:t>Figure 7</w:t>
      </w:r>
      <w:r>
        <w:rPr>
          <w:rFonts w:cs="Times New Roman"/>
          <w:color w:val="000000" w:themeColor="text1"/>
          <w:lang w:val="en-GB"/>
          <w14:textFill>
            <w14:solidFill>
              <w14:schemeClr w14:val="tx1"/>
            </w14:solidFill>
          </w14:textFill>
        </w:rPr>
        <w:t xml:space="preserve"> compares the leverage ratio of non-financial enterprises in the Guangdong-Hong Kong-Macao Greater </w:t>
      </w:r>
      <w:r>
        <w:rPr>
          <w:rFonts w:cs="Times New Roman"/>
          <w:color w:val="000000"/>
          <w:lang w:val="en-GB"/>
        </w:rPr>
        <w:t>Bay</w:t>
      </w:r>
      <w:r>
        <w:rPr>
          <w:rFonts w:cs="Times New Roman"/>
          <w:color w:val="000000" w:themeColor="text1"/>
          <w:lang w:val="en-GB"/>
          <w14:textFill>
            <w14:solidFill>
              <w14:schemeClr w14:val="tx1"/>
            </w14:solidFill>
          </w14:textFill>
        </w:rPr>
        <w:t xml:space="preserve"> Area with that of non-financial enterprises in other parts of China. The leverage ratio of enterprises in Guangdong, Hong Kong, Macao and the mainland increased until 2006; in that year, the leverage ratio of non-financial enterprises on the mainland began to present an overall downward trend, decreasing by 26.06 percentage points in 2018 compared with 2006.</w:t>
      </w:r>
      <w:r>
        <w:rPr>
          <w:rFonts w:cs="Times New Roman"/>
          <w:color w:val="000000"/>
          <w:lang w:val="en-GB"/>
        </w:rPr>
        <w:t xml:space="preserve"> Concerning the </w:t>
      </w:r>
      <w:r>
        <w:rPr>
          <w:rFonts w:cs="Times New Roman"/>
          <w:color w:val="000000" w:themeColor="text1"/>
          <w:lang w:val="en-GB"/>
          <w14:textFill>
            <w14:solidFill>
              <w14:schemeClr w14:val="tx1"/>
            </w14:solidFill>
          </w14:textFill>
        </w:rPr>
        <w:t>non-financial enterprises in Guangdong, Hong Kong and Macao, after a short decline in 2007, the leverage ratio increased until 2009, and it again decreased until 2018, presenting a ratio 18.87% lower than the level in 2009. Since 2015, the average leverage ratio of non-financial enterprises in Guangdong, Hong Kong and Macao has been slightly higher than that of non-financial enterprises in other parts of China.</w:t>
      </w:r>
    </w:p>
    <w:p>
      <w:pPr>
        <w:spacing w:line="360" w:lineRule="auto"/>
        <w:ind w:firstLine="720"/>
        <w:contextualSpacing/>
        <w:jc w:val="left"/>
        <w:rPr>
          <w:rFonts w:cs="Times New Roman"/>
          <w:color w:val="000000" w:themeColor="text1"/>
          <w:lang w:val="en-GB"/>
          <w14:textFill>
            <w14:solidFill>
              <w14:schemeClr w14:val="tx1"/>
            </w14:solidFill>
          </w14:textFill>
        </w:rPr>
      </w:pPr>
      <w:r>
        <w:rPr>
          <w:rFonts w:cs="Times New Roman"/>
          <w:color w:val="000000" w:themeColor="text1"/>
          <w:lang w:val="en-GB"/>
          <w14:textFill>
            <w14:solidFill>
              <w14:schemeClr w14:val="tx1"/>
            </w14:solidFill>
          </w14:textFill>
        </w:rPr>
        <w:t>In the past three years, the non-financial enterprises in Guangdong, Hong Kong and Macao have experienced a smaller average decrease in the leverage ratio than similar enterprises in other regions in China. The leverage ratio of non-financial enterprises in the greater bay area has decreased by 0.67 percentage points, while the average leverage ratio of non-financial enterprises in other regions of China has decreased significantly, falling 3.47% year-on-year.</w:t>
      </w:r>
    </w:p>
    <w:p>
      <w:pPr>
        <w:jc w:val="left"/>
        <w:rPr>
          <w:rFonts w:eastAsia="黑体" w:cs="Times New Roman"/>
          <w:sz w:val="21"/>
          <w:szCs w:val="21"/>
          <w:lang w:val="en-GB"/>
        </w:rPr>
      </w:pPr>
      <w:r>
        <w:rPr>
          <w:rFonts w:cs="Times New Roman"/>
          <w:lang w:val="en-GB"/>
        </w:rPr>
        <w:drawing>
          <wp:inline distT="0" distB="0" distL="0" distR="0">
            <wp:extent cx="4762500" cy="2233930"/>
            <wp:effectExtent l="0" t="0" r="0" b="13970"/>
            <wp:docPr id="45388736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360" w:lineRule="auto"/>
        <w:contextualSpacing/>
        <w:jc w:val="left"/>
        <w:rPr>
          <w:rFonts w:cs="Times New Roman"/>
          <w:lang w:val="en-GB"/>
        </w:rPr>
      </w:pPr>
      <w:r>
        <w:rPr>
          <w:rFonts w:cs="Times New Roman"/>
          <w:lang w:val="en-GB"/>
        </w:rPr>
        <w:t>Data source: Wind</w:t>
      </w:r>
    </w:p>
    <w:p>
      <w:pPr>
        <w:spacing w:line="360" w:lineRule="auto"/>
        <w:contextualSpacing/>
        <w:jc w:val="left"/>
        <w:rPr>
          <w:rFonts w:cs="Times New Roman"/>
          <w:lang w:val="en-GB"/>
        </w:rPr>
      </w:pPr>
      <w:r>
        <w:rPr>
          <w:rFonts w:cs="Times New Roman"/>
          <w:b/>
          <w:lang w:val="en-GB"/>
        </w:rPr>
        <w:t>Figure 7.</w:t>
      </w:r>
      <w:r>
        <w:rPr>
          <w:rFonts w:cs="Times New Roman"/>
          <w:lang w:val="en-GB"/>
        </w:rPr>
        <w:t xml:space="preserve"> Comparison of the average leverage ratio of non-financial enterprises in Guangdong-Hong Kong-Macao Greater Bay Area and other regions in China</w:t>
      </w:r>
    </w:p>
    <w:p>
      <w:pPr>
        <w:spacing w:line="360" w:lineRule="auto"/>
        <w:ind w:firstLine="720"/>
        <w:contextualSpacing/>
        <w:jc w:val="left"/>
        <w:rPr>
          <w:rFonts w:cs="Times New Roman"/>
          <w:lang w:val="en-GB"/>
        </w:rPr>
      </w:pPr>
    </w:p>
    <w:p>
      <w:pPr>
        <w:spacing w:line="360" w:lineRule="auto"/>
        <w:ind w:firstLine="720"/>
        <w:contextualSpacing/>
        <w:jc w:val="left"/>
        <w:rPr>
          <w:rFonts w:hint="default" w:eastAsia="宋体" w:cs="Times New Roman"/>
          <w:lang w:val="en-US" w:eastAsia="zh-CN"/>
        </w:rPr>
      </w:pPr>
      <w:r>
        <w:rPr>
          <w:rFonts w:cs="Times New Roman"/>
          <w:lang w:val="en-GB"/>
        </w:rPr>
        <w:t xml:space="preserve">A comparison of the leverage ratio of non-financial enterprises in the </w:t>
      </w:r>
      <w:r>
        <w:rPr>
          <w:rFonts w:hint="eastAsia" w:cs="Times New Roman"/>
          <w:lang w:val="en-GB"/>
        </w:rPr>
        <w:t>G</w:t>
      </w:r>
      <w:r>
        <w:rPr>
          <w:rFonts w:cs="Times New Roman"/>
          <w:lang w:val="en-GB"/>
        </w:rPr>
        <w:t>uangdong-</w:t>
      </w:r>
      <w:r>
        <w:rPr>
          <w:rFonts w:hint="eastAsia" w:cs="Times New Roman"/>
          <w:lang w:val="en-GB"/>
        </w:rPr>
        <w:t>H</w:t>
      </w:r>
      <w:r>
        <w:rPr>
          <w:rFonts w:cs="Times New Roman"/>
          <w:lang w:val="en-GB"/>
        </w:rPr>
        <w:t xml:space="preserve">ong </w:t>
      </w:r>
      <w:r>
        <w:rPr>
          <w:rFonts w:hint="eastAsia" w:cs="Times New Roman"/>
          <w:lang w:val="en-GB"/>
        </w:rPr>
        <w:t>K</w:t>
      </w:r>
      <w:r>
        <w:rPr>
          <w:rFonts w:cs="Times New Roman"/>
          <w:lang w:val="en-GB"/>
        </w:rPr>
        <w:t>ong-</w:t>
      </w:r>
      <w:r>
        <w:rPr>
          <w:rFonts w:hint="eastAsia" w:cs="Times New Roman"/>
          <w:lang w:val="en-GB"/>
        </w:rPr>
        <w:t>M</w:t>
      </w:r>
      <w:r>
        <w:rPr>
          <w:rFonts w:cs="Times New Roman"/>
          <w:lang w:val="en-GB"/>
        </w:rPr>
        <w:t>acao Greater Bay Area with that of major economies in the world shows that the leverage ratio of non-financial enterprises in the greater bay area is the lowest. Overall, the average leverage ratio of non-financial companies in France is the highest, and it has been declining since 2013. The leverage ratio of non-financial enterprises in Germany shows a trend of moderate growth on the whole; this growth is inseparable from the country’s developed banking system, which makes it easier for enterprises to borrow money from banks and thus increases their leverage ratio. The leverage ratio of non-financial enterprises in the United States is highly volatile, reaching a peak of 59.05% in 2012. Japan's non-financial corporate leverage is the smoothest. The leverage ratio of non-financial enterprises in the UK has shown a relatively obvious trend of decline since 2014, with a slight rise in 2018.</w:t>
      </w:r>
      <w:r>
        <w:rPr>
          <w:rFonts w:hint="eastAsia" w:cs="Times New Roman"/>
          <w:lang w:val="en-US" w:eastAsia="zh-CN"/>
        </w:rPr>
        <w:t xml:space="preserve"> The </w:t>
      </w:r>
      <w:r>
        <w:rPr>
          <w:rFonts w:hint="eastAsia" w:cs="Times New Roman"/>
        </w:rPr>
        <w:t>Leverage ratio of non-financial enterprises in the Guangdong-Hong Kong-Macau Greater Bay Area and major economies in the world</w:t>
      </w:r>
      <w:r>
        <w:rPr>
          <w:rFonts w:hint="eastAsia" w:cs="Times New Roman"/>
          <w:lang w:val="en-US" w:eastAsia="zh-CN"/>
        </w:rPr>
        <w:t xml:space="preserve"> as </w:t>
      </w:r>
      <w:r>
        <w:rPr>
          <w:rFonts w:cs="Times New Roman"/>
          <w:color w:val="00B0F0"/>
          <w:lang w:val="en-GB"/>
        </w:rPr>
        <w:t xml:space="preserve">Figure </w:t>
      </w:r>
      <w:r>
        <w:rPr>
          <w:rFonts w:hint="eastAsia" w:cs="Times New Roman"/>
          <w:color w:val="00B0F0"/>
          <w:lang w:val="en-US" w:eastAsia="zh-CN"/>
        </w:rPr>
        <w:t>8.</w:t>
      </w:r>
    </w:p>
    <w:p>
      <w:pPr>
        <w:jc w:val="left"/>
        <w:rPr>
          <w:rFonts w:cs="Times New Roman"/>
          <w:lang w:val="en-GB"/>
        </w:rPr>
      </w:pPr>
      <w:r>
        <w:rPr>
          <w:rFonts w:cs="Times New Roman"/>
          <w:lang w:val="en-GB"/>
        </w:rPr>
        <w:drawing>
          <wp:inline distT="0" distB="0" distL="0" distR="0">
            <wp:extent cx="4468495" cy="2313305"/>
            <wp:effectExtent l="0" t="0" r="8255" b="10795"/>
            <wp:docPr id="165211400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360" w:lineRule="auto"/>
        <w:contextualSpacing/>
        <w:jc w:val="left"/>
        <w:rPr>
          <w:rFonts w:cs="Times New Roman"/>
          <w:lang w:val="en-GB"/>
        </w:rPr>
      </w:pPr>
      <w:r>
        <w:rPr>
          <w:rFonts w:cs="Times New Roman"/>
          <w:lang w:val="en-GB"/>
        </w:rPr>
        <w:t>Data source: Wind</w:t>
      </w:r>
    </w:p>
    <w:p>
      <w:pPr>
        <w:spacing w:line="360" w:lineRule="auto"/>
        <w:contextualSpacing/>
        <w:jc w:val="left"/>
        <w:rPr>
          <w:rFonts w:cs="Times New Roman"/>
          <w:lang w:val="en-GB"/>
        </w:rPr>
      </w:pPr>
      <w:r>
        <w:rPr>
          <w:rFonts w:cs="Times New Roman"/>
          <w:b/>
          <w:lang w:val="en-GB"/>
        </w:rPr>
        <w:t>Figure 8.</w:t>
      </w:r>
      <w:r>
        <w:rPr>
          <w:rFonts w:cs="Times New Roman"/>
          <w:lang w:val="en-GB"/>
        </w:rPr>
        <w:t xml:space="preserve"> Leverage ratio of non-financial enterprises in the Guangdong-Hong Kong-Macau Greater Bay Area and major economies in the world</w:t>
      </w:r>
    </w:p>
    <w:p>
      <w:pPr>
        <w:spacing w:line="360" w:lineRule="auto"/>
        <w:ind w:firstLine="720"/>
        <w:contextualSpacing/>
        <w:jc w:val="left"/>
        <w:rPr>
          <w:rFonts w:cs="Times New Roman"/>
          <w:color w:val="000000" w:themeColor="text1"/>
          <w:lang w:val="en-GB"/>
          <w14:textFill>
            <w14:solidFill>
              <w14:schemeClr w14:val="tx1"/>
            </w14:solidFill>
          </w14:textFill>
        </w:rPr>
      </w:pPr>
    </w:p>
    <w:p>
      <w:pPr>
        <w:spacing w:line="360" w:lineRule="auto"/>
        <w:ind w:firstLine="720"/>
        <w:contextualSpacing/>
        <w:jc w:val="left"/>
        <w:rPr>
          <w:rFonts w:cs="Times New Roman"/>
          <w:color w:val="000000" w:themeColor="text1"/>
          <w:lang w:val="en-GB"/>
          <w14:textFill>
            <w14:solidFill>
              <w14:schemeClr w14:val="tx1"/>
            </w14:solidFill>
          </w14:textFill>
        </w:rPr>
      </w:pPr>
      <w:r>
        <w:rPr>
          <w:rFonts w:cs="Times New Roman"/>
          <w:color w:val="000000" w:themeColor="text1"/>
          <w:lang w:val="en-GB"/>
          <w14:textFill>
            <w14:solidFill>
              <w14:schemeClr w14:val="tx1"/>
            </w14:solidFill>
          </w14:textFill>
        </w:rPr>
        <w:t>Before 2009, the leverage volatility of</w:t>
      </w:r>
      <w:r>
        <w:rPr>
          <w:rFonts w:cs="Times New Roman"/>
          <w:lang w:val="en-GB"/>
        </w:rPr>
        <w:t xml:space="preserve"> non-financial enterprises in the </w:t>
      </w:r>
      <w:r>
        <w:rPr>
          <w:rFonts w:hint="eastAsia" w:cs="Times New Roman"/>
          <w:lang w:val="en-GB"/>
        </w:rPr>
        <w:t>G</w:t>
      </w:r>
      <w:r>
        <w:rPr>
          <w:rFonts w:cs="Times New Roman"/>
          <w:lang w:val="en-GB"/>
        </w:rPr>
        <w:t>uangdong-</w:t>
      </w:r>
      <w:r>
        <w:rPr>
          <w:rFonts w:hint="eastAsia" w:cs="Times New Roman"/>
          <w:lang w:val="en-GB"/>
        </w:rPr>
        <w:t>H</w:t>
      </w:r>
      <w:r>
        <w:rPr>
          <w:rFonts w:cs="Times New Roman"/>
          <w:lang w:val="en-GB"/>
        </w:rPr>
        <w:t xml:space="preserve">ong </w:t>
      </w:r>
      <w:r>
        <w:rPr>
          <w:rFonts w:hint="eastAsia" w:cs="Times New Roman"/>
          <w:lang w:val="en-GB"/>
        </w:rPr>
        <w:t>K</w:t>
      </w:r>
      <w:r>
        <w:rPr>
          <w:rFonts w:cs="Times New Roman"/>
          <w:lang w:val="en-GB"/>
        </w:rPr>
        <w:t>ong-</w:t>
      </w:r>
      <w:r>
        <w:rPr>
          <w:rFonts w:hint="eastAsia" w:cs="Times New Roman"/>
          <w:lang w:val="en-GB"/>
        </w:rPr>
        <w:t>M</w:t>
      </w:r>
      <w:r>
        <w:rPr>
          <w:rFonts w:cs="Times New Roman"/>
          <w:lang w:val="en-GB"/>
        </w:rPr>
        <w:t>acao Greater Bay Area</w:t>
      </w:r>
      <w:r>
        <w:rPr>
          <w:rFonts w:cs="Times New Roman"/>
          <w:color w:val="000000" w:themeColor="text1"/>
          <w:lang w:val="en-GB"/>
          <w14:textFill>
            <w14:solidFill>
              <w14:schemeClr w14:val="tx1"/>
            </w14:solidFill>
          </w14:textFill>
        </w:rPr>
        <w:t xml:space="preserve"> showed a trend similar to the trends in Germany, the United States and Britain. </w:t>
      </w:r>
      <w:r>
        <w:rPr>
          <w:rFonts w:cs="Times New Roman"/>
          <w:color w:val="000000"/>
          <w:lang w:val="en-GB"/>
        </w:rPr>
        <w:t>However,</w:t>
      </w:r>
      <w:r>
        <w:rPr>
          <w:rFonts w:cs="Times New Roman"/>
          <w:color w:val="000000" w:themeColor="text1"/>
          <w:lang w:val="en-GB"/>
          <w14:textFill>
            <w14:solidFill>
              <w14:schemeClr w14:val="tx1"/>
            </w14:solidFill>
          </w14:textFill>
        </w:rPr>
        <w:t xml:space="preserve"> since 2009, the trend of leverage volatility in the </w:t>
      </w:r>
      <w:r>
        <w:rPr>
          <w:rFonts w:hint="eastAsia" w:cs="Times New Roman"/>
          <w:lang w:val="en-GB"/>
        </w:rPr>
        <w:t>G</w:t>
      </w:r>
      <w:r>
        <w:rPr>
          <w:rFonts w:cs="Times New Roman"/>
          <w:lang w:val="en-GB"/>
        </w:rPr>
        <w:t>uangdong-</w:t>
      </w:r>
      <w:r>
        <w:rPr>
          <w:rFonts w:hint="eastAsia" w:cs="Times New Roman"/>
          <w:lang w:val="en-GB"/>
        </w:rPr>
        <w:t>H</w:t>
      </w:r>
      <w:r>
        <w:rPr>
          <w:rFonts w:cs="Times New Roman"/>
          <w:lang w:val="en-GB"/>
        </w:rPr>
        <w:t xml:space="preserve">ong </w:t>
      </w:r>
      <w:r>
        <w:rPr>
          <w:rFonts w:hint="eastAsia" w:cs="Times New Roman"/>
          <w:lang w:val="en-GB"/>
        </w:rPr>
        <w:t>K</w:t>
      </w:r>
      <w:r>
        <w:rPr>
          <w:rFonts w:cs="Times New Roman"/>
          <w:lang w:val="en-GB"/>
        </w:rPr>
        <w:t>ong-</w:t>
      </w:r>
      <w:r>
        <w:rPr>
          <w:rFonts w:hint="eastAsia" w:cs="Times New Roman"/>
          <w:lang w:val="en-GB"/>
        </w:rPr>
        <w:t>M</w:t>
      </w:r>
      <w:r>
        <w:rPr>
          <w:rFonts w:cs="Times New Roman"/>
          <w:lang w:val="en-GB"/>
        </w:rPr>
        <w:t>acao Greater Bay Area</w:t>
      </w:r>
      <w:r>
        <w:rPr>
          <w:rFonts w:cs="Times New Roman"/>
          <w:color w:val="000000" w:themeColor="text1"/>
          <w:lang w:val="en-GB"/>
          <w14:textFill>
            <w14:solidFill>
              <w14:schemeClr w14:val="tx1"/>
            </w14:solidFill>
          </w14:textFill>
        </w:rPr>
        <w:t xml:space="preserve"> has started to deviate, showing a significant decline. In 2018, the leverage ratio of non-financial enterprises in China's </w:t>
      </w:r>
      <w:r>
        <w:rPr>
          <w:rFonts w:hint="eastAsia" w:cs="Times New Roman"/>
          <w:lang w:val="en-GB"/>
        </w:rPr>
        <w:t>G</w:t>
      </w:r>
      <w:r>
        <w:rPr>
          <w:rFonts w:cs="Times New Roman"/>
          <w:lang w:val="en-GB"/>
        </w:rPr>
        <w:t>uangdong-</w:t>
      </w:r>
      <w:r>
        <w:rPr>
          <w:rFonts w:hint="eastAsia" w:cs="Times New Roman"/>
          <w:lang w:val="en-GB"/>
        </w:rPr>
        <w:t>H</w:t>
      </w:r>
      <w:r>
        <w:rPr>
          <w:rFonts w:cs="Times New Roman"/>
          <w:lang w:val="en-GB"/>
        </w:rPr>
        <w:t xml:space="preserve">ong </w:t>
      </w:r>
      <w:r>
        <w:rPr>
          <w:rFonts w:hint="eastAsia" w:cs="Times New Roman"/>
          <w:lang w:val="en-GB"/>
        </w:rPr>
        <w:t>K</w:t>
      </w:r>
      <w:r>
        <w:rPr>
          <w:rFonts w:cs="Times New Roman"/>
          <w:lang w:val="en-GB"/>
        </w:rPr>
        <w:t>ong-</w:t>
      </w:r>
      <w:r>
        <w:rPr>
          <w:rFonts w:hint="eastAsia" w:cs="Times New Roman"/>
          <w:lang w:val="en-GB"/>
        </w:rPr>
        <w:t>M</w:t>
      </w:r>
      <w:r>
        <w:rPr>
          <w:rFonts w:cs="Times New Roman"/>
          <w:lang w:val="en-GB"/>
        </w:rPr>
        <w:t>acao Greater Bay Area</w:t>
      </w:r>
      <w:r>
        <w:rPr>
          <w:rFonts w:cs="Times New Roman"/>
          <w:color w:val="000000" w:themeColor="text1"/>
          <w:lang w:val="en-GB"/>
          <w14:textFill>
            <w14:solidFill>
              <w14:schemeClr w14:val="tx1"/>
            </w14:solidFill>
          </w14:textFill>
        </w:rPr>
        <w:t xml:space="preserve"> dropped by 18.87% compared with 2009. Compared with the leverage ratio of non-financial enterprises in other major economies in the world, China's non-financial enterprises in Guangdong, Hong Kong and Macao have the lowest leverage ratio.</w:t>
      </w:r>
    </w:p>
    <w:p>
      <w:pPr>
        <w:pStyle w:val="2"/>
        <w:spacing w:before="0" w:after="0" w:line="360" w:lineRule="auto"/>
        <w:contextualSpacing/>
        <w:jc w:val="left"/>
        <w:rPr>
          <w:sz w:val="24"/>
          <w:szCs w:val="24"/>
          <w:lang w:val="en-GB"/>
        </w:rPr>
      </w:pPr>
    </w:p>
    <w:p>
      <w:pPr>
        <w:pStyle w:val="2"/>
        <w:spacing w:before="0" w:after="0" w:line="360" w:lineRule="auto"/>
        <w:contextualSpacing/>
        <w:jc w:val="left"/>
        <w:rPr>
          <w:b/>
          <w:sz w:val="24"/>
          <w:szCs w:val="24"/>
          <w:lang w:val="en-GB"/>
        </w:rPr>
      </w:pPr>
      <w:r>
        <w:rPr>
          <w:b/>
          <w:sz w:val="24"/>
          <w:szCs w:val="24"/>
          <w:lang w:val="en-GB"/>
        </w:rPr>
        <w:t>4 Research design</w:t>
      </w:r>
    </w:p>
    <w:p>
      <w:pPr>
        <w:pStyle w:val="3"/>
        <w:spacing w:before="0" w:after="0" w:line="360" w:lineRule="auto"/>
        <w:contextualSpacing/>
        <w:jc w:val="left"/>
        <w:rPr>
          <w:sz w:val="24"/>
          <w:szCs w:val="24"/>
          <w:lang w:val="en-GB"/>
        </w:rPr>
      </w:pPr>
    </w:p>
    <w:p>
      <w:pPr>
        <w:pStyle w:val="3"/>
        <w:spacing w:before="0" w:after="0" w:line="360" w:lineRule="auto"/>
        <w:contextualSpacing/>
        <w:jc w:val="left"/>
        <w:rPr>
          <w:b/>
          <w:i/>
          <w:sz w:val="24"/>
          <w:szCs w:val="24"/>
          <w:lang w:val="en-GB"/>
        </w:rPr>
      </w:pPr>
      <w:r>
        <w:rPr>
          <w:b/>
          <w:i/>
          <w:sz w:val="24"/>
          <w:szCs w:val="24"/>
          <w:lang w:val="en-GB"/>
        </w:rPr>
        <w:t>4.1 Data</w:t>
      </w:r>
    </w:p>
    <w:p>
      <w:pPr>
        <w:spacing w:line="360" w:lineRule="auto"/>
        <w:ind w:firstLine="720"/>
        <w:contextualSpacing/>
        <w:jc w:val="left"/>
        <w:rPr>
          <w:rFonts w:cs="Times New Roman"/>
          <w:color w:val="000000" w:themeColor="text1"/>
          <w:lang w:val="en-GB"/>
          <w14:textFill>
            <w14:solidFill>
              <w14:schemeClr w14:val="tx1"/>
            </w14:solidFill>
          </w14:textFill>
        </w:rPr>
      </w:pPr>
      <w:r>
        <w:rPr>
          <w:rFonts w:cs="Times New Roman"/>
          <w:color w:val="000000" w:themeColor="text1"/>
          <w:lang w:val="en-GB"/>
          <w14:textFill>
            <w14:solidFill>
              <w14:schemeClr w14:val="tx1"/>
            </w14:solidFill>
          </w14:textFill>
        </w:rPr>
        <w:t>To ensure the comparability of data considering the differences in financial data disclosure between mainland China and Hong Kong and Macao before 2006,</w:t>
      </w:r>
      <w:r>
        <w:rPr>
          <w:rFonts w:cs="Times New Roman"/>
          <w:color w:val="000000"/>
          <w:lang w:val="en-GB"/>
        </w:rPr>
        <w:t xml:space="preserve"> </w:t>
      </w:r>
      <w:r>
        <w:rPr>
          <w:rFonts w:cs="Times New Roman"/>
          <w:color w:val="000000" w:themeColor="text1"/>
          <w:lang w:val="en-GB"/>
          <w14:textFill>
            <w14:solidFill>
              <w14:schemeClr w14:val="tx1"/>
            </w14:solidFill>
          </w14:textFill>
        </w:rPr>
        <w:t>this paper selects the data of A-share and Hong Kong stock market listed companies in Guangdong, Hong Kong and Macao from 2007 to 2017, excluding the following samples: (1) listed financial companies (insurance, commercial banks, capital markets, etc.), (2) ST and *ST enterprises, (3) companies with missing data on indicators such as leverage ratio, (4) enterprises belonging to the comprehensive industry category,</w:t>
      </w:r>
      <w:r>
        <w:rPr>
          <w:rFonts w:cs="Times New Roman"/>
          <w:lang w:val="en-GB"/>
        </w:rPr>
        <w:t xml:space="preserve"> (5) </w:t>
      </w:r>
      <w:r>
        <w:rPr>
          <w:rFonts w:cs="Times New Roman"/>
          <w:color w:val="000000" w:themeColor="text1"/>
          <w:lang w:val="en-GB"/>
          <w14:textFill>
            <w14:solidFill>
              <w14:schemeClr w14:val="tx1"/>
            </w14:solidFill>
          </w14:textFill>
        </w:rPr>
        <w:t>industry samples with fewer than 5 enterprises in the industry and (6) duplicate company samples.</w:t>
      </w:r>
    </w:p>
    <w:p>
      <w:pPr>
        <w:spacing w:line="360" w:lineRule="auto"/>
        <w:ind w:firstLine="720"/>
        <w:contextualSpacing/>
        <w:jc w:val="left"/>
        <w:rPr>
          <w:rFonts w:cs="Times New Roman"/>
          <w:color w:val="000000" w:themeColor="text1"/>
          <w:lang w:val="en-GB"/>
          <w14:textFill>
            <w14:solidFill>
              <w14:schemeClr w14:val="tx1"/>
            </w14:solidFill>
          </w14:textFill>
        </w:rPr>
      </w:pPr>
      <w:r>
        <w:rPr>
          <w:rFonts w:cs="Times New Roman"/>
          <w:color w:val="000000" w:themeColor="text1"/>
          <w:lang w:val="en-GB"/>
          <w14:textFill>
            <w14:solidFill>
              <w14:schemeClr w14:val="tx1"/>
            </w14:solidFill>
          </w14:textFill>
        </w:rPr>
        <w:t xml:space="preserve">A total of 890 listed companies were screened using the above criteria. The data in this paper (including macro data and micro data at the company level) are all from </w:t>
      </w:r>
      <w:r>
        <w:rPr>
          <w:rFonts w:cs="Times New Roman"/>
          <w:color w:val="000000"/>
          <w:lang w:val="en-GB"/>
        </w:rPr>
        <w:t xml:space="preserve">the </w:t>
      </w:r>
      <w:r>
        <w:rPr>
          <w:rFonts w:cs="Times New Roman"/>
          <w:color w:val="000000" w:themeColor="text1"/>
          <w:lang w:val="en-GB"/>
          <w14:textFill>
            <w14:solidFill>
              <w14:schemeClr w14:val="tx1"/>
            </w14:solidFill>
          </w14:textFill>
        </w:rPr>
        <w:t xml:space="preserve">Wind database. The tool for data processing used in this paper is Stata14. </w:t>
      </w:r>
      <w:r>
        <w:rPr>
          <w:rFonts w:cs="Times New Roman"/>
          <w:color w:val="000000"/>
          <w:lang w:val="en-GB"/>
        </w:rPr>
        <w:t xml:space="preserve">To </w:t>
      </w:r>
      <w:r>
        <w:rPr>
          <w:rFonts w:cs="Times New Roman"/>
          <w:color w:val="000000" w:themeColor="text1"/>
          <w:lang w:val="en-GB"/>
          <w14:textFill>
            <w14:solidFill>
              <w14:schemeClr w14:val="tx1"/>
            </w14:solidFill>
          </w14:textFill>
        </w:rPr>
        <w:t xml:space="preserve">eliminate the influence of extreme values on the research results, this paper winsorizes </w:t>
      </w:r>
      <w:r>
        <w:rPr>
          <w:rFonts w:cs="Times New Roman"/>
          <w:color w:val="000000"/>
          <w:lang w:val="en-GB"/>
        </w:rPr>
        <w:t xml:space="preserve">the </w:t>
      </w:r>
      <w:r>
        <w:rPr>
          <w:rFonts w:cs="Times New Roman"/>
          <w:color w:val="000000" w:themeColor="text1"/>
          <w:lang w:val="en-GB"/>
          <w14:textFill>
            <w14:solidFill>
              <w14:schemeClr w14:val="tx1"/>
            </w14:solidFill>
          </w14:textFill>
        </w:rPr>
        <w:t>extreme values of the micro</w:t>
      </w:r>
      <w:r>
        <w:rPr>
          <w:rFonts w:cs="Times New Roman"/>
          <w:color w:val="000000"/>
          <w:lang w:val="en-GB"/>
        </w:rPr>
        <w:t>-</w:t>
      </w:r>
      <w:r>
        <w:rPr>
          <w:rFonts w:cs="Times New Roman"/>
          <w:color w:val="000000" w:themeColor="text1"/>
          <w:lang w:val="en-GB"/>
          <w14:textFill>
            <w14:solidFill>
              <w14:schemeClr w14:val="tx1"/>
            </w14:solidFill>
          </w14:textFill>
        </w:rPr>
        <w:t>level data by reducing the tails of the data at the lowest and highest 1% of the index.</w:t>
      </w:r>
    </w:p>
    <w:p>
      <w:pPr>
        <w:spacing w:line="360" w:lineRule="auto"/>
        <w:ind w:firstLine="720"/>
        <w:contextualSpacing/>
        <w:jc w:val="left"/>
        <w:rPr>
          <w:rFonts w:hint="eastAsia" w:eastAsia="宋体" w:cs="Times New Roman"/>
          <w:color w:val="000000" w:themeColor="text1"/>
          <w:lang w:val="en-GB" w:eastAsia="zh-CN"/>
          <w14:textFill>
            <w14:solidFill>
              <w14:schemeClr w14:val="tx1"/>
            </w14:solidFill>
          </w14:textFill>
        </w:rPr>
      </w:pPr>
      <w:r>
        <w:rPr>
          <w:rFonts w:cs="Times New Roman"/>
          <w:color w:val="000000" w:themeColor="text1"/>
          <w:lang w:val="en-GB"/>
          <w14:textFill>
            <w14:solidFill>
              <w14:schemeClr w14:val="tx1"/>
            </w14:solidFill>
          </w14:textFill>
        </w:rPr>
        <w:t xml:space="preserve">The main variable definitions in this paper are shown in </w:t>
      </w:r>
      <w:r>
        <w:rPr>
          <w:rFonts w:cs="Times New Roman"/>
          <w:color w:val="00B0F0"/>
          <w:lang w:val="en-GB"/>
        </w:rPr>
        <w:t>Table 1</w:t>
      </w:r>
      <w:r>
        <w:rPr>
          <w:rFonts w:hint="eastAsia" w:cs="Times New Roman"/>
          <w:color w:val="000000" w:themeColor="text1"/>
          <w:lang w:val="en-US" w:eastAsia="zh-CN"/>
          <w14:textFill>
            <w14:solidFill>
              <w14:schemeClr w14:val="tx1"/>
            </w14:solidFill>
          </w14:textFill>
        </w:rPr>
        <w:t>.</w:t>
      </w:r>
    </w:p>
    <w:p>
      <w:pPr>
        <w:spacing w:line="360" w:lineRule="auto"/>
        <w:contextualSpacing/>
        <w:jc w:val="left"/>
        <w:rPr>
          <w:rFonts w:eastAsia="黑体" w:cs="Times New Roman"/>
          <w:lang w:val="en-GB"/>
        </w:rPr>
      </w:pPr>
      <w:r>
        <w:rPr>
          <w:rFonts w:eastAsia="黑体" w:cs="Times New Roman"/>
          <w:b/>
          <w:lang w:val="en-GB"/>
        </w:rPr>
        <w:t>Table 1.</w:t>
      </w:r>
      <w:r>
        <w:rPr>
          <w:rFonts w:eastAsia="黑体" w:cs="Times New Roman"/>
          <w:lang w:val="en-GB"/>
        </w:rPr>
        <w:t xml:space="preserve"> Selection of dependent variables and independent variables</w:t>
      </w:r>
    </w:p>
    <w:tbl>
      <w:tblPr>
        <w:tblStyle w:val="14"/>
        <w:tblW w:w="9214" w:type="dxa"/>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94"/>
        <w:gridCol w:w="2234"/>
        <w:gridCol w:w="1901"/>
        <w:gridCol w:w="3685"/>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1394" w:type="dxa"/>
            <w:tcBorders>
              <w:top w:val="single" w:color="auto" w:sz="12" w:space="0"/>
              <w:bottom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Variable type</w:t>
            </w:r>
          </w:p>
        </w:tc>
        <w:tc>
          <w:tcPr>
            <w:tcW w:w="2234" w:type="dxa"/>
            <w:tcBorders>
              <w:top w:val="single" w:color="auto" w:sz="12" w:space="0"/>
              <w:bottom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Variable name</w:t>
            </w:r>
          </w:p>
        </w:tc>
        <w:tc>
          <w:tcPr>
            <w:tcW w:w="1901" w:type="dxa"/>
            <w:tcBorders>
              <w:top w:val="single" w:color="auto" w:sz="12" w:space="0"/>
              <w:bottom w:val="single" w:color="auto" w:sz="8" w:space="0"/>
            </w:tcBorders>
            <w:shd w:val="clear" w:color="auto" w:fill="auto"/>
            <w:vAlign w:val="center"/>
          </w:tcPr>
          <w:p>
            <w:pPr>
              <w:widowControl/>
              <w:jc w:val="left"/>
              <w:rPr>
                <w:rFonts w:cs="Times New Roman"/>
                <w:color w:val="000000"/>
                <w:sz w:val="21"/>
                <w:szCs w:val="21"/>
                <w:lang w:val="en-GB"/>
              </w:rPr>
            </w:pPr>
            <w:r>
              <w:rPr>
                <w:rFonts w:cs="Times New Roman"/>
                <w:color w:val="000000"/>
                <w:sz w:val="21"/>
                <w:szCs w:val="21"/>
                <w:lang w:val="en-GB"/>
              </w:rPr>
              <w:t>Variable symbol</w:t>
            </w:r>
          </w:p>
        </w:tc>
        <w:tc>
          <w:tcPr>
            <w:tcW w:w="3685" w:type="dxa"/>
            <w:tcBorders>
              <w:top w:val="single" w:color="auto" w:sz="12" w:space="0"/>
              <w:bottom w:val="single" w:color="auto" w:sz="8" w:space="0"/>
            </w:tcBorders>
            <w:shd w:val="clear" w:color="auto" w:fill="auto"/>
            <w:vAlign w:val="center"/>
          </w:tcPr>
          <w:p>
            <w:pPr>
              <w:widowControl/>
              <w:jc w:val="left"/>
              <w:rPr>
                <w:rFonts w:cs="Times New Roman"/>
                <w:color w:val="000000"/>
                <w:sz w:val="21"/>
                <w:szCs w:val="21"/>
                <w:lang w:val="en-GB"/>
              </w:rPr>
            </w:pPr>
            <w:r>
              <w:rPr>
                <w:rFonts w:cs="Times New Roman"/>
                <w:color w:val="000000"/>
                <w:sz w:val="21"/>
                <w:szCs w:val="21"/>
                <w:lang w:val="en-GB"/>
              </w:rPr>
              <w:t>Note</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1394" w:type="dxa"/>
            <w:tcBorders>
              <w:top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Dependent variable</w:t>
            </w:r>
          </w:p>
        </w:tc>
        <w:tc>
          <w:tcPr>
            <w:tcW w:w="2234" w:type="dxa"/>
            <w:tcBorders>
              <w:top w:val="single" w:color="auto" w:sz="8" w:space="0"/>
            </w:tcBorders>
            <w:shd w:val="clear" w:color="auto" w:fill="auto"/>
            <w:vAlign w:val="center"/>
          </w:tcPr>
          <w:p>
            <w:pPr>
              <w:widowControl/>
              <w:jc w:val="left"/>
              <w:rPr>
                <w:rFonts w:cs="Times New Roman"/>
                <w:color w:val="000000"/>
                <w:sz w:val="21"/>
                <w:szCs w:val="21"/>
                <w:lang w:val="en-GB"/>
              </w:rPr>
            </w:pPr>
            <w:r>
              <w:rPr>
                <w:rFonts w:cs="Times New Roman"/>
                <w:color w:val="000000"/>
                <w:sz w:val="21"/>
                <w:szCs w:val="21"/>
                <w:lang w:val="en-GB"/>
              </w:rPr>
              <w:t>Leverage ratio</w:t>
            </w:r>
          </w:p>
        </w:tc>
        <w:tc>
          <w:tcPr>
            <w:tcW w:w="1901" w:type="dxa"/>
            <w:tcBorders>
              <w:top w:val="single" w:color="auto" w:sz="8" w:space="0"/>
            </w:tcBorders>
            <w:shd w:val="clear" w:color="auto" w:fill="auto"/>
            <w:vAlign w:val="center"/>
          </w:tcPr>
          <w:p>
            <w:pPr>
              <w:widowControl/>
              <w:jc w:val="left"/>
              <w:rPr>
                <w:rFonts w:cs="Times New Roman"/>
                <w:color w:val="000000"/>
                <w:sz w:val="21"/>
                <w:szCs w:val="21"/>
                <w:lang w:val="en-GB"/>
              </w:rPr>
            </w:pPr>
            <w:r>
              <w:rPr>
                <w:rFonts w:cs="Times New Roman"/>
                <w:color w:val="000000"/>
                <w:sz w:val="21"/>
                <w:szCs w:val="21"/>
                <w:lang w:val="en-GB"/>
              </w:rPr>
              <w:t>Liaratio</w:t>
            </w:r>
          </w:p>
        </w:tc>
        <w:tc>
          <w:tcPr>
            <w:tcW w:w="3685" w:type="dxa"/>
            <w:tcBorders>
              <w:top w:val="single" w:color="auto" w:sz="8" w:space="0"/>
            </w:tcBorders>
            <w:shd w:val="clear" w:color="auto" w:fill="auto"/>
            <w:vAlign w:val="center"/>
          </w:tcPr>
          <w:p>
            <w:pPr>
              <w:widowControl/>
              <w:jc w:val="left"/>
              <w:rPr>
                <w:rFonts w:cs="Times New Roman"/>
                <w:color w:val="000000"/>
                <w:sz w:val="21"/>
                <w:szCs w:val="21"/>
                <w:lang w:val="en-GB"/>
              </w:rPr>
            </w:pPr>
            <w:r>
              <w:rPr>
                <w:rFonts w:cs="Times New Roman"/>
                <w:color w:val="000000"/>
                <w:sz w:val="21"/>
                <w:szCs w:val="21"/>
                <w:lang w:val="en-GB"/>
              </w:rPr>
              <w:t>Total liabilities/total assets</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1394" w:type="dxa"/>
            <w:vMerge w:val="restart"/>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independent variable</w:t>
            </w:r>
          </w:p>
        </w:tc>
        <w:tc>
          <w:tcPr>
            <w:tcW w:w="2234" w:type="dxa"/>
            <w:shd w:val="clear" w:color="auto" w:fill="auto"/>
            <w:vAlign w:val="center"/>
          </w:tcPr>
          <w:p>
            <w:pPr>
              <w:widowControl/>
              <w:jc w:val="left"/>
              <w:rPr>
                <w:rFonts w:cs="Times New Roman"/>
                <w:color w:val="000000"/>
                <w:sz w:val="21"/>
                <w:szCs w:val="21"/>
                <w:lang w:val="en-GB"/>
              </w:rPr>
            </w:pPr>
            <w:r>
              <w:rPr>
                <w:rFonts w:cs="Times New Roman"/>
                <w:color w:val="000000"/>
                <w:sz w:val="21"/>
                <w:szCs w:val="21"/>
                <w:lang w:val="en-GB"/>
              </w:rPr>
              <w:t>Return on assets</w:t>
            </w:r>
          </w:p>
        </w:tc>
        <w:tc>
          <w:tcPr>
            <w:tcW w:w="1901" w:type="dxa"/>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ROA</w:t>
            </w:r>
          </w:p>
        </w:tc>
        <w:tc>
          <w:tcPr>
            <w:tcW w:w="3685" w:type="dxa"/>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Net profit/total assets</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1394" w:type="dxa"/>
            <w:vMerge w:val="continue"/>
            <w:vAlign w:val="center"/>
          </w:tcPr>
          <w:p>
            <w:pPr>
              <w:widowControl/>
              <w:jc w:val="left"/>
              <w:rPr>
                <w:rFonts w:cs="Times New Roman"/>
                <w:color w:val="000000"/>
                <w:sz w:val="21"/>
                <w:szCs w:val="21"/>
                <w:lang w:val="en-GB"/>
              </w:rPr>
            </w:pPr>
          </w:p>
        </w:tc>
        <w:tc>
          <w:tcPr>
            <w:tcW w:w="2234" w:type="dxa"/>
            <w:shd w:val="clear" w:color="auto" w:fill="auto"/>
            <w:vAlign w:val="center"/>
          </w:tcPr>
          <w:p>
            <w:pPr>
              <w:widowControl/>
              <w:jc w:val="left"/>
              <w:rPr>
                <w:rFonts w:cs="Times New Roman"/>
                <w:color w:val="000000"/>
                <w:sz w:val="21"/>
                <w:szCs w:val="21"/>
                <w:lang w:val="en-GB"/>
              </w:rPr>
            </w:pPr>
            <w:r>
              <w:rPr>
                <w:rFonts w:cs="Times New Roman"/>
                <w:color w:val="000000"/>
                <w:sz w:val="21"/>
                <w:szCs w:val="21"/>
                <w:lang w:val="en-GB"/>
              </w:rPr>
              <w:t>Tangible asset ratio</w:t>
            </w:r>
          </w:p>
        </w:tc>
        <w:tc>
          <w:tcPr>
            <w:tcW w:w="1901" w:type="dxa"/>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Tangibility</w:t>
            </w:r>
          </w:p>
        </w:tc>
        <w:tc>
          <w:tcPr>
            <w:tcW w:w="3685" w:type="dxa"/>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Tangible assets/total assets</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1394" w:type="dxa"/>
            <w:vMerge w:val="continue"/>
            <w:vAlign w:val="center"/>
          </w:tcPr>
          <w:p>
            <w:pPr>
              <w:widowControl/>
              <w:jc w:val="left"/>
              <w:rPr>
                <w:rFonts w:cs="Times New Roman"/>
                <w:color w:val="000000"/>
                <w:sz w:val="21"/>
                <w:szCs w:val="21"/>
                <w:lang w:val="en-GB"/>
              </w:rPr>
            </w:pPr>
          </w:p>
        </w:tc>
        <w:tc>
          <w:tcPr>
            <w:tcW w:w="2234" w:type="dxa"/>
            <w:shd w:val="clear" w:color="auto" w:fill="auto"/>
            <w:vAlign w:val="center"/>
          </w:tcPr>
          <w:p>
            <w:pPr>
              <w:widowControl/>
              <w:jc w:val="left"/>
              <w:rPr>
                <w:rFonts w:cs="Times New Roman"/>
                <w:color w:val="000000"/>
                <w:sz w:val="21"/>
                <w:szCs w:val="21"/>
                <w:lang w:val="en-GB"/>
              </w:rPr>
            </w:pPr>
            <w:r>
              <w:rPr>
                <w:rFonts w:cs="Times New Roman"/>
                <w:color w:val="000000"/>
                <w:sz w:val="21"/>
                <w:szCs w:val="21"/>
                <w:lang w:val="en-GB"/>
              </w:rPr>
              <w:t>Asset turnover</w:t>
            </w:r>
          </w:p>
        </w:tc>
        <w:tc>
          <w:tcPr>
            <w:tcW w:w="1901" w:type="dxa"/>
            <w:shd w:val="clear" w:color="auto" w:fill="auto"/>
            <w:vAlign w:val="center"/>
          </w:tcPr>
          <w:p>
            <w:pPr>
              <w:widowControl/>
              <w:jc w:val="left"/>
              <w:rPr>
                <w:rFonts w:cs="Times New Roman"/>
                <w:color w:val="000000"/>
                <w:sz w:val="21"/>
                <w:szCs w:val="21"/>
                <w:lang w:val="en-GB"/>
              </w:rPr>
            </w:pPr>
            <w:r>
              <w:rPr>
                <w:rFonts w:cs="Times New Roman"/>
                <w:color w:val="000000"/>
                <w:sz w:val="21"/>
                <w:szCs w:val="21"/>
                <w:lang w:val="en-GB"/>
              </w:rPr>
              <w:t>AT</w:t>
            </w:r>
          </w:p>
        </w:tc>
        <w:tc>
          <w:tcPr>
            <w:tcW w:w="3685" w:type="dxa"/>
            <w:shd w:val="clear" w:color="auto" w:fill="auto"/>
            <w:vAlign w:val="center"/>
          </w:tcPr>
          <w:p>
            <w:pPr>
              <w:widowControl/>
              <w:jc w:val="left"/>
              <w:rPr>
                <w:rFonts w:cs="Times New Roman"/>
                <w:color w:val="000000"/>
                <w:sz w:val="21"/>
                <w:szCs w:val="21"/>
                <w:lang w:val="en-GB"/>
              </w:rPr>
            </w:pPr>
            <w:r>
              <w:rPr>
                <w:rFonts w:cs="Times New Roman"/>
                <w:color w:val="000000"/>
                <w:sz w:val="21"/>
                <w:szCs w:val="21"/>
                <w:lang w:val="en-GB"/>
              </w:rPr>
              <w:t>Revenue/total assets</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1394" w:type="dxa"/>
            <w:vMerge w:val="continue"/>
            <w:vAlign w:val="center"/>
          </w:tcPr>
          <w:p>
            <w:pPr>
              <w:widowControl/>
              <w:jc w:val="left"/>
              <w:rPr>
                <w:rFonts w:cs="Times New Roman"/>
                <w:color w:val="000000"/>
                <w:sz w:val="21"/>
                <w:szCs w:val="21"/>
                <w:lang w:val="en-GB"/>
              </w:rPr>
            </w:pPr>
          </w:p>
        </w:tc>
        <w:tc>
          <w:tcPr>
            <w:tcW w:w="2234" w:type="dxa"/>
            <w:shd w:val="clear" w:color="auto" w:fill="auto"/>
            <w:vAlign w:val="center"/>
          </w:tcPr>
          <w:p>
            <w:pPr>
              <w:widowControl/>
              <w:jc w:val="left"/>
              <w:rPr>
                <w:rFonts w:cs="Times New Roman"/>
                <w:color w:val="000000"/>
                <w:sz w:val="21"/>
                <w:szCs w:val="21"/>
                <w:lang w:val="en-GB"/>
              </w:rPr>
            </w:pPr>
            <w:r>
              <w:rPr>
                <w:rFonts w:cs="Times New Roman"/>
                <w:color w:val="000000"/>
                <w:sz w:val="21"/>
                <w:szCs w:val="21"/>
                <w:lang w:val="en-GB"/>
              </w:rPr>
              <w:t>Liquidity ratio</w:t>
            </w:r>
          </w:p>
        </w:tc>
        <w:tc>
          <w:tcPr>
            <w:tcW w:w="1901" w:type="dxa"/>
            <w:shd w:val="clear" w:color="auto" w:fill="auto"/>
            <w:vAlign w:val="center"/>
          </w:tcPr>
          <w:p>
            <w:pPr>
              <w:widowControl/>
              <w:jc w:val="left"/>
              <w:rPr>
                <w:rFonts w:cs="Times New Roman"/>
                <w:color w:val="000000"/>
                <w:sz w:val="21"/>
                <w:szCs w:val="21"/>
                <w:lang w:val="en-GB"/>
              </w:rPr>
            </w:pPr>
            <w:r>
              <w:rPr>
                <w:rFonts w:cs="Times New Roman"/>
                <w:color w:val="000000"/>
                <w:sz w:val="21"/>
                <w:szCs w:val="21"/>
                <w:lang w:val="en-GB"/>
              </w:rPr>
              <w:t>Liquidity</w:t>
            </w:r>
          </w:p>
        </w:tc>
        <w:tc>
          <w:tcPr>
            <w:tcW w:w="3685" w:type="dxa"/>
            <w:shd w:val="clear" w:color="auto" w:fill="auto"/>
            <w:vAlign w:val="center"/>
          </w:tcPr>
          <w:p>
            <w:pPr>
              <w:widowControl/>
              <w:jc w:val="left"/>
              <w:rPr>
                <w:rFonts w:cs="Times New Roman"/>
                <w:color w:val="000000"/>
                <w:sz w:val="21"/>
                <w:szCs w:val="21"/>
                <w:lang w:val="en-GB"/>
              </w:rPr>
            </w:pPr>
            <w:r>
              <w:rPr>
                <w:rFonts w:cs="Times New Roman"/>
                <w:color w:val="000000"/>
                <w:sz w:val="21"/>
                <w:szCs w:val="21"/>
                <w:lang w:val="en-GB"/>
              </w:rPr>
              <w:t>Current assets/current liabilities</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1394" w:type="dxa"/>
            <w:vMerge w:val="continue"/>
            <w:vAlign w:val="center"/>
          </w:tcPr>
          <w:p>
            <w:pPr>
              <w:widowControl/>
              <w:jc w:val="left"/>
              <w:rPr>
                <w:rFonts w:cs="Times New Roman"/>
                <w:color w:val="000000"/>
                <w:sz w:val="21"/>
                <w:szCs w:val="21"/>
                <w:lang w:val="en-GB"/>
              </w:rPr>
            </w:pPr>
          </w:p>
        </w:tc>
        <w:tc>
          <w:tcPr>
            <w:tcW w:w="2234" w:type="dxa"/>
            <w:shd w:val="clear" w:color="auto" w:fill="auto"/>
            <w:vAlign w:val="center"/>
          </w:tcPr>
          <w:p>
            <w:pPr>
              <w:widowControl/>
              <w:jc w:val="left"/>
              <w:rPr>
                <w:rFonts w:cs="Times New Roman"/>
                <w:color w:val="000000"/>
                <w:sz w:val="21"/>
                <w:szCs w:val="21"/>
                <w:lang w:val="en-GB"/>
              </w:rPr>
            </w:pPr>
            <w:r>
              <w:rPr>
                <w:rFonts w:cs="Times New Roman"/>
                <w:color w:val="000000"/>
                <w:sz w:val="21"/>
                <w:szCs w:val="21"/>
                <w:lang w:val="en-GB"/>
              </w:rPr>
              <w:t>Company scale</w:t>
            </w:r>
          </w:p>
        </w:tc>
        <w:tc>
          <w:tcPr>
            <w:tcW w:w="1901" w:type="dxa"/>
            <w:shd w:val="clear" w:color="auto" w:fill="auto"/>
            <w:vAlign w:val="center"/>
          </w:tcPr>
          <w:p>
            <w:pPr>
              <w:widowControl/>
              <w:jc w:val="left"/>
              <w:rPr>
                <w:rFonts w:cs="Times New Roman"/>
                <w:color w:val="000000"/>
                <w:sz w:val="21"/>
                <w:szCs w:val="21"/>
                <w:lang w:val="en-GB"/>
              </w:rPr>
            </w:pPr>
            <w:r>
              <w:rPr>
                <w:rFonts w:cs="Times New Roman"/>
                <w:color w:val="000000"/>
                <w:sz w:val="21"/>
                <w:szCs w:val="21"/>
                <w:lang w:val="en-GB"/>
              </w:rPr>
              <w:t>Size</w:t>
            </w:r>
          </w:p>
        </w:tc>
        <w:tc>
          <w:tcPr>
            <w:tcW w:w="3685" w:type="dxa"/>
            <w:shd w:val="clear" w:color="auto" w:fill="auto"/>
            <w:vAlign w:val="center"/>
          </w:tcPr>
          <w:p>
            <w:pPr>
              <w:rPr>
                <w:rFonts w:cs="Times New Roman"/>
                <w:color w:val="000000"/>
                <w:sz w:val="21"/>
                <w:szCs w:val="21"/>
                <w:lang w:val="en-GB"/>
              </w:rPr>
            </w:pPr>
            <w:r>
              <w:rPr>
                <w:rFonts w:cs="Times New Roman"/>
                <w:color w:val="000000"/>
                <w:sz w:val="21"/>
                <w:szCs w:val="21"/>
                <w:lang w:val="en-GB"/>
              </w:rPr>
              <w:t>Logarithm of total assets</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1394" w:type="dxa"/>
            <w:vMerge w:val="continue"/>
            <w:vAlign w:val="center"/>
          </w:tcPr>
          <w:p>
            <w:pPr>
              <w:widowControl/>
              <w:jc w:val="left"/>
              <w:rPr>
                <w:rFonts w:cs="Times New Roman"/>
                <w:color w:val="000000"/>
                <w:sz w:val="21"/>
                <w:szCs w:val="21"/>
                <w:lang w:val="en-GB"/>
              </w:rPr>
            </w:pPr>
          </w:p>
        </w:tc>
        <w:tc>
          <w:tcPr>
            <w:tcW w:w="2234" w:type="dxa"/>
            <w:shd w:val="clear" w:color="auto" w:fill="auto"/>
            <w:vAlign w:val="center"/>
          </w:tcPr>
          <w:p>
            <w:pPr>
              <w:widowControl/>
              <w:jc w:val="left"/>
              <w:rPr>
                <w:rFonts w:cs="Times New Roman"/>
                <w:color w:val="000000"/>
                <w:sz w:val="21"/>
                <w:szCs w:val="21"/>
                <w:lang w:val="en-GB"/>
              </w:rPr>
            </w:pPr>
            <w:r>
              <w:rPr>
                <w:rFonts w:cs="Times New Roman"/>
                <w:color w:val="000000"/>
                <w:sz w:val="21"/>
                <w:szCs w:val="21"/>
                <w:lang w:val="en-GB"/>
              </w:rPr>
              <w:t>Growth ability</w:t>
            </w:r>
          </w:p>
        </w:tc>
        <w:tc>
          <w:tcPr>
            <w:tcW w:w="1901" w:type="dxa"/>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Grow</w:t>
            </w:r>
          </w:p>
        </w:tc>
        <w:tc>
          <w:tcPr>
            <w:tcW w:w="3685" w:type="dxa"/>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Gross revenue growth rate</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1394" w:type="dxa"/>
            <w:vMerge w:val="continue"/>
            <w:vAlign w:val="center"/>
          </w:tcPr>
          <w:p>
            <w:pPr>
              <w:widowControl/>
              <w:jc w:val="left"/>
              <w:rPr>
                <w:rFonts w:cs="Times New Roman"/>
                <w:color w:val="000000"/>
                <w:sz w:val="21"/>
                <w:szCs w:val="21"/>
                <w:lang w:val="en-GB"/>
              </w:rPr>
            </w:pPr>
          </w:p>
        </w:tc>
        <w:tc>
          <w:tcPr>
            <w:tcW w:w="2234" w:type="dxa"/>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Non-debt tax shield</w:t>
            </w:r>
          </w:p>
        </w:tc>
        <w:tc>
          <w:tcPr>
            <w:tcW w:w="1901" w:type="dxa"/>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Tax</w:t>
            </w:r>
          </w:p>
        </w:tc>
        <w:tc>
          <w:tcPr>
            <w:tcW w:w="3685" w:type="dxa"/>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Depreciation and amortization/total assets</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1394" w:type="dxa"/>
            <w:vMerge w:val="continue"/>
            <w:vAlign w:val="center"/>
          </w:tcPr>
          <w:p>
            <w:pPr>
              <w:widowControl/>
              <w:jc w:val="left"/>
              <w:rPr>
                <w:rFonts w:cs="Times New Roman"/>
                <w:color w:val="000000"/>
                <w:sz w:val="21"/>
                <w:szCs w:val="21"/>
                <w:lang w:val="en-GB"/>
              </w:rPr>
            </w:pPr>
          </w:p>
        </w:tc>
        <w:tc>
          <w:tcPr>
            <w:tcW w:w="2234" w:type="dxa"/>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Company property</w:t>
            </w:r>
          </w:p>
        </w:tc>
        <w:tc>
          <w:tcPr>
            <w:tcW w:w="1901" w:type="dxa"/>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Property</w:t>
            </w:r>
          </w:p>
        </w:tc>
        <w:tc>
          <w:tcPr>
            <w:tcW w:w="3685" w:type="dxa"/>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State-owned and non-state-owned enterprises</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1394" w:type="dxa"/>
            <w:vMerge w:val="continue"/>
            <w:vAlign w:val="center"/>
          </w:tcPr>
          <w:p>
            <w:pPr>
              <w:widowControl/>
              <w:jc w:val="left"/>
              <w:rPr>
                <w:rFonts w:cs="Times New Roman"/>
                <w:color w:val="000000"/>
                <w:sz w:val="21"/>
                <w:szCs w:val="21"/>
                <w:lang w:val="en-GB"/>
              </w:rPr>
            </w:pPr>
          </w:p>
        </w:tc>
        <w:tc>
          <w:tcPr>
            <w:tcW w:w="2234" w:type="dxa"/>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Industry</w:t>
            </w:r>
          </w:p>
        </w:tc>
        <w:tc>
          <w:tcPr>
            <w:tcW w:w="1901" w:type="dxa"/>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Industry</w:t>
            </w:r>
          </w:p>
        </w:tc>
        <w:tc>
          <w:tcPr>
            <w:tcW w:w="3685" w:type="dxa"/>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Median industry leverage</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1394" w:type="dxa"/>
            <w:vMerge w:val="continue"/>
            <w:vAlign w:val="center"/>
          </w:tcPr>
          <w:p>
            <w:pPr>
              <w:widowControl/>
              <w:jc w:val="left"/>
              <w:rPr>
                <w:rFonts w:cs="Times New Roman"/>
                <w:color w:val="000000"/>
                <w:sz w:val="21"/>
                <w:szCs w:val="21"/>
                <w:lang w:val="en-GB"/>
              </w:rPr>
            </w:pPr>
          </w:p>
        </w:tc>
        <w:tc>
          <w:tcPr>
            <w:tcW w:w="2234" w:type="dxa"/>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 xml:space="preserve">GDP growth rate </w:t>
            </w:r>
          </w:p>
        </w:tc>
        <w:tc>
          <w:tcPr>
            <w:tcW w:w="1901" w:type="dxa"/>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GDP</w:t>
            </w:r>
          </w:p>
        </w:tc>
        <w:tc>
          <w:tcPr>
            <w:tcW w:w="3685" w:type="dxa"/>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Year-on-year growth rate of GDP</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1394" w:type="dxa"/>
            <w:vMerge w:val="continue"/>
            <w:vAlign w:val="center"/>
          </w:tcPr>
          <w:p>
            <w:pPr>
              <w:widowControl/>
              <w:jc w:val="left"/>
              <w:rPr>
                <w:rFonts w:cs="Times New Roman"/>
                <w:color w:val="000000"/>
                <w:sz w:val="21"/>
                <w:szCs w:val="21"/>
                <w:lang w:val="en-GB"/>
              </w:rPr>
            </w:pPr>
          </w:p>
        </w:tc>
        <w:tc>
          <w:tcPr>
            <w:tcW w:w="2234" w:type="dxa"/>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Inflation rate</w:t>
            </w:r>
          </w:p>
        </w:tc>
        <w:tc>
          <w:tcPr>
            <w:tcW w:w="1901" w:type="dxa"/>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CPI</w:t>
            </w:r>
          </w:p>
        </w:tc>
        <w:tc>
          <w:tcPr>
            <w:tcW w:w="3685" w:type="dxa"/>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Year-on-year growth of CPI</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1394" w:type="dxa"/>
            <w:vMerge w:val="continue"/>
            <w:vAlign w:val="center"/>
          </w:tcPr>
          <w:p>
            <w:pPr>
              <w:widowControl/>
              <w:jc w:val="left"/>
              <w:rPr>
                <w:rFonts w:cs="Times New Roman"/>
                <w:color w:val="000000"/>
                <w:sz w:val="21"/>
                <w:szCs w:val="21"/>
                <w:lang w:val="en-GB"/>
              </w:rPr>
            </w:pPr>
          </w:p>
        </w:tc>
        <w:tc>
          <w:tcPr>
            <w:tcW w:w="2234" w:type="dxa"/>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M2 growth rate</w:t>
            </w:r>
          </w:p>
        </w:tc>
        <w:tc>
          <w:tcPr>
            <w:tcW w:w="1901" w:type="dxa"/>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M2</w:t>
            </w:r>
          </w:p>
        </w:tc>
        <w:tc>
          <w:tcPr>
            <w:tcW w:w="3685" w:type="dxa"/>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Year-on-year growth of M2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1394" w:type="dxa"/>
            <w:vMerge w:val="continue"/>
            <w:vAlign w:val="center"/>
          </w:tcPr>
          <w:p>
            <w:pPr>
              <w:widowControl/>
              <w:jc w:val="left"/>
              <w:rPr>
                <w:rFonts w:cs="Times New Roman"/>
                <w:color w:val="000000"/>
                <w:sz w:val="21"/>
                <w:szCs w:val="21"/>
                <w:lang w:val="en-GB"/>
              </w:rPr>
            </w:pPr>
          </w:p>
        </w:tc>
        <w:tc>
          <w:tcPr>
            <w:tcW w:w="2234" w:type="dxa"/>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EPU</w:t>
            </w:r>
          </w:p>
        </w:tc>
        <w:tc>
          <w:tcPr>
            <w:tcW w:w="1901" w:type="dxa"/>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Pindex</w:t>
            </w:r>
          </w:p>
        </w:tc>
        <w:tc>
          <w:tcPr>
            <w:tcW w:w="3685" w:type="dxa"/>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Economic policy uncertainty index</w:t>
            </w:r>
          </w:p>
        </w:tc>
      </w:tr>
    </w:tbl>
    <w:p>
      <w:pPr>
        <w:pStyle w:val="3"/>
        <w:spacing w:before="0" w:after="0" w:line="360" w:lineRule="auto"/>
        <w:contextualSpacing/>
        <w:jc w:val="left"/>
        <w:rPr>
          <w:b/>
          <w:i/>
          <w:sz w:val="24"/>
          <w:szCs w:val="24"/>
          <w:lang w:val="en-GB"/>
        </w:rPr>
      </w:pPr>
    </w:p>
    <w:p>
      <w:pPr>
        <w:pStyle w:val="3"/>
        <w:spacing w:before="0" w:after="0" w:line="360" w:lineRule="auto"/>
        <w:contextualSpacing/>
        <w:jc w:val="left"/>
        <w:rPr>
          <w:rFonts w:eastAsia="宋体" w:cs="Times New Roman"/>
          <w:bCs w:val="0"/>
          <w:sz w:val="24"/>
          <w:szCs w:val="24"/>
          <w:lang w:val="en-GB"/>
        </w:rPr>
      </w:pPr>
      <w:r>
        <w:rPr>
          <w:b/>
          <w:i/>
          <w:sz w:val="24"/>
          <w:szCs w:val="24"/>
          <w:lang w:val="en-GB"/>
        </w:rPr>
        <w:t>4.2 Empirical model</w:t>
      </w:r>
    </w:p>
    <w:p>
      <w:pPr>
        <w:spacing w:line="360" w:lineRule="auto"/>
        <w:ind w:firstLine="720"/>
        <w:contextualSpacing/>
        <w:jc w:val="left"/>
        <w:rPr>
          <w:rFonts w:cs="Times New Roman"/>
          <w:lang w:val="en-GB"/>
        </w:rPr>
      </w:pPr>
      <w:r>
        <w:rPr>
          <w:rFonts w:cs="Times New Roman"/>
          <w:lang w:val="en-GB"/>
        </w:rPr>
        <w:t>In this paper, a fixed effect model is selected after the Hausman test of sample data. Then, the joint significance test of annual dummy variables was carried out, and the test results were significant. Finally, the time fixed effect model (two-way fixed effect model) was selected.</w:t>
      </w:r>
    </w:p>
    <w:p>
      <w:pPr>
        <w:spacing w:line="360" w:lineRule="auto"/>
        <w:contextualSpacing/>
        <w:jc w:val="left"/>
        <w:rPr>
          <w:rStyle w:val="27"/>
          <w:rFonts w:cs="Times New Roman"/>
          <w:color w:val="auto"/>
          <w:lang w:val="en-GB"/>
        </w:rPr>
      </w:pPr>
      <m:oMath>
        <m:sSub>
          <m:sSubPr>
            <m:ctrlPr>
              <w:rPr>
                <w:rStyle w:val="27"/>
                <w:rFonts w:ascii="Cambria Math" w:hAnsi="Cambria Math" w:cs="Times New Roman"/>
                <w:color w:val="auto"/>
                <w:lang w:val="en-GB"/>
              </w:rPr>
            </m:ctrlPr>
          </m:sSubPr>
          <m:e>
            <m:r>
              <m:rPr/>
              <w:rPr>
                <w:rStyle w:val="27"/>
                <w:rFonts w:ascii="Cambria Math" w:hAnsi="Cambria Math" w:cs="Times New Roman"/>
                <w:color w:val="auto"/>
                <w:lang w:val="en-GB"/>
              </w:rPr>
              <m:t>liaratio</m:t>
            </m:r>
            <m:ctrlPr>
              <w:rPr>
                <w:rStyle w:val="27"/>
                <w:rFonts w:ascii="Cambria Math" w:hAnsi="Cambria Math" w:cs="Times New Roman"/>
                <w:color w:val="auto"/>
                <w:lang w:val="en-GB"/>
              </w:rPr>
            </m:ctrlPr>
          </m:e>
          <m:sub>
            <m:r>
              <m:rPr/>
              <w:rPr>
                <w:rStyle w:val="27"/>
                <w:rFonts w:ascii="Cambria Math" w:hAnsi="Cambria Math" w:cs="Times New Roman"/>
                <w:color w:val="auto"/>
                <w:lang w:val="en-GB"/>
              </w:rPr>
              <m:t>i,t</m:t>
            </m:r>
            <m:ctrlPr>
              <w:rPr>
                <w:rStyle w:val="27"/>
                <w:rFonts w:ascii="Cambria Math" w:hAnsi="Cambria Math" w:cs="Times New Roman"/>
                <w:color w:val="auto"/>
                <w:lang w:val="en-GB"/>
              </w:rPr>
            </m:ctrlPr>
          </m:sub>
        </m:sSub>
        <m:r>
          <m:rPr>
            <m:sty m:val="p"/>
          </m:rPr>
          <w:rPr>
            <w:rStyle w:val="27"/>
            <w:rFonts w:ascii="Cambria Math" w:hAnsi="Cambria Math" w:cs="Times New Roman"/>
            <w:color w:val="auto"/>
            <w:lang w:val="en-GB"/>
          </w:rPr>
          <m:t>=</m:t>
        </m:r>
        <m:sSub>
          <m:sSubPr>
            <m:ctrlPr>
              <w:rPr>
                <w:rStyle w:val="27"/>
                <w:rFonts w:ascii="Cambria Math" w:hAnsi="Cambria Math" w:cs="Times New Roman"/>
                <w:i/>
                <w:color w:val="auto"/>
                <w:lang w:val="en-GB"/>
              </w:rPr>
            </m:ctrlPr>
          </m:sSubPr>
          <m:e>
            <m:r>
              <m:rPr/>
              <w:rPr>
                <w:rStyle w:val="27"/>
                <w:rFonts w:ascii="Cambria Math" w:hAnsi="Cambria Math" w:cs="Times New Roman"/>
                <w:color w:val="auto"/>
                <w:lang w:val="en-GB"/>
              </w:rPr>
              <m:t>α</m:t>
            </m:r>
            <m:ctrlPr>
              <w:rPr>
                <w:rStyle w:val="27"/>
                <w:rFonts w:ascii="Cambria Math" w:hAnsi="Cambria Math" w:cs="Times New Roman"/>
                <w:i/>
                <w:color w:val="auto"/>
                <w:lang w:val="en-GB"/>
              </w:rPr>
            </m:ctrlPr>
          </m:e>
          <m:sub>
            <m:r>
              <m:rPr/>
              <w:rPr>
                <w:rStyle w:val="27"/>
                <w:rFonts w:ascii="Cambria Math" w:hAnsi="Cambria Math" w:cs="Times New Roman"/>
                <w:color w:val="auto"/>
                <w:lang w:val="en-GB"/>
              </w:rPr>
              <m:t>i,t</m:t>
            </m:r>
            <m:ctrlPr>
              <w:rPr>
                <w:rStyle w:val="27"/>
                <w:rFonts w:ascii="Cambria Math" w:hAnsi="Cambria Math" w:cs="Times New Roman"/>
                <w:i/>
                <w:color w:val="auto"/>
                <w:lang w:val="en-GB"/>
              </w:rPr>
            </m:ctrlPr>
          </m:sub>
        </m:sSub>
        <m:r>
          <m:rPr/>
          <w:rPr>
            <w:rStyle w:val="27"/>
            <w:rFonts w:ascii="Cambria Math" w:hAnsi="Cambria Math" w:cs="Times New Roman"/>
            <w:color w:val="auto"/>
            <w:lang w:val="en-GB"/>
          </w:rPr>
          <m:t>+</m:t>
        </m:r>
        <m:sSub>
          <m:sSubPr>
            <m:ctrlPr>
              <w:rPr>
                <w:rStyle w:val="27"/>
                <w:rFonts w:ascii="Cambria Math" w:hAnsi="Cambria Math" w:cs="Times New Roman"/>
                <w:i/>
                <w:color w:val="auto"/>
                <w:lang w:val="en-GB"/>
              </w:rPr>
            </m:ctrlPr>
          </m:sSubPr>
          <m:e>
            <m:r>
              <m:rPr/>
              <w:rPr>
                <w:rStyle w:val="27"/>
                <w:rFonts w:ascii="Cambria Math" w:hAnsi="Cambria Math" w:cs="Times New Roman"/>
                <w:color w:val="auto"/>
                <w:lang w:val="en-GB"/>
              </w:rPr>
              <m:t>β</m:t>
            </m:r>
            <m:ctrlPr>
              <w:rPr>
                <w:rStyle w:val="27"/>
                <w:rFonts w:ascii="Cambria Math" w:hAnsi="Cambria Math" w:cs="Times New Roman"/>
                <w:i/>
                <w:color w:val="auto"/>
                <w:lang w:val="en-GB"/>
              </w:rPr>
            </m:ctrlPr>
          </m:e>
          <m:sub>
            <m:r>
              <m:rPr/>
              <w:rPr>
                <w:rStyle w:val="27"/>
                <w:rFonts w:ascii="Cambria Math" w:hAnsi="Cambria Math" w:cs="Times New Roman"/>
                <w:color w:val="auto"/>
                <w:lang w:val="en-GB"/>
              </w:rPr>
              <m:t>i,t</m:t>
            </m:r>
            <m:ctrlPr>
              <w:rPr>
                <w:rStyle w:val="27"/>
                <w:rFonts w:ascii="Cambria Math" w:hAnsi="Cambria Math" w:cs="Times New Roman"/>
                <w:i/>
                <w:color w:val="auto"/>
                <w:lang w:val="en-GB"/>
              </w:rPr>
            </m:ctrlPr>
          </m:sub>
        </m:sSub>
        <m:r>
          <m:rPr/>
          <w:rPr>
            <w:rStyle w:val="27"/>
            <w:rFonts w:ascii="Cambria Math" w:hAnsi="Cambria Math" w:cs="Times New Roman"/>
            <w:color w:val="auto"/>
            <w:lang w:val="en-GB"/>
          </w:rPr>
          <m:t>∗</m:t>
        </m:r>
        <m:sSub>
          <m:sSubPr>
            <m:ctrlPr>
              <w:rPr>
                <w:rStyle w:val="27"/>
                <w:rFonts w:ascii="Cambria Math" w:hAnsi="Cambria Math" w:cs="Times New Roman"/>
                <w:i/>
                <w:color w:val="auto"/>
                <w:lang w:val="en-GB"/>
              </w:rPr>
            </m:ctrlPr>
          </m:sSubPr>
          <m:e>
            <m:r>
              <m:rPr/>
              <w:rPr>
                <w:rStyle w:val="27"/>
                <w:rFonts w:ascii="Cambria Math" w:hAnsi="Cambria Math" w:cs="Times New Roman"/>
                <w:color w:val="auto"/>
                <w:lang w:val="en-GB"/>
              </w:rPr>
              <m:t>micro</m:t>
            </m:r>
            <m:ctrlPr>
              <w:rPr>
                <w:rStyle w:val="27"/>
                <w:rFonts w:ascii="Cambria Math" w:hAnsi="Cambria Math" w:cs="Times New Roman"/>
                <w:i/>
                <w:color w:val="auto"/>
                <w:lang w:val="en-GB"/>
              </w:rPr>
            </m:ctrlPr>
          </m:e>
          <m:sub>
            <m:r>
              <m:rPr/>
              <w:rPr>
                <w:rStyle w:val="27"/>
                <w:rFonts w:ascii="Cambria Math" w:hAnsi="Cambria Math" w:cs="Times New Roman"/>
                <w:color w:val="auto"/>
                <w:lang w:val="en-GB"/>
              </w:rPr>
              <m:t>i,t</m:t>
            </m:r>
            <m:ctrlPr>
              <w:rPr>
                <w:rStyle w:val="27"/>
                <w:rFonts w:ascii="Cambria Math" w:hAnsi="Cambria Math" w:cs="Times New Roman"/>
                <w:i/>
                <w:color w:val="auto"/>
                <w:lang w:val="en-GB"/>
              </w:rPr>
            </m:ctrlPr>
          </m:sub>
        </m:sSub>
        <m:r>
          <m:rPr/>
          <w:rPr>
            <w:rStyle w:val="27"/>
            <w:rFonts w:ascii="Cambria Math" w:hAnsi="Cambria Math" w:cs="Times New Roman"/>
            <w:color w:val="auto"/>
            <w:lang w:val="en-GB"/>
          </w:rPr>
          <m:t>+</m:t>
        </m:r>
        <m:sSub>
          <m:sSubPr>
            <m:ctrlPr>
              <w:rPr>
                <w:rStyle w:val="27"/>
                <w:rFonts w:ascii="Cambria Math" w:hAnsi="Cambria Math" w:cs="Times New Roman"/>
                <w:i/>
                <w:color w:val="auto"/>
                <w:lang w:val="en-GB"/>
              </w:rPr>
            </m:ctrlPr>
          </m:sSubPr>
          <m:e>
            <m:sSub>
              <m:sSubPr>
                <m:ctrlPr>
                  <w:rPr>
                    <w:rStyle w:val="27"/>
                    <w:rFonts w:ascii="Cambria Math" w:hAnsi="Cambria Math" w:cs="Times New Roman"/>
                    <w:i/>
                    <w:color w:val="auto"/>
                    <w:lang w:val="en-GB"/>
                  </w:rPr>
                </m:ctrlPr>
              </m:sSubPr>
              <m:e>
                <m:r>
                  <m:rPr/>
                  <w:rPr>
                    <w:rStyle w:val="27"/>
                    <w:rFonts w:ascii="Cambria Math" w:hAnsi="Cambria Math" w:cs="Times New Roman"/>
                    <w:color w:val="auto"/>
                    <w:lang w:val="en-GB"/>
                  </w:rPr>
                  <m:t>γ</m:t>
                </m:r>
                <m:ctrlPr>
                  <w:rPr>
                    <w:rStyle w:val="27"/>
                    <w:rFonts w:ascii="Cambria Math" w:hAnsi="Cambria Math" w:cs="Times New Roman"/>
                    <w:i/>
                    <w:color w:val="auto"/>
                    <w:lang w:val="en-GB"/>
                  </w:rPr>
                </m:ctrlPr>
              </m:e>
              <m:sub>
                <m:r>
                  <m:rPr/>
                  <w:rPr>
                    <w:rStyle w:val="27"/>
                    <w:rFonts w:ascii="Cambria Math" w:hAnsi="Cambria Math" w:cs="Times New Roman"/>
                    <w:color w:val="auto"/>
                    <w:lang w:val="en-GB"/>
                  </w:rPr>
                  <m:t>i,t</m:t>
                </m:r>
                <m:ctrlPr>
                  <w:rPr>
                    <w:rStyle w:val="27"/>
                    <w:rFonts w:ascii="Cambria Math" w:hAnsi="Cambria Math" w:cs="Times New Roman"/>
                    <w:i/>
                    <w:color w:val="auto"/>
                    <w:lang w:val="en-GB"/>
                  </w:rPr>
                </m:ctrlPr>
              </m:sub>
            </m:sSub>
            <m:r>
              <m:rPr/>
              <w:rPr>
                <w:rStyle w:val="27"/>
                <w:rFonts w:ascii="Cambria Math" w:hAnsi="Cambria Math" w:cs="Times New Roman"/>
                <w:color w:val="auto"/>
                <w:lang w:val="en-GB"/>
              </w:rPr>
              <m:t>∗macro</m:t>
            </m:r>
            <m:ctrlPr>
              <w:rPr>
                <w:rStyle w:val="27"/>
                <w:rFonts w:ascii="Cambria Math" w:hAnsi="Cambria Math" w:cs="Times New Roman"/>
                <w:i/>
                <w:color w:val="auto"/>
                <w:lang w:val="en-GB"/>
              </w:rPr>
            </m:ctrlPr>
          </m:e>
          <m:sub>
            <m:r>
              <m:rPr/>
              <w:rPr>
                <w:rStyle w:val="27"/>
                <w:rFonts w:ascii="Cambria Math" w:hAnsi="Cambria Math" w:cs="Times New Roman"/>
                <w:color w:val="auto"/>
                <w:lang w:val="en-GB"/>
              </w:rPr>
              <m:t>t</m:t>
            </m:r>
            <m:ctrlPr>
              <w:rPr>
                <w:rStyle w:val="27"/>
                <w:rFonts w:ascii="Cambria Math" w:hAnsi="Cambria Math" w:cs="Times New Roman"/>
                <w:i/>
                <w:color w:val="auto"/>
                <w:lang w:val="en-GB"/>
              </w:rPr>
            </m:ctrlPr>
          </m:sub>
        </m:sSub>
        <m:r>
          <m:rPr/>
          <w:rPr>
            <w:rStyle w:val="27"/>
            <w:rFonts w:ascii="Cambria Math" w:hAnsi="Cambria Math" w:cs="Times New Roman"/>
            <w:color w:val="auto"/>
            <w:lang w:val="en-GB"/>
          </w:rPr>
          <m:t>+</m:t>
        </m:r>
        <m:sSub>
          <m:sSubPr>
            <m:ctrlPr>
              <w:rPr>
                <w:rStyle w:val="27"/>
                <w:rFonts w:ascii="Cambria Math" w:hAnsi="Cambria Math" w:cs="Times New Roman"/>
                <w:i/>
                <w:color w:val="auto"/>
                <w:lang w:val="en-GB"/>
              </w:rPr>
            </m:ctrlPr>
          </m:sSubPr>
          <m:e>
            <m:r>
              <m:rPr/>
              <w:rPr>
                <w:rStyle w:val="27"/>
                <w:rFonts w:ascii="Cambria Math" w:hAnsi="Cambria Math" w:cs="Times New Roman"/>
                <w:color w:val="auto"/>
                <w:lang w:val="en-GB"/>
              </w:rPr>
              <m:t>δ</m:t>
            </m:r>
            <m:ctrlPr>
              <w:rPr>
                <w:rStyle w:val="27"/>
                <w:rFonts w:ascii="Cambria Math" w:hAnsi="Cambria Math" w:cs="Times New Roman"/>
                <w:i/>
                <w:color w:val="auto"/>
                <w:lang w:val="en-GB"/>
              </w:rPr>
            </m:ctrlPr>
          </m:e>
          <m:sub>
            <m:r>
              <m:rPr/>
              <w:rPr>
                <w:rStyle w:val="27"/>
                <w:rFonts w:ascii="Cambria Math" w:hAnsi="Cambria Math" w:cs="Times New Roman"/>
                <w:color w:val="auto"/>
                <w:lang w:val="en-GB"/>
              </w:rPr>
              <m:t>i,t</m:t>
            </m:r>
            <m:ctrlPr>
              <w:rPr>
                <w:rStyle w:val="27"/>
                <w:rFonts w:ascii="Cambria Math" w:hAnsi="Cambria Math" w:cs="Times New Roman"/>
                <w:i/>
                <w:color w:val="auto"/>
                <w:lang w:val="en-GB"/>
              </w:rPr>
            </m:ctrlPr>
          </m:sub>
        </m:sSub>
      </m:oMath>
      <w:r>
        <w:rPr>
          <w:rStyle w:val="27"/>
          <w:rFonts w:cs="Times New Roman"/>
          <w:color w:val="auto"/>
          <w:lang w:val="en-GB"/>
        </w:rPr>
        <w:tab/>
      </w:r>
      <w:r>
        <w:rPr>
          <w:rStyle w:val="27"/>
          <w:rFonts w:cs="Times New Roman"/>
          <w:color w:val="auto"/>
          <w:lang w:val="en-GB"/>
        </w:rPr>
        <w:tab/>
      </w:r>
      <w:r>
        <w:rPr>
          <w:rStyle w:val="27"/>
          <w:rFonts w:cs="Times New Roman"/>
          <w:color w:val="auto"/>
          <w:lang w:val="en-GB"/>
        </w:rPr>
        <w:tab/>
      </w:r>
      <w:r>
        <w:rPr>
          <w:rStyle w:val="27"/>
          <w:rFonts w:cs="Times New Roman"/>
          <w:color w:val="auto"/>
          <w:lang w:val="en-GB"/>
        </w:rPr>
        <w:tab/>
      </w:r>
      <w:r>
        <w:rPr>
          <w:rStyle w:val="27"/>
          <w:rFonts w:cs="Times New Roman"/>
          <w:color w:val="auto"/>
          <w:lang w:val="en-GB"/>
        </w:rPr>
        <w:tab/>
      </w:r>
      <w:r>
        <w:rPr>
          <w:rStyle w:val="27"/>
          <w:rFonts w:cs="Times New Roman"/>
          <w:color w:val="auto"/>
          <w:lang w:val="en-GB"/>
        </w:rPr>
        <w:tab/>
      </w:r>
      <w:r>
        <w:rPr>
          <w:rStyle w:val="27"/>
          <w:rFonts w:cs="Times New Roman"/>
          <w:color w:val="auto"/>
          <w:lang w:val="en-GB"/>
        </w:rPr>
        <w:tab/>
      </w:r>
      <w:r>
        <w:rPr>
          <w:rStyle w:val="27"/>
          <w:rFonts w:cs="Times New Roman"/>
          <w:color w:val="auto"/>
          <w:lang w:val="en-GB"/>
        </w:rPr>
        <w:tab/>
      </w:r>
      <w:r>
        <w:rPr>
          <w:rStyle w:val="27"/>
          <w:rFonts w:cs="Times New Roman"/>
          <w:color w:val="auto"/>
          <w:lang w:val="en-GB"/>
        </w:rPr>
        <w:t>(1)</w:t>
      </w:r>
    </w:p>
    <w:p>
      <w:pPr>
        <w:spacing w:line="360" w:lineRule="auto"/>
        <w:contextualSpacing/>
        <w:jc w:val="left"/>
        <w:rPr>
          <w:rFonts w:cs="Times New Roman"/>
          <w:lang w:val="en-GB"/>
        </w:rPr>
      </w:pPr>
      <m:oMath>
        <m:sSub>
          <m:sSubPr>
            <m:ctrlPr>
              <w:rPr>
                <w:rFonts w:ascii="Cambria Math" w:hAnsi="Cambria Math" w:cs="Times New Roman"/>
                <w:lang w:val="en-GB"/>
              </w:rPr>
            </m:ctrlPr>
          </m:sSubPr>
          <m:e>
            <m:r>
              <m:rPr/>
              <w:rPr>
                <w:rFonts w:ascii="Cambria Math" w:hAnsi="Cambria Math" w:cs="Times New Roman"/>
                <w:lang w:val="en-GB"/>
              </w:rPr>
              <m:t>β</m:t>
            </m:r>
            <m:ctrlPr>
              <w:rPr>
                <w:rFonts w:ascii="Cambria Math" w:hAnsi="Cambria Math" w:cs="Times New Roman"/>
                <w:lang w:val="en-GB"/>
              </w:rPr>
            </m:ctrlPr>
          </m:e>
          <m:sub>
            <m:r>
              <m:rPr/>
              <w:rPr>
                <w:rFonts w:ascii="Cambria Math" w:hAnsi="Cambria Math" w:cs="Times New Roman"/>
                <w:lang w:val="en-GB"/>
              </w:rPr>
              <m:t>i,t</m:t>
            </m:r>
            <m:ctrlPr>
              <w:rPr>
                <w:rFonts w:ascii="Cambria Math" w:hAnsi="Cambria Math" w:cs="Times New Roman"/>
                <w:lang w:val="en-GB"/>
              </w:rPr>
            </m:ctrlPr>
          </m:sub>
        </m:sSub>
        <m:r>
          <m:rPr/>
          <w:rPr>
            <w:rFonts w:ascii="Cambria Math" w:hAnsi="Cambria Math" w:cs="Times New Roman"/>
            <w:lang w:val="en-GB"/>
          </w:rPr>
          <m:t>=</m:t>
        </m:r>
        <m:sSub>
          <m:sSubPr>
            <m:ctrlPr>
              <w:rPr>
                <w:rFonts w:ascii="Cambria Math" w:hAnsi="Cambria Math" w:cs="Times New Roman"/>
                <w:i/>
                <w:lang w:val="en-GB"/>
              </w:rPr>
            </m:ctrlPr>
          </m:sSubPr>
          <m:e>
            <m:r>
              <m:rPr/>
              <w:rPr>
                <w:rFonts w:ascii="Cambria Math" w:hAnsi="Cambria Math" w:cs="Times New Roman"/>
                <w:lang w:val="en-GB"/>
              </w:rPr>
              <m:t>β</m:t>
            </m:r>
            <m:ctrlPr>
              <w:rPr>
                <w:rFonts w:ascii="Cambria Math" w:hAnsi="Cambria Math" w:cs="Times New Roman"/>
                <w:i/>
                <w:lang w:val="en-GB"/>
              </w:rPr>
            </m:ctrlPr>
          </m:e>
          <m:sub>
            <m:r>
              <m:rPr/>
              <w:rPr>
                <w:rFonts w:ascii="Cambria Math" w:hAnsi="Cambria Math" w:cs="Times New Roman"/>
                <w:lang w:val="en-GB"/>
              </w:rPr>
              <m:t>i,0</m:t>
            </m:r>
            <m:ctrlPr>
              <w:rPr>
                <w:rFonts w:ascii="Cambria Math" w:hAnsi="Cambria Math" w:cs="Times New Roman"/>
                <w:i/>
                <w:lang w:val="en-GB"/>
              </w:rPr>
            </m:ctrlPr>
          </m:sub>
        </m:sSub>
        <m:r>
          <m:rPr/>
          <w:rPr>
            <w:rFonts w:ascii="Cambria Math" w:hAnsi="Cambria Math" w:cs="Times New Roman"/>
            <w:lang w:val="en-GB"/>
          </w:rPr>
          <m:t>+</m:t>
        </m:r>
        <m:sSub>
          <m:sSubPr>
            <m:ctrlPr>
              <w:rPr>
                <w:rFonts w:ascii="Cambria Math" w:hAnsi="Cambria Math" w:cs="Times New Roman"/>
                <w:i/>
                <w:lang w:val="en-GB"/>
              </w:rPr>
            </m:ctrlPr>
          </m:sSubPr>
          <m:e>
            <m:r>
              <m:rPr/>
              <w:rPr>
                <w:rFonts w:ascii="Cambria Math" w:hAnsi="Cambria Math" w:cs="Times New Roman"/>
                <w:lang w:val="en-GB"/>
              </w:rPr>
              <m:t>β</m:t>
            </m:r>
            <m:ctrlPr>
              <w:rPr>
                <w:rFonts w:ascii="Cambria Math" w:hAnsi="Cambria Math" w:cs="Times New Roman"/>
                <w:i/>
                <w:lang w:val="en-GB"/>
              </w:rPr>
            </m:ctrlPr>
          </m:e>
          <m:sub>
            <m:r>
              <m:rPr/>
              <w:rPr>
                <w:rFonts w:ascii="Cambria Math" w:hAnsi="Cambria Math" w:cs="Times New Roman"/>
                <w:lang w:val="en-GB"/>
              </w:rPr>
              <m:t>2</m:t>
            </m:r>
            <m:ctrlPr>
              <w:rPr>
                <w:rFonts w:ascii="Cambria Math" w:hAnsi="Cambria Math" w:cs="Times New Roman"/>
                <w:i/>
                <w:lang w:val="en-GB"/>
              </w:rPr>
            </m:ctrlPr>
          </m:sub>
        </m:sSub>
        <m:r>
          <m:rPr/>
          <w:rPr>
            <w:rFonts w:ascii="Cambria Math" w:hAnsi="Cambria Math" w:cs="Times New Roman"/>
            <w:lang w:val="en-GB"/>
          </w:rPr>
          <m:t>∗</m:t>
        </m:r>
        <m:sSub>
          <m:sSubPr>
            <m:ctrlPr>
              <w:rPr>
                <w:rFonts w:ascii="Cambria Math" w:hAnsi="Cambria Math" w:cs="Times New Roman"/>
                <w:i/>
                <w:lang w:val="en-GB"/>
              </w:rPr>
            </m:ctrlPr>
          </m:sSubPr>
          <m:e>
            <m:r>
              <m:rPr/>
              <w:rPr>
                <w:rFonts w:ascii="Cambria Math" w:hAnsi="Cambria Math" w:cs="Times New Roman"/>
                <w:lang w:val="en-GB"/>
              </w:rPr>
              <m:t>macro</m:t>
            </m:r>
            <m:ctrlPr>
              <w:rPr>
                <w:rFonts w:ascii="Cambria Math" w:hAnsi="Cambria Math" w:cs="Times New Roman"/>
                <w:i/>
                <w:lang w:val="en-GB"/>
              </w:rPr>
            </m:ctrlPr>
          </m:e>
          <m:sub>
            <m:r>
              <m:rPr/>
              <w:rPr>
                <w:rFonts w:ascii="Cambria Math" w:hAnsi="Cambria Math" w:cs="Times New Roman"/>
                <w:lang w:val="en-GB"/>
              </w:rPr>
              <m:t>t</m:t>
            </m:r>
            <m:ctrlPr>
              <w:rPr>
                <w:rFonts w:ascii="Cambria Math" w:hAnsi="Cambria Math" w:cs="Times New Roman"/>
                <w:i/>
                <w:lang w:val="en-GB"/>
              </w:rPr>
            </m:ctrlPr>
          </m:sub>
        </m:sSub>
        <m:r>
          <m:rPr/>
          <w:rPr>
            <w:rFonts w:ascii="Cambria Math" w:hAnsi="Cambria Math" w:cs="Times New Roman"/>
            <w:lang w:val="en-GB"/>
          </w:rPr>
          <m:t xml:space="preserve"> </m:t>
        </m:r>
      </m:oMath>
      <w:r>
        <w:rPr>
          <w:rFonts w:cs="Times New Roman"/>
          <w:lang w:val="en-GB"/>
        </w:rPr>
        <w:tab/>
      </w:r>
      <w:r>
        <w:rPr>
          <w:rFonts w:cs="Times New Roman"/>
          <w:lang w:val="en-GB"/>
        </w:rPr>
        <w:tab/>
      </w:r>
      <w:r>
        <w:rPr>
          <w:rFonts w:cs="Times New Roman"/>
          <w:lang w:val="en-GB"/>
        </w:rPr>
        <w:tab/>
      </w:r>
      <w:r>
        <w:rPr>
          <w:rFonts w:cs="Times New Roman"/>
          <w:lang w:val="en-GB"/>
        </w:rPr>
        <w:tab/>
      </w:r>
      <w:r>
        <w:rPr>
          <w:rFonts w:cs="Times New Roman"/>
          <w:lang w:val="en-GB"/>
        </w:rPr>
        <w:tab/>
      </w:r>
      <w:r>
        <w:rPr>
          <w:rFonts w:cs="Times New Roman"/>
          <w:lang w:val="en-GB"/>
        </w:rPr>
        <w:tab/>
      </w:r>
      <w:r>
        <w:rPr>
          <w:rFonts w:cs="Times New Roman"/>
          <w:lang w:val="en-GB"/>
        </w:rPr>
        <w:tab/>
      </w:r>
      <w:r>
        <w:rPr>
          <w:rFonts w:cs="Times New Roman"/>
          <w:lang w:val="en-GB"/>
        </w:rPr>
        <w:tab/>
      </w:r>
      <w:r>
        <w:rPr>
          <w:rFonts w:cs="Times New Roman"/>
          <w:lang w:val="en-GB"/>
        </w:rPr>
        <w:tab/>
      </w:r>
      <w:r>
        <w:rPr>
          <w:rFonts w:cs="Times New Roman"/>
          <w:lang w:val="en-GB"/>
        </w:rPr>
        <w:tab/>
      </w:r>
      <w:r>
        <w:rPr>
          <w:rFonts w:cs="Times New Roman"/>
          <w:lang w:val="en-GB"/>
        </w:rPr>
        <w:tab/>
      </w:r>
      <w:r>
        <w:rPr>
          <w:rFonts w:cs="Times New Roman"/>
          <w:lang w:val="en-GB"/>
        </w:rPr>
        <w:tab/>
      </w:r>
      <w:r>
        <w:rPr>
          <w:rFonts w:cs="Times New Roman"/>
          <w:lang w:val="en-GB"/>
        </w:rPr>
        <w:tab/>
      </w:r>
      <w:r>
        <w:rPr>
          <w:rFonts w:cs="Times New Roman"/>
          <w:lang w:val="en-GB"/>
        </w:rPr>
        <w:tab/>
      </w:r>
      <w:r>
        <w:rPr>
          <w:rFonts w:cs="Times New Roman"/>
          <w:lang w:val="en-GB"/>
        </w:rPr>
        <w:tab/>
      </w:r>
      <w:r>
        <w:rPr>
          <w:rFonts w:cs="Times New Roman"/>
          <w:lang w:val="en-GB"/>
        </w:rPr>
        <w:t>(2)</w:t>
      </w:r>
    </w:p>
    <w:p>
      <w:pPr>
        <w:pStyle w:val="2"/>
        <w:spacing w:before="0" w:after="0" w:line="360" w:lineRule="auto"/>
        <w:contextualSpacing/>
        <w:jc w:val="left"/>
        <w:rPr>
          <w:sz w:val="24"/>
          <w:szCs w:val="24"/>
          <w:lang w:val="en-GB"/>
        </w:rPr>
      </w:pPr>
    </w:p>
    <w:p>
      <w:pPr>
        <w:pStyle w:val="2"/>
        <w:spacing w:before="0" w:after="0" w:line="360" w:lineRule="auto"/>
        <w:contextualSpacing/>
        <w:jc w:val="left"/>
        <w:rPr>
          <w:b/>
          <w:sz w:val="24"/>
          <w:szCs w:val="24"/>
          <w:lang w:val="en-GB"/>
        </w:rPr>
      </w:pPr>
      <w:r>
        <w:rPr>
          <w:b/>
          <w:sz w:val="24"/>
          <w:szCs w:val="24"/>
          <w:lang w:val="en-GB"/>
        </w:rPr>
        <w:t>5 Empirical results and analysis</w:t>
      </w:r>
    </w:p>
    <w:p>
      <w:pPr>
        <w:spacing w:line="360" w:lineRule="auto"/>
        <w:contextualSpacing/>
        <w:jc w:val="left"/>
        <w:rPr>
          <w:lang w:val="en-GB"/>
        </w:rPr>
      </w:pPr>
    </w:p>
    <w:p>
      <w:pPr>
        <w:pStyle w:val="3"/>
        <w:spacing w:before="0" w:after="0" w:line="360" w:lineRule="auto"/>
        <w:contextualSpacing/>
        <w:jc w:val="left"/>
        <w:rPr>
          <w:b/>
          <w:i/>
          <w:sz w:val="24"/>
          <w:szCs w:val="24"/>
          <w:lang w:val="en-GB"/>
        </w:rPr>
      </w:pPr>
      <w:r>
        <w:rPr>
          <w:b/>
          <w:i/>
          <w:sz w:val="24"/>
          <w:szCs w:val="24"/>
          <w:lang w:val="en-GB"/>
        </w:rPr>
        <w:t>5.1 Empirical test results of influencing factors at the company level</w:t>
      </w:r>
    </w:p>
    <w:p>
      <w:pPr>
        <w:rPr>
          <w:rFonts w:hint="eastAsia" w:eastAsia="黑体"/>
          <w:b/>
          <w:i/>
          <w:sz w:val="24"/>
          <w:szCs w:val="24"/>
          <w:lang w:val="en-US" w:eastAsia="zh-CN"/>
        </w:rPr>
      </w:pPr>
      <w:r>
        <w:rPr>
          <w:rStyle w:val="19"/>
          <w:rFonts w:hint="eastAsia" w:cs="Times New Roman"/>
          <w:sz w:val="24"/>
          <w:szCs w:val="24"/>
          <w:lang w:val="en-US" w:eastAsia="zh-CN"/>
        </w:rPr>
        <w:t xml:space="preserve">    </w:t>
      </w:r>
      <w:r>
        <w:rPr>
          <w:rFonts w:eastAsia="黑体" w:cs="Times New Roman"/>
          <w:lang w:val="en-GB"/>
        </w:rPr>
        <w:t>Regression results of micro variables</w:t>
      </w:r>
      <w:r>
        <w:rPr>
          <w:rFonts w:hint="eastAsia" w:eastAsia="黑体" w:cs="Times New Roman"/>
          <w:lang w:val="en-US" w:eastAsia="zh-CN"/>
        </w:rPr>
        <w:t xml:space="preserve"> </w:t>
      </w:r>
      <w:r>
        <w:rPr>
          <w:rFonts w:cs="Times New Roman"/>
          <w:color w:val="000000" w:themeColor="text1"/>
          <w:lang w:val="en-GB"/>
          <w14:textFill>
            <w14:solidFill>
              <w14:schemeClr w14:val="tx1"/>
            </w14:solidFill>
          </w14:textFill>
        </w:rPr>
        <w:t xml:space="preserve">are shown in </w:t>
      </w:r>
      <w:r>
        <w:rPr>
          <w:rFonts w:cs="Times New Roman"/>
          <w:color w:val="00B0F0"/>
          <w:lang w:val="en-GB"/>
        </w:rPr>
        <w:t xml:space="preserve">Table </w:t>
      </w:r>
      <w:r>
        <w:rPr>
          <w:rFonts w:hint="eastAsia" w:cs="Times New Roman"/>
          <w:color w:val="00B0F0"/>
          <w:lang w:val="en-US" w:eastAsia="zh-CN"/>
        </w:rPr>
        <w:t>2</w:t>
      </w:r>
      <w:r>
        <w:rPr>
          <w:rFonts w:hint="eastAsia" w:cs="Times New Roman"/>
          <w:color w:val="000000" w:themeColor="text1"/>
          <w:lang w:val="en-US" w:eastAsia="zh-CN"/>
          <w14:textFill>
            <w14:solidFill>
              <w14:schemeClr w14:val="tx1"/>
            </w14:solidFill>
          </w14:textFill>
        </w:rPr>
        <w:t>.</w:t>
      </w:r>
    </w:p>
    <w:p>
      <w:pPr>
        <w:rPr>
          <w:b/>
          <w:i/>
          <w:sz w:val="24"/>
          <w:szCs w:val="24"/>
          <w:lang w:val="en-GB"/>
        </w:rPr>
      </w:pPr>
    </w:p>
    <w:p>
      <w:pPr>
        <w:spacing w:line="360" w:lineRule="auto"/>
        <w:contextualSpacing/>
        <w:jc w:val="left"/>
        <w:rPr>
          <w:rFonts w:cs="Times New Roman"/>
          <w:lang w:val="en-GB"/>
        </w:rPr>
      </w:pPr>
      <w:r>
        <w:rPr>
          <w:rFonts w:eastAsia="黑体" w:cs="Times New Roman"/>
          <w:b/>
          <w:lang w:val="en-GB"/>
        </w:rPr>
        <w:t xml:space="preserve">Table </w:t>
      </w:r>
      <w:r>
        <w:rPr>
          <w:rFonts w:hint="eastAsia" w:eastAsia="黑体" w:cs="Times New Roman"/>
          <w:b/>
          <w:lang w:val="en-US" w:eastAsia="zh-CN"/>
        </w:rPr>
        <w:t>2</w:t>
      </w:r>
      <w:r>
        <w:rPr>
          <w:rFonts w:eastAsia="黑体" w:cs="Times New Roman"/>
          <w:b/>
          <w:lang w:val="en-GB"/>
        </w:rPr>
        <w:t>.</w:t>
      </w:r>
      <w:r>
        <w:rPr>
          <w:rFonts w:eastAsia="黑体" w:cs="Times New Roman"/>
          <w:lang w:val="en-GB"/>
        </w:rPr>
        <w:t xml:space="preserve"> Regression results of micro variables</w:t>
      </w:r>
    </w:p>
    <w:tbl>
      <w:tblPr>
        <w:tblStyle w:val="14"/>
        <w:tblW w:w="5000" w:type="pct"/>
        <w:jc w:val="center"/>
        <w:tblLayout w:type="autofit"/>
        <w:tblCellMar>
          <w:top w:w="0" w:type="dxa"/>
          <w:left w:w="108" w:type="dxa"/>
          <w:bottom w:w="0" w:type="dxa"/>
          <w:right w:w="108" w:type="dxa"/>
        </w:tblCellMar>
      </w:tblPr>
      <w:tblGrid>
        <w:gridCol w:w="1628"/>
        <w:gridCol w:w="1627"/>
        <w:gridCol w:w="1478"/>
        <w:gridCol w:w="1669"/>
        <w:gridCol w:w="1627"/>
        <w:gridCol w:w="1547"/>
      </w:tblGrid>
      <w:tr>
        <w:tblPrEx>
          <w:tblCellMar>
            <w:top w:w="0" w:type="dxa"/>
            <w:left w:w="108" w:type="dxa"/>
            <w:bottom w:w="0" w:type="dxa"/>
            <w:right w:w="108" w:type="dxa"/>
          </w:tblCellMar>
        </w:tblPrEx>
        <w:trPr>
          <w:trHeight w:val="402" w:hRule="atLeast"/>
          <w:jc w:val="center"/>
        </w:trPr>
        <w:tc>
          <w:tcPr>
            <w:tcW w:w="1623" w:type="dxa"/>
            <w:tcBorders>
              <w:top w:val="single" w:color="auto" w:sz="12" w:space="0"/>
              <w:left w:val="nil"/>
              <w:bottom w:val="single" w:color="auto" w:sz="8" w:space="0"/>
              <w:right w:val="single" w:color="auto" w:sz="8" w:space="0"/>
            </w:tcBorders>
            <w:shd w:val="clear" w:color="auto" w:fill="auto"/>
            <w:noWrap/>
            <w:vAlign w:val="center"/>
          </w:tcPr>
          <w:p>
            <w:pPr>
              <w:widowControl/>
              <w:jc w:val="left"/>
              <w:rPr>
                <w:rFonts w:cs="Times New Roman"/>
                <w:color w:val="000000"/>
                <w:sz w:val="21"/>
                <w:szCs w:val="21"/>
                <w:lang w:val="en-GB"/>
              </w:rPr>
            </w:pPr>
          </w:p>
        </w:tc>
        <w:tc>
          <w:tcPr>
            <w:tcW w:w="1621" w:type="dxa"/>
            <w:tcBorders>
              <w:top w:val="single" w:color="auto" w:sz="12" w:space="0"/>
              <w:left w:val="single" w:color="auto" w:sz="8" w:space="0"/>
              <w:bottom w:val="single" w:color="auto" w:sz="8" w:space="0"/>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Total sample</w:t>
            </w:r>
          </w:p>
        </w:tc>
        <w:tc>
          <w:tcPr>
            <w:tcW w:w="1473" w:type="dxa"/>
            <w:tcBorders>
              <w:top w:val="single" w:color="auto" w:sz="12" w:space="0"/>
              <w:left w:val="single" w:color="auto" w:sz="8" w:space="0"/>
              <w:bottom w:val="single" w:color="auto" w:sz="8" w:space="0"/>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State-owned enterprises</w:t>
            </w:r>
          </w:p>
        </w:tc>
        <w:tc>
          <w:tcPr>
            <w:tcW w:w="1474" w:type="dxa"/>
            <w:tcBorders>
              <w:top w:val="single" w:color="auto" w:sz="12" w:space="0"/>
              <w:left w:val="single" w:color="auto" w:sz="8" w:space="0"/>
              <w:bottom w:val="single" w:color="auto" w:sz="8" w:space="0"/>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Non-state-owned enterprises</w:t>
            </w:r>
          </w:p>
        </w:tc>
        <w:tc>
          <w:tcPr>
            <w:tcW w:w="1621" w:type="dxa"/>
            <w:tcBorders>
              <w:top w:val="single" w:color="auto" w:sz="12" w:space="0"/>
              <w:left w:val="single" w:color="auto" w:sz="8" w:space="0"/>
              <w:bottom w:val="single" w:color="auto" w:sz="8" w:space="0"/>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sz w:val="21"/>
                <w:szCs w:val="21"/>
                <w:lang w:val="en-GB"/>
              </w:rPr>
              <w:t>Enterprises with high leverage ratio</w:t>
            </w:r>
          </w:p>
        </w:tc>
        <w:tc>
          <w:tcPr>
            <w:tcW w:w="1542" w:type="dxa"/>
            <w:tcBorders>
              <w:top w:val="single" w:color="auto" w:sz="12" w:space="0"/>
              <w:left w:val="single" w:color="auto" w:sz="8" w:space="0"/>
              <w:bottom w:val="single" w:color="auto" w:sz="8" w:space="0"/>
              <w:right w:val="nil"/>
            </w:tcBorders>
            <w:shd w:val="clear" w:color="auto" w:fill="auto"/>
            <w:noWrap/>
            <w:vAlign w:val="center"/>
          </w:tcPr>
          <w:p>
            <w:pPr>
              <w:widowControl/>
              <w:jc w:val="left"/>
              <w:rPr>
                <w:rFonts w:cs="Times New Roman"/>
                <w:color w:val="000000"/>
                <w:sz w:val="21"/>
                <w:szCs w:val="21"/>
                <w:lang w:val="en-GB"/>
              </w:rPr>
            </w:pPr>
            <w:r>
              <w:rPr>
                <w:rFonts w:cs="Times New Roman"/>
                <w:sz w:val="21"/>
                <w:szCs w:val="21"/>
                <w:lang w:val="en-GB"/>
              </w:rPr>
              <w:t>Enterprises with low leverage ratio</w:t>
            </w:r>
          </w:p>
        </w:tc>
      </w:tr>
      <w:tr>
        <w:tblPrEx>
          <w:tblCellMar>
            <w:top w:w="0" w:type="dxa"/>
            <w:left w:w="108" w:type="dxa"/>
            <w:bottom w:w="0" w:type="dxa"/>
            <w:right w:w="108" w:type="dxa"/>
          </w:tblCellMar>
        </w:tblPrEx>
        <w:trPr>
          <w:trHeight w:val="402" w:hRule="atLeast"/>
          <w:jc w:val="center"/>
        </w:trPr>
        <w:tc>
          <w:tcPr>
            <w:tcW w:w="1623" w:type="dxa"/>
            <w:vMerge w:val="restart"/>
            <w:tcBorders>
              <w:top w:val="single" w:color="auto" w:sz="8" w:space="0"/>
              <w:left w:val="nil"/>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ROA</w:t>
            </w:r>
          </w:p>
        </w:tc>
        <w:tc>
          <w:tcPr>
            <w:tcW w:w="1621" w:type="dxa"/>
            <w:tcBorders>
              <w:top w:val="single" w:color="auto" w:sz="8" w:space="0"/>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-0.571***</w:t>
            </w:r>
          </w:p>
        </w:tc>
        <w:tc>
          <w:tcPr>
            <w:tcW w:w="1473" w:type="dxa"/>
            <w:tcBorders>
              <w:top w:val="single" w:color="auto" w:sz="8" w:space="0"/>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-0.432***</w:t>
            </w:r>
          </w:p>
        </w:tc>
        <w:tc>
          <w:tcPr>
            <w:tcW w:w="1474" w:type="dxa"/>
            <w:tcBorders>
              <w:top w:val="single" w:color="auto" w:sz="8" w:space="0"/>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-0.579***</w:t>
            </w:r>
          </w:p>
        </w:tc>
        <w:tc>
          <w:tcPr>
            <w:tcW w:w="1621" w:type="dxa"/>
            <w:tcBorders>
              <w:top w:val="single" w:color="auto" w:sz="8" w:space="0"/>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-0.618***</w:t>
            </w:r>
          </w:p>
        </w:tc>
        <w:tc>
          <w:tcPr>
            <w:tcW w:w="1542" w:type="dxa"/>
            <w:tcBorders>
              <w:top w:val="single" w:color="auto" w:sz="8" w:space="0"/>
              <w:left w:val="single" w:color="auto" w:sz="8" w:space="0"/>
              <w:bottom w:val="nil"/>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-0.0175**</w:t>
            </w:r>
          </w:p>
        </w:tc>
      </w:tr>
      <w:tr>
        <w:tblPrEx>
          <w:tblCellMar>
            <w:top w:w="0" w:type="dxa"/>
            <w:left w:w="108" w:type="dxa"/>
            <w:bottom w:w="0" w:type="dxa"/>
            <w:right w:w="108" w:type="dxa"/>
          </w:tblCellMar>
        </w:tblPrEx>
        <w:trPr>
          <w:trHeight w:val="402" w:hRule="atLeast"/>
          <w:jc w:val="center"/>
        </w:trPr>
        <w:tc>
          <w:tcPr>
            <w:tcW w:w="1623" w:type="dxa"/>
            <w:vMerge w:val="continue"/>
            <w:tcBorders>
              <w:top w:val="nil"/>
              <w:left w:val="nil"/>
              <w:bottom w:val="nil"/>
              <w:right w:val="single" w:color="auto" w:sz="8" w:space="0"/>
            </w:tcBorders>
            <w:vAlign w:val="center"/>
          </w:tcPr>
          <w:p>
            <w:pPr>
              <w:widowControl/>
              <w:jc w:val="left"/>
              <w:rPr>
                <w:rFonts w:cs="Times New Roman"/>
                <w:color w:val="000000"/>
                <w:sz w:val="21"/>
                <w:szCs w:val="21"/>
                <w:lang w:val="en-GB"/>
              </w:rPr>
            </w:pPr>
          </w:p>
        </w:tc>
        <w:tc>
          <w:tcPr>
            <w:tcW w:w="1621"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(-0.0946)</w:t>
            </w:r>
          </w:p>
        </w:tc>
        <w:tc>
          <w:tcPr>
            <w:tcW w:w="1473"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(-0.0642)</w:t>
            </w:r>
          </w:p>
        </w:tc>
        <w:tc>
          <w:tcPr>
            <w:tcW w:w="1474"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(-0.101)</w:t>
            </w:r>
          </w:p>
        </w:tc>
        <w:tc>
          <w:tcPr>
            <w:tcW w:w="1621"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(-0.165)</w:t>
            </w:r>
          </w:p>
        </w:tc>
        <w:tc>
          <w:tcPr>
            <w:tcW w:w="1542" w:type="dxa"/>
            <w:tcBorders>
              <w:top w:val="nil"/>
              <w:left w:val="single" w:color="auto" w:sz="8" w:space="0"/>
              <w:bottom w:val="nil"/>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(-0.0076)</w:t>
            </w:r>
          </w:p>
        </w:tc>
      </w:tr>
      <w:tr>
        <w:tblPrEx>
          <w:tblCellMar>
            <w:top w:w="0" w:type="dxa"/>
            <w:left w:w="108" w:type="dxa"/>
            <w:bottom w:w="0" w:type="dxa"/>
            <w:right w:w="108" w:type="dxa"/>
          </w:tblCellMar>
        </w:tblPrEx>
        <w:trPr>
          <w:trHeight w:val="402" w:hRule="atLeast"/>
          <w:jc w:val="center"/>
        </w:trPr>
        <w:tc>
          <w:tcPr>
            <w:tcW w:w="1623" w:type="dxa"/>
            <w:vMerge w:val="restart"/>
            <w:tcBorders>
              <w:top w:val="nil"/>
              <w:left w:val="nil"/>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Size</w:t>
            </w:r>
          </w:p>
        </w:tc>
        <w:tc>
          <w:tcPr>
            <w:tcW w:w="1621"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-5.514**</w:t>
            </w:r>
          </w:p>
        </w:tc>
        <w:tc>
          <w:tcPr>
            <w:tcW w:w="1473"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-1.536</w:t>
            </w:r>
          </w:p>
        </w:tc>
        <w:tc>
          <w:tcPr>
            <w:tcW w:w="1474"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-6.209**</w:t>
            </w:r>
          </w:p>
        </w:tc>
        <w:tc>
          <w:tcPr>
            <w:tcW w:w="1621"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-15.53***</w:t>
            </w:r>
          </w:p>
        </w:tc>
        <w:tc>
          <w:tcPr>
            <w:tcW w:w="1542" w:type="dxa"/>
            <w:tcBorders>
              <w:top w:val="nil"/>
              <w:left w:val="single" w:color="auto" w:sz="8" w:space="0"/>
              <w:bottom w:val="nil"/>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0.073</w:t>
            </w:r>
          </w:p>
        </w:tc>
      </w:tr>
      <w:tr>
        <w:tblPrEx>
          <w:tblCellMar>
            <w:top w:w="0" w:type="dxa"/>
            <w:left w:w="108" w:type="dxa"/>
            <w:bottom w:w="0" w:type="dxa"/>
            <w:right w:w="108" w:type="dxa"/>
          </w:tblCellMar>
        </w:tblPrEx>
        <w:trPr>
          <w:trHeight w:val="402" w:hRule="atLeast"/>
          <w:jc w:val="center"/>
        </w:trPr>
        <w:tc>
          <w:tcPr>
            <w:tcW w:w="1623" w:type="dxa"/>
            <w:vMerge w:val="continue"/>
            <w:tcBorders>
              <w:top w:val="nil"/>
              <w:left w:val="nil"/>
              <w:bottom w:val="nil"/>
              <w:right w:val="single" w:color="auto" w:sz="8" w:space="0"/>
            </w:tcBorders>
            <w:vAlign w:val="center"/>
          </w:tcPr>
          <w:p>
            <w:pPr>
              <w:widowControl/>
              <w:jc w:val="left"/>
              <w:rPr>
                <w:rFonts w:cs="Times New Roman"/>
                <w:color w:val="000000"/>
                <w:sz w:val="21"/>
                <w:szCs w:val="21"/>
                <w:lang w:val="en-GB"/>
              </w:rPr>
            </w:pPr>
          </w:p>
        </w:tc>
        <w:tc>
          <w:tcPr>
            <w:tcW w:w="1621"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(-2.217)</w:t>
            </w:r>
          </w:p>
        </w:tc>
        <w:tc>
          <w:tcPr>
            <w:tcW w:w="1473"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(-1.714)</w:t>
            </w:r>
          </w:p>
        </w:tc>
        <w:tc>
          <w:tcPr>
            <w:tcW w:w="1474"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(-2.485)</w:t>
            </w:r>
          </w:p>
        </w:tc>
        <w:tc>
          <w:tcPr>
            <w:tcW w:w="1621"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(-4.109)</w:t>
            </w:r>
          </w:p>
        </w:tc>
        <w:tc>
          <w:tcPr>
            <w:tcW w:w="1542" w:type="dxa"/>
            <w:tcBorders>
              <w:top w:val="nil"/>
              <w:left w:val="single" w:color="auto" w:sz="8" w:space="0"/>
              <w:bottom w:val="nil"/>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(-0.345)</w:t>
            </w:r>
          </w:p>
        </w:tc>
      </w:tr>
      <w:tr>
        <w:tblPrEx>
          <w:tblCellMar>
            <w:top w:w="0" w:type="dxa"/>
            <w:left w:w="108" w:type="dxa"/>
            <w:bottom w:w="0" w:type="dxa"/>
            <w:right w:w="108" w:type="dxa"/>
          </w:tblCellMar>
        </w:tblPrEx>
        <w:trPr>
          <w:trHeight w:val="402" w:hRule="atLeast"/>
          <w:jc w:val="center"/>
        </w:trPr>
        <w:tc>
          <w:tcPr>
            <w:tcW w:w="1623" w:type="dxa"/>
            <w:vMerge w:val="restart"/>
            <w:tcBorders>
              <w:top w:val="nil"/>
              <w:left w:val="nil"/>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Tangibility</w:t>
            </w:r>
          </w:p>
        </w:tc>
        <w:tc>
          <w:tcPr>
            <w:tcW w:w="1621"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-0.219***</w:t>
            </w:r>
          </w:p>
        </w:tc>
        <w:tc>
          <w:tcPr>
            <w:tcW w:w="1473"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-0.388***</w:t>
            </w:r>
          </w:p>
        </w:tc>
        <w:tc>
          <w:tcPr>
            <w:tcW w:w="1474"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-0.204***</w:t>
            </w:r>
          </w:p>
        </w:tc>
        <w:tc>
          <w:tcPr>
            <w:tcW w:w="1621"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-0.136</w:t>
            </w:r>
          </w:p>
        </w:tc>
        <w:tc>
          <w:tcPr>
            <w:tcW w:w="1542" w:type="dxa"/>
            <w:tcBorders>
              <w:top w:val="nil"/>
              <w:left w:val="single" w:color="auto" w:sz="8" w:space="0"/>
              <w:bottom w:val="nil"/>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-0.022</w:t>
            </w:r>
          </w:p>
        </w:tc>
      </w:tr>
      <w:tr>
        <w:tblPrEx>
          <w:tblCellMar>
            <w:top w:w="0" w:type="dxa"/>
            <w:left w:w="108" w:type="dxa"/>
            <w:bottom w:w="0" w:type="dxa"/>
            <w:right w:w="108" w:type="dxa"/>
          </w:tblCellMar>
        </w:tblPrEx>
        <w:trPr>
          <w:trHeight w:val="402" w:hRule="atLeast"/>
          <w:jc w:val="center"/>
        </w:trPr>
        <w:tc>
          <w:tcPr>
            <w:tcW w:w="1623" w:type="dxa"/>
            <w:vMerge w:val="continue"/>
            <w:tcBorders>
              <w:top w:val="nil"/>
              <w:left w:val="nil"/>
              <w:bottom w:val="nil"/>
              <w:right w:val="single" w:color="auto" w:sz="8" w:space="0"/>
            </w:tcBorders>
            <w:vAlign w:val="center"/>
          </w:tcPr>
          <w:p>
            <w:pPr>
              <w:widowControl/>
              <w:jc w:val="left"/>
              <w:rPr>
                <w:rFonts w:cs="Times New Roman"/>
                <w:color w:val="000000"/>
                <w:sz w:val="21"/>
                <w:szCs w:val="21"/>
                <w:lang w:val="en-GB"/>
              </w:rPr>
            </w:pPr>
          </w:p>
        </w:tc>
        <w:tc>
          <w:tcPr>
            <w:tcW w:w="1621"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(-0.0639)</w:t>
            </w:r>
          </w:p>
        </w:tc>
        <w:tc>
          <w:tcPr>
            <w:tcW w:w="1473"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(-0.124)</w:t>
            </w:r>
          </w:p>
        </w:tc>
        <w:tc>
          <w:tcPr>
            <w:tcW w:w="1474"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(-0.07)</w:t>
            </w:r>
          </w:p>
        </w:tc>
        <w:tc>
          <w:tcPr>
            <w:tcW w:w="1621"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(-0.239)</w:t>
            </w:r>
          </w:p>
        </w:tc>
        <w:tc>
          <w:tcPr>
            <w:tcW w:w="1542" w:type="dxa"/>
            <w:tcBorders>
              <w:top w:val="nil"/>
              <w:left w:val="single" w:color="auto" w:sz="8" w:space="0"/>
              <w:bottom w:val="nil"/>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(-0.0141)</w:t>
            </w:r>
          </w:p>
        </w:tc>
      </w:tr>
      <w:tr>
        <w:tblPrEx>
          <w:tblCellMar>
            <w:top w:w="0" w:type="dxa"/>
            <w:left w:w="108" w:type="dxa"/>
            <w:bottom w:w="0" w:type="dxa"/>
            <w:right w:w="108" w:type="dxa"/>
          </w:tblCellMar>
        </w:tblPrEx>
        <w:trPr>
          <w:trHeight w:val="402" w:hRule="atLeast"/>
          <w:jc w:val="center"/>
        </w:trPr>
        <w:tc>
          <w:tcPr>
            <w:tcW w:w="1623" w:type="dxa"/>
            <w:vMerge w:val="restart"/>
            <w:tcBorders>
              <w:top w:val="nil"/>
              <w:left w:val="nil"/>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AT</w:t>
            </w:r>
          </w:p>
        </w:tc>
        <w:tc>
          <w:tcPr>
            <w:tcW w:w="1621"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5.555*</w:t>
            </w:r>
          </w:p>
        </w:tc>
        <w:tc>
          <w:tcPr>
            <w:tcW w:w="1473"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1.876</w:t>
            </w:r>
          </w:p>
        </w:tc>
        <w:tc>
          <w:tcPr>
            <w:tcW w:w="1474"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5.833</w:t>
            </w:r>
          </w:p>
        </w:tc>
        <w:tc>
          <w:tcPr>
            <w:tcW w:w="1621"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-7.782</w:t>
            </w:r>
          </w:p>
        </w:tc>
        <w:tc>
          <w:tcPr>
            <w:tcW w:w="1542" w:type="dxa"/>
            <w:tcBorders>
              <w:top w:val="nil"/>
              <w:left w:val="single" w:color="auto" w:sz="8" w:space="0"/>
              <w:bottom w:val="nil"/>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2.271***</w:t>
            </w:r>
          </w:p>
        </w:tc>
      </w:tr>
      <w:tr>
        <w:tblPrEx>
          <w:tblCellMar>
            <w:top w:w="0" w:type="dxa"/>
            <w:left w:w="108" w:type="dxa"/>
            <w:bottom w:w="0" w:type="dxa"/>
            <w:right w:w="108" w:type="dxa"/>
          </w:tblCellMar>
        </w:tblPrEx>
        <w:trPr>
          <w:trHeight w:val="402" w:hRule="atLeast"/>
          <w:jc w:val="center"/>
        </w:trPr>
        <w:tc>
          <w:tcPr>
            <w:tcW w:w="1623" w:type="dxa"/>
            <w:vMerge w:val="continue"/>
            <w:tcBorders>
              <w:top w:val="nil"/>
              <w:left w:val="nil"/>
              <w:bottom w:val="nil"/>
              <w:right w:val="single" w:color="auto" w:sz="8" w:space="0"/>
            </w:tcBorders>
            <w:vAlign w:val="center"/>
          </w:tcPr>
          <w:p>
            <w:pPr>
              <w:widowControl/>
              <w:jc w:val="left"/>
              <w:rPr>
                <w:rFonts w:cs="Times New Roman"/>
                <w:color w:val="000000"/>
                <w:sz w:val="21"/>
                <w:szCs w:val="21"/>
                <w:lang w:val="en-GB"/>
              </w:rPr>
            </w:pPr>
          </w:p>
        </w:tc>
        <w:tc>
          <w:tcPr>
            <w:tcW w:w="1621"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(-3.295)</w:t>
            </w:r>
          </w:p>
        </w:tc>
        <w:tc>
          <w:tcPr>
            <w:tcW w:w="1473"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(-2.37)</w:t>
            </w:r>
          </w:p>
        </w:tc>
        <w:tc>
          <w:tcPr>
            <w:tcW w:w="1474"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(-3.747)</w:t>
            </w:r>
          </w:p>
        </w:tc>
        <w:tc>
          <w:tcPr>
            <w:tcW w:w="1621"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(-6.664)</w:t>
            </w:r>
          </w:p>
        </w:tc>
        <w:tc>
          <w:tcPr>
            <w:tcW w:w="1542" w:type="dxa"/>
            <w:tcBorders>
              <w:top w:val="nil"/>
              <w:left w:val="single" w:color="auto" w:sz="8" w:space="0"/>
              <w:bottom w:val="nil"/>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(-0.516)</w:t>
            </w:r>
          </w:p>
        </w:tc>
      </w:tr>
      <w:tr>
        <w:tblPrEx>
          <w:tblCellMar>
            <w:top w:w="0" w:type="dxa"/>
            <w:left w:w="108" w:type="dxa"/>
            <w:bottom w:w="0" w:type="dxa"/>
            <w:right w:w="108" w:type="dxa"/>
          </w:tblCellMar>
        </w:tblPrEx>
        <w:trPr>
          <w:trHeight w:val="402" w:hRule="atLeast"/>
          <w:jc w:val="center"/>
        </w:trPr>
        <w:tc>
          <w:tcPr>
            <w:tcW w:w="1623" w:type="dxa"/>
            <w:vMerge w:val="restart"/>
            <w:tcBorders>
              <w:top w:val="nil"/>
              <w:left w:val="nil"/>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Liquidity</w:t>
            </w:r>
          </w:p>
        </w:tc>
        <w:tc>
          <w:tcPr>
            <w:tcW w:w="1621"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-1.342***</w:t>
            </w:r>
          </w:p>
        </w:tc>
        <w:tc>
          <w:tcPr>
            <w:tcW w:w="1473"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-1.454***</w:t>
            </w:r>
          </w:p>
        </w:tc>
        <w:tc>
          <w:tcPr>
            <w:tcW w:w="1474"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-1.346***</w:t>
            </w:r>
          </w:p>
        </w:tc>
        <w:tc>
          <w:tcPr>
            <w:tcW w:w="1621"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-3.247</w:t>
            </w:r>
          </w:p>
        </w:tc>
        <w:tc>
          <w:tcPr>
            <w:tcW w:w="1542" w:type="dxa"/>
            <w:tcBorders>
              <w:top w:val="nil"/>
              <w:left w:val="single" w:color="auto" w:sz="8" w:space="0"/>
              <w:bottom w:val="nil"/>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-0.389***</w:t>
            </w:r>
          </w:p>
        </w:tc>
      </w:tr>
      <w:tr>
        <w:tblPrEx>
          <w:tblCellMar>
            <w:top w:w="0" w:type="dxa"/>
            <w:left w:w="108" w:type="dxa"/>
            <w:bottom w:w="0" w:type="dxa"/>
            <w:right w:w="108" w:type="dxa"/>
          </w:tblCellMar>
        </w:tblPrEx>
        <w:trPr>
          <w:trHeight w:val="402" w:hRule="atLeast"/>
          <w:jc w:val="center"/>
        </w:trPr>
        <w:tc>
          <w:tcPr>
            <w:tcW w:w="1623" w:type="dxa"/>
            <w:vMerge w:val="continue"/>
            <w:tcBorders>
              <w:top w:val="nil"/>
              <w:left w:val="nil"/>
              <w:bottom w:val="nil"/>
              <w:right w:val="single" w:color="auto" w:sz="8" w:space="0"/>
            </w:tcBorders>
            <w:vAlign w:val="center"/>
          </w:tcPr>
          <w:p>
            <w:pPr>
              <w:widowControl/>
              <w:jc w:val="left"/>
              <w:rPr>
                <w:rFonts w:cs="Times New Roman"/>
                <w:color w:val="000000"/>
                <w:sz w:val="21"/>
                <w:szCs w:val="21"/>
                <w:lang w:val="en-GB"/>
              </w:rPr>
            </w:pPr>
          </w:p>
        </w:tc>
        <w:tc>
          <w:tcPr>
            <w:tcW w:w="1621"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(-0.133)</w:t>
            </w:r>
          </w:p>
        </w:tc>
        <w:tc>
          <w:tcPr>
            <w:tcW w:w="1473"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(-0.471)</w:t>
            </w:r>
          </w:p>
        </w:tc>
        <w:tc>
          <w:tcPr>
            <w:tcW w:w="1474"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(-0.139)</w:t>
            </w:r>
          </w:p>
        </w:tc>
        <w:tc>
          <w:tcPr>
            <w:tcW w:w="1621"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(-5.635)</w:t>
            </w:r>
          </w:p>
        </w:tc>
        <w:tc>
          <w:tcPr>
            <w:tcW w:w="1542" w:type="dxa"/>
            <w:tcBorders>
              <w:top w:val="nil"/>
              <w:left w:val="single" w:color="auto" w:sz="8" w:space="0"/>
              <w:bottom w:val="nil"/>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(-0.0208)</w:t>
            </w:r>
          </w:p>
        </w:tc>
      </w:tr>
      <w:tr>
        <w:tblPrEx>
          <w:tblCellMar>
            <w:top w:w="0" w:type="dxa"/>
            <w:left w:w="108" w:type="dxa"/>
            <w:bottom w:w="0" w:type="dxa"/>
            <w:right w:w="108" w:type="dxa"/>
          </w:tblCellMar>
        </w:tblPrEx>
        <w:trPr>
          <w:trHeight w:val="402" w:hRule="atLeast"/>
          <w:jc w:val="center"/>
        </w:trPr>
        <w:tc>
          <w:tcPr>
            <w:tcW w:w="1623" w:type="dxa"/>
            <w:vMerge w:val="restart"/>
            <w:tcBorders>
              <w:top w:val="nil"/>
              <w:left w:val="nil"/>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Grow</w:t>
            </w:r>
          </w:p>
        </w:tc>
        <w:tc>
          <w:tcPr>
            <w:tcW w:w="1621"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0.00516*</w:t>
            </w:r>
          </w:p>
        </w:tc>
        <w:tc>
          <w:tcPr>
            <w:tcW w:w="1473"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0.0130*</w:t>
            </w:r>
          </w:p>
        </w:tc>
        <w:tc>
          <w:tcPr>
            <w:tcW w:w="1474"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0.00491</w:t>
            </w:r>
          </w:p>
        </w:tc>
        <w:tc>
          <w:tcPr>
            <w:tcW w:w="1621"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0.0000919</w:t>
            </w:r>
          </w:p>
        </w:tc>
        <w:tc>
          <w:tcPr>
            <w:tcW w:w="1542" w:type="dxa"/>
            <w:tcBorders>
              <w:top w:val="nil"/>
              <w:left w:val="single" w:color="auto" w:sz="8" w:space="0"/>
              <w:bottom w:val="nil"/>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0.000144</w:t>
            </w:r>
          </w:p>
        </w:tc>
      </w:tr>
      <w:tr>
        <w:tblPrEx>
          <w:tblCellMar>
            <w:top w:w="0" w:type="dxa"/>
            <w:left w:w="108" w:type="dxa"/>
            <w:bottom w:w="0" w:type="dxa"/>
            <w:right w:w="108" w:type="dxa"/>
          </w:tblCellMar>
        </w:tblPrEx>
        <w:trPr>
          <w:trHeight w:val="402" w:hRule="atLeast"/>
          <w:jc w:val="center"/>
        </w:trPr>
        <w:tc>
          <w:tcPr>
            <w:tcW w:w="1623" w:type="dxa"/>
            <w:vMerge w:val="continue"/>
            <w:tcBorders>
              <w:top w:val="nil"/>
              <w:left w:val="nil"/>
              <w:bottom w:val="nil"/>
              <w:right w:val="single" w:color="auto" w:sz="8" w:space="0"/>
            </w:tcBorders>
            <w:vAlign w:val="center"/>
          </w:tcPr>
          <w:p>
            <w:pPr>
              <w:widowControl/>
              <w:jc w:val="left"/>
              <w:rPr>
                <w:rFonts w:cs="Times New Roman"/>
                <w:color w:val="000000"/>
                <w:sz w:val="21"/>
                <w:szCs w:val="21"/>
                <w:lang w:val="en-GB"/>
              </w:rPr>
            </w:pPr>
          </w:p>
        </w:tc>
        <w:tc>
          <w:tcPr>
            <w:tcW w:w="1621"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(-0.00296)</w:t>
            </w:r>
          </w:p>
        </w:tc>
        <w:tc>
          <w:tcPr>
            <w:tcW w:w="1473"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(-0.0075)</w:t>
            </w:r>
          </w:p>
        </w:tc>
        <w:tc>
          <w:tcPr>
            <w:tcW w:w="1474"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(-0.00322)</w:t>
            </w:r>
          </w:p>
        </w:tc>
        <w:tc>
          <w:tcPr>
            <w:tcW w:w="1621"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(-0.00562)</w:t>
            </w:r>
          </w:p>
        </w:tc>
        <w:tc>
          <w:tcPr>
            <w:tcW w:w="1542" w:type="dxa"/>
            <w:tcBorders>
              <w:top w:val="nil"/>
              <w:left w:val="single" w:color="auto" w:sz="8" w:space="0"/>
              <w:bottom w:val="nil"/>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(-0.00072)</w:t>
            </w:r>
          </w:p>
        </w:tc>
      </w:tr>
      <w:tr>
        <w:tblPrEx>
          <w:tblCellMar>
            <w:top w:w="0" w:type="dxa"/>
            <w:left w:w="108" w:type="dxa"/>
            <w:bottom w:w="0" w:type="dxa"/>
            <w:right w:w="108" w:type="dxa"/>
          </w:tblCellMar>
        </w:tblPrEx>
        <w:trPr>
          <w:trHeight w:val="402" w:hRule="atLeast"/>
          <w:jc w:val="center"/>
        </w:trPr>
        <w:tc>
          <w:tcPr>
            <w:tcW w:w="1623" w:type="dxa"/>
            <w:vMerge w:val="restart"/>
            <w:tcBorders>
              <w:top w:val="nil"/>
              <w:left w:val="nil"/>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Tax</w:t>
            </w:r>
          </w:p>
        </w:tc>
        <w:tc>
          <w:tcPr>
            <w:tcW w:w="1621"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2.123***</w:t>
            </w:r>
          </w:p>
        </w:tc>
        <w:tc>
          <w:tcPr>
            <w:tcW w:w="1473"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1.133</w:t>
            </w:r>
          </w:p>
        </w:tc>
        <w:tc>
          <w:tcPr>
            <w:tcW w:w="1474"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2.243***</w:t>
            </w:r>
          </w:p>
        </w:tc>
        <w:tc>
          <w:tcPr>
            <w:tcW w:w="1621"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3.174**</w:t>
            </w:r>
          </w:p>
        </w:tc>
        <w:tc>
          <w:tcPr>
            <w:tcW w:w="1542" w:type="dxa"/>
            <w:tcBorders>
              <w:top w:val="nil"/>
              <w:left w:val="single" w:color="auto" w:sz="8" w:space="0"/>
              <w:bottom w:val="nil"/>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-0.0715</w:t>
            </w:r>
          </w:p>
        </w:tc>
      </w:tr>
      <w:tr>
        <w:tblPrEx>
          <w:tblCellMar>
            <w:top w:w="0" w:type="dxa"/>
            <w:left w:w="108" w:type="dxa"/>
            <w:bottom w:w="0" w:type="dxa"/>
            <w:right w:w="108" w:type="dxa"/>
          </w:tblCellMar>
        </w:tblPrEx>
        <w:trPr>
          <w:trHeight w:val="402" w:hRule="atLeast"/>
          <w:jc w:val="center"/>
        </w:trPr>
        <w:tc>
          <w:tcPr>
            <w:tcW w:w="1623" w:type="dxa"/>
            <w:vMerge w:val="continue"/>
            <w:tcBorders>
              <w:top w:val="nil"/>
              <w:left w:val="nil"/>
              <w:bottom w:val="nil"/>
              <w:right w:val="single" w:color="auto" w:sz="8" w:space="0"/>
            </w:tcBorders>
            <w:vAlign w:val="center"/>
          </w:tcPr>
          <w:p>
            <w:pPr>
              <w:widowControl/>
              <w:jc w:val="left"/>
              <w:rPr>
                <w:rFonts w:cs="Times New Roman"/>
                <w:color w:val="000000"/>
                <w:sz w:val="21"/>
                <w:szCs w:val="21"/>
                <w:lang w:val="en-GB"/>
              </w:rPr>
            </w:pPr>
          </w:p>
        </w:tc>
        <w:tc>
          <w:tcPr>
            <w:tcW w:w="1621"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(-0.615)</w:t>
            </w:r>
          </w:p>
        </w:tc>
        <w:tc>
          <w:tcPr>
            <w:tcW w:w="1473"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(-1.311)</w:t>
            </w:r>
          </w:p>
        </w:tc>
        <w:tc>
          <w:tcPr>
            <w:tcW w:w="1474"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(-0.662)</w:t>
            </w:r>
          </w:p>
        </w:tc>
        <w:tc>
          <w:tcPr>
            <w:tcW w:w="1621"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(-1.554)</w:t>
            </w:r>
          </w:p>
        </w:tc>
        <w:tc>
          <w:tcPr>
            <w:tcW w:w="1542" w:type="dxa"/>
            <w:tcBorders>
              <w:top w:val="nil"/>
              <w:left w:val="single" w:color="auto" w:sz="8" w:space="0"/>
              <w:bottom w:val="nil"/>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(-0.093)</w:t>
            </w:r>
          </w:p>
        </w:tc>
      </w:tr>
      <w:tr>
        <w:tblPrEx>
          <w:tblCellMar>
            <w:top w:w="0" w:type="dxa"/>
            <w:left w:w="108" w:type="dxa"/>
            <w:bottom w:w="0" w:type="dxa"/>
            <w:right w:w="108" w:type="dxa"/>
          </w:tblCellMar>
        </w:tblPrEx>
        <w:trPr>
          <w:trHeight w:val="402" w:hRule="atLeast"/>
          <w:jc w:val="center"/>
        </w:trPr>
        <w:tc>
          <w:tcPr>
            <w:tcW w:w="1623" w:type="dxa"/>
            <w:vMerge w:val="restart"/>
            <w:tcBorders>
              <w:top w:val="nil"/>
              <w:left w:val="nil"/>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Industry</w:t>
            </w:r>
          </w:p>
        </w:tc>
        <w:tc>
          <w:tcPr>
            <w:tcW w:w="1621"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0.510***</w:t>
            </w:r>
          </w:p>
        </w:tc>
        <w:tc>
          <w:tcPr>
            <w:tcW w:w="1473"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0.297**</w:t>
            </w:r>
          </w:p>
        </w:tc>
        <w:tc>
          <w:tcPr>
            <w:tcW w:w="1474"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0.518***</w:t>
            </w:r>
          </w:p>
        </w:tc>
        <w:tc>
          <w:tcPr>
            <w:tcW w:w="1621"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0.283</w:t>
            </w:r>
          </w:p>
        </w:tc>
        <w:tc>
          <w:tcPr>
            <w:tcW w:w="1542" w:type="dxa"/>
            <w:tcBorders>
              <w:top w:val="nil"/>
              <w:left w:val="single" w:color="auto" w:sz="8" w:space="0"/>
              <w:bottom w:val="nil"/>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0.0345</w:t>
            </w:r>
          </w:p>
        </w:tc>
      </w:tr>
      <w:tr>
        <w:tblPrEx>
          <w:tblCellMar>
            <w:top w:w="0" w:type="dxa"/>
            <w:left w:w="108" w:type="dxa"/>
            <w:bottom w:w="0" w:type="dxa"/>
            <w:right w:w="108" w:type="dxa"/>
          </w:tblCellMar>
        </w:tblPrEx>
        <w:trPr>
          <w:trHeight w:val="402" w:hRule="atLeast"/>
          <w:jc w:val="center"/>
        </w:trPr>
        <w:tc>
          <w:tcPr>
            <w:tcW w:w="1623" w:type="dxa"/>
            <w:vMerge w:val="continue"/>
            <w:tcBorders>
              <w:top w:val="nil"/>
              <w:left w:val="nil"/>
              <w:bottom w:val="nil"/>
              <w:right w:val="single" w:color="auto" w:sz="8" w:space="0"/>
            </w:tcBorders>
            <w:vAlign w:val="center"/>
          </w:tcPr>
          <w:p>
            <w:pPr>
              <w:widowControl/>
              <w:jc w:val="left"/>
              <w:rPr>
                <w:rFonts w:cs="Times New Roman"/>
                <w:color w:val="000000"/>
                <w:sz w:val="21"/>
                <w:szCs w:val="21"/>
                <w:lang w:val="en-GB"/>
              </w:rPr>
            </w:pPr>
          </w:p>
        </w:tc>
        <w:tc>
          <w:tcPr>
            <w:tcW w:w="1621"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(-0.103)</w:t>
            </w:r>
          </w:p>
        </w:tc>
        <w:tc>
          <w:tcPr>
            <w:tcW w:w="1473"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(-0.123)</w:t>
            </w:r>
          </w:p>
        </w:tc>
        <w:tc>
          <w:tcPr>
            <w:tcW w:w="1474"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(-0.119)</w:t>
            </w:r>
          </w:p>
        </w:tc>
        <w:tc>
          <w:tcPr>
            <w:tcW w:w="1621"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(-0.259)</w:t>
            </w:r>
          </w:p>
        </w:tc>
        <w:tc>
          <w:tcPr>
            <w:tcW w:w="1542" w:type="dxa"/>
            <w:tcBorders>
              <w:top w:val="nil"/>
              <w:left w:val="single" w:color="auto" w:sz="8" w:space="0"/>
              <w:bottom w:val="nil"/>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(-0.0249)</w:t>
            </w:r>
          </w:p>
        </w:tc>
      </w:tr>
      <w:tr>
        <w:tblPrEx>
          <w:tblCellMar>
            <w:top w:w="0" w:type="dxa"/>
            <w:left w:w="108" w:type="dxa"/>
            <w:bottom w:w="0" w:type="dxa"/>
            <w:right w:w="108" w:type="dxa"/>
          </w:tblCellMar>
        </w:tblPrEx>
        <w:trPr>
          <w:trHeight w:val="402" w:hRule="atLeast"/>
          <w:jc w:val="center"/>
        </w:trPr>
        <w:tc>
          <w:tcPr>
            <w:tcW w:w="1623" w:type="dxa"/>
            <w:vMerge w:val="restart"/>
            <w:tcBorders>
              <w:top w:val="nil"/>
              <w:left w:val="nil"/>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Constant</w:t>
            </w:r>
          </w:p>
        </w:tc>
        <w:tc>
          <w:tcPr>
            <w:tcW w:w="1621"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155.3***</w:t>
            </w:r>
          </w:p>
        </w:tc>
        <w:tc>
          <w:tcPr>
            <w:tcW w:w="1473"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92.92**</w:t>
            </w:r>
          </w:p>
        </w:tc>
        <w:tc>
          <w:tcPr>
            <w:tcW w:w="1474"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167.8***</w:t>
            </w:r>
          </w:p>
        </w:tc>
        <w:tc>
          <w:tcPr>
            <w:tcW w:w="1621"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413.8***</w:t>
            </w:r>
          </w:p>
        </w:tc>
        <w:tc>
          <w:tcPr>
            <w:tcW w:w="1542" w:type="dxa"/>
            <w:tcBorders>
              <w:top w:val="nil"/>
              <w:left w:val="single" w:color="auto" w:sz="8" w:space="0"/>
              <w:bottom w:val="nil"/>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15.20**</w:t>
            </w:r>
          </w:p>
        </w:tc>
      </w:tr>
      <w:tr>
        <w:tblPrEx>
          <w:tblCellMar>
            <w:top w:w="0" w:type="dxa"/>
            <w:left w:w="108" w:type="dxa"/>
            <w:bottom w:w="0" w:type="dxa"/>
            <w:right w:w="108" w:type="dxa"/>
          </w:tblCellMar>
        </w:tblPrEx>
        <w:trPr>
          <w:trHeight w:val="402" w:hRule="atLeast"/>
          <w:jc w:val="center"/>
        </w:trPr>
        <w:tc>
          <w:tcPr>
            <w:tcW w:w="1623" w:type="dxa"/>
            <w:vMerge w:val="continue"/>
            <w:tcBorders>
              <w:top w:val="nil"/>
              <w:left w:val="nil"/>
              <w:bottom w:val="nil"/>
              <w:right w:val="single" w:color="auto" w:sz="8" w:space="0"/>
            </w:tcBorders>
            <w:vAlign w:val="center"/>
          </w:tcPr>
          <w:p>
            <w:pPr>
              <w:widowControl/>
              <w:jc w:val="left"/>
              <w:rPr>
                <w:rFonts w:cs="Times New Roman"/>
                <w:color w:val="000000"/>
                <w:sz w:val="21"/>
                <w:szCs w:val="21"/>
                <w:lang w:val="en-GB"/>
              </w:rPr>
            </w:pPr>
          </w:p>
        </w:tc>
        <w:tc>
          <w:tcPr>
            <w:tcW w:w="1621"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(-49.09)</w:t>
            </w:r>
          </w:p>
        </w:tc>
        <w:tc>
          <w:tcPr>
            <w:tcW w:w="1473"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(-39.33)</w:t>
            </w:r>
          </w:p>
        </w:tc>
        <w:tc>
          <w:tcPr>
            <w:tcW w:w="1474"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(-54.68)</w:t>
            </w:r>
          </w:p>
        </w:tc>
        <w:tc>
          <w:tcPr>
            <w:tcW w:w="1621"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(-92.88)</w:t>
            </w:r>
          </w:p>
        </w:tc>
        <w:tc>
          <w:tcPr>
            <w:tcW w:w="1542" w:type="dxa"/>
            <w:tcBorders>
              <w:top w:val="nil"/>
              <w:left w:val="single" w:color="auto" w:sz="8" w:space="0"/>
              <w:bottom w:val="nil"/>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(-7.623)</w:t>
            </w:r>
          </w:p>
        </w:tc>
      </w:tr>
      <w:tr>
        <w:tblPrEx>
          <w:tblCellMar>
            <w:top w:w="0" w:type="dxa"/>
            <w:left w:w="108" w:type="dxa"/>
            <w:bottom w:w="0" w:type="dxa"/>
            <w:right w:w="108" w:type="dxa"/>
          </w:tblCellMar>
        </w:tblPrEx>
        <w:trPr>
          <w:trHeight w:val="402" w:hRule="atLeast"/>
          <w:jc w:val="center"/>
        </w:trPr>
        <w:tc>
          <w:tcPr>
            <w:tcW w:w="1623" w:type="dxa"/>
            <w:tcBorders>
              <w:top w:val="nil"/>
              <w:left w:val="nil"/>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R-sq</w:t>
            </w:r>
          </w:p>
        </w:tc>
        <w:tc>
          <w:tcPr>
            <w:tcW w:w="1621"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0.1924</w:t>
            </w:r>
          </w:p>
        </w:tc>
        <w:tc>
          <w:tcPr>
            <w:tcW w:w="1473"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0.3138</w:t>
            </w:r>
          </w:p>
        </w:tc>
        <w:tc>
          <w:tcPr>
            <w:tcW w:w="1474"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0.1943</w:t>
            </w:r>
          </w:p>
        </w:tc>
        <w:tc>
          <w:tcPr>
            <w:tcW w:w="1621"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0.232</w:t>
            </w:r>
          </w:p>
        </w:tc>
        <w:tc>
          <w:tcPr>
            <w:tcW w:w="1542" w:type="dxa"/>
            <w:tcBorders>
              <w:top w:val="nil"/>
              <w:left w:val="single" w:color="auto" w:sz="8" w:space="0"/>
              <w:bottom w:val="nil"/>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0.3189</w:t>
            </w:r>
          </w:p>
        </w:tc>
      </w:tr>
      <w:tr>
        <w:tblPrEx>
          <w:tblCellMar>
            <w:top w:w="0" w:type="dxa"/>
            <w:left w:w="108" w:type="dxa"/>
            <w:bottom w:w="0" w:type="dxa"/>
            <w:right w:w="108" w:type="dxa"/>
          </w:tblCellMar>
        </w:tblPrEx>
        <w:trPr>
          <w:trHeight w:val="402" w:hRule="atLeast"/>
          <w:jc w:val="center"/>
        </w:trPr>
        <w:tc>
          <w:tcPr>
            <w:tcW w:w="1623" w:type="dxa"/>
            <w:tcBorders>
              <w:top w:val="nil"/>
              <w:left w:val="nil"/>
              <w:bottom w:val="single" w:color="auto" w:sz="12" w:space="0"/>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Company number</w:t>
            </w:r>
          </w:p>
        </w:tc>
        <w:tc>
          <w:tcPr>
            <w:tcW w:w="1621" w:type="dxa"/>
            <w:tcBorders>
              <w:top w:val="nil"/>
              <w:left w:val="single" w:color="auto" w:sz="8" w:space="0"/>
              <w:bottom w:val="single" w:color="auto" w:sz="12" w:space="0"/>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890</w:t>
            </w:r>
          </w:p>
        </w:tc>
        <w:tc>
          <w:tcPr>
            <w:tcW w:w="1473" w:type="dxa"/>
            <w:tcBorders>
              <w:top w:val="nil"/>
              <w:left w:val="single" w:color="auto" w:sz="8" w:space="0"/>
              <w:bottom w:val="single" w:color="auto" w:sz="12" w:space="0"/>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132</w:t>
            </w:r>
          </w:p>
        </w:tc>
        <w:tc>
          <w:tcPr>
            <w:tcW w:w="1474" w:type="dxa"/>
            <w:tcBorders>
              <w:top w:val="nil"/>
              <w:left w:val="single" w:color="auto" w:sz="8" w:space="0"/>
              <w:bottom w:val="single" w:color="auto" w:sz="12" w:space="0"/>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758</w:t>
            </w:r>
          </w:p>
        </w:tc>
        <w:tc>
          <w:tcPr>
            <w:tcW w:w="1621" w:type="dxa"/>
            <w:tcBorders>
              <w:top w:val="nil"/>
              <w:left w:val="single" w:color="auto" w:sz="8" w:space="0"/>
              <w:bottom w:val="single" w:color="auto" w:sz="12" w:space="0"/>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475</w:t>
            </w:r>
          </w:p>
        </w:tc>
        <w:tc>
          <w:tcPr>
            <w:tcW w:w="1542" w:type="dxa"/>
            <w:tcBorders>
              <w:top w:val="nil"/>
              <w:left w:val="single" w:color="auto" w:sz="8" w:space="0"/>
              <w:bottom w:val="single" w:color="auto" w:sz="12" w:space="0"/>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480</w:t>
            </w:r>
          </w:p>
        </w:tc>
      </w:tr>
    </w:tbl>
    <w:p>
      <w:pPr>
        <w:spacing w:line="360" w:lineRule="auto"/>
        <w:contextualSpacing/>
        <w:jc w:val="left"/>
        <w:rPr>
          <w:rFonts w:cs="Times New Roman"/>
          <w:lang w:val="en-GB"/>
        </w:rPr>
      </w:pPr>
      <w:r>
        <w:rPr>
          <w:rFonts w:cs="Times New Roman"/>
          <w:lang w:val="en-GB"/>
        </w:rPr>
        <w:t>Note: The standard deviations of the sample statistics are shown in parentheses. *p&lt;0.1, **p&lt;0.05, ***p&lt;0.01. Enterprises with high leverage ratios are those in the bottom 25%, while enterprises with low leverage ratios are those in the top 25%.</w:t>
      </w:r>
    </w:p>
    <w:p>
      <w:pPr>
        <w:pStyle w:val="4"/>
        <w:spacing w:before="0" w:after="0" w:line="360" w:lineRule="auto"/>
        <w:contextualSpacing/>
        <w:jc w:val="left"/>
        <w:rPr>
          <w:szCs w:val="24"/>
          <w:lang w:val="en-GB"/>
        </w:rPr>
      </w:pPr>
    </w:p>
    <w:p>
      <w:pPr>
        <w:pStyle w:val="4"/>
        <w:spacing w:before="0" w:after="0" w:line="360" w:lineRule="auto"/>
        <w:contextualSpacing/>
        <w:jc w:val="left"/>
        <w:rPr>
          <w:i/>
          <w:szCs w:val="24"/>
          <w:lang w:val="en-GB"/>
        </w:rPr>
      </w:pPr>
      <w:r>
        <w:rPr>
          <w:i/>
          <w:szCs w:val="24"/>
          <w:lang w:val="en-GB"/>
        </w:rPr>
        <w:t>5.1.1 Profitability</w:t>
      </w:r>
    </w:p>
    <w:p>
      <w:pPr>
        <w:pStyle w:val="26"/>
        <w:spacing w:line="360" w:lineRule="auto"/>
        <w:ind w:firstLine="720" w:firstLineChars="0"/>
        <w:contextualSpacing/>
        <w:jc w:val="left"/>
        <w:rPr>
          <w:rFonts w:cs="Times New Roman"/>
          <w:lang w:val="en-GB"/>
        </w:rPr>
      </w:pPr>
      <w:r>
        <w:rPr>
          <w:rFonts w:cs="Times New Roman"/>
          <w:lang w:val="en-GB"/>
        </w:rPr>
        <w:t>Enterprise profitability has a significant negative correlation with the leverage ratio of each group. The more profitable a company is, the more internal retained earnings it has and the less dependent it is on debt financing, leading to a lower leverage ratio. Therefore, the conclusion of this study is consistent with the pecking order theory. However, the static tradeoff theory holds that profitability has a positive impact on an enterprise’s leverage ratio. The above results show that profitability has a more significant negative impact on the asset-liability ratio of enterprises with a high leverage ratio than with a low leverage ratio. Enterprises with high leverage ratios face great default risk. When their profitability is enhanced, they will choose to use internal retained earnings or equity financing to reduce their debt ratio.</w:t>
      </w:r>
    </w:p>
    <w:p>
      <w:pPr>
        <w:pStyle w:val="4"/>
        <w:spacing w:before="0" w:after="0" w:line="360" w:lineRule="auto"/>
        <w:contextualSpacing/>
        <w:jc w:val="left"/>
        <w:rPr>
          <w:szCs w:val="24"/>
          <w:lang w:val="en-GB"/>
        </w:rPr>
      </w:pPr>
    </w:p>
    <w:p>
      <w:pPr>
        <w:pStyle w:val="4"/>
        <w:spacing w:before="0" w:after="0" w:line="360" w:lineRule="auto"/>
        <w:contextualSpacing/>
        <w:jc w:val="left"/>
        <w:rPr>
          <w:i/>
          <w:szCs w:val="24"/>
          <w:lang w:val="en-GB"/>
        </w:rPr>
      </w:pPr>
      <w:r>
        <w:rPr>
          <w:i/>
          <w:szCs w:val="24"/>
          <w:lang w:val="en-GB"/>
        </w:rPr>
        <w:t>5.1.2 Enterprise scale</w:t>
      </w:r>
    </w:p>
    <w:p>
      <w:pPr>
        <w:spacing w:line="360" w:lineRule="auto"/>
        <w:ind w:firstLine="720"/>
        <w:contextualSpacing/>
        <w:jc w:val="left"/>
        <w:rPr>
          <w:rFonts w:cs="Times New Roman"/>
          <w:lang w:val="en-GB"/>
        </w:rPr>
      </w:pPr>
      <w:r>
        <w:rPr>
          <w:rFonts w:cs="Times New Roman"/>
          <w:lang w:val="en-GB"/>
        </w:rPr>
        <w:t>There is a significant negative correlation between enterprise scale and asset-liability ratio. Larger enterprises with greater transparency of information and a lower degree of information asymmetry face a lower cost of equity financing. The results of this paper are consistent with the conclusion of the pecking order theory. Enterprise size has a significant negative impact on the asset-liability ratio of non-state-owned enterprises, high-leverage enterprises and all sample enterprises, while the negative impact on state-owned enterprises is not significant.</w:t>
      </w:r>
    </w:p>
    <w:p>
      <w:pPr>
        <w:pStyle w:val="4"/>
        <w:spacing w:before="0" w:after="0" w:line="360" w:lineRule="auto"/>
        <w:contextualSpacing/>
        <w:jc w:val="left"/>
        <w:rPr>
          <w:szCs w:val="24"/>
          <w:lang w:val="en-GB"/>
        </w:rPr>
      </w:pPr>
    </w:p>
    <w:p>
      <w:pPr>
        <w:pStyle w:val="4"/>
        <w:spacing w:before="0" w:after="0" w:line="360" w:lineRule="auto"/>
        <w:contextualSpacing/>
        <w:jc w:val="left"/>
        <w:rPr>
          <w:i/>
          <w:szCs w:val="24"/>
          <w:lang w:val="en-GB"/>
        </w:rPr>
      </w:pPr>
      <w:r>
        <w:rPr>
          <w:i/>
          <w:szCs w:val="24"/>
          <w:lang w:val="en-GB"/>
        </w:rPr>
        <w:t>5.1.3 Tangible assets</w:t>
      </w:r>
    </w:p>
    <w:p>
      <w:pPr>
        <w:widowControl/>
        <w:spacing w:line="360" w:lineRule="auto"/>
        <w:ind w:firstLine="720"/>
        <w:contextualSpacing/>
        <w:jc w:val="left"/>
        <w:rPr>
          <w:rFonts w:cs="Times New Roman"/>
          <w:lang w:val="en-GB"/>
        </w:rPr>
      </w:pPr>
      <w:r>
        <w:rPr>
          <w:rFonts w:cs="Times New Roman"/>
          <w:lang w:val="en-GB"/>
        </w:rPr>
        <w:t xml:space="preserve">The ratio of tangible assets has a significant negative impact on the leverage ratio of state-owned enterprises, non-state-owned enterprises and all sample enterprises. It has a more obvious negative impact on the leverage ratio of state-owned enterprises than non-state-owned enterprises. Typically, the more tangible assets a company has, the more assets it can use as collateral, and the more debt it can finance. However, in China, state-owned enterprises are implicitly guaranteed by the government and have close relationships with banks, which greatly reduces the cost to banks of evaluating their qualifications. The debt financing available to state-owned enterprises does not depend on their own tangible assets. Moreover, according to the pecking order theory, enterprises with high tangible assets have lower information asymmetry and prefer equity financing, which is similar to the research results of </w:t>
      </w:r>
      <w:r>
        <w:rPr>
          <w:rFonts w:cs="Times New Roman"/>
          <w:color w:val="00B0F0"/>
          <w:lang w:val="en-GB"/>
        </w:rPr>
        <w:t>Tan et al. (2018).</w:t>
      </w:r>
    </w:p>
    <w:p>
      <w:pPr>
        <w:pStyle w:val="4"/>
        <w:spacing w:before="0" w:after="0" w:line="360" w:lineRule="auto"/>
        <w:contextualSpacing/>
        <w:jc w:val="left"/>
        <w:rPr>
          <w:szCs w:val="24"/>
          <w:lang w:val="en-GB"/>
        </w:rPr>
      </w:pPr>
    </w:p>
    <w:p>
      <w:pPr>
        <w:pStyle w:val="4"/>
        <w:spacing w:before="0" w:after="0" w:line="360" w:lineRule="auto"/>
        <w:contextualSpacing/>
        <w:jc w:val="left"/>
        <w:rPr>
          <w:i/>
          <w:szCs w:val="24"/>
          <w:lang w:val="en-GB"/>
        </w:rPr>
      </w:pPr>
      <w:r>
        <w:rPr>
          <w:i/>
          <w:szCs w:val="24"/>
          <w:lang w:val="en-GB"/>
        </w:rPr>
        <w:t>5.1.4 Asset turnover ratio</w:t>
      </w:r>
    </w:p>
    <w:p>
      <w:pPr>
        <w:pStyle w:val="26"/>
        <w:widowControl/>
        <w:spacing w:line="360" w:lineRule="auto"/>
        <w:ind w:firstLine="720" w:firstLineChars="0"/>
        <w:contextualSpacing/>
        <w:jc w:val="left"/>
        <w:rPr>
          <w:rFonts w:cs="Times New Roman"/>
          <w:lang w:val="en-GB"/>
        </w:rPr>
      </w:pPr>
      <w:r>
        <w:rPr>
          <w:rFonts w:cs="Times New Roman"/>
          <w:lang w:val="en-GB"/>
        </w:rPr>
        <w:t>At the significance level of 10%, the asset turnover rate is positively correlated for the overall sample of enterprises and has a significant positive impact on the low-leverage enterprises. The higher the asset turnover rate is, the better the operating capacity of the enterprise, making it easier to obtain loans.</w:t>
      </w:r>
    </w:p>
    <w:p>
      <w:pPr>
        <w:pStyle w:val="4"/>
        <w:spacing w:before="0" w:after="0" w:line="360" w:lineRule="auto"/>
        <w:contextualSpacing/>
        <w:jc w:val="left"/>
        <w:rPr>
          <w:szCs w:val="24"/>
          <w:lang w:val="en-GB"/>
        </w:rPr>
      </w:pPr>
    </w:p>
    <w:p>
      <w:pPr>
        <w:pStyle w:val="4"/>
        <w:spacing w:before="0" w:after="0" w:line="360" w:lineRule="auto"/>
        <w:contextualSpacing/>
        <w:jc w:val="left"/>
        <w:rPr>
          <w:i/>
          <w:szCs w:val="24"/>
          <w:lang w:val="en-GB"/>
        </w:rPr>
      </w:pPr>
      <w:r>
        <w:rPr>
          <w:i/>
          <w:szCs w:val="24"/>
          <w:lang w:val="en-GB"/>
        </w:rPr>
        <w:t>5.1.5 Liquidity</w:t>
      </w:r>
    </w:p>
    <w:p>
      <w:pPr>
        <w:widowControl/>
        <w:spacing w:line="360" w:lineRule="auto"/>
        <w:ind w:firstLine="720"/>
        <w:contextualSpacing/>
        <w:jc w:val="left"/>
        <w:rPr>
          <w:rFonts w:cs="Times New Roman"/>
          <w:lang w:val="en-GB"/>
        </w:rPr>
      </w:pPr>
      <w:r>
        <w:rPr>
          <w:rFonts w:cs="Times New Roman"/>
          <w:lang w:val="en-GB"/>
        </w:rPr>
        <w:t>The liquidity ratio has a significant negative impact on the leverage ratio. The higher the liquidity ratio is, the stronger the short-term solvency of the enterprise is, and the easier it is to obtain loans. However, a firm with a high liquidity ratio may borrow against its current assets.</w:t>
      </w:r>
    </w:p>
    <w:p>
      <w:pPr>
        <w:widowControl/>
        <w:spacing w:line="360" w:lineRule="auto"/>
        <w:ind w:firstLine="720"/>
        <w:contextualSpacing/>
        <w:jc w:val="left"/>
        <w:rPr>
          <w:rFonts w:cs="Times New Roman"/>
          <w:lang w:val="en-GB"/>
        </w:rPr>
      </w:pPr>
      <w:r>
        <w:rPr>
          <w:rFonts w:cs="Times New Roman"/>
          <w:lang w:val="en-GB"/>
        </w:rPr>
        <w:t>The research results of this paper show that the liquidity ratio has a significant negative impact on the asset-liability ratio of the overall sample, state-owned enterprises, non-state-owned enterprises and low-leverage enterprises, while the leverage ratio of high-leverage enterprises is not significant. The main reason is that the high default risk faced by enterprises with high leverage ratio and their high short-term solvency are hedged, which weakens the negative impact of the liquidity ratio.</w:t>
      </w:r>
    </w:p>
    <w:p>
      <w:pPr>
        <w:pStyle w:val="4"/>
        <w:spacing w:before="0" w:after="0" w:line="360" w:lineRule="auto"/>
        <w:contextualSpacing/>
        <w:jc w:val="left"/>
        <w:rPr>
          <w:szCs w:val="24"/>
          <w:lang w:val="en-GB"/>
        </w:rPr>
      </w:pPr>
    </w:p>
    <w:p>
      <w:pPr>
        <w:pStyle w:val="4"/>
        <w:spacing w:before="0" w:after="0" w:line="360" w:lineRule="auto"/>
        <w:contextualSpacing/>
        <w:jc w:val="left"/>
        <w:rPr>
          <w:i/>
          <w:szCs w:val="24"/>
          <w:lang w:val="en-GB"/>
        </w:rPr>
      </w:pPr>
      <w:r>
        <w:rPr>
          <w:i/>
          <w:szCs w:val="24"/>
          <w:lang w:val="en-GB"/>
        </w:rPr>
        <w:t>5.1.6 Growth ability</w:t>
      </w:r>
    </w:p>
    <w:p>
      <w:pPr>
        <w:widowControl/>
        <w:spacing w:line="360" w:lineRule="auto"/>
        <w:ind w:firstLine="720"/>
        <w:contextualSpacing/>
        <w:jc w:val="left"/>
        <w:rPr>
          <w:rFonts w:cs="Times New Roman"/>
          <w:lang w:val="en-GB"/>
        </w:rPr>
      </w:pPr>
      <w:r>
        <w:rPr>
          <w:rFonts w:cs="Times New Roman"/>
          <w:lang w:val="en-GB"/>
        </w:rPr>
        <w:t>The influence of growth capacity on the leverage ratio is not significant; the positive impact on state-owned enterprises and the overall sample is significant only at the 10% level. Strong growth ability means that enterprises have better development prospects but also increased risks. In this situation, the impact on the leverage ratio is not significant.</w:t>
      </w:r>
    </w:p>
    <w:p>
      <w:pPr>
        <w:pStyle w:val="4"/>
        <w:spacing w:before="0" w:after="0" w:line="360" w:lineRule="auto"/>
        <w:contextualSpacing/>
        <w:jc w:val="left"/>
        <w:rPr>
          <w:szCs w:val="24"/>
          <w:lang w:val="en-GB"/>
        </w:rPr>
      </w:pPr>
    </w:p>
    <w:p>
      <w:pPr>
        <w:pStyle w:val="4"/>
        <w:spacing w:before="0" w:after="0" w:line="360" w:lineRule="auto"/>
        <w:contextualSpacing/>
        <w:jc w:val="left"/>
        <w:rPr>
          <w:i/>
          <w:szCs w:val="24"/>
          <w:lang w:val="en-GB"/>
        </w:rPr>
      </w:pPr>
      <w:r>
        <w:rPr>
          <w:i/>
          <w:szCs w:val="24"/>
          <w:lang w:val="en-GB"/>
        </w:rPr>
        <w:t>5.1.7 Non-debt tax shield</w:t>
      </w:r>
    </w:p>
    <w:p>
      <w:pPr>
        <w:widowControl/>
        <w:spacing w:line="360" w:lineRule="auto"/>
        <w:ind w:firstLine="720"/>
        <w:contextualSpacing/>
        <w:jc w:val="left"/>
        <w:rPr>
          <w:rFonts w:cs="Times New Roman"/>
          <w:color w:val="00B0F0"/>
          <w:lang w:val="en-GB"/>
        </w:rPr>
      </w:pPr>
      <w:r>
        <w:rPr>
          <w:rFonts w:cs="Times New Roman"/>
          <w:lang w:val="en-GB"/>
        </w:rPr>
        <w:t xml:space="preserve">The non-debt tax shield of the overall sample, non-state-owned enterprises and high-leverage enterprises has a significant positive correlation with the leverage ratio. Generally, the higher the ratio of depreciation and amortization to the total assets is, the less income the enterprise can obtain through interest tax deduction, and the lower the asset-liability ratio of the company. However, currently, depreciation data include the depreciation of not only fixed assets but also oil and gas assets and productive biological assets, and the depreciation is related to other explanatory variables, which will have an impact on the leverage ratio. These reasons may explain the above conclusion, which is similar to the findings of </w:t>
      </w:r>
      <w:r>
        <w:rPr>
          <w:rFonts w:cs="Times New Roman"/>
          <w:color w:val="00B0F0"/>
          <w:lang w:val="en-GB"/>
        </w:rPr>
        <w:t>Tan et al. (2018)</w:t>
      </w:r>
      <w:r>
        <w:rPr>
          <w:rFonts w:cs="Times New Roman"/>
          <w:lang w:val="en-GB"/>
        </w:rPr>
        <w:t xml:space="preserve"> and </w:t>
      </w:r>
      <w:r>
        <w:rPr>
          <w:rFonts w:cs="Times New Roman"/>
          <w:color w:val="00B0F0"/>
          <w:lang w:val="en-GB"/>
        </w:rPr>
        <w:t>Xiao (2005)</w:t>
      </w:r>
      <w:r>
        <w:rPr>
          <w:rFonts w:cs="Times New Roman"/>
          <w:lang w:val="en-GB"/>
        </w:rPr>
        <w:t>.</w:t>
      </w:r>
    </w:p>
    <w:p>
      <w:pPr>
        <w:pStyle w:val="4"/>
        <w:spacing w:before="0" w:after="0" w:line="360" w:lineRule="auto"/>
        <w:contextualSpacing/>
        <w:jc w:val="left"/>
        <w:rPr>
          <w:szCs w:val="24"/>
          <w:lang w:val="en-GB"/>
        </w:rPr>
      </w:pPr>
    </w:p>
    <w:p>
      <w:pPr>
        <w:pStyle w:val="4"/>
        <w:spacing w:before="0" w:after="0" w:line="360" w:lineRule="auto"/>
        <w:contextualSpacing/>
        <w:jc w:val="left"/>
        <w:rPr>
          <w:i/>
          <w:szCs w:val="24"/>
          <w:lang w:val="en-GB"/>
        </w:rPr>
      </w:pPr>
      <w:r>
        <w:rPr>
          <w:i/>
          <w:szCs w:val="24"/>
          <w:lang w:val="en-GB"/>
        </w:rPr>
        <w:t>5.1.8 Industry</w:t>
      </w:r>
    </w:p>
    <w:p>
      <w:pPr>
        <w:pStyle w:val="26"/>
        <w:widowControl/>
        <w:spacing w:line="360" w:lineRule="auto"/>
        <w:ind w:firstLine="720" w:firstLineChars="0"/>
        <w:contextualSpacing/>
        <w:jc w:val="left"/>
        <w:rPr>
          <w:rFonts w:cs="Times New Roman"/>
          <w:lang w:val="en-GB"/>
        </w:rPr>
      </w:pPr>
      <w:r>
        <w:rPr>
          <w:rFonts w:cs="Times New Roman"/>
          <w:lang w:val="en-GB"/>
        </w:rPr>
        <w:t>The median leverage ratio of the industry has a significant positive impact on the leverage ratio. The median leverage ratio of the industry can reflect the operating characteristics and capital structure of an industry, which is an important factor affecting the leverage ratio.</w:t>
      </w:r>
    </w:p>
    <w:p>
      <w:pPr>
        <w:pStyle w:val="3"/>
        <w:spacing w:before="0" w:after="0" w:line="360" w:lineRule="auto"/>
        <w:contextualSpacing/>
        <w:jc w:val="left"/>
        <w:rPr>
          <w:sz w:val="24"/>
          <w:szCs w:val="24"/>
          <w:lang w:val="en-GB"/>
        </w:rPr>
      </w:pPr>
    </w:p>
    <w:p>
      <w:pPr>
        <w:pStyle w:val="3"/>
        <w:spacing w:before="0" w:after="0" w:line="360" w:lineRule="auto"/>
        <w:contextualSpacing/>
        <w:jc w:val="left"/>
        <w:rPr>
          <w:b/>
          <w:i/>
          <w:sz w:val="24"/>
          <w:szCs w:val="24"/>
          <w:lang w:val="en-GB"/>
        </w:rPr>
      </w:pPr>
      <w:r>
        <w:rPr>
          <w:b/>
          <w:i/>
          <w:sz w:val="24"/>
          <w:szCs w:val="24"/>
          <w:lang w:val="en-GB"/>
        </w:rPr>
        <w:t>5.2 Empirical test results of influencing factors at the macro level</w:t>
      </w:r>
    </w:p>
    <w:p>
      <w:pPr>
        <w:pStyle w:val="4"/>
        <w:spacing w:before="0" w:after="0" w:line="360" w:lineRule="auto"/>
        <w:ind w:firstLine="720" w:firstLineChars="300"/>
        <w:contextualSpacing/>
        <w:jc w:val="left"/>
        <w:rPr>
          <w:i/>
          <w:szCs w:val="24"/>
          <w:lang w:val="en-GB"/>
        </w:rPr>
      </w:pPr>
      <w:r>
        <w:rPr>
          <w:rFonts w:hint="eastAsia" w:cs="Times New Roman"/>
          <w:color w:val="000000" w:themeColor="text1"/>
          <w:lang w:val="en-US" w:eastAsia="zh-CN"/>
          <w14:textFill>
            <w14:solidFill>
              <w14:schemeClr w14:val="tx1"/>
            </w14:solidFill>
          </w14:textFill>
        </w:rPr>
        <w:t>The s</w:t>
      </w:r>
      <w:r>
        <w:rPr>
          <w:rFonts w:hint="eastAsia" w:cs="Times New Roman"/>
          <w:color w:val="000000" w:themeColor="text1"/>
          <w:lang w:val="en-GB"/>
          <w14:textFill>
            <w14:solidFill>
              <w14:schemeClr w14:val="tx1"/>
            </w14:solidFill>
          </w14:textFill>
        </w:rPr>
        <w:t>ingle regression results of macro variables</w:t>
      </w:r>
      <w:r>
        <w:rPr>
          <w:rFonts w:hint="eastAsia" w:cs="Times New Roman"/>
          <w:color w:val="000000" w:themeColor="text1"/>
          <w:lang w:val="en-US" w:eastAsia="zh-CN"/>
          <w14:textFill>
            <w14:solidFill>
              <w14:schemeClr w14:val="tx1"/>
            </w14:solidFill>
          </w14:textFill>
        </w:rPr>
        <w:t xml:space="preserve"> </w:t>
      </w:r>
      <w:r>
        <w:rPr>
          <w:rFonts w:cs="Times New Roman"/>
          <w:color w:val="000000" w:themeColor="text1"/>
          <w:lang w:val="en-GB"/>
          <w14:textFill>
            <w14:solidFill>
              <w14:schemeClr w14:val="tx1"/>
            </w14:solidFill>
          </w14:textFill>
        </w:rPr>
        <w:t xml:space="preserve">are shown in </w:t>
      </w:r>
      <w:r>
        <w:rPr>
          <w:rFonts w:cs="Times New Roman"/>
          <w:color w:val="00B0F0"/>
          <w:lang w:val="en-GB"/>
        </w:rPr>
        <w:t xml:space="preserve">Table </w:t>
      </w:r>
      <w:r>
        <w:rPr>
          <w:rFonts w:hint="eastAsia" w:cs="Times New Roman"/>
          <w:color w:val="00B0F0"/>
          <w:lang w:val="en-US" w:eastAsia="zh-CN"/>
        </w:rPr>
        <w:t>3</w:t>
      </w:r>
      <w:r>
        <w:rPr>
          <w:rFonts w:hint="eastAsia" w:cs="Times New Roman"/>
          <w:color w:val="000000" w:themeColor="text1"/>
          <w:lang w:val="en-US" w:eastAsia="zh-CN"/>
          <w14:textFill>
            <w14:solidFill>
              <w14:schemeClr w14:val="tx1"/>
            </w14:solidFill>
          </w14:textFill>
        </w:rPr>
        <w:t>.</w:t>
      </w:r>
    </w:p>
    <w:p>
      <w:pPr>
        <w:pStyle w:val="4"/>
        <w:spacing w:before="0" w:after="0" w:line="360" w:lineRule="auto"/>
        <w:contextualSpacing/>
        <w:jc w:val="left"/>
        <w:rPr>
          <w:i/>
          <w:szCs w:val="24"/>
          <w:lang w:val="en-GB"/>
        </w:rPr>
      </w:pPr>
      <w:r>
        <w:rPr>
          <w:i/>
          <w:szCs w:val="24"/>
          <w:lang w:val="en-GB"/>
        </w:rPr>
        <w:t>5.2.1 Direct influence</w:t>
      </w:r>
    </w:p>
    <w:p>
      <w:pPr>
        <w:spacing w:line="360" w:lineRule="auto"/>
        <w:contextualSpacing/>
        <w:jc w:val="left"/>
        <w:rPr>
          <w:rFonts w:cs="Times New Roman"/>
          <w:lang w:val="en-GB"/>
        </w:rPr>
      </w:pPr>
      <w:r>
        <w:rPr>
          <w:rFonts w:eastAsia="黑体" w:cs="Times New Roman"/>
          <w:b/>
          <w:lang w:val="en-GB"/>
        </w:rPr>
        <w:t xml:space="preserve">Table </w:t>
      </w:r>
      <w:r>
        <w:rPr>
          <w:rFonts w:hint="eastAsia" w:eastAsia="黑体" w:cs="Times New Roman"/>
          <w:b/>
          <w:lang w:val="en-US" w:eastAsia="zh-CN"/>
        </w:rPr>
        <w:t>3</w:t>
      </w:r>
      <w:r>
        <w:rPr>
          <w:rFonts w:eastAsia="黑体" w:cs="Times New Roman"/>
          <w:b/>
          <w:lang w:val="en-GB"/>
        </w:rPr>
        <w:t>.</w:t>
      </w:r>
      <w:r>
        <w:rPr>
          <w:rFonts w:eastAsia="黑体" w:cs="Times New Roman"/>
          <w:lang w:val="en-GB"/>
        </w:rPr>
        <w:t xml:space="preserve"> Single regression results of macro variables</w:t>
      </w:r>
    </w:p>
    <w:tbl>
      <w:tblPr>
        <w:tblStyle w:val="14"/>
        <w:tblW w:w="5000" w:type="pct"/>
        <w:tblInd w:w="0" w:type="dxa"/>
        <w:tblLayout w:type="autofit"/>
        <w:tblCellMar>
          <w:top w:w="0" w:type="dxa"/>
          <w:left w:w="108" w:type="dxa"/>
          <w:bottom w:w="0" w:type="dxa"/>
          <w:right w:w="108" w:type="dxa"/>
        </w:tblCellMar>
      </w:tblPr>
      <w:tblGrid>
        <w:gridCol w:w="1988"/>
        <w:gridCol w:w="1419"/>
        <w:gridCol w:w="1409"/>
        <w:gridCol w:w="1666"/>
        <w:gridCol w:w="1534"/>
        <w:gridCol w:w="1560"/>
      </w:tblGrid>
      <w:tr>
        <w:tblPrEx>
          <w:tblCellMar>
            <w:top w:w="0" w:type="dxa"/>
            <w:left w:w="108" w:type="dxa"/>
            <w:bottom w:w="0" w:type="dxa"/>
            <w:right w:w="108" w:type="dxa"/>
          </w:tblCellMar>
        </w:tblPrEx>
        <w:trPr>
          <w:trHeight w:val="402" w:hRule="atLeast"/>
        </w:trPr>
        <w:tc>
          <w:tcPr>
            <w:tcW w:w="1985" w:type="dxa"/>
            <w:tcBorders>
              <w:top w:val="single" w:color="auto" w:sz="12" w:space="0"/>
              <w:left w:val="nil"/>
              <w:bottom w:val="single" w:color="auto" w:sz="8" w:space="0"/>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　</w:t>
            </w:r>
          </w:p>
        </w:tc>
        <w:tc>
          <w:tcPr>
            <w:tcW w:w="1417" w:type="dxa"/>
            <w:tcBorders>
              <w:top w:val="single" w:color="auto" w:sz="12" w:space="0"/>
              <w:left w:val="single" w:color="auto" w:sz="8" w:space="0"/>
              <w:bottom w:val="single" w:color="auto" w:sz="8" w:space="0"/>
              <w:right w:val="single" w:color="auto" w:sz="8" w:space="0"/>
            </w:tcBorders>
            <w:shd w:val="clear" w:color="auto" w:fill="auto"/>
            <w:noWrap/>
            <w:vAlign w:val="center"/>
          </w:tcPr>
          <w:p>
            <w:pPr>
              <w:widowControl/>
              <w:rPr>
                <w:rFonts w:cs="Times New Roman"/>
                <w:color w:val="000000"/>
                <w:sz w:val="21"/>
                <w:szCs w:val="21"/>
                <w:lang w:val="en-GB"/>
              </w:rPr>
            </w:pPr>
            <w:r>
              <w:rPr>
                <w:rFonts w:cs="Times New Roman"/>
                <w:color w:val="000000"/>
                <w:sz w:val="21"/>
                <w:szCs w:val="21"/>
                <w:lang w:val="en-GB"/>
              </w:rPr>
              <w:t>Total sample</w:t>
            </w:r>
          </w:p>
        </w:tc>
        <w:tc>
          <w:tcPr>
            <w:tcW w:w="1407" w:type="dxa"/>
            <w:tcBorders>
              <w:top w:val="single" w:color="auto" w:sz="12" w:space="0"/>
              <w:left w:val="single" w:color="auto" w:sz="8" w:space="0"/>
              <w:bottom w:val="single" w:color="auto" w:sz="8" w:space="0"/>
              <w:right w:val="single" w:color="auto" w:sz="8" w:space="0"/>
            </w:tcBorders>
            <w:shd w:val="clear" w:color="auto" w:fill="auto"/>
            <w:noWrap/>
            <w:vAlign w:val="center"/>
          </w:tcPr>
          <w:p>
            <w:pPr>
              <w:widowControl/>
              <w:rPr>
                <w:rFonts w:cs="Times New Roman"/>
                <w:color w:val="000000"/>
                <w:sz w:val="21"/>
                <w:szCs w:val="21"/>
                <w:lang w:val="en-GB"/>
              </w:rPr>
            </w:pPr>
            <w:r>
              <w:rPr>
                <w:rFonts w:cs="Times New Roman"/>
                <w:color w:val="000000"/>
                <w:sz w:val="21"/>
                <w:szCs w:val="21"/>
                <w:lang w:val="en-GB"/>
              </w:rPr>
              <w:t>State-owned enterprises</w:t>
            </w:r>
          </w:p>
        </w:tc>
        <w:tc>
          <w:tcPr>
            <w:tcW w:w="1456" w:type="dxa"/>
            <w:tcBorders>
              <w:top w:val="single" w:color="auto" w:sz="12" w:space="0"/>
              <w:left w:val="single" w:color="auto" w:sz="8" w:space="0"/>
              <w:bottom w:val="single" w:color="auto" w:sz="8" w:space="0"/>
              <w:right w:val="single" w:color="auto" w:sz="8" w:space="0"/>
            </w:tcBorders>
            <w:shd w:val="clear" w:color="auto" w:fill="auto"/>
            <w:noWrap/>
            <w:vAlign w:val="center"/>
          </w:tcPr>
          <w:p>
            <w:pPr>
              <w:widowControl/>
              <w:rPr>
                <w:rFonts w:cs="Times New Roman"/>
                <w:color w:val="000000"/>
                <w:sz w:val="21"/>
                <w:szCs w:val="21"/>
                <w:lang w:val="en-GB"/>
              </w:rPr>
            </w:pPr>
            <w:r>
              <w:rPr>
                <w:rFonts w:cs="Times New Roman"/>
                <w:color w:val="000000"/>
                <w:sz w:val="21"/>
                <w:szCs w:val="21"/>
                <w:lang w:val="en-GB"/>
              </w:rPr>
              <w:t>Non-state-owned enterprises</w:t>
            </w:r>
          </w:p>
        </w:tc>
        <w:tc>
          <w:tcPr>
            <w:tcW w:w="1532" w:type="dxa"/>
            <w:tcBorders>
              <w:top w:val="single" w:color="auto" w:sz="12" w:space="0"/>
              <w:left w:val="single" w:color="auto" w:sz="8" w:space="0"/>
              <w:bottom w:val="single" w:color="auto" w:sz="8" w:space="0"/>
              <w:right w:val="single" w:color="auto" w:sz="8" w:space="0"/>
            </w:tcBorders>
            <w:shd w:val="clear" w:color="auto" w:fill="auto"/>
            <w:noWrap/>
            <w:vAlign w:val="center"/>
          </w:tcPr>
          <w:p>
            <w:pPr>
              <w:widowControl/>
              <w:rPr>
                <w:rFonts w:cs="Times New Roman"/>
                <w:color w:val="000000"/>
                <w:sz w:val="21"/>
                <w:szCs w:val="21"/>
                <w:lang w:val="en-GB"/>
              </w:rPr>
            </w:pPr>
            <w:r>
              <w:rPr>
                <w:rFonts w:cs="Times New Roman"/>
                <w:sz w:val="21"/>
                <w:szCs w:val="21"/>
                <w:lang w:val="en-GB"/>
              </w:rPr>
              <w:t>Enterprises with high leverage ratio</w:t>
            </w:r>
          </w:p>
        </w:tc>
        <w:tc>
          <w:tcPr>
            <w:tcW w:w="1557" w:type="dxa"/>
            <w:tcBorders>
              <w:top w:val="single" w:color="auto" w:sz="12" w:space="0"/>
              <w:left w:val="single" w:color="auto" w:sz="8" w:space="0"/>
              <w:bottom w:val="single" w:color="auto" w:sz="8" w:space="0"/>
              <w:right w:val="nil"/>
            </w:tcBorders>
            <w:shd w:val="clear" w:color="auto" w:fill="auto"/>
            <w:noWrap/>
            <w:vAlign w:val="center"/>
          </w:tcPr>
          <w:p>
            <w:pPr>
              <w:widowControl/>
              <w:rPr>
                <w:rFonts w:cs="Times New Roman"/>
                <w:color w:val="000000"/>
                <w:sz w:val="21"/>
                <w:szCs w:val="21"/>
                <w:lang w:val="en-GB"/>
              </w:rPr>
            </w:pPr>
            <w:r>
              <w:rPr>
                <w:rFonts w:cs="Times New Roman"/>
                <w:sz w:val="21"/>
                <w:szCs w:val="21"/>
                <w:lang w:val="en-GB"/>
              </w:rPr>
              <w:t>Enterprises with low leverage ratio</w:t>
            </w:r>
          </w:p>
        </w:tc>
      </w:tr>
      <w:tr>
        <w:tblPrEx>
          <w:tblCellMar>
            <w:top w:w="0" w:type="dxa"/>
            <w:left w:w="108" w:type="dxa"/>
            <w:bottom w:w="0" w:type="dxa"/>
            <w:right w:w="108" w:type="dxa"/>
          </w:tblCellMar>
        </w:tblPrEx>
        <w:trPr>
          <w:trHeight w:val="402" w:hRule="atLeast"/>
        </w:trPr>
        <w:tc>
          <w:tcPr>
            <w:tcW w:w="1985" w:type="dxa"/>
            <w:vMerge w:val="restart"/>
            <w:tcBorders>
              <w:top w:val="single" w:color="auto" w:sz="8" w:space="0"/>
              <w:left w:val="nil"/>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GDP</w:t>
            </w:r>
          </w:p>
        </w:tc>
        <w:tc>
          <w:tcPr>
            <w:tcW w:w="1417" w:type="dxa"/>
            <w:tcBorders>
              <w:top w:val="single" w:color="auto" w:sz="8" w:space="0"/>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0.414**</w:t>
            </w:r>
          </w:p>
        </w:tc>
        <w:tc>
          <w:tcPr>
            <w:tcW w:w="1407" w:type="dxa"/>
            <w:tcBorders>
              <w:top w:val="single" w:color="auto" w:sz="8" w:space="0"/>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1.113</w:t>
            </w:r>
          </w:p>
        </w:tc>
        <w:tc>
          <w:tcPr>
            <w:tcW w:w="1456" w:type="dxa"/>
            <w:tcBorders>
              <w:top w:val="single" w:color="auto" w:sz="8" w:space="0"/>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0.490**</w:t>
            </w:r>
          </w:p>
        </w:tc>
        <w:tc>
          <w:tcPr>
            <w:tcW w:w="1532" w:type="dxa"/>
            <w:tcBorders>
              <w:top w:val="single" w:color="auto" w:sz="8" w:space="0"/>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-0.133</w:t>
            </w:r>
          </w:p>
        </w:tc>
        <w:tc>
          <w:tcPr>
            <w:tcW w:w="1557" w:type="dxa"/>
            <w:tcBorders>
              <w:top w:val="single" w:color="auto" w:sz="8" w:space="0"/>
              <w:left w:val="single" w:color="auto" w:sz="8" w:space="0"/>
              <w:bottom w:val="nil"/>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0.0611</w:t>
            </w:r>
          </w:p>
        </w:tc>
      </w:tr>
      <w:tr>
        <w:tblPrEx>
          <w:tblCellMar>
            <w:top w:w="0" w:type="dxa"/>
            <w:left w:w="108" w:type="dxa"/>
            <w:bottom w:w="0" w:type="dxa"/>
            <w:right w:w="108" w:type="dxa"/>
          </w:tblCellMar>
        </w:tblPrEx>
        <w:trPr>
          <w:trHeight w:val="402" w:hRule="atLeast"/>
        </w:trPr>
        <w:tc>
          <w:tcPr>
            <w:tcW w:w="1985" w:type="dxa"/>
            <w:vMerge w:val="continue"/>
            <w:tcBorders>
              <w:top w:val="nil"/>
              <w:left w:val="nil"/>
              <w:bottom w:val="nil"/>
              <w:right w:val="single" w:color="auto" w:sz="8" w:space="0"/>
            </w:tcBorders>
            <w:vAlign w:val="center"/>
          </w:tcPr>
          <w:p>
            <w:pPr>
              <w:widowControl/>
              <w:jc w:val="left"/>
              <w:rPr>
                <w:rFonts w:cs="Times New Roman"/>
                <w:color w:val="000000"/>
                <w:sz w:val="21"/>
                <w:szCs w:val="21"/>
                <w:lang w:val="en-GB"/>
              </w:rPr>
            </w:pPr>
          </w:p>
        </w:tc>
        <w:tc>
          <w:tcPr>
            <w:tcW w:w="1417"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(-0.199)</w:t>
            </w:r>
          </w:p>
        </w:tc>
        <w:tc>
          <w:tcPr>
            <w:tcW w:w="1407"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(-0.683)</w:t>
            </w:r>
          </w:p>
        </w:tc>
        <w:tc>
          <w:tcPr>
            <w:tcW w:w="1456"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(-0.217)</w:t>
            </w:r>
          </w:p>
        </w:tc>
        <w:tc>
          <w:tcPr>
            <w:tcW w:w="1532"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(-0.946)</w:t>
            </w:r>
          </w:p>
        </w:tc>
        <w:tc>
          <w:tcPr>
            <w:tcW w:w="1557" w:type="dxa"/>
            <w:tcBorders>
              <w:top w:val="nil"/>
              <w:left w:val="single" w:color="auto" w:sz="8" w:space="0"/>
              <w:bottom w:val="nil"/>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(-0.0882)</w:t>
            </w:r>
          </w:p>
        </w:tc>
      </w:tr>
      <w:tr>
        <w:tblPrEx>
          <w:tblCellMar>
            <w:top w:w="0" w:type="dxa"/>
            <w:left w:w="108" w:type="dxa"/>
            <w:bottom w:w="0" w:type="dxa"/>
            <w:right w:w="108" w:type="dxa"/>
          </w:tblCellMar>
        </w:tblPrEx>
        <w:trPr>
          <w:trHeight w:val="402" w:hRule="atLeast"/>
        </w:trPr>
        <w:tc>
          <w:tcPr>
            <w:tcW w:w="1985" w:type="dxa"/>
            <w:vMerge w:val="restart"/>
            <w:tcBorders>
              <w:top w:val="nil"/>
              <w:left w:val="nil"/>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Pindex</w:t>
            </w:r>
          </w:p>
        </w:tc>
        <w:tc>
          <w:tcPr>
            <w:tcW w:w="1417"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-0.00858</w:t>
            </w:r>
          </w:p>
        </w:tc>
        <w:tc>
          <w:tcPr>
            <w:tcW w:w="1407"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0.0313*</w:t>
            </w:r>
          </w:p>
        </w:tc>
        <w:tc>
          <w:tcPr>
            <w:tcW w:w="1456"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-0.0107</w:t>
            </w:r>
          </w:p>
        </w:tc>
        <w:tc>
          <w:tcPr>
            <w:tcW w:w="1532"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-0.0629**</w:t>
            </w:r>
          </w:p>
        </w:tc>
        <w:tc>
          <w:tcPr>
            <w:tcW w:w="1557" w:type="dxa"/>
            <w:tcBorders>
              <w:top w:val="nil"/>
              <w:left w:val="single" w:color="auto" w:sz="8" w:space="0"/>
              <w:bottom w:val="nil"/>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 xml:space="preserve">-0.00518*  </w:t>
            </w:r>
          </w:p>
        </w:tc>
      </w:tr>
      <w:tr>
        <w:tblPrEx>
          <w:tblCellMar>
            <w:top w:w="0" w:type="dxa"/>
            <w:left w:w="108" w:type="dxa"/>
            <w:bottom w:w="0" w:type="dxa"/>
            <w:right w:w="108" w:type="dxa"/>
          </w:tblCellMar>
        </w:tblPrEx>
        <w:trPr>
          <w:trHeight w:val="402" w:hRule="atLeast"/>
        </w:trPr>
        <w:tc>
          <w:tcPr>
            <w:tcW w:w="1985" w:type="dxa"/>
            <w:vMerge w:val="continue"/>
            <w:tcBorders>
              <w:top w:val="nil"/>
              <w:left w:val="nil"/>
              <w:bottom w:val="nil"/>
              <w:right w:val="single" w:color="auto" w:sz="8" w:space="0"/>
            </w:tcBorders>
            <w:vAlign w:val="center"/>
          </w:tcPr>
          <w:p>
            <w:pPr>
              <w:widowControl/>
              <w:jc w:val="left"/>
              <w:rPr>
                <w:rFonts w:cs="Times New Roman"/>
                <w:color w:val="000000"/>
                <w:sz w:val="21"/>
                <w:szCs w:val="21"/>
                <w:lang w:val="en-GB"/>
              </w:rPr>
            </w:pPr>
          </w:p>
        </w:tc>
        <w:tc>
          <w:tcPr>
            <w:tcW w:w="1417"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(-0.00761)</w:t>
            </w:r>
          </w:p>
        </w:tc>
        <w:tc>
          <w:tcPr>
            <w:tcW w:w="1407"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(-0.0161)</w:t>
            </w:r>
          </w:p>
        </w:tc>
        <w:tc>
          <w:tcPr>
            <w:tcW w:w="1456"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(-0.00881)</w:t>
            </w:r>
          </w:p>
        </w:tc>
        <w:tc>
          <w:tcPr>
            <w:tcW w:w="1532"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(-0.0307)</w:t>
            </w:r>
          </w:p>
        </w:tc>
        <w:tc>
          <w:tcPr>
            <w:tcW w:w="1557" w:type="dxa"/>
            <w:tcBorders>
              <w:top w:val="nil"/>
              <w:left w:val="single" w:color="auto" w:sz="8" w:space="0"/>
              <w:bottom w:val="nil"/>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(-0.00311)</w:t>
            </w:r>
          </w:p>
        </w:tc>
      </w:tr>
      <w:tr>
        <w:tblPrEx>
          <w:tblCellMar>
            <w:top w:w="0" w:type="dxa"/>
            <w:left w:w="108" w:type="dxa"/>
            <w:bottom w:w="0" w:type="dxa"/>
            <w:right w:w="108" w:type="dxa"/>
          </w:tblCellMar>
        </w:tblPrEx>
        <w:trPr>
          <w:trHeight w:val="402" w:hRule="atLeast"/>
        </w:trPr>
        <w:tc>
          <w:tcPr>
            <w:tcW w:w="1985" w:type="dxa"/>
            <w:vMerge w:val="restart"/>
            <w:tcBorders>
              <w:top w:val="nil"/>
              <w:left w:val="nil"/>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CPI</w:t>
            </w:r>
          </w:p>
        </w:tc>
        <w:tc>
          <w:tcPr>
            <w:tcW w:w="1417"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0.115</w:t>
            </w:r>
          </w:p>
        </w:tc>
        <w:tc>
          <w:tcPr>
            <w:tcW w:w="1407"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0.527</w:t>
            </w:r>
          </w:p>
        </w:tc>
        <w:tc>
          <w:tcPr>
            <w:tcW w:w="1456"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0.305</w:t>
            </w:r>
          </w:p>
        </w:tc>
        <w:tc>
          <w:tcPr>
            <w:tcW w:w="1532"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-0.641</w:t>
            </w:r>
          </w:p>
        </w:tc>
        <w:tc>
          <w:tcPr>
            <w:tcW w:w="1557" w:type="dxa"/>
            <w:tcBorders>
              <w:top w:val="nil"/>
              <w:left w:val="single" w:color="auto" w:sz="8" w:space="0"/>
              <w:bottom w:val="nil"/>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 xml:space="preserve">-0.491** </w:t>
            </w:r>
          </w:p>
        </w:tc>
      </w:tr>
      <w:tr>
        <w:tblPrEx>
          <w:tblCellMar>
            <w:top w:w="0" w:type="dxa"/>
            <w:left w:w="108" w:type="dxa"/>
            <w:bottom w:w="0" w:type="dxa"/>
            <w:right w:w="108" w:type="dxa"/>
          </w:tblCellMar>
        </w:tblPrEx>
        <w:trPr>
          <w:trHeight w:val="402" w:hRule="atLeast"/>
        </w:trPr>
        <w:tc>
          <w:tcPr>
            <w:tcW w:w="1985" w:type="dxa"/>
            <w:vMerge w:val="continue"/>
            <w:tcBorders>
              <w:top w:val="nil"/>
              <w:left w:val="nil"/>
              <w:bottom w:val="nil"/>
              <w:right w:val="single" w:color="auto" w:sz="8" w:space="0"/>
            </w:tcBorders>
            <w:vAlign w:val="center"/>
          </w:tcPr>
          <w:p>
            <w:pPr>
              <w:widowControl/>
              <w:jc w:val="left"/>
              <w:rPr>
                <w:rFonts w:cs="Times New Roman"/>
                <w:color w:val="000000"/>
                <w:sz w:val="21"/>
                <w:szCs w:val="21"/>
                <w:lang w:val="en-GB"/>
              </w:rPr>
            </w:pPr>
          </w:p>
        </w:tc>
        <w:tc>
          <w:tcPr>
            <w:tcW w:w="1417"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(-0.388)</w:t>
            </w:r>
          </w:p>
        </w:tc>
        <w:tc>
          <w:tcPr>
            <w:tcW w:w="1407"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(-0.716)</w:t>
            </w:r>
          </w:p>
        </w:tc>
        <w:tc>
          <w:tcPr>
            <w:tcW w:w="1456"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(-0.468)</w:t>
            </w:r>
          </w:p>
        </w:tc>
        <w:tc>
          <w:tcPr>
            <w:tcW w:w="1532"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(-1.314)</w:t>
            </w:r>
          </w:p>
        </w:tc>
        <w:tc>
          <w:tcPr>
            <w:tcW w:w="1557" w:type="dxa"/>
            <w:tcBorders>
              <w:top w:val="nil"/>
              <w:left w:val="single" w:color="auto" w:sz="8" w:space="0"/>
              <w:bottom w:val="nil"/>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(-0.221)</w:t>
            </w:r>
          </w:p>
        </w:tc>
      </w:tr>
      <w:tr>
        <w:tblPrEx>
          <w:tblCellMar>
            <w:top w:w="0" w:type="dxa"/>
            <w:left w:w="108" w:type="dxa"/>
            <w:bottom w:w="0" w:type="dxa"/>
            <w:right w:w="108" w:type="dxa"/>
          </w:tblCellMar>
        </w:tblPrEx>
        <w:trPr>
          <w:trHeight w:val="402" w:hRule="atLeast"/>
        </w:trPr>
        <w:tc>
          <w:tcPr>
            <w:tcW w:w="1985" w:type="dxa"/>
            <w:vMerge w:val="restart"/>
            <w:tcBorders>
              <w:top w:val="nil"/>
              <w:left w:val="nil"/>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M2</w:t>
            </w:r>
          </w:p>
        </w:tc>
        <w:tc>
          <w:tcPr>
            <w:tcW w:w="1417"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-0.272*</w:t>
            </w:r>
          </w:p>
        </w:tc>
        <w:tc>
          <w:tcPr>
            <w:tcW w:w="1407"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-0.141</w:t>
            </w:r>
          </w:p>
        </w:tc>
        <w:tc>
          <w:tcPr>
            <w:tcW w:w="1456"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-0.279</w:t>
            </w:r>
          </w:p>
        </w:tc>
        <w:tc>
          <w:tcPr>
            <w:tcW w:w="1532"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-0.836*</w:t>
            </w:r>
          </w:p>
        </w:tc>
        <w:tc>
          <w:tcPr>
            <w:tcW w:w="1557" w:type="dxa"/>
            <w:tcBorders>
              <w:top w:val="nil"/>
              <w:left w:val="single" w:color="auto" w:sz="8" w:space="0"/>
              <w:bottom w:val="nil"/>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 xml:space="preserve">-0.0894** </w:t>
            </w:r>
          </w:p>
        </w:tc>
      </w:tr>
      <w:tr>
        <w:tblPrEx>
          <w:tblCellMar>
            <w:top w:w="0" w:type="dxa"/>
            <w:left w:w="108" w:type="dxa"/>
            <w:bottom w:w="0" w:type="dxa"/>
            <w:right w:w="108" w:type="dxa"/>
          </w:tblCellMar>
        </w:tblPrEx>
        <w:trPr>
          <w:trHeight w:val="402" w:hRule="atLeast"/>
        </w:trPr>
        <w:tc>
          <w:tcPr>
            <w:tcW w:w="1985" w:type="dxa"/>
            <w:vMerge w:val="continue"/>
            <w:tcBorders>
              <w:top w:val="nil"/>
              <w:left w:val="nil"/>
              <w:bottom w:val="nil"/>
              <w:right w:val="single" w:color="auto" w:sz="8" w:space="0"/>
            </w:tcBorders>
            <w:vAlign w:val="center"/>
          </w:tcPr>
          <w:p>
            <w:pPr>
              <w:widowControl/>
              <w:jc w:val="left"/>
              <w:rPr>
                <w:rFonts w:cs="Times New Roman"/>
                <w:color w:val="000000"/>
                <w:sz w:val="21"/>
                <w:szCs w:val="21"/>
                <w:lang w:val="en-GB"/>
              </w:rPr>
            </w:pPr>
          </w:p>
        </w:tc>
        <w:tc>
          <w:tcPr>
            <w:tcW w:w="1417"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(-0.158)</w:t>
            </w:r>
          </w:p>
        </w:tc>
        <w:tc>
          <w:tcPr>
            <w:tcW w:w="1407"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(-0.234)</w:t>
            </w:r>
          </w:p>
        </w:tc>
        <w:tc>
          <w:tcPr>
            <w:tcW w:w="1456"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(-0.205)</w:t>
            </w:r>
          </w:p>
        </w:tc>
        <w:tc>
          <w:tcPr>
            <w:tcW w:w="1532"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(-0.477)</w:t>
            </w:r>
          </w:p>
        </w:tc>
        <w:tc>
          <w:tcPr>
            <w:tcW w:w="1557" w:type="dxa"/>
            <w:tcBorders>
              <w:top w:val="nil"/>
              <w:left w:val="single" w:color="auto" w:sz="8" w:space="0"/>
              <w:bottom w:val="nil"/>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(-0.0402)</w:t>
            </w:r>
          </w:p>
        </w:tc>
      </w:tr>
      <w:tr>
        <w:tblPrEx>
          <w:tblCellMar>
            <w:top w:w="0" w:type="dxa"/>
            <w:left w:w="108" w:type="dxa"/>
            <w:bottom w:w="0" w:type="dxa"/>
            <w:right w:w="108" w:type="dxa"/>
          </w:tblCellMar>
        </w:tblPrEx>
        <w:trPr>
          <w:trHeight w:val="402" w:hRule="atLeast"/>
        </w:trPr>
        <w:tc>
          <w:tcPr>
            <w:tcW w:w="1985" w:type="dxa"/>
            <w:vMerge w:val="restart"/>
            <w:tcBorders>
              <w:top w:val="nil"/>
              <w:left w:val="nil"/>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Constant</w:t>
            </w:r>
          </w:p>
        </w:tc>
        <w:tc>
          <w:tcPr>
            <w:tcW w:w="1417"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46.44***</w:t>
            </w:r>
          </w:p>
        </w:tc>
        <w:tc>
          <w:tcPr>
            <w:tcW w:w="1407"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31.36***</w:t>
            </w:r>
          </w:p>
        </w:tc>
        <w:tc>
          <w:tcPr>
            <w:tcW w:w="1456"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45.69***</w:t>
            </w:r>
          </w:p>
        </w:tc>
        <w:tc>
          <w:tcPr>
            <w:tcW w:w="1532"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110.4***</w:t>
            </w:r>
          </w:p>
        </w:tc>
        <w:tc>
          <w:tcPr>
            <w:tcW w:w="1557" w:type="dxa"/>
            <w:tcBorders>
              <w:top w:val="nil"/>
              <w:left w:val="single" w:color="auto" w:sz="8" w:space="0"/>
              <w:bottom w:val="nil"/>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16.62***</w:t>
            </w:r>
          </w:p>
        </w:tc>
      </w:tr>
      <w:tr>
        <w:tblPrEx>
          <w:tblCellMar>
            <w:top w:w="0" w:type="dxa"/>
            <w:left w:w="108" w:type="dxa"/>
            <w:bottom w:w="0" w:type="dxa"/>
            <w:right w:w="108" w:type="dxa"/>
          </w:tblCellMar>
        </w:tblPrEx>
        <w:trPr>
          <w:trHeight w:val="402" w:hRule="atLeast"/>
        </w:trPr>
        <w:tc>
          <w:tcPr>
            <w:tcW w:w="1985" w:type="dxa"/>
            <w:vMerge w:val="continue"/>
            <w:tcBorders>
              <w:top w:val="nil"/>
              <w:left w:val="nil"/>
              <w:bottom w:val="nil"/>
              <w:right w:val="single" w:color="auto" w:sz="8" w:space="0"/>
            </w:tcBorders>
            <w:vAlign w:val="center"/>
          </w:tcPr>
          <w:p>
            <w:pPr>
              <w:widowControl/>
              <w:jc w:val="left"/>
              <w:rPr>
                <w:rFonts w:cs="Times New Roman"/>
                <w:color w:val="000000"/>
                <w:sz w:val="21"/>
                <w:szCs w:val="21"/>
                <w:lang w:val="en-GB"/>
              </w:rPr>
            </w:pPr>
          </w:p>
        </w:tc>
        <w:tc>
          <w:tcPr>
            <w:tcW w:w="1417"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(-4.989)</w:t>
            </w:r>
          </w:p>
        </w:tc>
        <w:tc>
          <w:tcPr>
            <w:tcW w:w="1407"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(-9.244)</w:t>
            </w:r>
          </w:p>
        </w:tc>
        <w:tc>
          <w:tcPr>
            <w:tcW w:w="1456"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(-6.061)</w:t>
            </w:r>
          </w:p>
        </w:tc>
        <w:tc>
          <w:tcPr>
            <w:tcW w:w="1532"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(-19.37)</w:t>
            </w:r>
          </w:p>
        </w:tc>
        <w:tc>
          <w:tcPr>
            <w:tcW w:w="1557" w:type="dxa"/>
            <w:tcBorders>
              <w:top w:val="nil"/>
              <w:left w:val="single" w:color="auto" w:sz="8" w:space="0"/>
              <w:bottom w:val="nil"/>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(-1.475)</w:t>
            </w:r>
          </w:p>
        </w:tc>
      </w:tr>
      <w:tr>
        <w:tblPrEx>
          <w:tblCellMar>
            <w:top w:w="0" w:type="dxa"/>
            <w:left w:w="108" w:type="dxa"/>
            <w:bottom w:w="0" w:type="dxa"/>
            <w:right w:w="108" w:type="dxa"/>
          </w:tblCellMar>
        </w:tblPrEx>
        <w:trPr>
          <w:trHeight w:val="402" w:hRule="atLeast"/>
        </w:trPr>
        <w:tc>
          <w:tcPr>
            <w:tcW w:w="1985" w:type="dxa"/>
            <w:tcBorders>
              <w:top w:val="nil"/>
              <w:left w:val="nil"/>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R-sq</w:t>
            </w:r>
          </w:p>
        </w:tc>
        <w:tc>
          <w:tcPr>
            <w:tcW w:w="1417"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0.0062</w:t>
            </w:r>
          </w:p>
        </w:tc>
        <w:tc>
          <w:tcPr>
            <w:tcW w:w="1407"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0.0166</w:t>
            </w:r>
          </w:p>
        </w:tc>
        <w:tc>
          <w:tcPr>
            <w:tcW w:w="1456"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0.0086</w:t>
            </w:r>
          </w:p>
        </w:tc>
        <w:tc>
          <w:tcPr>
            <w:tcW w:w="1532"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0.0391</w:t>
            </w:r>
          </w:p>
        </w:tc>
        <w:tc>
          <w:tcPr>
            <w:tcW w:w="1557" w:type="dxa"/>
            <w:tcBorders>
              <w:top w:val="nil"/>
              <w:left w:val="single" w:color="auto" w:sz="8" w:space="0"/>
              <w:bottom w:val="nil"/>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0.0127</w:t>
            </w:r>
          </w:p>
        </w:tc>
      </w:tr>
      <w:tr>
        <w:tblPrEx>
          <w:tblCellMar>
            <w:top w:w="0" w:type="dxa"/>
            <w:left w:w="108" w:type="dxa"/>
            <w:bottom w:w="0" w:type="dxa"/>
            <w:right w:w="108" w:type="dxa"/>
          </w:tblCellMar>
        </w:tblPrEx>
        <w:trPr>
          <w:trHeight w:val="402" w:hRule="atLeast"/>
        </w:trPr>
        <w:tc>
          <w:tcPr>
            <w:tcW w:w="1985" w:type="dxa"/>
            <w:tcBorders>
              <w:top w:val="nil"/>
              <w:left w:val="nil"/>
              <w:bottom w:val="single" w:color="auto" w:sz="12" w:space="0"/>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Company number</w:t>
            </w:r>
          </w:p>
        </w:tc>
        <w:tc>
          <w:tcPr>
            <w:tcW w:w="1417" w:type="dxa"/>
            <w:tcBorders>
              <w:top w:val="nil"/>
              <w:left w:val="single" w:color="auto" w:sz="8" w:space="0"/>
              <w:bottom w:val="single" w:color="auto" w:sz="12" w:space="0"/>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890</w:t>
            </w:r>
          </w:p>
        </w:tc>
        <w:tc>
          <w:tcPr>
            <w:tcW w:w="1407" w:type="dxa"/>
            <w:tcBorders>
              <w:top w:val="nil"/>
              <w:left w:val="single" w:color="auto" w:sz="8" w:space="0"/>
              <w:bottom w:val="single" w:color="auto" w:sz="12" w:space="0"/>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132</w:t>
            </w:r>
          </w:p>
        </w:tc>
        <w:tc>
          <w:tcPr>
            <w:tcW w:w="1456" w:type="dxa"/>
            <w:tcBorders>
              <w:top w:val="nil"/>
              <w:left w:val="single" w:color="auto" w:sz="8" w:space="0"/>
              <w:bottom w:val="single" w:color="auto" w:sz="12" w:space="0"/>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758</w:t>
            </w:r>
          </w:p>
        </w:tc>
        <w:tc>
          <w:tcPr>
            <w:tcW w:w="1532" w:type="dxa"/>
            <w:tcBorders>
              <w:top w:val="nil"/>
              <w:left w:val="single" w:color="auto" w:sz="8" w:space="0"/>
              <w:bottom w:val="single" w:color="auto" w:sz="12" w:space="0"/>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475</w:t>
            </w:r>
          </w:p>
        </w:tc>
        <w:tc>
          <w:tcPr>
            <w:tcW w:w="1557" w:type="dxa"/>
            <w:tcBorders>
              <w:top w:val="nil"/>
              <w:left w:val="single" w:color="auto" w:sz="8" w:space="0"/>
              <w:bottom w:val="single" w:color="auto" w:sz="12" w:space="0"/>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480</w:t>
            </w:r>
          </w:p>
        </w:tc>
      </w:tr>
    </w:tbl>
    <w:p>
      <w:pPr>
        <w:spacing w:line="360" w:lineRule="auto"/>
        <w:contextualSpacing/>
        <w:jc w:val="left"/>
        <w:rPr>
          <w:rFonts w:cs="Times New Roman"/>
          <w:lang w:val="en-GB"/>
        </w:rPr>
      </w:pPr>
      <w:r>
        <w:rPr>
          <w:rFonts w:cs="Times New Roman"/>
          <w:lang w:val="en-GB"/>
        </w:rPr>
        <w:t>Note: The standard deviations of the sample statistics are shown in parentheses. *p&lt;0.1, **p&lt;0.05, ***p&lt;0.01. Enterprises with high leverage ratios are those in the bottom 25%, while enterprises with low leverage ratios are those in the top 25%.</w:t>
      </w:r>
    </w:p>
    <w:p>
      <w:pPr>
        <w:pStyle w:val="12"/>
        <w:spacing w:before="0" w:beforeAutospacing="0" w:after="0" w:afterAutospacing="0" w:line="360" w:lineRule="auto"/>
        <w:ind w:firstLine="720"/>
        <w:contextualSpacing/>
        <w:rPr>
          <w:rFonts w:ascii="Times New Roman" w:hAnsi="Times New Roman" w:cs="Times New Roman"/>
          <w:lang w:val="en-GB"/>
        </w:rPr>
      </w:pPr>
      <w:r>
        <w:rPr>
          <w:rFonts w:ascii="Times New Roman" w:hAnsi="Times New Roman" w:cs="Times New Roman"/>
          <w:lang w:val="en-GB"/>
        </w:rPr>
        <w:t>The economic growth rate has a significant positive impact on the leverage ratio of non-state-owned enterprises and all sample enterprises. In general, when the economy is growing, it is easier for companies to borrow, so their leverage is higher. According to the tradeoff theory, in such times, enterprise profit increases, risk decreases, and enterprises prefer to increase leverage to obtain income. In times of economic recession, enterprise operation is more difficult, and the risks of default and bankruptcy are greater, so enterprises choose to reduce the asset-liability ratio. According to the theory of balance sheet recession, when an economic downturn leads to the deterioration of corporate balance sheets and insolvency, the primary goal of enterprises is no longer to maximize profits but to reduce liabilities to maintain the goodwill of the public and the status of the enterprise.</w:t>
      </w:r>
    </w:p>
    <w:p>
      <w:pPr>
        <w:pStyle w:val="12"/>
        <w:spacing w:before="0" w:beforeAutospacing="0" w:after="0" w:afterAutospacing="0" w:line="360" w:lineRule="auto"/>
        <w:ind w:firstLine="720"/>
        <w:contextualSpacing/>
        <w:rPr>
          <w:rFonts w:ascii="Times New Roman" w:hAnsi="Times New Roman" w:cs="Times New Roman"/>
          <w:lang w:val="en-GB"/>
        </w:rPr>
      </w:pPr>
      <w:r>
        <w:rPr>
          <w:rFonts w:ascii="Times New Roman" w:hAnsi="Times New Roman" w:cs="Times New Roman"/>
          <w:lang w:val="en-GB"/>
        </w:rPr>
        <w:t xml:space="preserve">The index of policy uncertainty has a significant negative impact on enterprises with high leverage ratios. The economic policy uncertainty index is mainly used to reflect the economic and policy uncertainty of an economy. When policy uncertainty rises, non-state-owned enterprises will generally delay investment, and high-leverage enterprises will be more cautious toward investment to avoid risks brought by policy uncertainty, so the asset-liability ratio of high-leverage enterprises will decline. However, policy uncertainty has little impact on state-owned enterprises. According to </w:t>
      </w:r>
      <w:r>
        <w:rPr>
          <w:rFonts w:ascii="Times New Roman" w:hAnsi="Times New Roman" w:cs="Times New Roman"/>
          <w:color w:val="00B0F0"/>
          <w:lang w:val="en-GB"/>
        </w:rPr>
        <w:t>Lu et al. (2015)</w:t>
      </w:r>
      <w:r>
        <w:rPr>
          <w:rFonts w:ascii="Times New Roman" w:hAnsi="Times New Roman" w:cs="Times New Roman"/>
          <w:lang w:val="en-GB"/>
        </w:rPr>
        <w:t>, state-owned enterprises are less likely than non-state-owned enterprises to have excessive debt, that is, to deviate from the target debt ratio. Therefore, banks are more willing to lend to state-owned enterprises when policy uncertainty rises.</w:t>
      </w:r>
    </w:p>
    <w:p>
      <w:pPr>
        <w:pStyle w:val="12"/>
        <w:spacing w:before="0" w:beforeAutospacing="0" w:after="0" w:afterAutospacing="0" w:line="360" w:lineRule="auto"/>
        <w:ind w:firstLine="720"/>
        <w:contextualSpacing/>
        <w:rPr>
          <w:rFonts w:ascii="Times New Roman" w:hAnsi="Times New Roman" w:cs="Times New Roman"/>
          <w:lang w:val="en-GB"/>
        </w:rPr>
      </w:pPr>
      <w:r>
        <w:rPr>
          <w:rFonts w:ascii="Times New Roman" w:hAnsi="Times New Roman" w:cs="Times New Roman"/>
          <w:lang w:val="en-GB"/>
        </w:rPr>
        <w:t>Inflation has a significant negative impact on the debt ratio of only low-leverage non-financial enterprises in Guangdong, Hong Kong and Macao. Inflation increases the total asset scale of enterprises. A larger total asset scale entails lower equity financing cost, less debt, and a lower leverage ratio.</w:t>
      </w:r>
    </w:p>
    <w:p>
      <w:pPr>
        <w:pStyle w:val="12"/>
        <w:spacing w:before="0" w:beforeAutospacing="0" w:after="0" w:afterAutospacing="0" w:line="360" w:lineRule="auto"/>
        <w:ind w:firstLine="720"/>
        <w:contextualSpacing/>
        <w:rPr>
          <w:rFonts w:hint="eastAsia" w:ascii="Times New Roman" w:hAnsi="Times New Roman" w:eastAsia="宋体" w:cs="Times New Roman"/>
          <w:lang w:val="en-US" w:eastAsia="zh-CN"/>
        </w:rPr>
      </w:pPr>
      <w:r>
        <w:rPr>
          <w:rFonts w:ascii="Times New Roman" w:hAnsi="Times New Roman" w:cs="Times New Roman"/>
          <w:lang w:val="en-GB"/>
        </w:rPr>
        <w:t>M2 growth is negatively correlated with the leverage ratio of non-financial enterprises in the greater bay area. The M2 growth rate reflects the degree of credit market easing, which enhances enterprises' access to debt financing. After the financial crisis, although stimulus policies amounting to 4 trillion yuan were adopted, enterprises reduced their leverage ratio to avoid risks.</w:t>
      </w:r>
      <w:r>
        <w:rPr>
          <w:rFonts w:hint="eastAsia" w:ascii="Times New Roman" w:hAnsi="Times New Roman" w:cs="Times New Roman"/>
          <w:lang w:val="en-US" w:eastAsia="zh-CN"/>
        </w:rPr>
        <w:t xml:space="preserve"> The d</w:t>
      </w:r>
      <w:r>
        <w:rPr>
          <w:rFonts w:hint="eastAsia" w:ascii="Times New Roman" w:hAnsi="Times New Roman" w:cs="Times New Roman"/>
        </w:rPr>
        <w:t>irect effects of micro and macro variables on the leverage ratio</w:t>
      </w:r>
      <w:r>
        <w:rPr>
          <w:rFonts w:hint="eastAsia" w:ascii="Times New Roman" w:hAnsi="Times New Roman" w:cs="Times New Roman"/>
          <w:lang w:val="en-US" w:eastAsia="zh-CN"/>
        </w:rPr>
        <w:t xml:space="preserve"> </w:t>
      </w:r>
      <w:r>
        <w:rPr>
          <w:rFonts w:ascii="Times New Roman" w:hAnsi="Times New Roman" w:cs="Times New Roman"/>
          <w:color w:val="000000" w:themeColor="text1"/>
          <w:lang w:val="en-GB"/>
          <w14:textFill>
            <w14:solidFill>
              <w14:schemeClr w14:val="tx1"/>
            </w14:solidFill>
          </w14:textFill>
        </w:rPr>
        <w:t xml:space="preserve">are shown in </w:t>
      </w:r>
      <w:r>
        <w:rPr>
          <w:rFonts w:ascii="Times New Roman" w:hAnsi="Times New Roman" w:cs="Times New Roman"/>
          <w:color w:val="00B0F0"/>
          <w:lang w:val="en-GB"/>
        </w:rPr>
        <w:t xml:space="preserve">Table </w:t>
      </w:r>
      <w:r>
        <w:rPr>
          <w:rFonts w:hint="eastAsia" w:ascii="Times New Roman" w:hAnsi="Times New Roman" w:cs="Times New Roman"/>
          <w:color w:val="00B0F0"/>
          <w:lang w:val="en-US" w:eastAsia="zh-CN"/>
        </w:rPr>
        <w:t>4</w:t>
      </w:r>
      <w:r>
        <w:rPr>
          <w:rFonts w:hint="default" w:ascii="Times New Roman" w:hAnsi="Times New Roman" w:cs="Times New Roman"/>
          <w:color w:val="000000" w:themeColor="text1"/>
          <w:lang w:val="en-US" w:eastAsia="zh-CN"/>
          <w14:textFill>
            <w14:solidFill>
              <w14:schemeClr w14:val="tx1"/>
            </w14:solidFill>
          </w14:textFill>
        </w:rPr>
        <w:t>.</w:t>
      </w:r>
    </w:p>
    <w:p>
      <w:pPr>
        <w:spacing w:line="360" w:lineRule="auto"/>
        <w:contextualSpacing/>
        <w:jc w:val="left"/>
        <w:rPr>
          <w:rFonts w:cs="Times New Roman"/>
          <w:lang w:val="en-GB"/>
        </w:rPr>
      </w:pPr>
      <w:r>
        <w:rPr>
          <w:rFonts w:eastAsia="黑体" w:cs="Times New Roman"/>
          <w:b/>
          <w:lang w:val="en-GB"/>
        </w:rPr>
        <w:t>Table 8.</w:t>
      </w:r>
      <w:r>
        <w:rPr>
          <w:rFonts w:eastAsia="黑体" w:cs="Times New Roman"/>
          <w:lang w:val="en-GB"/>
        </w:rPr>
        <w:t xml:space="preserve"> Direct effects of micro and macro variables on the leverage ratio</w:t>
      </w:r>
    </w:p>
    <w:tbl>
      <w:tblPr>
        <w:tblStyle w:val="14"/>
        <w:tblW w:w="5000" w:type="pct"/>
        <w:tblInd w:w="0" w:type="dxa"/>
        <w:tblLayout w:type="autofit"/>
        <w:tblCellMar>
          <w:top w:w="0" w:type="dxa"/>
          <w:left w:w="108" w:type="dxa"/>
          <w:bottom w:w="0" w:type="dxa"/>
          <w:right w:w="108" w:type="dxa"/>
        </w:tblCellMar>
      </w:tblPr>
      <w:tblGrid>
        <w:gridCol w:w="1556"/>
        <w:gridCol w:w="1697"/>
        <w:gridCol w:w="1555"/>
        <w:gridCol w:w="1659"/>
        <w:gridCol w:w="1556"/>
        <w:gridCol w:w="1553"/>
      </w:tblGrid>
      <w:tr>
        <w:tblPrEx>
          <w:tblCellMar>
            <w:top w:w="0" w:type="dxa"/>
            <w:left w:w="108" w:type="dxa"/>
            <w:bottom w:w="0" w:type="dxa"/>
            <w:right w:w="108" w:type="dxa"/>
          </w:tblCellMar>
        </w:tblPrEx>
        <w:trPr>
          <w:trHeight w:val="402" w:hRule="atLeast"/>
        </w:trPr>
        <w:tc>
          <w:tcPr>
            <w:tcW w:w="1560" w:type="dxa"/>
            <w:tcBorders>
              <w:top w:val="single" w:color="auto" w:sz="12" w:space="0"/>
              <w:left w:val="nil"/>
              <w:bottom w:val="single" w:color="auto" w:sz="8" w:space="0"/>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　</w:t>
            </w:r>
          </w:p>
        </w:tc>
        <w:tc>
          <w:tcPr>
            <w:tcW w:w="1701" w:type="dxa"/>
            <w:tcBorders>
              <w:top w:val="single" w:color="auto" w:sz="12" w:space="0"/>
              <w:left w:val="single" w:color="auto" w:sz="8" w:space="0"/>
              <w:bottom w:val="single" w:color="auto" w:sz="8" w:space="0"/>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Total sample</w:t>
            </w:r>
          </w:p>
        </w:tc>
        <w:tc>
          <w:tcPr>
            <w:tcW w:w="1559" w:type="dxa"/>
            <w:tcBorders>
              <w:top w:val="single" w:color="auto" w:sz="12" w:space="0"/>
              <w:left w:val="single" w:color="auto" w:sz="8" w:space="0"/>
              <w:bottom w:val="single" w:color="auto" w:sz="8" w:space="0"/>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State-owned enterprises</w:t>
            </w:r>
          </w:p>
        </w:tc>
        <w:tc>
          <w:tcPr>
            <w:tcW w:w="1417" w:type="dxa"/>
            <w:tcBorders>
              <w:top w:val="single" w:color="auto" w:sz="12" w:space="0"/>
              <w:left w:val="single" w:color="auto" w:sz="8" w:space="0"/>
              <w:bottom w:val="single" w:color="auto" w:sz="8" w:space="0"/>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Non-state-owned enterprises</w:t>
            </w:r>
          </w:p>
        </w:tc>
        <w:tc>
          <w:tcPr>
            <w:tcW w:w="1560" w:type="dxa"/>
            <w:tcBorders>
              <w:top w:val="single" w:color="auto" w:sz="12" w:space="0"/>
              <w:left w:val="single" w:color="auto" w:sz="8" w:space="0"/>
              <w:bottom w:val="single" w:color="auto" w:sz="8" w:space="0"/>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sz w:val="21"/>
                <w:szCs w:val="21"/>
                <w:lang w:val="en-GB"/>
              </w:rPr>
              <w:t>Enterprises with high leverage ratio</w:t>
            </w:r>
          </w:p>
        </w:tc>
        <w:tc>
          <w:tcPr>
            <w:tcW w:w="1557" w:type="dxa"/>
            <w:tcBorders>
              <w:top w:val="single" w:color="auto" w:sz="12" w:space="0"/>
              <w:left w:val="single" w:color="auto" w:sz="8" w:space="0"/>
              <w:bottom w:val="single" w:color="auto" w:sz="8" w:space="0"/>
              <w:right w:val="nil"/>
            </w:tcBorders>
            <w:shd w:val="clear" w:color="auto" w:fill="auto"/>
            <w:noWrap/>
            <w:vAlign w:val="center"/>
          </w:tcPr>
          <w:p>
            <w:pPr>
              <w:widowControl/>
              <w:jc w:val="left"/>
              <w:rPr>
                <w:rFonts w:cs="Times New Roman"/>
                <w:color w:val="000000"/>
                <w:sz w:val="21"/>
                <w:szCs w:val="21"/>
                <w:lang w:val="en-GB"/>
              </w:rPr>
            </w:pPr>
            <w:r>
              <w:rPr>
                <w:rFonts w:cs="Times New Roman"/>
                <w:sz w:val="21"/>
                <w:szCs w:val="21"/>
                <w:lang w:val="en-GB"/>
              </w:rPr>
              <w:t>Enterprises with low leverage ratio</w:t>
            </w:r>
          </w:p>
        </w:tc>
      </w:tr>
      <w:tr>
        <w:tblPrEx>
          <w:tblCellMar>
            <w:top w:w="0" w:type="dxa"/>
            <w:left w:w="108" w:type="dxa"/>
            <w:bottom w:w="0" w:type="dxa"/>
            <w:right w:w="108" w:type="dxa"/>
          </w:tblCellMar>
        </w:tblPrEx>
        <w:trPr>
          <w:trHeight w:val="402" w:hRule="atLeast"/>
        </w:trPr>
        <w:tc>
          <w:tcPr>
            <w:tcW w:w="1560" w:type="dxa"/>
            <w:vMerge w:val="restart"/>
            <w:tcBorders>
              <w:top w:val="single" w:color="auto" w:sz="8" w:space="0"/>
              <w:left w:val="nil"/>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ROA</w:t>
            </w:r>
          </w:p>
        </w:tc>
        <w:tc>
          <w:tcPr>
            <w:tcW w:w="1701" w:type="dxa"/>
            <w:tcBorders>
              <w:top w:val="single" w:color="auto" w:sz="8" w:space="0"/>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-0.572***</w:t>
            </w:r>
          </w:p>
        </w:tc>
        <w:tc>
          <w:tcPr>
            <w:tcW w:w="1559" w:type="dxa"/>
            <w:tcBorders>
              <w:top w:val="single" w:color="auto" w:sz="8" w:space="0"/>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-0.438***</w:t>
            </w:r>
          </w:p>
        </w:tc>
        <w:tc>
          <w:tcPr>
            <w:tcW w:w="1417" w:type="dxa"/>
            <w:tcBorders>
              <w:top w:val="single" w:color="auto" w:sz="8" w:space="0"/>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-0.582***</w:t>
            </w:r>
          </w:p>
        </w:tc>
        <w:tc>
          <w:tcPr>
            <w:tcW w:w="1560" w:type="dxa"/>
            <w:tcBorders>
              <w:top w:val="single" w:color="auto" w:sz="8" w:space="0"/>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-0.604***</w:t>
            </w:r>
          </w:p>
        </w:tc>
        <w:tc>
          <w:tcPr>
            <w:tcW w:w="1557" w:type="dxa"/>
            <w:tcBorders>
              <w:top w:val="single" w:color="auto" w:sz="8" w:space="0"/>
              <w:left w:val="single" w:color="auto" w:sz="8" w:space="0"/>
              <w:bottom w:val="nil"/>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-0.0172**</w:t>
            </w:r>
          </w:p>
        </w:tc>
      </w:tr>
      <w:tr>
        <w:tblPrEx>
          <w:tblCellMar>
            <w:top w:w="0" w:type="dxa"/>
            <w:left w:w="108" w:type="dxa"/>
            <w:bottom w:w="0" w:type="dxa"/>
            <w:right w:w="108" w:type="dxa"/>
          </w:tblCellMar>
        </w:tblPrEx>
        <w:trPr>
          <w:trHeight w:val="402" w:hRule="atLeast"/>
        </w:trPr>
        <w:tc>
          <w:tcPr>
            <w:tcW w:w="1560" w:type="dxa"/>
            <w:vMerge w:val="continue"/>
            <w:tcBorders>
              <w:top w:val="single" w:color="auto" w:sz="12" w:space="0"/>
              <w:left w:val="nil"/>
              <w:bottom w:val="nil"/>
              <w:right w:val="single" w:color="auto" w:sz="8" w:space="0"/>
            </w:tcBorders>
            <w:vAlign w:val="center"/>
          </w:tcPr>
          <w:p>
            <w:pPr>
              <w:widowControl/>
              <w:jc w:val="left"/>
              <w:rPr>
                <w:rFonts w:cs="Times New Roman"/>
                <w:color w:val="000000"/>
                <w:sz w:val="21"/>
                <w:szCs w:val="21"/>
                <w:lang w:val="en-GB"/>
              </w:rPr>
            </w:pPr>
          </w:p>
        </w:tc>
        <w:tc>
          <w:tcPr>
            <w:tcW w:w="1701"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(-0.0942)</w:t>
            </w:r>
          </w:p>
        </w:tc>
        <w:tc>
          <w:tcPr>
            <w:tcW w:w="1559"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(-0.0649)</w:t>
            </w:r>
          </w:p>
        </w:tc>
        <w:tc>
          <w:tcPr>
            <w:tcW w:w="1417"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(-0.1)</w:t>
            </w:r>
          </w:p>
        </w:tc>
        <w:tc>
          <w:tcPr>
            <w:tcW w:w="1560"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(-0.165)</w:t>
            </w:r>
          </w:p>
        </w:tc>
        <w:tc>
          <w:tcPr>
            <w:tcW w:w="1557" w:type="dxa"/>
            <w:tcBorders>
              <w:top w:val="nil"/>
              <w:left w:val="single" w:color="auto" w:sz="8" w:space="0"/>
              <w:bottom w:val="nil"/>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(-0.00759)</w:t>
            </w:r>
          </w:p>
        </w:tc>
      </w:tr>
      <w:tr>
        <w:tblPrEx>
          <w:tblCellMar>
            <w:top w:w="0" w:type="dxa"/>
            <w:left w:w="108" w:type="dxa"/>
            <w:bottom w:w="0" w:type="dxa"/>
            <w:right w:w="108" w:type="dxa"/>
          </w:tblCellMar>
        </w:tblPrEx>
        <w:trPr>
          <w:trHeight w:val="402" w:hRule="atLeast"/>
        </w:trPr>
        <w:tc>
          <w:tcPr>
            <w:tcW w:w="1560" w:type="dxa"/>
            <w:vMerge w:val="restart"/>
            <w:tcBorders>
              <w:top w:val="nil"/>
              <w:left w:val="nil"/>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Size</w:t>
            </w:r>
          </w:p>
        </w:tc>
        <w:tc>
          <w:tcPr>
            <w:tcW w:w="1701"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-5.466**</w:t>
            </w:r>
          </w:p>
        </w:tc>
        <w:tc>
          <w:tcPr>
            <w:tcW w:w="1559"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-1.447</w:t>
            </w:r>
          </w:p>
        </w:tc>
        <w:tc>
          <w:tcPr>
            <w:tcW w:w="1417"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-6.107**</w:t>
            </w:r>
          </w:p>
        </w:tc>
        <w:tc>
          <w:tcPr>
            <w:tcW w:w="1560"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-15.81***</w:t>
            </w:r>
          </w:p>
        </w:tc>
        <w:tc>
          <w:tcPr>
            <w:tcW w:w="1557" w:type="dxa"/>
            <w:tcBorders>
              <w:top w:val="nil"/>
              <w:left w:val="single" w:color="auto" w:sz="8" w:space="0"/>
              <w:bottom w:val="nil"/>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0.0715</w:t>
            </w:r>
          </w:p>
        </w:tc>
      </w:tr>
      <w:tr>
        <w:tblPrEx>
          <w:tblCellMar>
            <w:top w:w="0" w:type="dxa"/>
            <w:left w:w="108" w:type="dxa"/>
            <w:bottom w:w="0" w:type="dxa"/>
            <w:right w:w="108" w:type="dxa"/>
          </w:tblCellMar>
        </w:tblPrEx>
        <w:trPr>
          <w:trHeight w:val="402" w:hRule="atLeast"/>
        </w:trPr>
        <w:tc>
          <w:tcPr>
            <w:tcW w:w="1560" w:type="dxa"/>
            <w:vMerge w:val="continue"/>
            <w:tcBorders>
              <w:top w:val="nil"/>
              <w:left w:val="nil"/>
              <w:bottom w:val="nil"/>
              <w:right w:val="single" w:color="auto" w:sz="8" w:space="0"/>
            </w:tcBorders>
            <w:vAlign w:val="center"/>
          </w:tcPr>
          <w:p>
            <w:pPr>
              <w:widowControl/>
              <w:jc w:val="left"/>
              <w:rPr>
                <w:rFonts w:cs="Times New Roman"/>
                <w:color w:val="000000"/>
                <w:sz w:val="21"/>
                <w:szCs w:val="21"/>
                <w:lang w:val="en-GB"/>
              </w:rPr>
            </w:pPr>
          </w:p>
        </w:tc>
        <w:tc>
          <w:tcPr>
            <w:tcW w:w="1701"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(-2.249)</w:t>
            </w:r>
          </w:p>
        </w:tc>
        <w:tc>
          <w:tcPr>
            <w:tcW w:w="1559"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(-1.653)</w:t>
            </w:r>
          </w:p>
        </w:tc>
        <w:tc>
          <w:tcPr>
            <w:tcW w:w="1417"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(-2.523)</w:t>
            </w:r>
          </w:p>
        </w:tc>
        <w:tc>
          <w:tcPr>
            <w:tcW w:w="1560"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(-4.225)</w:t>
            </w:r>
          </w:p>
        </w:tc>
        <w:tc>
          <w:tcPr>
            <w:tcW w:w="1557" w:type="dxa"/>
            <w:tcBorders>
              <w:top w:val="nil"/>
              <w:left w:val="single" w:color="auto" w:sz="8" w:space="0"/>
              <w:bottom w:val="nil"/>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(-0.347)</w:t>
            </w:r>
          </w:p>
        </w:tc>
      </w:tr>
      <w:tr>
        <w:tblPrEx>
          <w:tblCellMar>
            <w:top w:w="0" w:type="dxa"/>
            <w:left w:w="108" w:type="dxa"/>
            <w:bottom w:w="0" w:type="dxa"/>
            <w:right w:w="108" w:type="dxa"/>
          </w:tblCellMar>
        </w:tblPrEx>
        <w:trPr>
          <w:trHeight w:val="402" w:hRule="atLeast"/>
        </w:trPr>
        <w:tc>
          <w:tcPr>
            <w:tcW w:w="1560" w:type="dxa"/>
            <w:vMerge w:val="restart"/>
            <w:tcBorders>
              <w:top w:val="nil"/>
              <w:left w:val="nil"/>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Tangibility</w:t>
            </w:r>
          </w:p>
        </w:tc>
        <w:tc>
          <w:tcPr>
            <w:tcW w:w="1701"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-0.219***</w:t>
            </w:r>
          </w:p>
        </w:tc>
        <w:tc>
          <w:tcPr>
            <w:tcW w:w="1559"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-0.393***</w:t>
            </w:r>
          </w:p>
        </w:tc>
        <w:tc>
          <w:tcPr>
            <w:tcW w:w="1417"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-0.204***</w:t>
            </w:r>
          </w:p>
        </w:tc>
        <w:tc>
          <w:tcPr>
            <w:tcW w:w="1560"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-0.129</w:t>
            </w:r>
          </w:p>
        </w:tc>
        <w:tc>
          <w:tcPr>
            <w:tcW w:w="1557" w:type="dxa"/>
            <w:tcBorders>
              <w:top w:val="nil"/>
              <w:left w:val="single" w:color="auto" w:sz="8" w:space="0"/>
              <w:bottom w:val="nil"/>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-0.0217</w:t>
            </w:r>
          </w:p>
        </w:tc>
      </w:tr>
      <w:tr>
        <w:tblPrEx>
          <w:tblCellMar>
            <w:top w:w="0" w:type="dxa"/>
            <w:left w:w="108" w:type="dxa"/>
            <w:bottom w:w="0" w:type="dxa"/>
            <w:right w:w="108" w:type="dxa"/>
          </w:tblCellMar>
        </w:tblPrEx>
        <w:trPr>
          <w:trHeight w:val="402" w:hRule="atLeast"/>
        </w:trPr>
        <w:tc>
          <w:tcPr>
            <w:tcW w:w="1560" w:type="dxa"/>
            <w:vMerge w:val="continue"/>
            <w:tcBorders>
              <w:top w:val="nil"/>
              <w:left w:val="nil"/>
              <w:bottom w:val="nil"/>
              <w:right w:val="single" w:color="auto" w:sz="8" w:space="0"/>
            </w:tcBorders>
            <w:vAlign w:val="center"/>
          </w:tcPr>
          <w:p>
            <w:pPr>
              <w:widowControl/>
              <w:jc w:val="left"/>
              <w:rPr>
                <w:rFonts w:cs="Times New Roman"/>
                <w:color w:val="000000"/>
                <w:sz w:val="21"/>
                <w:szCs w:val="21"/>
                <w:lang w:val="en-GB"/>
              </w:rPr>
            </w:pPr>
          </w:p>
        </w:tc>
        <w:tc>
          <w:tcPr>
            <w:tcW w:w="1701"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(-0.0647)</w:t>
            </w:r>
          </w:p>
        </w:tc>
        <w:tc>
          <w:tcPr>
            <w:tcW w:w="1559"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(-0.123)</w:t>
            </w:r>
          </w:p>
        </w:tc>
        <w:tc>
          <w:tcPr>
            <w:tcW w:w="1417"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(-0.0712)</w:t>
            </w:r>
          </w:p>
        </w:tc>
        <w:tc>
          <w:tcPr>
            <w:tcW w:w="1560"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(-0.24)</w:t>
            </w:r>
          </w:p>
        </w:tc>
        <w:tc>
          <w:tcPr>
            <w:tcW w:w="1557" w:type="dxa"/>
            <w:tcBorders>
              <w:top w:val="nil"/>
              <w:left w:val="single" w:color="auto" w:sz="8" w:space="0"/>
              <w:bottom w:val="nil"/>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(-0.0141)</w:t>
            </w:r>
          </w:p>
        </w:tc>
      </w:tr>
      <w:tr>
        <w:tblPrEx>
          <w:tblCellMar>
            <w:top w:w="0" w:type="dxa"/>
            <w:left w:w="108" w:type="dxa"/>
            <w:bottom w:w="0" w:type="dxa"/>
            <w:right w:w="108" w:type="dxa"/>
          </w:tblCellMar>
        </w:tblPrEx>
        <w:trPr>
          <w:trHeight w:val="402" w:hRule="atLeast"/>
        </w:trPr>
        <w:tc>
          <w:tcPr>
            <w:tcW w:w="1560" w:type="dxa"/>
            <w:vMerge w:val="restart"/>
            <w:tcBorders>
              <w:top w:val="nil"/>
              <w:left w:val="nil"/>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TA</w:t>
            </w:r>
          </w:p>
        </w:tc>
        <w:tc>
          <w:tcPr>
            <w:tcW w:w="1701"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5.559*</w:t>
            </w:r>
          </w:p>
        </w:tc>
        <w:tc>
          <w:tcPr>
            <w:tcW w:w="1559"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1.998</w:t>
            </w:r>
          </w:p>
        </w:tc>
        <w:tc>
          <w:tcPr>
            <w:tcW w:w="1417"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5.833</w:t>
            </w:r>
          </w:p>
        </w:tc>
        <w:tc>
          <w:tcPr>
            <w:tcW w:w="1560"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-8.115</w:t>
            </w:r>
          </w:p>
        </w:tc>
        <w:tc>
          <w:tcPr>
            <w:tcW w:w="1557" w:type="dxa"/>
            <w:tcBorders>
              <w:top w:val="nil"/>
              <w:left w:val="single" w:color="auto" w:sz="8" w:space="0"/>
              <w:bottom w:val="nil"/>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2.278***</w:t>
            </w:r>
          </w:p>
        </w:tc>
      </w:tr>
      <w:tr>
        <w:tblPrEx>
          <w:tblCellMar>
            <w:top w:w="0" w:type="dxa"/>
            <w:left w:w="108" w:type="dxa"/>
            <w:bottom w:w="0" w:type="dxa"/>
            <w:right w:w="108" w:type="dxa"/>
          </w:tblCellMar>
        </w:tblPrEx>
        <w:trPr>
          <w:trHeight w:val="402" w:hRule="atLeast"/>
        </w:trPr>
        <w:tc>
          <w:tcPr>
            <w:tcW w:w="1560" w:type="dxa"/>
            <w:vMerge w:val="continue"/>
            <w:tcBorders>
              <w:top w:val="nil"/>
              <w:left w:val="nil"/>
              <w:bottom w:val="nil"/>
              <w:right w:val="single" w:color="auto" w:sz="8" w:space="0"/>
            </w:tcBorders>
            <w:vAlign w:val="center"/>
          </w:tcPr>
          <w:p>
            <w:pPr>
              <w:widowControl/>
              <w:jc w:val="left"/>
              <w:rPr>
                <w:rFonts w:cs="Times New Roman"/>
                <w:color w:val="000000"/>
                <w:sz w:val="21"/>
                <w:szCs w:val="21"/>
                <w:lang w:val="en-GB"/>
              </w:rPr>
            </w:pPr>
          </w:p>
        </w:tc>
        <w:tc>
          <w:tcPr>
            <w:tcW w:w="1701"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(-3.291)</w:t>
            </w:r>
          </w:p>
        </w:tc>
        <w:tc>
          <w:tcPr>
            <w:tcW w:w="1559"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(-2.362)</w:t>
            </w:r>
          </w:p>
        </w:tc>
        <w:tc>
          <w:tcPr>
            <w:tcW w:w="1417"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(-3.744)</w:t>
            </w:r>
          </w:p>
        </w:tc>
        <w:tc>
          <w:tcPr>
            <w:tcW w:w="1560"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(-6.604)</w:t>
            </w:r>
          </w:p>
        </w:tc>
        <w:tc>
          <w:tcPr>
            <w:tcW w:w="1557" w:type="dxa"/>
            <w:tcBorders>
              <w:top w:val="nil"/>
              <w:left w:val="single" w:color="auto" w:sz="8" w:space="0"/>
              <w:bottom w:val="nil"/>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(-0.516)</w:t>
            </w:r>
          </w:p>
        </w:tc>
      </w:tr>
      <w:tr>
        <w:tblPrEx>
          <w:tblCellMar>
            <w:top w:w="0" w:type="dxa"/>
            <w:left w:w="108" w:type="dxa"/>
            <w:bottom w:w="0" w:type="dxa"/>
            <w:right w:w="108" w:type="dxa"/>
          </w:tblCellMar>
        </w:tblPrEx>
        <w:trPr>
          <w:trHeight w:val="402" w:hRule="atLeast"/>
        </w:trPr>
        <w:tc>
          <w:tcPr>
            <w:tcW w:w="1560" w:type="dxa"/>
            <w:vMerge w:val="restart"/>
            <w:tcBorders>
              <w:top w:val="nil"/>
              <w:left w:val="nil"/>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Liquidity</w:t>
            </w:r>
          </w:p>
        </w:tc>
        <w:tc>
          <w:tcPr>
            <w:tcW w:w="1701"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-1.341***</w:t>
            </w:r>
          </w:p>
        </w:tc>
        <w:tc>
          <w:tcPr>
            <w:tcW w:w="1559"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-1.437***</w:t>
            </w:r>
          </w:p>
        </w:tc>
        <w:tc>
          <w:tcPr>
            <w:tcW w:w="1417"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-1.344***</w:t>
            </w:r>
          </w:p>
        </w:tc>
        <w:tc>
          <w:tcPr>
            <w:tcW w:w="1560"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-3.421</w:t>
            </w:r>
          </w:p>
        </w:tc>
        <w:tc>
          <w:tcPr>
            <w:tcW w:w="1557" w:type="dxa"/>
            <w:tcBorders>
              <w:top w:val="nil"/>
              <w:left w:val="single" w:color="auto" w:sz="8" w:space="0"/>
              <w:bottom w:val="nil"/>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-0.388***</w:t>
            </w:r>
          </w:p>
        </w:tc>
      </w:tr>
      <w:tr>
        <w:tblPrEx>
          <w:tblCellMar>
            <w:top w:w="0" w:type="dxa"/>
            <w:left w:w="108" w:type="dxa"/>
            <w:bottom w:w="0" w:type="dxa"/>
            <w:right w:w="108" w:type="dxa"/>
          </w:tblCellMar>
        </w:tblPrEx>
        <w:trPr>
          <w:trHeight w:val="402" w:hRule="atLeast"/>
        </w:trPr>
        <w:tc>
          <w:tcPr>
            <w:tcW w:w="1560" w:type="dxa"/>
            <w:vMerge w:val="continue"/>
            <w:tcBorders>
              <w:top w:val="nil"/>
              <w:left w:val="nil"/>
              <w:bottom w:val="nil"/>
              <w:right w:val="single" w:color="auto" w:sz="8" w:space="0"/>
            </w:tcBorders>
            <w:vAlign w:val="center"/>
          </w:tcPr>
          <w:p>
            <w:pPr>
              <w:widowControl/>
              <w:jc w:val="left"/>
              <w:rPr>
                <w:rFonts w:cs="Times New Roman"/>
                <w:color w:val="000000"/>
                <w:sz w:val="21"/>
                <w:szCs w:val="21"/>
                <w:lang w:val="en-GB"/>
              </w:rPr>
            </w:pPr>
          </w:p>
        </w:tc>
        <w:tc>
          <w:tcPr>
            <w:tcW w:w="1701"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(-0.133)</w:t>
            </w:r>
          </w:p>
        </w:tc>
        <w:tc>
          <w:tcPr>
            <w:tcW w:w="1559"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(-0.454)</w:t>
            </w:r>
          </w:p>
        </w:tc>
        <w:tc>
          <w:tcPr>
            <w:tcW w:w="1417"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(-0.14)</w:t>
            </w:r>
          </w:p>
        </w:tc>
        <w:tc>
          <w:tcPr>
            <w:tcW w:w="1560"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(-5.585)</w:t>
            </w:r>
          </w:p>
        </w:tc>
        <w:tc>
          <w:tcPr>
            <w:tcW w:w="1557" w:type="dxa"/>
            <w:tcBorders>
              <w:top w:val="nil"/>
              <w:left w:val="single" w:color="auto" w:sz="8" w:space="0"/>
              <w:bottom w:val="nil"/>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(-0.0209)</w:t>
            </w:r>
          </w:p>
        </w:tc>
      </w:tr>
      <w:tr>
        <w:tblPrEx>
          <w:tblCellMar>
            <w:top w:w="0" w:type="dxa"/>
            <w:left w:w="108" w:type="dxa"/>
            <w:bottom w:w="0" w:type="dxa"/>
            <w:right w:w="108" w:type="dxa"/>
          </w:tblCellMar>
        </w:tblPrEx>
        <w:trPr>
          <w:trHeight w:val="402" w:hRule="atLeast"/>
        </w:trPr>
        <w:tc>
          <w:tcPr>
            <w:tcW w:w="1560" w:type="dxa"/>
            <w:vMerge w:val="restart"/>
            <w:tcBorders>
              <w:top w:val="nil"/>
              <w:left w:val="nil"/>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Grow</w:t>
            </w:r>
          </w:p>
        </w:tc>
        <w:tc>
          <w:tcPr>
            <w:tcW w:w="1701"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0.00516*</w:t>
            </w:r>
          </w:p>
        </w:tc>
        <w:tc>
          <w:tcPr>
            <w:tcW w:w="1559"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0.0133*</w:t>
            </w:r>
          </w:p>
        </w:tc>
        <w:tc>
          <w:tcPr>
            <w:tcW w:w="1417"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0.0049</w:t>
            </w:r>
          </w:p>
        </w:tc>
        <w:tc>
          <w:tcPr>
            <w:tcW w:w="1560"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-0.000000247</w:t>
            </w:r>
          </w:p>
        </w:tc>
        <w:tc>
          <w:tcPr>
            <w:tcW w:w="1557" w:type="dxa"/>
            <w:tcBorders>
              <w:top w:val="nil"/>
              <w:left w:val="single" w:color="auto" w:sz="8" w:space="0"/>
              <w:bottom w:val="nil"/>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0.000173</w:t>
            </w:r>
          </w:p>
        </w:tc>
      </w:tr>
      <w:tr>
        <w:tblPrEx>
          <w:tblCellMar>
            <w:top w:w="0" w:type="dxa"/>
            <w:left w:w="108" w:type="dxa"/>
            <w:bottom w:w="0" w:type="dxa"/>
            <w:right w:w="108" w:type="dxa"/>
          </w:tblCellMar>
        </w:tblPrEx>
        <w:trPr>
          <w:trHeight w:val="402" w:hRule="atLeast"/>
        </w:trPr>
        <w:tc>
          <w:tcPr>
            <w:tcW w:w="1560" w:type="dxa"/>
            <w:vMerge w:val="continue"/>
            <w:tcBorders>
              <w:top w:val="nil"/>
              <w:left w:val="nil"/>
              <w:bottom w:val="nil"/>
              <w:right w:val="single" w:color="auto" w:sz="8" w:space="0"/>
            </w:tcBorders>
            <w:vAlign w:val="center"/>
          </w:tcPr>
          <w:p>
            <w:pPr>
              <w:widowControl/>
              <w:jc w:val="left"/>
              <w:rPr>
                <w:rFonts w:cs="Times New Roman"/>
                <w:color w:val="000000"/>
                <w:sz w:val="21"/>
                <w:szCs w:val="21"/>
                <w:lang w:val="en-GB"/>
              </w:rPr>
            </w:pPr>
          </w:p>
        </w:tc>
        <w:tc>
          <w:tcPr>
            <w:tcW w:w="1701"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(-0.00296)</w:t>
            </w:r>
          </w:p>
        </w:tc>
        <w:tc>
          <w:tcPr>
            <w:tcW w:w="1559"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(-0.00755)</w:t>
            </w:r>
          </w:p>
        </w:tc>
        <w:tc>
          <w:tcPr>
            <w:tcW w:w="1417"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(-0.00322)</w:t>
            </w:r>
          </w:p>
        </w:tc>
        <w:tc>
          <w:tcPr>
            <w:tcW w:w="1560"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(-0.00561)</w:t>
            </w:r>
          </w:p>
        </w:tc>
        <w:tc>
          <w:tcPr>
            <w:tcW w:w="1557" w:type="dxa"/>
            <w:tcBorders>
              <w:top w:val="nil"/>
              <w:left w:val="single" w:color="auto" w:sz="8" w:space="0"/>
              <w:bottom w:val="nil"/>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(-0.000727)</w:t>
            </w:r>
          </w:p>
        </w:tc>
      </w:tr>
      <w:tr>
        <w:tblPrEx>
          <w:tblCellMar>
            <w:top w:w="0" w:type="dxa"/>
            <w:left w:w="108" w:type="dxa"/>
            <w:bottom w:w="0" w:type="dxa"/>
            <w:right w:w="108" w:type="dxa"/>
          </w:tblCellMar>
        </w:tblPrEx>
        <w:trPr>
          <w:trHeight w:val="402" w:hRule="atLeast"/>
        </w:trPr>
        <w:tc>
          <w:tcPr>
            <w:tcW w:w="1560" w:type="dxa"/>
            <w:vMerge w:val="restart"/>
            <w:tcBorders>
              <w:top w:val="nil"/>
              <w:left w:val="nil"/>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Tax</w:t>
            </w:r>
          </w:p>
        </w:tc>
        <w:tc>
          <w:tcPr>
            <w:tcW w:w="1701"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2.129***</w:t>
            </w:r>
          </w:p>
        </w:tc>
        <w:tc>
          <w:tcPr>
            <w:tcW w:w="1559"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1.163</w:t>
            </w:r>
          </w:p>
        </w:tc>
        <w:tc>
          <w:tcPr>
            <w:tcW w:w="1417"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2.255***</w:t>
            </w:r>
          </w:p>
        </w:tc>
        <w:tc>
          <w:tcPr>
            <w:tcW w:w="1560"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3.124**</w:t>
            </w:r>
          </w:p>
        </w:tc>
        <w:tc>
          <w:tcPr>
            <w:tcW w:w="1557" w:type="dxa"/>
            <w:tcBorders>
              <w:top w:val="nil"/>
              <w:left w:val="single" w:color="auto" w:sz="8" w:space="0"/>
              <w:bottom w:val="nil"/>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-0.0812</w:t>
            </w:r>
          </w:p>
        </w:tc>
      </w:tr>
      <w:tr>
        <w:tblPrEx>
          <w:tblCellMar>
            <w:top w:w="0" w:type="dxa"/>
            <w:left w:w="108" w:type="dxa"/>
            <w:bottom w:w="0" w:type="dxa"/>
            <w:right w:w="108" w:type="dxa"/>
          </w:tblCellMar>
        </w:tblPrEx>
        <w:trPr>
          <w:trHeight w:val="402" w:hRule="atLeast"/>
        </w:trPr>
        <w:tc>
          <w:tcPr>
            <w:tcW w:w="1560" w:type="dxa"/>
            <w:vMerge w:val="continue"/>
            <w:tcBorders>
              <w:top w:val="nil"/>
              <w:left w:val="nil"/>
              <w:bottom w:val="nil"/>
              <w:right w:val="single" w:color="auto" w:sz="8" w:space="0"/>
            </w:tcBorders>
            <w:vAlign w:val="center"/>
          </w:tcPr>
          <w:p>
            <w:pPr>
              <w:widowControl/>
              <w:jc w:val="left"/>
              <w:rPr>
                <w:rFonts w:cs="Times New Roman"/>
                <w:color w:val="000000"/>
                <w:sz w:val="21"/>
                <w:szCs w:val="21"/>
                <w:lang w:val="en-GB"/>
              </w:rPr>
            </w:pPr>
          </w:p>
        </w:tc>
        <w:tc>
          <w:tcPr>
            <w:tcW w:w="1701"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(-0.616)</w:t>
            </w:r>
          </w:p>
        </w:tc>
        <w:tc>
          <w:tcPr>
            <w:tcW w:w="1559"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(-1.322)</w:t>
            </w:r>
          </w:p>
        </w:tc>
        <w:tc>
          <w:tcPr>
            <w:tcW w:w="1417"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(-0.663)</w:t>
            </w:r>
          </w:p>
        </w:tc>
        <w:tc>
          <w:tcPr>
            <w:tcW w:w="1560"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(-1.556)</w:t>
            </w:r>
          </w:p>
        </w:tc>
        <w:tc>
          <w:tcPr>
            <w:tcW w:w="1557" w:type="dxa"/>
            <w:tcBorders>
              <w:top w:val="nil"/>
              <w:left w:val="single" w:color="auto" w:sz="8" w:space="0"/>
              <w:bottom w:val="nil"/>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(-0.0934)</w:t>
            </w:r>
          </w:p>
        </w:tc>
      </w:tr>
      <w:tr>
        <w:tblPrEx>
          <w:tblCellMar>
            <w:top w:w="0" w:type="dxa"/>
            <w:left w:w="108" w:type="dxa"/>
            <w:bottom w:w="0" w:type="dxa"/>
            <w:right w:w="108" w:type="dxa"/>
          </w:tblCellMar>
        </w:tblPrEx>
        <w:trPr>
          <w:trHeight w:val="402" w:hRule="atLeast"/>
        </w:trPr>
        <w:tc>
          <w:tcPr>
            <w:tcW w:w="1560" w:type="dxa"/>
            <w:vMerge w:val="restart"/>
            <w:tcBorders>
              <w:top w:val="nil"/>
              <w:left w:val="nil"/>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Industry</w:t>
            </w:r>
          </w:p>
        </w:tc>
        <w:tc>
          <w:tcPr>
            <w:tcW w:w="1701"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0.509***</w:t>
            </w:r>
          </w:p>
        </w:tc>
        <w:tc>
          <w:tcPr>
            <w:tcW w:w="1559"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0.268**</w:t>
            </w:r>
          </w:p>
        </w:tc>
        <w:tc>
          <w:tcPr>
            <w:tcW w:w="1417"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0.516***</w:t>
            </w:r>
          </w:p>
        </w:tc>
        <w:tc>
          <w:tcPr>
            <w:tcW w:w="1560"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0.3</w:t>
            </w:r>
          </w:p>
        </w:tc>
        <w:tc>
          <w:tcPr>
            <w:tcW w:w="1557" w:type="dxa"/>
            <w:tcBorders>
              <w:top w:val="nil"/>
              <w:left w:val="single" w:color="auto" w:sz="8" w:space="0"/>
              <w:bottom w:val="nil"/>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0.033</w:t>
            </w:r>
          </w:p>
        </w:tc>
      </w:tr>
      <w:tr>
        <w:tblPrEx>
          <w:tblCellMar>
            <w:top w:w="0" w:type="dxa"/>
            <w:left w:w="108" w:type="dxa"/>
            <w:bottom w:w="0" w:type="dxa"/>
            <w:right w:w="108" w:type="dxa"/>
          </w:tblCellMar>
        </w:tblPrEx>
        <w:trPr>
          <w:trHeight w:val="402" w:hRule="atLeast"/>
        </w:trPr>
        <w:tc>
          <w:tcPr>
            <w:tcW w:w="1560" w:type="dxa"/>
            <w:vMerge w:val="continue"/>
            <w:tcBorders>
              <w:top w:val="nil"/>
              <w:left w:val="nil"/>
              <w:bottom w:val="nil"/>
              <w:right w:val="single" w:color="auto" w:sz="8" w:space="0"/>
            </w:tcBorders>
            <w:vAlign w:val="center"/>
          </w:tcPr>
          <w:p>
            <w:pPr>
              <w:widowControl/>
              <w:jc w:val="left"/>
              <w:rPr>
                <w:rFonts w:cs="Times New Roman"/>
                <w:color w:val="000000"/>
                <w:sz w:val="21"/>
                <w:szCs w:val="21"/>
                <w:lang w:val="en-GB"/>
              </w:rPr>
            </w:pPr>
          </w:p>
        </w:tc>
        <w:tc>
          <w:tcPr>
            <w:tcW w:w="1701"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(-0.103)</w:t>
            </w:r>
          </w:p>
        </w:tc>
        <w:tc>
          <w:tcPr>
            <w:tcW w:w="1559"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(-0.13)</w:t>
            </w:r>
          </w:p>
        </w:tc>
        <w:tc>
          <w:tcPr>
            <w:tcW w:w="1417"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(-0.12)</w:t>
            </w:r>
          </w:p>
        </w:tc>
        <w:tc>
          <w:tcPr>
            <w:tcW w:w="1560"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(-0.253)</w:t>
            </w:r>
          </w:p>
        </w:tc>
        <w:tc>
          <w:tcPr>
            <w:tcW w:w="1557" w:type="dxa"/>
            <w:tcBorders>
              <w:top w:val="nil"/>
              <w:left w:val="single" w:color="auto" w:sz="8" w:space="0"/>
              <w:bottom w:val="nil"/>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(-0.0248)</w:t>
            </w:r>
          </w:p>
        </w:tc>
      </w:tr>
      <w:tr>
        <w:tblPrEx>
          <w:tblCellMar>
            <w:top w:w="0" w:type="dxa"/>
            <w:left w:w="108" w:type="dxa"/>
            <w:bottom w:w="0" w:type="dxa"/>
            <w:right w:w="108" w:type="dxa"/>
          </w:tblCellMar>
        </w:tblPrEx>
        <w:trPr>
          <w:trHeight w:val="402" w:hRule="atLeast"/>
        </w:trPr>
        <w:tc>
          <w:tcPr>
            <w:tcW w:w="1560" w:type="dxa"/>
            <w:vMerge w:val="restart"/>
            <w:tcBorders>
              <w:top w:val="nil"/>
              <w:left w:val="nil"/>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GDP</w:t>
            </w:r>
          </w:p>
        </w:tc>
        <w:tc>
          <w:tcPr>
            <w:tcW w:w="1701"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0.137</w:t>
            </w:r>
          </w:p>
        </w:tc>
        <w:tc>
          <w:tcPr>
            <w:tcW w:w="1559"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1.100*</w:t>
            </w:r>
          </w:p>
        </w:tc>
        <w:tc>
          <w:tcPr>
            <w:tcW w:w="1417"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0.179</w:t>
            </w:r>
          </w:p>
        </w:tc>
        <w:tc>
          <w:tcPr>
            <w:tcW w:w="1560"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-0.591</w:t>
            </w:r>
          </w:p>
        </w:tc>
        <w:tc>
          <w:tcPr>
            <w:tcW w:w="1557" w:type="dxa"/>
            <w:tcBorders>
              <w:top w:val="nil"/>
              <w:left w:val="single" w:color="auto" w:sz="8" w:space="0"/>
              <w:bottom w:val="nil"/>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0.023</w:t>
            </w:r>
          </w:p>
        </w:tc>
      </w:tr>
      <w:tr>
        <w:tblPrEx>
          <w:tblCellMar>
            <w:top w:w="0" w:type="dxa"/>
            <w:left w:w="108" w:type="dxa"/>
            <w:bottom w:w="0" w:type="dxa"/>
            <w:right w:w="108" w:type="dxa"/>
          </w:tblCellMar>
        </w:tblPrEx>
        <w:trPr>
          <w:trHeight w:val="402" w:hRule="atLeast"/>
        </w:trPr>
        <w:tc>
          <w:tcPr>
            <w:tcW w:w="1560" w:type="dxa"/>
            <w:vMerge w:val="continue"/>
            <w:tcBorders>
              <w:top w:val="nil"/>
              <w:left w:val="nil"/>
              <w:bottom w:val="nil"/>
              <w:right w:val="single" w:color="auto" w:sz="8" w:space="0"/>
            </w:tcBorders>
            <w:vAlign w:val="center"/>
          </w:tcPr>
          <w:p>
            <w:pPr>
              <w:widowControl/>
              <w:jc w:val="left"/>
              <w:rPr>
                <w:rFonts w:cs="Times New Roman"/>
                <w:color w:val="000000"/>
                <w:sz w:val="21"/>
                <w:szCs w:val="21"/>
                <w:lang w:val="en-GB"/>
              </w:rPr>
            </w:pPr>
          </w:p>
        </w:tc>
        <w:tc>
          <w:tcPr>
            <w:tcW w:w="1701"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(-0.203)</w:t>
            </w:r>
          </w:p>
        </w:tc>
        <w:tc>
          <w:tcPr>
            <w:tcW w:w="1559"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(-0.573)</w:t>
            </w:r>
          </w:p>
        </w:tc>
        <w:tc>
          <w:tcPr>
            <w:tcW w:w="1417"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(-0.222)</w:t>
            </w:r>
          </w:p>
        </w:tc>
        <w:tc>
          <w:tcPr>
            <w:tcW w:w="1560"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(-0.853)</w:t>
            </w:r>
          </w:p>
        </w:tc>
        <w:tc>
          <w:tcPr>
            <w:tcW w:w="1557" w:type="dxa"/>
            <w:tcBorders>
              <w:top w:val="nil"/>
              <w:left w:val="single" w:color="auto" w:sz="8" w:space="0"/>
              <w:bottom w:val="nil"/>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(-0.0745)</w:t>
            </w:r>
          </w:p>
        </w:tc>
      </w:tr>
      <w:tr>
        <w:tblPrEx>
          <w:tblCellMar>
            <w:top w:w="0" w:type="dxa"/>
            <w:left w:w="108" w:type="dxa"/>
            <w:bottom w:w="0" w:type="dxa"/>
            <w:right w:w="108" w:type="dxa"/>
          </w:tblCellMar>
        </w:tblPrEx>
        <w:trPr>
          <w:trHeight w:val="402" w:hRule="atLeast"/>
        </w:trPr>
        <w:tc>
          <w:tcPr>
            <w:tcW w:w="1560" w:type="dxa"/>
            <w:vMerge w:val="restart"/>
            <w:tcBorders>
              <w:top w:val="nil"/>
              <w:left w:val="nil"/>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Pindex</w:t>
            </w:r>
          </w:p>
        </w:tc>
        <w:tc>
          <w:tcPr>
            <w:tcW w:w="1701"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0.00918</w:t>
            </w:r>
          </w:p>
        </w:tc>
        <w:tc>
          <w:tcPr>
            <w:tcW w:w="1559"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0.0391**</w:t>
            </w:r>
          </w:p>
        </w:tc>
        <w:tc>
          <w:tcPr>
            <w:tcW w:w="1417"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0.00958</w:t>
            </w:r>
          </w:p>
        </w:tc>
        <w:tc>
          <w:tcPr>
            <w:tcW w:w="1560"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0.0111</w:t>
            </w:r>
          </w:p>
        </w:tc>
        <w:tc>
          <w:tcPr>
            <w:tcW w:w="1557" w:type="dxa"/>
            <w:tcBorders>
              <w:top w:val="nil"/>
              <w:left w:val="single" w:color="auto" w:sz="8" w:space="0"/>
              <w:bottom w:val="nil"/>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-0.0034</w:t>
            </w:r>
          </w:p>
        </w:tc>
      </w:tr>
      <w:tr>
        <w:tblPrEx>
          <w:tblCellMar>
            <w:top w:w="0" w:type="dxa"/>
            <w:left w:w="108" w:type="dxa"/>
            <w:bottom w:w="0" w:type="dxa"/>
            <w:right w:w="108" w:type="dxa"/>
          </w:tblCellMar>
        </w:tblPrEx>
        <w:trPr>
          <w:trHeight w:val="402" w:hRule="atLeast"/>
        </w:trPr>
        <w:tc>
          <w:tcPr>
            <w:tcW w:w="1560" w:type="dxa"/>
            <w:vMerge w:val="continue"/>
            <w:tcBorders>
              <w:top w:val="nil"/>
              <w:left w:val="nil"/>
              <w:bottom w:val="nil"/>
              <w:right w:val="single" w:color="auto" w:sz="8" w:space="0"/>
            </w:tcBorders>
            <w:vAlign w:val="center"/>
          </w:tcPr>
          <w:p>
            <w:pPr>
              <w:widowControl/>
              <w:jc w:val="left"/>
              <w:rPr>
                <w:rFonts w:cs="Times New Roman"/>
                <w:color w:val="000000"/>
                <w:sz w:val="21"/>
                <w:szCs w:val="21"/>
                <w:lang w:val="en-GB"/>
              </w:rPr>
            </w:pPr>
          </w:p>
        </w:tc>
        <w:tc>
          <w:tcPr>
            <w:tcW w:w="1701"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(-0.00856)</w:t>
            </w:r>
          </w:p>
        </w:tc>
        <w:tc>
          <w:tcPr>
            <w:tcW w:w="1559"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(-0.0192)</w:t>
            </w:r>
          </w:p>
        </w:tc>
        <w:tc>
          <w:tcPr>
            <w:tcW w:w="1417"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(-0.00976)</w:t>
            </w:r>
          </w:p>
        </w:tc>
        <w:tc>
          <w:tcPr>
            <w:tcW w:w="1560"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(-0.0269)</w:t>
            </w:r>
          </w:p>
        </w:tc>
        <w:tc>
          <w:tcPr>
            <w:tcW w:w="1557" w:type="dxa"/>
            <w:tcBorders>
              <w:top w:val="nil"/>
              <w:left w:val="single" w:color="auto" w:sz="8" w:space="0"/>
              <w:bottom w:val="nil"/>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(-0.00258)</w:t>
            </w:r>
          </w:p>
        </w:tc>
      </w:tr>
      <w:tr>
        <w:tblPrEx>
          <w:tblCellMar>
            <w:top w:w="0" w:type="dxa"/>
            <w:left w:w="108" w:type="dxa"/>
            <w:bottom w:w="0" w:type="dxa"/>
            <w:right w:w="108" w:type="dxa"/>
          </w:tblCellMar>
        </w:tblPrEx>
        <w:trPr>
          <w:trHeight w:val="402" w:hRule="atLeast"/>
        </w:trPr>
        <w:tc>
          <w:tcPr>
            <w:tcW w:w="1560" w:type="dxa"/>
            <w:vMerge w:val="restart"/>
            <w:tcBorders>
              <w:top w:val="nil"/>
              <w:left w:val="nil"/>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CPI</w:t>
            </w:r>
          </w:p>
        </w:tc>
        <w:tc>
          <w:tcPr>
            <w:tcW w:w="1701"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0.0019</w:t>
            </w:r>
          </w:p>
        </w:tc>
        <w:tc>
          <w:tcPr>
            <w:tcW w:w="1559"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0.606</w:t>
            </w:r>
          </w:p>
        </w:tc>
        <w:tc>
          <w:tcPr>
            <w:tcW w:w="1417"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0.2</w:t>
            </w:r>
          </w:p>
        </w:tc>
        <w:tc>
          <w:tcPr>
            <w:tcW w:w="1560"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-1.142</w:t>
            </w:r>
          </w:p>
        </w:tc>
        <w:tc>
          <w:tcPr>
            <w:tcW w:w="1557" w:type="dxa"/>
            <w:tcBorders>
              <w:top w:val="nil"/>
              <w:left w:val="single" w:color="auto" w:sz="8" w:space="0"/>
              <w:bottom w:val="nil"/>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-0.356**</w:t>
            </w:r>
          </w:p>
        </w:tc>
      </w:tr>
      <w:tr>
        <w:tblPrEx>
          <w:tblCellMar>
            <w:top w:w="0" w:type="dxa"/>
            <w:left w:w="108" w:type="dxa"/>
            <w:bottom w:w="0" w:type="dxa"/>
            <w:right w:w="108" w:type="dxa"/>
          </w:tblCellMar>
        </w:tblPrEx>
        <w:trPr>
          <w:trHeight w:val="402" w:hRule="atLeast"/>
        </w:trPr>
        <w:tc>
          <w:tcPr>
            <w:tcW w:w="1560" w:type="dxa"/>
            <w:vMerge w:val="continue"/>
            <w:tcBorders>
              <w:top w:val="nil"/>
              <w:left w:val="nil"/>
              <w:bottom w:val="nil"/>
              <w:right w:val="single" w:color="auto" w:sz="8" w:space="0"/>
            </w:tcBorders>
            <w:vAlign w:val="center"/>
          </w:tcPr>
          <w:p>
            <w:pPr>
              <w:widowControl/>
              <w:jc w:val="left"/>
              <w:rPr>
                <w:rFonts w:cs="Times New Roman"/>
                <w:color w:val="000000"/>
                <w:sz w:val="21"/>
                <w:szCs w:val="21"/>
                <w:lang w:val="en-GB"/>
              </w:rPr>
            </w:pPr>
          </w:p>
        </w:tc>
        <w:tc>
          <w:tcPr>
            <w:tcW w:w="1701"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(-0.392)</w:t>
            </w:r>
          </w:p>
        </w:tc>
        <w:tc>
          <w:tcPr>
            <w:tcW w:w="1559"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(-0.592)</w:t>
            </w:r>
          </w:p>
        </w:tc>
        <w:tc>
          <w:tcPr>
            <w:tcW w:w="1417"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(-0.485)</w:t>
            </w:r>
          </w:p>
        </w:tc>
        <w:tc>
          <w:tcPr>
            <w:tcW w:w="1560"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(-1.336)</w:t>
            </w:r>
          </w:p>
        </w:tc>
        <w:tc>
          <w:tcPr>
            <w:tcW w:w="1557" w:type="dxa"/>
            <w:tcBorders>
              <w:top w:val="nil"/>
              <w:left w:val="single" w:color="auto" w:sz="8" w:space="0"/>
              <w:bottom w:val="nil"/>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(-0.176)</w:t>
            </w:r>
          </w:p>
        </w:tc>
      </w:tr>
      <w:tr>
        <w:tblPrEx>
          <w:tblCellMar>
            <w:top w:w="0" w:type="dxa"/>
            <w:left w:w="108" w:type="dxa"/>
            <w:bottom w:w="0" w:type="dxa"/>
            <w:right w:w="108" w:type="dxa"/>
          </w:tblCellMar>
        </w:tblPrEx>
        <w:trPr>
          <w:trHeight w:val="402" w:hRule="atLeast"/>
        </w:trPr>
        <w:tc>
          <w:tcPr>
            <w:tcW w:w="1560" w:type="dxa"/>
            <w:vMerge w:val="restart"/>
            <w:tcBorders>
              <w:top w:val="nil"/>
              <w:left w:val="nil"/>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M2</w:t>
            </w:r>
          </w:p>
        </w:tc>
        <w:tc>
          <w:tcPr>
            <w:tcW w:w="1701"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0.00969</w:t>
            </w:r>
          </w:p>
        </w:tc>
        <w:tc>
          <w:tcPr>
            <w:tcW w:w="1559"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-0.00973</w:t>
            </w:r>
          </w:p>
        </w:tc>
        <w:tc>
          <w:tcPr>
            <w:tcW w:w="1417"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0.0578</w:t>
            </w:r>
          </w:p>
        </w:tc>
        <w:tc>
          <w:tcPr>
            <w:tcW w:w="1560"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-0.528</w:t>
            </w:r>
          </w:p>
        </w:tc>
        <w:tc>
          <w:tcPr>
            <w:tcW w:w="1557" w:type="dxa"/>
            <w:tcBorders>
              <w:top w:val="nil"/>
              <w:left w:val="single" w:color="auto" w:sz="8" w:space="0"/>
              <w:bottom w:val="nil"/>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-0.0367</w:t>
            </w:r>
          </w:p>
        </w:tc>
      </w:tr>
      <w:tr>
        <w:tblPrEx>
          <w:tblCellMar>
            <w:top w:w="0" w:type="dxa"/>
            <w:left w:w="108" w:type="dxa"/>
            <w:bottom w:w="0" w:type="dxa"/>
            <w:right w:w="108" w:type="dxa"/>
          </w:tblCellMar>
        </w:tblPrEx>
        <w:trPr>
          <w:trHeight w:val="402" w:hRule="atLeast"/>
        </w:trPr>
        <w:tc>
          <w:tcPr>
            <w:tcW w:w="1560" w:type="dxa"/>
            <w:vMerge w:val="continue"/>
            <w:tcBorders>
              <w:top w:val="nil"/>
              <w:left w:val="nil"/>
              <w:bottom w:val="nil"/>
              <w:right w:val="single" w:color="auto" w:sz="8" w:space="0"/>
            </w:tcBorders>
            <w:vAlign w:val="center"/>
          </w:tcPr>
          <w:p>
            <w:pPr>
              <w:widowControl/>
              <w:jc w:val="left"/>
              <w:rPr>
                <w:rFonts w:cs="Times New Roman"/>
                <w:color w:val="000000"/>
                <w:sz w:val="21"/>
                <w:szCs w:val="21"/>
                <w:lang w:val="en-GB"/>
              </w:rPr>
            </w:pPr>
          </w:p>
        </w:tc>
        <w:tc>
          <w:tcPr>
            <w:tcW w:w="1701"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(-0.146)</w:t>
            </w:r>
          </w:p>
        </w:tc>
        <w:tc>
          <w:tcPr>
            <w:tcW w:w="1559"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(-0.132)</w:t>
            </w:r>
          </w:p>
        </w:tc>
        <w:tc>
          <w:tcPr>
            <w:tcW w:w="1417"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(-0.196)</w:t>
            </w:r>
          </w:p>
        </w:tc>
        <w:tc>
          <w:tcPr>
            <w:tcW w:w="1560"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(-0.427)</w:t>
            </w:r>
          </w:p>
        </w:tc>
        <w:tc>
          <w:tcPr>
            <w:tcW w:w="1557" w:type="dxa"/>
            <w:tcBorders>
              <w:top w:val="nil"/>
              <w:left w:val="single" w:color="auto" w:sz="8" w:space="0"/>
              <w:bottom w:val="nil"/>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(-0.0369)</w:t>
            </w:r>
          </w:p>
        </w:tc>
      </w:tr>
      <w:tr>
        <w:tblPrEx>
          <w:tblCellMar>
            <w:top w:w="0" w:type="dxa"/>
            <w:left w:w="108" w:type="dxa"/>
            <w:bottom w:w="0" w:type="dxa"/>
            <w:right w:w="108" w:type="dxa"/>
          </w:tblCellMar>
        </w:tblPrEx>
        <w:trPr>
          <w:trHeight w:val="402" w:hRule="atLeast"/>
        </w:trPr>
        <w:tc>
          <w:tcPr>
            <w:tcW w:w="1560" w:type="dxa"/>
            <w:vMerge w:val="restart"/>
            <w:tcBorders>
              <w:top w:val="nil"/>
              <w:left w:val="nil"/>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Constant</w:t>
            </w:r>
          </w:p>
        </w:tc>
        <w:tc>
          <w:tcPr>
            <w:tcW w:w="1701"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152.1***</w:t>
            </w:r>
          </w:p>
        </w:tc>
        <w:tc>
          <w:tcPr>
            <w:tcW w:w="1559"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74.94**</w:t>
            </w:r>
          </w:p>
        </w:tc>
        <w:tc>
          <w:tcPr>
            <w:tcW w:w="1417"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161.9***</w:t>
            </w:r>
          </w:p>
        </w:tc>
        <w:tc>
          <w:tcPr>
            <w:tcW w:w="1560"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436.8***</w:t>
            </w:r>
          </w:p>
        </w:tc>
        <w:tc>
          <w:tcPr>
            <w:tcW w:w="1557" w:type="dxa"/>
            <w:tcBorders>
              <w:top w:val="nil"/>
              <w:left w:val="single" w:color="auto" w:sz="8" w:space="0"/>
              <w:bottom w:val="nil"/>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16.84**</w:t>
            </w:r>
          </w:p>
        </w:tc>
      </w:tr>
      <w:tr>
        <w:tblPrEx>
          <w:tblCellMar>
            <w:top w:w="0" w:type="dxa"/>
            <w:left w:w="108" w:type="dxa"/>
            <w:bottom w:w="0" w:type="dxa"/>
            <w:right w:w="108" w:type="dxa"/>
          </w:tblCellMar>
        </w:tblPrEx>
        <w:trPr>
          <w:trHeight w:val="402" w:hRule="atLeast"/>
        </w:trPr>
        <w:tc>
          <w:tcPr>
            <w:tcW w:w="1560" w:type="dxa"/>
            <w:vMerge w:val="continue"/>
            <w:tcBorders>
              <w:top w:val="nil"/>
              <w:left w:val="nil"/>
              <w:bottom w:val="nil"/>
              <w:right w:val="single" w:color="auto" w:sz="8" w:space="0"/>
            </w:tcBorders>
            <w:vAlign w:val="center"/>
          </w:tcPr>
          <w:p>
            <w:pPr>
              <w:widowControl/>
              <w:jc w:val="left"/>
              <w:rPr>
                <w:rFonts w:cs="Times New Roman"/>
                <w:color w:val="000000"/>
                <w:sz w:val="21"/>
                <w:szCs w:val="21"/>
                <w:lang w:val="en-GB"/>
              </w:rPr>
            </w:pPr>
          </w:p>
        </w:tc>
        <w:tc>
          <w:tcPr>
            <w:tcW w:w="1701"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(-50.28)</w:t>
            </w:r>
          </w:p>
        </w:tc>
        <w:tc>
          <w:tcPr>
            <w:tcW w:w="1559"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(-37.75)</w:t>
            </w:r>
          </w:p>
        </w:tc>
        <w:tc>
          <w:tcPr>
            <w:tcW w:w="1417"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(-55.95)</w:t>
            </w:r>
          </w:p>
        </w:tc>
        <w:tc>
          <w:tcPr>
            <w:tcW w:w="1560"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(-101.9)</w:t>
            </w:r>
          </w:p>
        </w:tc>
        <w:tc>
          <w:tcPr>
            <w:tcW w:w="1557" w:type="dxa"/>
            <w:tcBorders>
              <w:top w:val="nil"/>
              <w:left w:val="single" w:color="auto" w:sz="8" w:space="0"/>
              <w:bottom w:val="nil"/>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(-7.784)</w:t>
            </w:r>
          </w:p>
        </w:tc>
      </w:tr>
      <w:tr>
        <w:tblPrEx>
          <w:tblCellMar>
            <w:top w:w="0" w:type="dxa"/>
            <w:left w:w="108" w:type="dxa"/>
            <w:bottom w:w="0" w:type="dxa"/>
            <w:right w:w="108" w:type="dxa"/>
          </w:tblCellMar>
        </w:tblPrEx>
        <w:trPr>
          <w:trHeight w:val="402" w:hRule="atLeast"/>
        </w:trPr>
        <w:tc>
          <w:tcPr>
            <w:tcW w:w="1560" w:type="dxa"/>
            <w:tcBorders>
              <w:top w:val="nil"/>
              <w:left w:val="nil"/>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R-sq</w:t>
            </w:r>
          </w:p>
        </w:tc>
        <w:tc>
          <w:tcPr>
            <w:tcW w:w="1701"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0.1925</w:t>
            </w:r>
          </w:p>
        </w:tc>
        <w:tc>
          <w:tcPr>
            <w:tcW w:w="1559"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0.3213</w:t>
            </w:r>
          </w:p>
        </w:tc>
        <w:tc>
          <w:tcPr>
            <w:tcW w:w="1417"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0.1945</w:t>
            </w:r>
          </w:p>
        </w:tc>
        <w:tc>
          <w:tcPr>
            <w:tcW w:w="1560" w:type="dxa"/>
            <w:tcBorders>
              <w:top w:val="nil"/>
              <w:left w:val="single" w:color="auto" w:sz="8" w:space="0"/>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0.2343</w:t>
            </w:r>
          </w:p>
        </w:tc>
        <w:tc>
          <w:tcPr>
            <w:tcW w:w="1557" w:type="dxa"/>
            <w:tcBorders>
              <w:top w:val="nil"/>
              <w:left w:val="single" w:color="auto" w:sz="8" w:space="0"/>
              <w:bottom w:val="nil"/>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0.3212</w:t>
            </w:r>
          </w:p>
        </w:tc>
      </w:tr>
      <w:tr>
        <w:tblPrEx>
          <w:tblCellMar>
            <w:top w:w="0" w:type="dxa"/>
            <w:left w:w="108" w:type="dxa"/>
            <w:bottom w:w="0" w:type="dxa"/>
            <w:right w:w="108" w:type="dxa"/>
          </w:tblCellMar>
        </w:tblPrEx>
        <w:trPr>
          <w:trHeight w:val="402" w:hRule="atLeast"/>
        </w:trPr>
        <w:tc>
          <w:tcPr>
            <w:tcW w:w="1560" w:type="dxa"/>
            <w:tcBorders>
              <w:top w:val="nil"/>
              <w:left w:val="nil"/>
              <w:bottom w:val="single" w:color="auto" w:sz="12" w:space="0"/>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Company number</w:t>
            </w:r>
          </w:p>
        </w:tc>
        <w:tc>
          <w:tcPr>
            <w:tcW w:w="1701" w:type="dxa"/>
            <w:tcBorders>
              <w:top w:val="nil"/>
              <w:left w:val="single" w:color="auto" w:sz="8" w:space="0"/>
              <w:bottom w:val="single" w:color="auto" w:sz="12" w:space="0"/>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890</w:t>
            </w:r>
          </w:p>
        </w:tc>
        <w:tc>
          <w:tcPr>
            <w:tcW w:w="1559" w:type="dxa"/>
            <w:tcBorders>
              <w:top w:val="nil"/>
              <w:left w:val="single" w:color="auto" w:sz="8" w:space="0"/>
              <w:bottom w:val="single" w:color="auto" w:sz="12" w:space="0"/>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132</w:t>
            </w:r>
          </w:p>
        </w:tc>
        <w:tc>
          <w:tcPr>
            <w:tcW w:w="1417" w:type="dxa"/>
            <w:tcBorders>
              <w:top w:val="nil"/>
              <w:left w:val="single" w:color="auto" w:sz="8" w:space="0"/>
              <w:bottom w:val="single" w:color="auto" w:sz="12" w:space="0"/>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758</w:t>
            </w:r>
          </w:p>
        </w:tc>
        <w:tc>
          <w:tcPr>
            <w:tcW w:w="1560" w:type="dxa"/>
            <w:tcBorders>
              <w:top w:val="nil"/>
              <w:left w:val="single" w:color="auto" w:sz="8" w:space="0"/>
              <w:bottom w:val="single" w:color="auto" w:sz="12" w:space="0"/>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475</w:t>
            </w:r>
          </w:p>
        </w:tc>
        <w:tc>
          <w:tcPr>
            <w:tcW w:w="1557" w:type="dxa"/>
            <w:tcBorders>
              <w:top w:val="nil"/>
              <w:left w:val="single" w:color="auto" w:sz="8" w:space="0"/>
              <w:bottom w:val="single" w:color="auto" w:sz="12" w:space="0"/>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480</w:t>
            </w:r>
          </w:p>
        </w:tc>
      </w:tr>
    </w:tbl>
    <w:p>
      <w:pPr>
        <w:spacing w:line="360" w:lineRule="auto"/>
        <w:contextualSpacing/>
        <w:jc w:val="left"/>
        <w:rPr>
          <w:rFonts w:cs="Times New Roman"/>
          <w:lang w:val="en-GB"/>
        </w:rPr>
      </w:pPr>
      <w:r>
        <w:rPr>
          <w:rFonts w:cs="Times New Roman"/>
          <w:lang w:val="en-GB"/>
        </w:rPr>
        <w:t>Note: The standard deviations of the sample statistics are shown in parentheses. *p&lt;0.1, **p&lt;0.05, ***p&lt;0.01. Enterprises with high leverage ratios are those in the bottom 25%, while enterprises with low leverage ratios are those in the top 25%.</w:t>
      </w:r>
    </w:p>
    <w:p>
      <w:pPr>
        <w:spacing w:line="360" w:lineRule="auto"/>
        <w:ind w:firstLine="720"/>
        <w:contextualSpacing/>
        <w:jc w:val="left"/>
        <w:rPr>
          <w:rFonts w:cs="Times New Roman"/>
          <w:lang w:val="en-GB"/>
        </w:rPr>
      </w:pPr>
      <w:r>
        <w:rPr>
          <w:rFonts w:cs="Times New Roman"/>
          <w:lang w:val="en-GB"/>
        </w:rPr>
        <w:t>Combining the explanatory variables at the micro enterprise level and macro level yields the regression results presented below. The results show that after the addition of micro-level explanatory variables, the significant effect of the macro-level explanatory variables on the leverage ratio decreases mainly because the latter variables can affect the enterprise-level variables.</w:t>
      </w:r>
    </w:p>
    <w:p>
      <w:pPr>
        <w:pStyle w:val="4"/>
        <w:spacing w:before="0" w:after="0" w:line="360" w:lineRule="auto"/>
        <w:contextualSpacing/>
        <w:jc w:val="left"/>
        <w:rPr>
          <w:szCs w:val="24"/>
          <w:lang w:val="en-GB"/>
        </w:rPr>
      </w:pPr>
    </w:p>
    <w:p>
      <w:pPr>
        <w:pStyle w:val="4"/>
        <w:spacing w:before="0" w:after="0" w:line="360" w:lineRule="auto"/>
        <w:contextualSpacing/>
        <w:jc w:val="left"/>
        <w:rPr>
          <w:i/>
          <w:szCs w:val="24"/>
          <w:lang w:val="en-GB"/>
        </w:rPr>
      </w:pPr>
      <w:r>
        <w:rPr>
          <w:i/>
          <w:szCs w:val="24"/>
          <w:lang w:val="en-GB"/>
        </w:rPr>
        <w:t>5.2.2 Indirect influence</w:t>
      </w:r>
    </w:p>
    <w:p>
      <w:pPr>
        <w:pStyle w:val="12"/>
        <w:spacing w:before="0" w:beforeAutospacing="0" w:after="0" w:afterAutospacing="0" w:line="360" w:lineRule="auto"/>
        <w:ind w:firstLine="720"/>
        <w:contextualSpacing/>
        <w:rPr>
          <w:rFonts w:hint="eastAsia" w:ascii="Times New Roman" w:hAnsi="Times New Roman" w:eastAsia="宋体" w:cs="Times New Roman"/>
          <w:lang w:val="en-US" w:eastAsia="zh-CN"/>
        </w:rPr>
      </w:pPr>
      <w:r>
        <w:rPr>
          <w:rFonts w:ascii="Times New Roman" w:hAnsi="Times New Roman" w:cs="Times New Roman"/>
          <w:lang w:val="en-GB"/>
        </w:rPr>
        <w:t>Macro variables can affect the corporate leverage ratio not only directly but also indirectly by influencing the explanatory variables at the micro level. The paper uses the interaction terms of the macro- and micro-level explanatory variables to express the indirect influence of the macro variables on the corporate leverage ratio. The signs after βi,t represent the signs of the regression results of the micro-level explanatory variables, and an * indicates that the influence of an explanatory variable at the company level on the leverage ratio is significant or mostly significant. When the sign of the cross term is consistent with the sign of the result at the company level, it indicates that a positive change in the macro-level variable will lead to an increased effect of the micro-level variable; if the sign is inconsistent, it indicates that a positive change in the macro-level variable will weaken the influence of the micro-level explanatory variable.</w:t>
      </w:r>
      <w:r>
        <w:rPr>
          <w:rFonts w:hint="eastAsia" w:ascii="Times New Roman" w:hAnsi="Times New Roman" w:cs="Times New Roman"/>
          <w:lang w:val="en-US" w:eastAsia="zh-CN"/>
        </w:rPr>
        <w:t xml:space="preserve"> The i</w:t>
      </w:r>
      <w:r>
        <w:rPr>
          <w:rFonts w:hint="eastAsia" w:ascii="Times New Roman" w:hAnsi="Times New Roman" w:cs="Times New Roman"/>
        </w:rPr>
        <w:t>ndirect influence of macro variables on the leverage ratio (state-owned enterprises)</w:t>
      </w:r>
      <w:r>
        <w:rPr>
          <w:rFonts w:hint="eastAsia" w:ascii="Times New Roman" w:hAnsi="Times New Roman" w:cs="Times New Roman"/>
          <w:lang w:val="en-US" w:eastAsia="zh-CN"/>
        </w:rPr>
        <w:t xml:space="preserve"> </w:t>
      </w:r>
      <w:r>
        <w:rPr>
          <w:rFonts w:hint="eastAsia" w:ascii="Times New Roman" w:hAnsi="Times New Roman" w:cs="Times New Roman"/>
        </w:rPr>
        <w:t xml:space="preserve">are shown in </w:t>
      </w:r>
      <w:r>
        <w:rPr>
          <w:rFonts w:hint="eastAsia" w:ascii="Times New Roman" w:hAnsi="Times New Roman" w:cs="Times New Roman"/>
          <w:color w:val="00B0F0"/>
        </w:rPr>
        <w:t xml:space="preserve">Table </w:t>
      </w:r>
      <w:r>
        <w:rPr>
          <w:rFonts w:hint="eastAsia" w:ascii="Times New Roman" w:hAnsi="Times New Roman" w:cs="Times New Roman"/>
          <w:color w:val="00B0F0"/>
          <w:lang w:val="en-US" w:eastAsia="zh-CN"/>
        </w:rPr>
        <w:t>5</w:t>
      </w:r>
      <w:r>
        <w:rPr>
          <w:rFonts w:hint="eastAsia" w:ascii="Times New Roman" w:hAnsi="Times New Roman" w:cs="Times New Roman"/>
        </w:rPr>
        <w:t>.</w:t>
      </w:r>
    </w:p>
    <w:p>
      <w:pPr>
        <w:pStyle w:val="12"/>
        <w:spacing w:before="0" w:beforeAutospacing="0" w:after="0" w:afterAutospacing="0" w:line="360" w:lineRule="auto"/>
        <w:ind w:firstLine="720"/>
        <w:contextualSpacing/>
        <w:rPr>
          <w:rFonts w:ascii="Times New Roman" w:hAnsi="Times New Roman" w:cs="Times New Roman"/>
          <w:lang w:val="en-GB"/>
        </w:rPr>
      </w:pPr>
    </w:p>
    <w:p>
      <w:pPr>
        <w:pStyle w:val="12"/>
        <w:spacing w:before="0" w:beforeAutospacing="0" w:after="0" w:afterAutospacing="0" w:line="360" w:lineRule="auto"/>
        <w:contextualSpacing/>
        <w:rPr>
          <w:rFonts w:ascii="Times New Roman" w:hAnsi="Times New Roman" w:eastAsia="黑体" w:cs="Times New Roman"/>
          <w:lang w:val="en-GB"/>
        </w:rPr>
      </w:pPr>
      <w:r>
        <w:rPr>
          <w:rFonts w:ascii="Times New Roman" w:hAnsi="Times New Roman" w:eastAsia="黑体" w:cs="Times New Roman"/>
          <w:b/>
          <w:lang w:val="en-GB"/>
        </w:rPr>
        <w:t xml:space="preserve">Table </w:t>
      </w:r>
      <w:r>
        <w:rPr>
          <w:rFonts w:hint="eastAsia" w:ascii="Times New Roman" w:hAnsi="Times New Roman" w:eastAsia="黑体" w:cs="Times New Roman"/>
          <w:b/>
          <w:lang w:val="en-US" w:eastAsia="zh-CN"/>
        </w:rPr>
        <w:t>5</w:t>
      </w:r>
      <w:r>
        <w:rPr>
          <w:rFonts w:ascii="Times New Roman" w:hAnsi="Times New Roman" w:eastAsia="黑体" w:cs="Times New Roman"/>
          <w:b/>
          <w:lang w:val="en-GB"/>
        </w:rPr>
        <w:t>.</w:t>
      </w:r>
      <w:r>
        <w:rPr>
          <w:rFonts w:ascii="Times New Roman" w:hAnsi="Times New Roman" w:eastAsia="黑体" w:cs="Times New Roman"/>
          <w:lang w:val="en-GB"/>
        </w:rPr>
        <w:t xml:space="preserve"> Indirect influence of macro variables on the leverage ratio (state-owned enterprises)</w:t>
      </w:r>
    </w:p>
    <w:tbl>
      <w:tblPr>
        <w:tblStyle w:val="14"/>
        <w:tblW w:w="5000" w:type="pct"/>
        <w:tblInd w:w="0" w:type="dxa"/>
        <w:tblLayout w:type="autofit"/>
        <w:tblCellMar>
          <w:top w:w="0" w:type="dxa"/>
          <w:left w:w="108" w:type="dxa"/>
          <w:bottom w:w="0" w:type="dxa"/>
          <w:right w:w="108" w:type="dxa"/>
        </w:tblCellMar>
      </w:tblPr>
      <w:tblGrid>
        <w:gridCol w:w="2192"/>
        <w:gridCol w:w="1710"/>
        <w:gridCol w:w="2193"/>
        <w:gridCol w:w="1563"/>
        <w:gridCol w:w="1918"/>
      </w:tblGrid>
      <w:tr>
        <w:tblPrEx>
          <w:tblCellMar>
            <w:top w:w="0" w:type="dxa"/>
            <w:left w:w="108" w:type="dxa"/>
            <w:bottom w:w="0" w:type="dxa"/>
            <w:right w:w="108" w:type="dxa"/>
          </w:tblCellMar>
        </w:tblPrEx>
        <w:trPr>
          <w:trHeight w:val="397" w:hRule="atLeast"/>
        </w:trPr>
        <w:tc>
          <w:tcPr>
            <w:tcW w:w="2141" w:type="dxa"/>
            <w:tcBorders>
              <w:top w:val="single" w:color="auto" w:sz="12" w:space="0"/>
              <w:left w:val="nil"/>
              <w:bottom w:val="single" w:color="auto" w:sz="8" w:space="0"/>
              <w:right w:val="single" w:color="auto" w:sz="8" w:space="0"/>
            </w:tcBorders>
            <w:shd w:val="clear" w:color="auto" w:fill="auto"/>
            <w:noWrap/>
            <w:vAlign w:val="center"/>
          </w:tcPr>
          <w:p>
            <w:pPr>
              <w:widowControl/>
              <w:jc w:val="left"/>
              <w:rPr>
                <w:rFonts w:cs="Times New Roman"/>
                <w:color w:val="000000"/>
                <w:sz w:val="21"/>
                <w:szCs w:val="21"/>
                <w:lang w:val="en-GB"/>
              </w:rPr>
            </w:pPr>
          </w:p>
        </w:tc>
        <w:tc>
          <w:tcPr>
            <w:tcW w:w="1670" w:type="dxa"/>
            <w:tcBorders>
              <w:top w:val="single" w:color="auto" w:sz="12" w:space="0"/>
              <w:left w:val="single" w:color="auto" w:sz="8" w:space="0"/>
              <w:bottom w:val="single" w:color="auto" w:sz="8" w:space="0"/>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GDP</w:t>
            </w:r>
          </w:p>
        </w:tc>
        <w:tc>
          <w:tcPr>
            <w:tcW w:w="2142" w:type="dxa"/>
            <w:tcBorders>
              <w:top w:val="single" w:color="auto" w:sz="12" w:space="0"/>
              <w:left w:val="nil"/>
              <w:bottom w:val="single" w:color="auto" w:sz="8" w:space="0"/>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Pindex</w:t>
            </w:r>
          </w:p>
        </w:tc>
        <w:tc>
          <w:tcPr>
            <w:tcW w:w="1527" w:type="dxa"/>
            <w:tcBorders>
              <w:top w:val="single" w:color="auto" w:sz="12" w:space="0"/>
              <w:left w:val="nil"/>
              <w:bottom w:val="single" w:color="auto" w:sz="8" w:space="0"/>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CPI</w:t>
            </w:r>
          </w:p>
        </w:tc>
        <w:tc>
          <w:tcPr>
            <w:tcW w:w="1874" w:type="dxa"/>
            <w:tcBorders>
              <w:top w:val="single" w:color="auto" w:sz="12" w:space="0"/>
              <w:left w:val="nil"/>
              <w:bottom w:val="single" w:color="auto" w:sz="8" w:space="0"/>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M2</w:t>
            </w:r>
          </w:p>
        </w:tc>
      </w:tr>
      <w:tr>
        <w:tblPrEx>
          <w:tblCellMar>
            <w:top w:w="0" w:type="dxa"/>
            <w:left w:w="108" w:type="dxa"/>
            <w:bottom w:w="0" w:type="dxa"/>
            <w:right w:w="108" w:type="dxa"/>
          </w:tblCellMar>
        </w:tblPrEx>
        <w:trPr>
          <w:trHeight w:val="397" w:hRule="atLeast"/>
        </w:trPr>
        <w:tc>
          <w:tcPr>
            <w:tcW w:w="2141" w:type="dxa"/>
            <w:tcBorders>
              <w:top w:val="single" w:color="auto" w:sz="8" w:space="0"/>
              <w:left w:val="nil"/>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ROA</w:t>
            </w:r>
          </w:p>
        </w:tc>
        <w:tc>
          <w:tcPr>
            <w:tcW w:w="1670" w:type="dxa"/>
            <w:tcBorders>
              <w:top w:val="single" w:color="auto" w:sz="8" w:space="0"/>
              <w:left w:val="single" w:color="auto" w:sz="8" w:space="0"/>
              <w:bottom w:val="nil"/>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0.0175</w:t>
            </w:r>
          </w:p>
        </w:tc>
        <w:tc>
          <w:tcPr>
            <w:tcW w:w="2142" w:type="dxa"/>
            <w:tcBorders>
              <w:top w:val="single" w:color="auto" w:sz="8" w:space="0"/>
              <w:left w:val="nil"/>
              <w:bottom w:val="nil"/>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-0.00282***</w:t>
            </w:r>
          </w:p>
        </w:tc>
        <w:tc>
          <w:tcPr>
            <w:tcW w:w="1527" w:type="dxa"/>
            <w:tcBorders>
              <w:top w:val="single" w:color="auto" w:sz="8" w:space="0"/>
              <w:left w:val="nil"/>
              <w:bottom w:val="nil"/>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0.00396</w:t>
            </w:r>
          </w:p>
        </w:tc>
        <w:tc>
          <w:tcPr>
            <w:tcW w:w="1874" w:type="dxa"/>
            <w:tcBorders>
              <w:top w:val="single" w:color="auto" w:sz="8" w:space="0"/>
              <w:left w:val="nil"/>
              <w:bottom w:val="nil"/>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0.0530***</w:t>
            </w:r>
          </w:p>
        </w:tc>
      </w:tr>
      <w:tr>
        <w:tblPrEx>
          <w:tblCellMar>
            <w:top w:w="0" w:type="dxa"/>
            <w:left w:w="108" w:type="dxa"/>
            <w:bottom w:w="0" w:type="dxa"/>
            <w:right w:w="108" w:type="dxa"/>
          </w:tblCellMar>
        </w:tblPrEx>
        <w:trPr>
          <w:trHeight w:val="397" w:hRule="atLeast"/>
        </w:trPr>
        <w:tc>
          <w:tcPr>
            <w:tcW w:w="2141" w:type="dxa"/>
            <w:tcBorders>
              <w:top w:val="nil"/>
              <w:left w:val="nil"/>
              <w:bottom w:val="single" w:color="auto" w:sz="8" w:space="0"/>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 βi,t: -</w:t>
            </w:r>
          </w:p>
        </w:tc>
        <w:tc>
          <w:tcPr>
            <w:tcW w:w="1670" w:type="dxa"/>
            <w:tcBorders>
              <w:top w:val="nil"/>
              <w:left w:val="single" w:color="auto" w:sz="8" w:space="0"/>
              <w:bottom w:val="single" w:color="auto" w:sz="8" w:space="0"/>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(-0.0336)</w:t>
            </w:r>
          </w:p>
        </w:tc>
        <w:tc>
          <w:tcPr>
            <w:tcW w:w="2142" w:type="dxa"/>
            <w:tcBorders>
              <w:top w:val="nil"/>
              <w:left w:val="nil"/>
              <w:bottom w:val="single" w:color="auto" w:sz="8" w:space="0"/>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(-0.000852)</w:t>
            </w:r>
          </w:p>
        </w:tc>
        <w:tc>
          <w:tcPr>
            <w:tcW w:w="1527" w:type="dxa"/>
            <w:tcBorders>
              <w:top w:val="nil"/>
              <w:left w:val="nil"/>
              <w:bottom w:val="single" w:color="auto" w:sz="8" w:space="0"/>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(-0.0508)</w:t>
            </w:r>
          </w:p>
        </w:tc>
        <w:tc>
          <w:tcPr>
            <w:tcW w:w="1874" w:type="dxa"/>
            <w:tcBorders>
              <w:top w:val="nil"/>
              <w:left w:val="nil"/>
              <w:bottom w:val="single" w:color="auto" w:sz="8" w:space="0"/>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(-0.0103)</w:t>
            </w:r>
          </w:p>
        </w:tc>
      </w:tr>
      <w:tr>
        <w:tblPrEx>
          <w:tblCellMar>
            <w:top w:w="0" w:type="dxa"/>
            <w:left w:w="108" w:type="dxa"/>
            <w:bottom w:w="0" w:type="dxa"/>
            <w:right w:w="108" w:type="dxa"/>
          </w:tblCellMar>
        </w:tblPrEx>
        <w:trPr>
          <w:trHeight w:val="397" w:hRule="atLeast"/>
        </w:trPr>
        <w:tc>
          <w:tcPr>
            <w:tcW w:w="2141" w:type="dxa"/>
            <w:tcBorders>
              <w:top w:val="single" w:color="auto" w:sz="8" w:space="0"/>
              <w:left w:val="nil"/>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Size</w:t>
            </w:r>
          </w:p>
        </w:tc>
        <w:tc>
          <w:tcPr>
            <w:tcW w:w="1670" w:type="dxa"/>
            <w:tcBorders>
              <w:top w:val="single" w:color="auto" w:sz="8" w:space="0"/>
              <w:left w:val="single" w:color="auto" w:sz="8" w:space="0"/>
              <w:bottom w:val="nil"/>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-0.202</w:t>
            </w:r>
          </w:p>
        </w:tc>
        <w:tc>
          <w:tcPr>
            <w:tcW w:w="2142" w:type="dxa"/>
            <w:tcBorders>
              <w:top w:val="single" w:color="auto" w:sz="8" w:space="0"/>
              <w:left w:val="nil"/>
              <w:bottom w:val="nil"/>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0.00775</w:t>
            </w:r>
          </w:p>
        </w:tc>
        <w:tc>
          <w:tcPr>
            <w:tcW w:w="1527" w:type="dxa"/>
            <w:tcBorders>
              <w:top w:val="single" w:color="auto" w:sz="8" w:space="0"/>
              <w:left w:val="nil"/>
              <w:bottom w:val="nil"/>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-0.121</w:t>
            </w:r>
          </w:p>
        </w:tc>
        <w:tc>
          <w:tcPr>
            <w:tcW w:w="1874" w:type="dxa"/>
            <w:tcBorders>
              <w:top w:val="single" w:color="auto" w:sz="8" w:space="0"/>
              <w:left w:val="nil"/>
              <w:bottom w:val="nil"/>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-0.0968</w:t>
            </w:r>
          </w:p>
        </w:tc>
      </w:tr>
      <w:tr>
        <w:tblPrEx>
          <w:tblCellMar>
            <w:top w:w="0" w:type="dxa"/>
            <w:left w:w="108" w:type="dxa"/>
            <w:bottom w:w="0" w:type="dxa"/>
            <w:right w:w="108" w:type="dxa"/>
          </w:tblCellMar>
        </w:tblPrEx>
        <w:trPr>
          <w:trHeight w:val="397" w:hRule="atLeast"/>
        </w:trPr>
        <w:tc>
          <w:tcPr>
            <w:tcW w:w="2141" w:type="dxa"/>
            <w:tcBorders>
              <w:top w:val="nil"/>
              <w:left w:val="nil"/>
              <w:bottom w:val="single" w:color="auto" w:sz="8" w:space="0"/>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 βi,t: -</w:t>
            </w:r>
          </w:p>
        </w:tc>
        <w:tc>
          <w:tcPr>
            <w:tcW w:w="1670" w:type="dxa"/>
            <w:tcBorders>
              <w:top w:val="nil"/>
              <w:left w:val="single" w:color="auto" w:sz="8" w:space="0"/>
              <w:bottom w:val="single" w:color="auto" w:sz="8" w:space="0"/>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(-0.137)</w:t>
            </w:r>
          </w:p>
        </w:tc>
        <w:tc>
          <w:tcPr>
            <w:tcW w:w="2142" w:type="dxa"/>
            <w:tcBorders>
              <w:top w:val="nil"/>
              <w:left w:val="nil"/>
              <w:bottom w:val="single" w:color="auto" w:sz="8" w:space="0"/>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(-0.00573)</w:t>
            </w:r>
          </w:p>
        </w:tc>
        <w:tc>
          <w:tcPr>
            <w:tcW w:w="1527" w:type="dxa"/>
            <w:tcBorders>
              <w:top w:val="nil"/>
              <w:left w:val="nil"/>
              <w:bottom w:val="single" w:color="auto" w:sz="8" w:space="0"/>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(-0.208)</w:t>
            </w:r>
          </w:p>
        </w:tc>
        <w:tc>
          <w:tcPr>
            <w:tcW w:w="1874" w:type="dxa"/>
            <w:tcBorders>
              <w:top w:val="nil"/>
              <w:left w:val="nil"/>
              <w:bottom w:val="single" w:color="auto" w:sz="8" w:space="0"/>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(-0.0675)</w:t>
            </w:r>
          </w:p>
        </w:tc>
      </w:tr>
      <w:tr>
        <w:tblPrEx>
          <w:tblCellMar>
            <w:top w:w="0" w:type="dxa"/>
            <w:left w:w="108" w:type="dxa"/>
            <w:bottom w:w="0" w:type="dxa"/>
            <w:right w:w="108" w:type="dxa"/>
          </w:tblCellMar>
        </w:tblPrEx>
        <w:trPr>
          <w:trHeight w:val="397" w:hRule="atLeast"/>
        </w:trPr>
        <w:tc>
          <w:tcPr>
            <w:tcW w:w="2141" w:type="dxa"/>
            <w:tcBorders>
              <w:top w:val="single" w:color="auto" w:sz="8" w:space="0"/>
              <w:left w:val="nil"/>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Tangibility</w:t>
            </w:r>
          </w:p>
        </w:tc>
        <w:tc>
          <w:tcPr>
            <w:tcW w:w="1670" w:type="dxa"/>
            <w:tcBorders>
              <w:top w:val="single" w:color="auto" w:sz="8" w:space="0"/>
              <w:left w:val="single" w:color="auto" w:sz="8" w:space="0"/>
              <w:bottom w:val="nil"/>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-0.0366***</w:t>
            </w:r>
          </w:p>
        </w:tc>
        <w:tc>
          <w:tcPr>
            <w:tcW w:w="2142" w:type="dxa"/>
            <w:tcBorders>
              <w:top w:val="single" w:color="auto" w:sz="8" w:space="0"/>
              <w:left w:val="nil"/>
              <w:bottom w:val="nil"/>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0.000154</w:t>
            </w:r>
          </w:p>
        </w:tc>
        <w:tc>
          <w:tcPr>
            <w:tcW w:w="1527" w:type="dxa"/>
            <w:tcBorders>
              <w:top w:val="single" w:color="auto" w:sz="8" w:space="0"/>
              <w:left w:val="nil"/>
              <w:bottom w:val="nil"/>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-0.0102</w:t>
            </w:r>
          </w:p>
        </w:tc>
        <w:tc>
          <w:tcPr>
            <w:tcW w:w="1874" w:type="dxa"/>
            <w:tcBorders>
              <w:top w:val="single" w:color="auto" w:sz="8" w:space="0"/>
              <w:left w:val="nil"/>
              <w:bottom w:val="nil"/>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-0.0119***</w:t>
            </w:r>
          </w:p>
        </w:tc>
      </w:tr>
      <w:tr>
        <w:tblPrEx>
          <w:tblCellMar>
            <w:top w:w="0" w:type="dxa"/>
            <w:left w:w="108" w:type="dxa"/>
            <w:bottom w:w="0" w:type="dxa"/>
            <w:right w:w="108" w:type="dxa"/>
          </w:tblCellMar>
        </w:tblPrEx>
        <w:trPr>
          <w:trHeight w:val="397" w:hRule="atLeast"/>
        </w:trPr>
        <w:tc>
          <w:tcPr>
            <w:tcW w:w="2141" w:type="dxa"/>
            <w:tcBorders>
              <w:top w:val="nil"/>
              <w:left w:val="nil"/>
              <w:bottom w:val="single" w:color="auto" w:sz="8" w:space="0"/>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 βi,t: -</w:t>
            </w:r>
          </w:p>
        </w:tc>
        <w:tc>
          <w:tcPr>
            <w:tcW w:w="1670" w:type="dxa"/>
            <w:tcBorders>
              <w:top w:val="nil"/>
              <w:left w:val="single" w:color="auto" w:sz="8" w:space="0"/>
              <w:bottom w:val="single" w:color="auto" w:sz="8" w:space="0"/>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(-0.00824)</w:t>
            </w:r>
          </w:p>
        </w:tc>
        <w:tc>
          <w:tcPr>
            <w:tcW w:w="2142" w:type="dxa"/>
            <w:tcBorders>
              <w:top w:val="nil"/>
              <w:left w:val="nil"/>
              <w:bottom w:val="single" w:color="auto" w:sz="8" w:space="0"/>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(-0.000132)</w:t>
            </w:r>
          </w:p>
        </w:tc>
        <w:tc>
          <w:tcPr>
            <w:tcW w:w="1527" w:type="dxa"/>
            <w:tcBorders>
              <w:top w:val="nil"/>
              <w:left w:val="nil"/>
              <w:bottom w:val="single" w:color="auto" w:sz="8" w:space="0"/>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(-0.0081)</w:t>
            </w:r>
          </w:p>
        </w:tc>
        <w:tc>
          <w:tcPr>
            <w:tcW w:w="1874" w:type="dxa"/>
            <w:tcBorders>
              <w:top w:val="nil"/>
              <w:left w:val="nil"/>
              <w:bottom w:val="single" w:color="auto" w:sz="8" w:space="0"/>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(-0.00384)</w:t>
            </w:r>
          </w:p>
        </w:tc>
      </w:tr>
      <w:tr>
        <w:tblPrEx>
          <w:tblCellMar>
            <w:top w:w="0" w:type="dxa"/>
            <w:left w:w="108" w:type="dxa"/>
            <w:bottom w:w="0" w:type="dxa"/>
            <w:right w:w="108" w:type="dxa"/>
          </w:tblCellMar>
        </w:tblPrEx>
        <w:trPr>
          <w:trHeight w:val="397" w:hRule="atLeast"/>
        </w:trPr>
        <w:tc>
          <w:tcPr>
            <w:tcW w:w="2141" w:type="dxa"/>
            <w:tcBorders>
              <w:top w:val="single" w:color="auto" w:sz="8" w:space="0"/>
              <w:left w:val="nil"/>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TA</w:t>
            </w:r>
          </w:p>
        </w:tc>
        <w:tc>
          <w:tcPr>
            <w:tcW w:w="1670" w:type="dxa"/>
            <w:tcBorders>
              <w:top w:val="single" w:color="auto" w:sz="8" w:space="0"/>
              <w:left w:val="single" w:color="auto" w:sz="8" w:space="0"/>
              <w:bottom w:val="nil"/>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-0.206</w:t>
            </w:r>
          </w:p>
        </w:tc>
        <w:tc>
          <w:tcPr>
            <w:tcW w:w="2142" w:type="dxa"/>
            <w:tcBorders>
              <w:top w:val="single" w:color="auto" w:sz="8" w:space="0"/>
              <w:left w:val="nil"/>
              <w:bottom w:val="nil"/>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-0.00482</w:t>
            </w:r>
          </w:p>
        </w:tc>
        <w:tc>
          <w:tcPr>
            <w:tcW w:w="1527" w:type="dxa"/>
            <w:tcBorders>
              <w:top w:val="single" w:color="auto" w:sz="8" w:space="0"/>
              <w:left w:val="nil"/>
              <w:bottom w:val="nil"/>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-0.435</w:t>
            </w:r>
          </w:p>
        </w:tc>
        <w:tc>
          <w:tcPr>
            <w:tcW w:w="1874" w:type="dxa"/>
            <w:tcBorders>
              <w:top w:val="single" w:color="auto" w:sz="8" w:space="0"/>
              <w:left w:val="nil"/>
              <w:bottom w:val="nil"/>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0.0225</w:t>
            </w:r>
          </w:p>
        </w:tc>
      </w:tr>
      <w:tr>
        <w:tblPrEx>
          <w:tblCellMar>
            <w:top w:w="0" w:type="dxa"/>
            <w:left w:w="108" w:type="dxa"/>
            <w:bottom w:w="0" w:type="dxa"/>
            <w:right w:w="108" w:type="dxa"/>
          </w:tblCellMar>
        </w:tblPrEx>
        <w:trPr>
          <w:trHeight w:val="397" w:hRule="atLeast"/>
        </w:trPr>
        <w:tc>
          <w:tcPr>
            <w:tcW w:w="2141" w:type="dxa"/>
            <w:tcBorders>
              <w:top w:val="nil"/>
              <w:left w:val="nil"/>
              <w:bottom w:val="single" w:color="auto" w:sz="8" w:space="0"/>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βi,t: +</w:t>
            </w:r>
          </w:p>
        </w:tc>
        <w:tc>
          <w:tcPr>
            <w:tcW w:w="1670" w:type="dxa"/>
            <w:tcBorders>
              <w:top w:val="nil"/>
              <w:left w:val="single" w:color="auto" w:sz="8" w:space="0"/>
              <w:bottom w:val="single" w:color="auto" w:sz="8" w:space="0"/>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(-0.191)</w:t>
            </w:r>
          </w:p>
        </w:tc>
        <w:tc>
          <w:tcPr>
            <w:tcW w:w="2142" w:type="dxa"/>
            <w:tcBorders>
              <w:top w:val="nil"/>
              <w:left w:val="nil"/>
              <w:bottom w:val="single" w:color="auto" w:sz="8" w:space="0"/>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(-0.00727)</w:t>
            </w:r>
          </w:p>
        </w:tc>
        <w:tc>
          <w:tcPr>
            <w:tcW w:w="1527" w:type="dxa"/>
            <w:tcBorders>
              <w:top w:val="nil"/>
              <w:left w:val="nil"/>
              <w:bottom w:val="single" w:color="auto" w:sz="8" w:space="0"/>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(-0.29)</w:t>
            </w:r>
          </w:p>
        </w:tc>
        <w:tc>
          <w:tcPr>
            <w:tcW w:w="1874" w:type="dxa"/>
            <w:tcBorders>
              <w:top w:val="nil"/>
              <w:left w:val="nil"/>
              <w:bottom w:val="single" w:color="auto" w:sz="8" w:space="0"/>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(-0.134)</w:t>
            </w:r>
          </w:p>
        </w:tc>
      </w:tr>
      <w:tr>
        <w:tblPrEx>
          <w:tblCellMar>
            <w:top w:w="0" w:type="dxa"/>
            <w:left w:w="108" w:type="dxa"/>
            <w:bottom w:w="0" w:type="dxa"/>
            <w:right w:w="108" w:type="dxa"/>
          </w:tblCellMar>
        </w:tblPrEx>
        <w:trPr>
          <w:trHeight w:val="397" w:hRule="atLeast"/>
        </w:trPr>
        <w:tc>
          <w:tcPr>
            <w:tcW w:w="2141" w:type="dxa"/>
            <w:tcBorders>
              <w:top w:val="single" w:color="auto" w:sz="8" w:space="0"/>
              <w:left w:val="nil"/>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Liquidity</w:t>
            </w:r>
          </w:p>
        </w:tc>
        <w:tc>
          <w:tcPr>
            <w:tcW w:w="1670" w:type="dxa"/>
            <w:tcBorders>
              <w:top w:val="single" w:color="auto" w:sz="8" w:space="0"/>
              <w:left w:val="single" w:color="auto" w:sz="8" w:space="0"/>
              <w:bottom w:val="nil"/>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-0.0384</w:t>
            </w:r>
          </w:p>
        </w:tc>
        <w:tc>
          <w:tcPr>
            <w:tcW w:w="2142" w:type="dxa"/>
            <w:tcBorders>
              <w:top w:val="single" w:color="auto" w:sz="8" w:space="0"/>
              <w:left w:val="nil"/>
              <w:bottom w:val="nil"/>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0.00484</w:t>
            </w:r>
          </w:p>
        </w:tc>
        <w:tc>
          <w:tcPr>
            <w:tcW w:w="1527" w:type="dxa"/>
            <w:tcBorders>
              <w:top w:val="single" w:color="auto" w:sz="8" w:space="0"/>
              <w:left w:val="nil"/>
              <w:bottom w:val="nil"/>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0.194</w:t>
            </w:r>
          </w:p>
        </w:tc>
        <w:tc>
          <w:tcPr>
            <w:tcW w:w="1874" w:type="dxa"/>
            <w:tcBorders>
              <w:top w:val="single" w:color="auto" w:sz="8" w:space="0"/>
              <w:left w:val="nil"/>
              <w:bottom w:val="nil"/>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-0.0475</w:t>
            </w:r>
          </w:p>
        </w:tc>
      </w:tr>
      <w:tr>
        <w:tblPrEx>
          <w:tblCellMar>
            <w:top w:w="0" w:type="dxa"/>
            <w:left w:w="108" w:type="dxa"/>
            <w:bottom w:w="0" w:type="dxa"/>
            <w:right w:w="108" w:type="dxa"/>
          </w:tblCellMar>
        </w:tblPrEx>
        <w:trPr>
          <w:trHeight w:val="397" w:hRule="atLeast"/>
        </w:trPr>
        <w:tc>
          <w:tcPr>
            <w:tcW w:w="2141" w:type="dxa"/>
            <w:tcBorders>
              <w:top w:val="nil"/>
              <w:left w:val="nil"/>
              <w:bottom w:val="single" w:color="auto" w:sz="8" w:space="0"/>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 βi,t: -</w:t>
            </w:r>
          </w:p>
        </w:tc>
        <w:tc>
          <w:tcPr>
            <w:tcW w:w="1670" w:type="dxa"/>
            <w:tcBorders>
              <w:top w:val="nil"/>
              <w:left w:val="single" w:color="auto" w:sz="8" w:space="0"/>
              <w:bottom w:val="single" w:color="auto" w:sz="8" w:space="0"/>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(-0.0868)</w:t>
            </w:r>
          </w:p>
        </w:tc>
        <w:tc>
          <w:tcPr>
            <w:tcW w:w="2142" w:type="dxa"/>
            <w:tcBorders>
              <w:top w:val="nil"/>
              <w:left w:val="nil"/>
              <w:bottom w:val="single" w:color="auto" w:sz="8" w:space="0"/>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(-0.00356)</w:t>
            </w:r>
          </w:p>
        </w:tc>
        <w:tc>
          <w:tcPr>
            <w:tcW w:w="1527" w:type="dxa"/>
            <w:tcBorders>
              <w:top w:val="nil"/>
              <w:left w:val="nil"/>
              <w:bottom w:val="single" w:color="auto" w:sz="8" w:space="0"/>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(-0.191)</w:t>
            </w:r>
          </w:p>
        </w:tc>
        <w:tc>
          <w:tcPr>
            <w:tcW w:w="1874" w:type="dxa"/>
            <w:tcBorders>
              <w:top w:val="nil"/>
              <w:left w:val="nil"/>
              <w:bottom w:val="single" w:color="auto" w:sz="8" w:space="0"/>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(-0.0589)</w:t>
            </w:r>
          </w:p>
        </w:tc>
      </w:tr>
      <w:tr>
        <w:tblPrEx>
          <w:tblCellMar>
            <w:top w:w="0" w:type="dxa"/>
            <w:left w:w="108" w:type="dxa"/>
            <w:bottom w:w="0" w:type="dxa"/>
            <w:right w:w="108" w:type="dxa"/>
          </w:tblCellMar>
        </w:tblPrEx>
        <w:trPr>
          <w:trHeight w:val="397" w:hRule="atLeast"/>
        </w:trPr>
        <w:tc>
          <w:tcPr>
            <w:tcW w:w="2141" w:type="dxa"/>
            <w:tcBorders>
              <w:top w:val="single" w:color="auto" w:sz="8" w:space="0"/>
              <w:left w:val="nil"/>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Grow</w:t>
            </w:r>
          </w:p>
        </w:tc>
        <w:tc>
          <w:tcPr>
            <w:tcW w:w="1670" w:type="dxa"/>
            <w:tcBorders>
              <w:top w:val="single" w:color="auto" w:sz="8" w:space="0"/>
              <w:left w:val="single" w:color="auto" w:sz="8" w:space="0"/>
              <w:bottom w:val="nil"/>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0.00336*</w:t>
            </w:r>
          </w:p>
        </w:tc>
        <w:tc>
          <w:tcPr>
            <w:tcW w:w="2142" w:type="dxa"/>
            <w:tcBorders>
              <w:top w:val="single" w:color="auto" w:sz="8" w:space="0"/>
              <w:left w:val="nil"/>
              <w:bottom w:val="nil"/>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-0.0001</w:t>
            </w:r>
          </w:p>
        </w:tc>
        <w:tc>
          <w:tcPr>
            <w:tcW w:w="1527" w:type="dxa"/>
            <w:tcBorders>
              <w:top w:val="single" w:color="auto" w:sz="8" w:space="0"/>
              <w:left w:val="nil"/>
              <w:bottom w:val="nil"/>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0.000347</w:t>
            </w:r>
          </w:p>
        </w:tc>
        <w:tc>
          <w:tcPr>
            <w:tcW w:w="1874" w:type="dxa"/>
            <w:tcBorders>
              <w:top w:val="single" w:color="auto" w:sz="8" w:space="0"/>
              <w:left w:val="nil"/>
              <w:bottom w:val="nil"/>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-0.000869</w:t>
            </w:r>
          </w:p>
        </w:tc>
      </w:tr>
      <w:tr>
        <w:tblPrEx>
          <w:tblCellMar>
            <w:top w:w="0" w:type="dxa"/>
            <w:left w:w="108" w:type="dxa"/>
            <w:bottom w:w="0" w:type="dxa"/>
            <w:right w:w="108" w:type="dxa"/>
          </w:tblCellMar>
        </w:tblPrEx>
        <w:trPr>
          <w:trHeight w:val="397" w:hRule="atLeast"/>
        </w:trPr>
        <w:tc>
          <w:tcPr>
            <w:tcW w:w="2141" w:type="dxa"/>
            <w:tcBorders>
              <w:top w:val="nil"/>
              <w:left w:val="nil"/>
              <w:bottom w:val="single" w:color="auto" w:sz="8" w:space="0"/>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βi,t: +</w:t>
            </w:r>
          </w:p>
        </w:tc>
        <w:tc>
          <w:tcPr>
            <w:tcW w:w="1670" w:type="dxa"/>
            <w:tcBorders>
              <w:top w:val="nil"/>
              <w:left w:val="single" w:color="auto" w:sz="8" w:space="0"/>
              <w:bottom w:val="single" w:color="auto" w:sz="8" w:space="0"/>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(-0.00175)</w:t>
            </w:r>
          </w:p>
        </w:tc>
        <w:tc>
          <w:tcPr>
            <w:tcW w:w="2142" w:type="dxa"/>
            <w:tcBorders>
              <w:top w:val="nil"/>
              <w:left w:val="nil"/>
              <w:bottom w:val="single" w:color="auto" w:sz="8" w:space="0"/>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(-0.000096)</w:t>
            </w:r>
          </w:p>
        </w:tc>
        <w:tc>
          <w:tcPr>
            <w:tcW w:w="1527" w:type="dxa"/>
            <w:tcBorders>
              <w:top w:val="nil"/>
              <w:left w:val="nil"/>
              <w:bottom w:val="single" w:color="auto" w:sz="8" w:space="0"/>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(-0.00388)</w:t>
            </w:r>
          </w:p>
        </w:tc>
        <w:tc>
          <w:tcPr>
            <w:tcW w:w="1874" w:type="dxa"/>
            <w:tcBorders>
              <w:top w:val="nil"/>
              <w:left w:val="nil"/>
              <w:bottom w:val="single" w:color="auto" w:sz="8" w:space="0"/>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(-0.00136)</w:t>
            </w:r>
          </w:p>
        </w:tc>
      </w:tr>
      <w:tr>
        <w:tblPrEx>
          <w:tblCellMar>
            <w:top w:w="0" w:type="dxa"/>
            <w:left w:w="108" w:type="dxa"/>
            <w:bottom w:w="0" w:type="dxa"/>
            <w:right w:w="108" w:type="dxa"/>
          </w:tblCellMar>
        </w:tblPrEx>
        <w:trPr>
          <w:trHeight w:val="397" w:hRule="atLeast"/>
        </w:trPr>
        <w:tc>
          <w:tcPr>
            <w:tcW w:w="2141" w:type="dxa"/>
            <w:tcBorders>
              <w:top w:val="single" w:color="auto" w:sz="8" w:space="0"/>
              <w:left w:val="nil"/>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Tax</w:t>
            </w:r>
          </w:p>
        </w:tc>
        <w:tc>
          <w:tcPr>
            <w:tcW w:w="1670" w:type="dxa"/>
            <w:tcBorders>
              <w:top w:val="single" w:color="auto" w:sz="8" w:space="0"/>
              <w:left w:val="single" w:color="auto" w:sz="8" w:space="0"/>
              <w:bottom w:val="nil"/>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-0.0697</w:t>
            </w:r>
          </w:p>
        </w:tc>
        <w:tc>
          <w:tcPr>
            <w:tcW w:w="2142" w:type="dxa"/>
            <w:tcBorders>
              <w:top w:val="single" w:color="auto" w:sz="8" w:space="0"/>
              <w:left w:val="nil"/>
              <w:bottom w:val="nil"/>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-0.00147</w:t>
            </w:r>
          </w:p>
        </w:tc>
        <w:tc>
          <w:tcPr>
            <w:tcW w:w="1527" w:type="dxa"/>
            <w:tcBorders>
              <w:top w:val="single" w:color="auto" w:sz="8" w:space="0"/>
              <w:left w:val="nil"/>
              <w:bottom w:val="nil"/>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0.0838</w:t>
            </w:r>
          </w:p>
        </w:tc>
        <w:tc>
          <w:tcPr>
            <w:tcW w:w="1874" w:type="dxa"/>
            <w:tcBorders>
              <w:top w:val="single" w:color="auto" w:sz="8" w:space="0"/>
              <w:left w:val="nil"/>
              <w:bottom w:val="nil"/>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-0.0609</w:t>
            </w:r>
          </w:p>
        </w:tc>
      </w:tr>
      <w:tr>
        <w:tblPrEx>
          <w:tblCellMar>
            <w:top w:w="0" w:type="dxa"/>
            <w:left w:w="108" w:type="dxa"/>
            <w:bottom w:w="0" w:type="dxa"/>
            <w:right w:w="108" w:type="dxa"/>
          </w:tblCellMar>
        </w:tblPrEx>
        <w:trPr>
          <w:trHeight w:val="397" w:hRule="atLeast"/>
        </w:trPr>
        <w:tc>
          <w:tcPr>
            <w:tcW w:w="2141" w:type="dxa"/>
            <w:tcBorders>
              <w:top w:val="nil"/>
              <w:left w:val="nil"/>
              <w:bottom w:val="single" w:color="auto" w:sz="8" w:space="0"/>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 βi,t: +</w:t>
            </w:r>
          </w:p>
        </w:tc>
        <w:tc>
          <w:tcPr>
            <w:tcW w:w="1670" w:type="dxa"/>
            <w:tcBorders>
              <w:top w:val="nil"/>
              <w:left w:val="single" w:color="auto" w:sz="8" w:space="0"/>
              <w:bottom w:val="single" w:color="auto" w:sz="8" w:space="0"/>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(-0.069)</w:t>
            </w:r>
          </w:p>
        </w:tc>
        <w:tc>
          <w:tcPr>
            <w:tcW w:w="2142" w:type="dxa"/>
            <w:tcBorders>
              <w:top w:val="nil"/>
              <w:left w:val="nil"/>
              <w:bottom w:val="single" w:color="auto" w:sz="8" w:space="0"/>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(-0.00309)</w:t>
            </w:r>
          </w:p>
        </w:tc>
        <w:tc>
          <w:tcPr>
            <w:tcW w:w="1527" w:type="dxa"/>
            <w:tcBorders>
              <w:top w:val="nil"/>
              <w:left w:val="nil"/>
              <w:bottom w:val="single" w:color="auto" w:sz="8" w:space="0"/>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(-0.0872)</w:t>
            </w:r>
          </w:p>
        </w:tc>
        <w:tc>
          <w:tcPr>
            <w:tcW w:w="1874" w:type="dxa"/>
            <w:tcBorders>
              <w:top w:val="nil"/>
              <w:left w:val="nil"/>
              <w:bottom w:val="single" w:color="auto" w:sz="8" w:space="0"/>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(-0.0572)</w:t>
            </w:r>
          </w:p>
        </w:tc>
      </w:tr>
      <w:tr>
        <w:tblPrEx>
          <w:tblCellMar>
            <w:top w:w="0" w:type="dxa"/>
            <w:left w:w="108" w:type="dxa"/>
            <w:bottom w:w="0" w:type="dxa"/>
            <w:right w:w="108" w:type="dxa"/>
          </w:tblCellMar>
        </w:tblPrEx>
        <w:trPr>
          <w:trHeight w:val="397" w:hRule="atLeast"/>
        </w:trPr>
        <w:tc>
          <w:tcPr>
            <w:tcW w:w="2141" w:type="dxa"/>
            <w:tcBorders>
              <w:top w:val="single" w:color="auto" w:sz="8" w:space="0"/>
              <w:left w:val="nil"/>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Industry</w:t>
            </w:r>
          </w:p>
        </w:tc>
        <w:tc>
          <w:tcPr>
            <w:tcW w:w="1670" w:type="dxa"/>
            <w:tcBorders>
              <w:top w:val="single" w:color="auto" w:sz="8" w:space="0"/>
              <w:left w:val="single" w:color="auto" w:sz="8" w:space="0"/>
              <w:bottom w:val="nil"/>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-0.0236</w:t>
            </w:r>
          </w:p>
        </w:tc>
        <w:tc>
          <w:tcPr>
            <w:tcW w:w="2142" w:type="dxa"/>
            <w:tcBorders>
              <w:top w:val="single" w:color="auto" w:sz="8" w:space="0"/>
              <w:left w:val="nil"/>
              <w:bottom w:val="nil"/>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0.00107*</w:t>
            </w:r>
          </w:p>
        </w:tc>
        <w:tc>
          <w:tcPr>
            <w:tcW w:w="1527" w:type="dxa"/>
            <w:tcBorders>
              <w:top w:val="single" w:color="auto" w:sz="8" w:space="0"/>
              <w:left w:val="nil"/>
              <w:bottom w:val="nil"/>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0.0114</w:t>
            </w:r>
          </w:p>
        </w:tc>
        <w:tc>
          <w:tcPr>
            <w:tcW w:w="1874" w:type="dxa"/>
            <w:tcBorders>
              <w:top w:val="single" w:color="auto" w:sz="8" w:space="0"/>
              <w:left w:val="nil"/>
              <w:bottom w:val="nil"/>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-0.0183*</w:t>
            </w:r>
          </w:p>
        </w:tc>
      </w:tr>
      <w:tr>
        <w:tblPrEx>
          <w:tblCellMar>
            <w:top w:w="0" w:type="dxa"/>
            <w:left w:w="108" w:type="dxa"/>
            <w:bottom w:w="0" w:type="dxa"/>
            <w:right w:w="108" w:type="dxa"/>
          </w:tblCellMar>
        </w:tblPrEx>
        <w:trPr>
          <w:trHeight w:val="397" w:hRule="atLeast"/>
        </w:trPr>
        <w:tc>
          <w:tcPr>
            <w:tcW w:w="2141" w:type="dxa"/>
            <w:tcBorders>
              <w:top w:val="nil"/>
              <w:left w:val="nil"/>
              <w:bottom w:val="single" w:color="auto" w:sz="8" w:space="0"/>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 βi,t: +</w:t>
            </w:r>
          </w:p>
        </w:tc>
        <w:tc>
          <w:tcPr>
            <w:tcW w:w="1670" w:type="dxa"/>
            <w:tcBorders>
              <w:top w:val="nil"/>
              <w:left w:val="single" w:color="auto" w:sz="8" w:space="0"/>
              <w:bottom w:val="single" w:color="auto" w:sz="8" w:space="0"/>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(-0.0181)</w:t>
            </w:r>
          </w:p>
        </w:tc>
        <w:tc>
          <w:tcPr>
            <w:tcW w:w="2142" w:type="dxa"/>
            <w:tcBorders>
              <w:top w:val="nil"/>
              <w:left w:val="nil"/>
              <w:bottom w:val="single" w:color="auto" w:sz="8" w:space="0"/>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(-0.000609)</w:t>
            </w:r>
          </w:p>
        </w:tc>
        <w:tc>
          <w:tcPr>
            <w:tcW w:w="1527" w:type="dxa"/>
            <w:tcBorders>
              <w:top w:val="nil"/>
              <w:left w:val="nil"/>
              <w:bottom w:val="single" w:color="auto" w:sz="8" w:space="0"/>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(-0.0234)</w:t>
            </w:r>
          </w:p>
        </w:tc>
        <w:tc>
          <w:tcPr>
            <w:tcW w:w="1874" w:type="dxa"/>
            <w:tcBorders>
              <w:top w:val="nil"/>
              <w:left w:val="nil"/>
              <w:bottom w:val="single" w:color="auto" w:sz="8" w:space="0"/>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(-0.0109)</w:t>
            </w:r>
          </w:p>
        </w:tc>
      </w:tr>
      <w:tr>
        <w:tblPrEx>
          <w:tblCellMar>
            <w:top w:w="0" w:type="dxa"/>
            <w:left w:w="108" w:type="dxa"/>
            <w:bottom w:w="0" w:type="dxa"/>
            <w:right w:w="108" w:type="dxa"/>
          </w:tblCellMar>
        </w:tblPrEx>
        <w:trPr>
          <w:trHeight w:val="397" w:hRule="atLeast"/>
        </w:trPr>
        <w:tc>
          <w:tcPr>
            <w:tcW w:w="2141" w:type="dxa"/>
            <w:tcBorders>
              <w:top w:val="single" w:color="auto" w:sz="8" w:space="0"/>
              <w:left w:val="nil"/>
              <w:bottom w:val="single" w:color="auto" w:sz="8" w:space="0"/>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R-sq</w:t>
            </w:r>
          </w:p>
        </w:tc>
        <w:tc>
          <w:tcPr>
            <w:tcW w:w="1670" w:type="dxa"/>
            <w:tcBorders>
              <w:top w:val="single" w:color="auto" w:sz="8" w:space="0"/>
              <w:left w:val="single" w:color="auto" w:sz="8" w:space="0"/>
              <w:bottom w:val="single" w:color="auto" w:sz="8" w:space="0"/>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0.3673</w:t>
            </w:r>
          </w:p>
        </w:tc>
        <w:tc>
          <w:tcPr>
            <w:tcW w:w="2142" w:type="dxa"/>
            <w:tcBorders>
              <w:top w:val="single" w:color="auto" w:sz="8" w:space="0"/>
              <w:left w:val="nil"/>
              <w:bottom w:val="single" w:color="auto" w:sz="8" w:space="0"/>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0.3642</w:t>
            </w:r>
          </w:p>
        </w:tc>
        <w:tc>
          <w:tcPr>
            <w:tcW w:w="1527" w:type="dxa"/>
            <w:tcBorders>
              <w:top w:val="single" w:color="auto" w:sz="8" w:space="0"/>
              <w:left w:val="nil"/>
              <w:bottom w:val="single" w:color="auto" w:sz="8" w:space="0"/>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0.3273</w:t>
            </w:r>
          </w:p>
        </w:tc>
        <w:tc>
          <w:tcPr>
            <w:tcW w:w="1874" w:type="dxa"/>
            <w:tcBorders>
              <w:top w:val="single" w:color="auto" w:sz="8" w:space="0"/>
              <w:left w:val="nil"/>
              <w:bottom w:val="single" w:color="auto" w:sz="8" w:space="0"/>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0.3668</w:t>
            </w:r>
          </w:p>
        </w:tc>
      </w:tr>
      <w:tr>
        <w:tblPrEx>
          <w:tblCellMar>
            <w:top w:w="0" w:type="dxa"/>
            <w:left w:w="108" w:type="dxa"/>
            <w:bottom w:w="0" w:type="dxa"/>
            <w:right w:w="108" w:type="dxa"/>
          </w:tblCellMar>
        </w:tblPrEx>
        <w:trPr>
          <w:trHeight w:val="397" w:hRule="atLeast"/>
        </w:trPr>
        <w:tc>
          <w:tcPr>
            <w:tcW w:w="2141" w:type="dxa"/>
            <w:tcBorders>
              <w:top w:val="single" w:color="auto" w:sz="8" w:space="0"/>
              <w:left w:val="nil"/>
              <w:bottom w:val="single" w:color="auto" w:sz="12" w:space="0"/>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Company number</w:t>
            </w:r>
          </w:p>
        </w:tc>
        <w:tc>
          <w:tcPr>
            <w:tcW w:w="1670" w:type="dxa"/>
            <w:tcBorders>
              <w:top w:val="single" w:color="auto" w:sz="8" w:space="0"/>
              <w:left w:val="single" w:color="auto" w:sz="8" w:space="0"/>
              <w:bottom w:val="single" w:color="auto" w:sz="12" w:space="0"/>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132</w:t>
            </w:r>
          </w:p>
        </w:tc>
        <w:tc>
          <w:tcPr>
            <w:tcW w:w="2142" w:type="dxa"/>
            <w:tcBorders>
              <w:top w:val="single" w:color="auto" w:sz="8" w:space="0"/>
              <w:left w:val="nil"/>
              <w:bottom w:val="single" w:color="auto" w:sz="12" w:space="0"/>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132</w:t>
            </w:r>
          </w:p>
        </w:tc>
        <w:tc>
          <w:tcPr>
            <w:tcW w:w="1527" w:type="dxa"/>
            <w:tcBorders>
              <w:top w:val="single" w:color="auto" w:sz="8" w:space="0"/>
              <w:left w:val="nil"/>
              <w:bottom w:val="single" w:color="auto" w:sz="12" w:space="0"/>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132</w:t>
            </w:r>
          </w:p>
        </w:tc>
        <w:tc>
          <w:tcPr>
            <w:tcW w:w="1874" w:type="dxa"/>
            <w:tcBorders>
              <w:top w:val="single" w:color="auto" w:sz="8" w:space="0"/>
              <w:left w:val="nil"/>
              <w:bottom w:val="single" w:color="auto" w:sz="12" w:space="0"/>
              <w:right w:val="nil"/>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132</w:t>
            </w:r>
          </w:p>
        </w:tc>
      </w:tr>
    </w:tbl>
    <w:p>
      <w:pPr>
        <w:spacing w:line="360" w:lineRule="auto"/>
        <w:contextualSpacing/>
        <w:jc w:val="left"/>
        <w:rPr>
          <w:rFonts w:cs="Times New Roman"/>
          <w:lang w:val="en-GB"/>
        </w:rPr>
      </w:pPr>
      <w:r>
        <w:rPr>
          <w:rFonts w:cs="Times New Roman"/>
          <w:lang w:val="en-GB"/>
        </w:rPr>
        <w:t>Note: The standard deviations of the sample statistics are shown in parentheses. *p&lt;0.1, **p&lt;0.05, ***p&lt;0.01.</w:t>
      </w:r>
    </w:p>
    <w:p>
      <w:pPr>
        <w:pStyle w:val="12"/>
        <w:spacing w:before="0" w:beforeAutospacing="0" w:after="0" w:afterAutospacing="0" w:line="360" w:lineRule="auto"/>
        <w:ind w:firstLine="720"/>
        <w:contextualSpacing/>
        <w:rPr>
          <w:rFonts w:ascii="Times New Roman" w:hAnsi="Times New Roman" w:cs="Times New Roman"/>
          <w:lang w:val="en-GB"/>
        </w:rPr>
      </w:pPr>
      <w:r>
        <w:rPr>
          <w:rFonts w:ascii="Times New Roman" w:hAnsi="Times New Roman" w:cs="Times New Roman"/>
          <w:lang w:val="en-GB"/>
        </w:rPr>
        <w:t>For state-owned enterprises and non-state-owned enterprises in the greater bay area of Guangdong, Hong Kong and Macao, the increase in economic growth can strengthen the negative impact of the tangible asset ratio on the corporate leverage ratio. A higher tangible asset ratio means that enterprises face a lower degree of information asymmetry, and enterprises prefer equity financing. When the macro economy is growing, the stock market outlook is positive, which creates better equity financing conditions for enterprises with a high ratio of tangible assets. For non-state-owned enterprises in the greater bay area, the increase in economic growth also reduces the negative impact of the profitability and liquidity ratios on leverage.</w:t>
      </w:r>
    </w:p>
    <w:p>
      <w:pPr>
        <w:pStyle w:val="12"/>
        <w:spacing w:before="0" w:beforeAutospacing="0" w:after="0" w:afterAutospacing="0" w:line="360" w:lineRule="auto"/>
        <w:ind w:firstLine="720"/>
        <w:contextualSpacing/>
        <w:rPr>
          <w:rFonts w:ascii="Times New Roman" w:hAnsi="Times New Roman" w:cs="Times New Roman"/>
          <w:lang w:val="en-GB"/>
        </w:rPr>
      </w:pPr>
      <w:r>
        <w:rPr>
          <w:rFonts w:ascii="Times New Roman" w:hAnsi="Times New Roman" w:cs="Times New Roman"/>
          <w:lang w:val="en-GB"/>
        </w:rPr>
        <w:t>Policy uncertainty strengthens the negative impact of profitability on the corporate leverage ratio. Enterprises with strong profitability generally have more retained earnings. When policy uncertainty increases, high-earning enterprises give priority to internal retained earnings to avoid the associated risks. For non-financial enterprises in the greater bay area, the increase in policy uncertainty weakens the negative impact of enterprise size on the leverage ratio. The larger an enterprise is, the lower its information asymmetry and equity financing cost. However, when policy uncertainty increases, the stock market risk increases, and the stock financing behaviour of the enterprise decreases. Therefore, the increase in policy uncertainty weakens the negative impact of enterprise scale on the leverage ratio.</w:t>
      </w:r>
    </w:p>
    <w:p>
      <w:pPr>
        <w:pStyle w:val="12"/>
        <w:spacing w:before="0" w:beforeAutospacing="0" w:after="0" w:afterAutospacing="0" w:line="360" w:lineRule="auto"/>
        <w:ind w:firstLine="720"/>
        <w:contextualSpacing/>
        <w:rPr>
          <w:rFonts w:ascii="Times New Roman" w:hAnsi="Times New Roman" w:cs="Times New Roman"/>
          <w:lang w:val="en-GB"/>
        </w:rPr>
      </w:pPr>
      <w:r>
        <w:rPr>
          <w:rFonts w:ascii="Times New Roman" w:hAnsi="Times New Roman" w:cs="Times New Roman"/>
          <w:lang w:val="en-GB"/>
        </w:rPr>
        <w:t>For non-state-owned enterprises in the greater bay area of Guangdong, Hong Kong and Macao, a rising inflation rate weakens the positive impact of asset turnover on the leverage ratio, but the positive impact of asset turnover on the leverage ratio is not significant. For state-owned enterprises, the indirect impact of the rising inflation rate on the leverage ratio is not significant.</w:t>
      </w:r>
    </w:p>
    <w:p>
      <w:pPr>
        <w:pStyle w:val="12"/>
        <w:spacing w:before="0" w:beforeAutospacing="0" w:after="0" w:afterAutospacing="0" w:line="360" w:lineRule="auto"/>
        <w:ind w:firstLine="720"/>
        <w:contextualSpacing/>
        <w:rPr>
          <w:rFonts w:hint="eastAsia" w:ascii="Times New Roman" w:hAnsi="Times New Roman" w:eastAsia="宋体" w:cs="Times New Roman"/>
          <w:lang w:val="en-US" w:eastAsia="zh-CN"/>
        </w:rPr>
      </w:pPr>
      <w:r>
        <w:rPr>
          <w:rFonts w:ascii="Times New Roman" w:hAnsi="Times New Roman" w:cs="Times New Roman"/>
          <w:lang w:val="en-GB"/>
        </w:rPr>
        <w:t>The growth of M2 weakens the negative impact of profitability and strengthens the negative impact of the tangible asset ratio on the leverage ratio of non-financial enterprises in the Guangdong-Hong Kong-Macao Greater Bay Area. Enterprises with strong profitability prefer to use internal retained earnings, and the easy credit environment facilitates corporate borrowing, offsetting the negative impact of the preference for internal financing on the leverage ratio. Enterprises with a high ratio of tangible assets have lower information asymmetry and lower equity financing costs. The increase in the M2 growth rate creates a looser monetary environment for the stock market, and the tendency for equity financing increases, while the debt ratio decreases.</w:t>
      </w:r>
      <w:r>
        <w:rPr>
          <w:rFonts w:hint="eastAsia" w:ascii="Times New Roman" w:hAnsi="Times New Roman" w:cs="Times New Roman"/>
          <w:lang w:val="en-US" w:eastAsia="zh-CN"/>
        </w:rPr>
        <w:t xml:space="preserve"> The </w:t>
      </w:r>
      <w:r>
        <w:rPr>
          <w:rFonts w:hint="eastAsia" w:ascii="Times New Roman" w:hAnsi="Times New Roman" w:cs="Times New Roman"/>
        </w:rPr>
        <w:t>Indirect influence of macro variables on the leverage ratio (non-state-owned enterprises)</w:t>
      </w:r>
      <w:r>
        <w:rPr>
          <w:rFonts w:hint="eastAsia" w:ascii="Times New Roman" w:hAnsi="Times New Roman" w:cs="Times New Roman"/>
          <w:lang w:val="en-US" w:eastAsia="zh-CN"/>
        </w:rPr>
        <w:t xml:space="preserve"> </w:t>
      </w:r>
      <w:r>
        <w:rPr>
          <w:rFonts w:hint="eastAsia" w:ascii="Times New Roman" w:hAnsi="Times New Roman" w:cs="Times New Roman"/>
        </w:rPr>
        <w:t xml:space="preserve">are shown in </w:t>
      </w:r>
      <w:r>
        <w:rPr>
          <w:rFonts w:hint="eastAsia" w:ascii="Times New Roman" w:hAnsi="Times New Roman" w:cs="Times New Roman"/>
          <w:color w:val="00B0F0"/>
        </w:rPr>
        <w:t xml:space="preserve">Table </w:t>
      </w:r>
      <w:r>
        <w:rPr>
          <w:rFonts w:hint="eastAsia" w:ascii="Times New Roman" w:hAnsi="Times New Roman" w:cs="Times New Roman"/>
          <w:color w:val="00B0F0"/>
          <w:lang w:val="en-US" w:eastAsia="zh-CN"/>
        </w:rPr>
        <w:t>6</w:t>
      </w:r>
      <w:r>
        <w:rPr>
          <w:rFonts w:hint="eastAsia" w:ascii="Times New Roman" w:hAnsi="Times New Roman" w:cs="Times New Roman"/>
        </w:rPr>
        <w:t>.</w:t>
      </w:r>
    </w:p>
    <w:p>
      <w:pPr>
        <w:pStyle w:val="12"/>
        <w:spacing w:before="0" w:beforeAutospacing="0" w:after="0" w:afterAutospacing="0" w:line="360" w:lineRule="auto"/>
        <w:ind w:firstLine="720"/>
        <w:contextualSpacing/>
        <w:rPr>
          <w:rFonts w:hint="eastAsia" w:ascii="Times New Roman" w:hAnsi="Times New Roman" w:eastAsia="宋体" w:cs="Times New Roman"/>
          <w:lang w:val="en-US" w:eastAsia="zh-CN"/>
        </w:rPr>
      </w:pPr>
    </w:p>
    <w:p>
      <w:pPr>
        <w:pStyle w:val="12"/>
        <w:spacing w:before="0" w:beforeAutospacing="0" w:after="0" w:afterAutospacing="0" w:line="360" w:lineRule="auto"/>
        <w:contextualSpacing/>
        <w:rPr>
          <w:rFonts w:ascii="Times New Roman" w:hAnsi="Times New Roman" w:eastAsia="黑体" w:cs="Times New Roman"/>
          <w:lang w:val="en-GB"/>
        </w:rPr>
      </w:pPr>
      <w:r>
        <w:rPr>
          <w:rFonts w:ascii="Times New Roman" w:hAnsi="Times New Roman" w:eastAsia="黑体" w:cs="Times New Roman"/>
          <w:b/>
          <w:lang w:val="en-GB"/>
        </w:rPr>
        <w:t xml:space="preserve">Table </w:t>
      </w:r>
      <w:r>
        <w:rPr>
          <w:rFonts w:hint="eastAsia" w:ascii="Times New Roman" w:hAnsi="Times New Roman" w:eastAsia="黑体" w:cs="Times New Roman"/>
          <w:b/>
          <w:lang w:val="en-US" w:eastAsia="zh-CN"/>
        </w:rPr>
        <w:t>6</w:t>
      </w:r>
      <w:r>
        <w:rPr>
          <w:rFonts w:ascii="Times New Roman" w:hAnsi="Times New Roman" w:eastAsia="黑体" w:cs="Times New Roman"/>
          <w:b/>
          <w:lang w:val="en-GB"/>
        </w:rPr>
        <w:t>.</w:t>
      </w:r>
      <w:r>
        <w:rPr>
          <w:rFonts w:ascii="Times New Roman" w:hAnsi="Times New Roman" w:eastAsia="黑体" w:cs="Times New Roman"/>
          <w:lang w:val="en-GB"/>
        </w:rPr>
        <w:t xml:space="preserve"> Indirect influence of macro variables on the leverage ratio (non-state-owned enterprises)</w:t>
      </w:r>
    </w:p>
    <w:tbl>
      <w:tblPr>
        <w:tblStyle w:val="14"/>
        <w:tblW w:w="5000" w:type="pct"/>
        <w:tblInd w:w="0" w:type="dxa"/>
        <w:tblLayout w:type="autofit"/>
        <w:tblCellMar>
          <w:top w:w="0" w:type="dxa"/>
          <w:left w:w="108" w:type="dxa"/>
          <w:bottom w:w="0" w:type="dxa"/>
          <w:right w:w="108" w:type="dxa"/>
        </w:tblCellMar>
      </w:tblPr>
      <w:tblGrid>
        <w:gridCol w:w="2139"/>
        <w:gridCol w:w="1670"/>
        <w:gridCol w:w="2140"/>
        <w:gridCol w:w="1527"/>
        <w:gridCol w:w="227"/>
        <w:gridCol w:w="1873"/>
      </w:tblGrid>
      <w:tr>
        <w:tblPrEx>
          <w:tblCellMar>
            <w:top w:w="0" w:type="dxa"/>
            <w:left w:w="108" w:type="dxa"/>
            <w:bottom w:w="0" w:type="dxa"/>
            <w:right w:w="108" w:type="dxa"/>
          </w:tblCellMar>
        </w:tblPrEx>
        <w:trPr>
          <w:trHeight w:val="397" w:hRule="atLeast"/>
        </w:trPr>
        <w:tc>
          <w:tcPr>
            <w:tcW w:w="2089" w:type="dxa"/>
            <w:tcBorders>
              <w:top w:val="single" w:color="auto" w:sz="12" w:space="0"/>
              <w:left w:val="nil"/>
              <w:bottom w:val="single" w:color="auto" w:sz="8" w:space="0"/>
              <w:right w:val="single" w:color="auto" w:sz="8" w:space="0"/>
            </w:tcBorders>
            <w:shd w:val="clear" w:color="auto" w:fill="auto"/>
            <w:noWrap/>
            <w:vAlign w:val="center"/>
          </w:tcPr>
          <w:p>
            <w:pPr>
              <w:widowControl/>
              <w:jc w:val="left"/>
              <w:rPr>
                <w:rFonts w:cs="Times New Roman"/>
                <w:color w:val="000000"/>
                <w:sz w:val="22"/>
                <w:szCs w:val="22"/>
                <w:lang w:val="en-GB"/>
              </w:rPr>
            </w:pPr>
          </w:p>
        </w:tc>
        <w:tc>
          <w:tcPr>
            <w:tcW w:w="1631" w:type="dxa"/>
            <w:tcBorders>
              <w:top w:val="single" w:color="auto" w:sz="12" w:space="0"/>
              <w:left w:val="single" w:color="auto" w:sz="8" w:space="0"/>
              <w:bottom w:val="single" w:color="auto" w:sz="8" w:space="0"/>
              <w:right w:val="nil"/>
            </w:tcBorders>
            <w:shd w:val="clear" w:color="auto" w:fill="auto"/>
            <w:noWrap/>
            <w:vAlign w:val="center"/>
          </w:tcPr>
          <w:p>
            <w:pPr>
              <w:widowControl/>
              <w:jc w:val="left"/>
              <w:rPr>
                <w:rFonts w:cs="Times New Roman"/>
                <w:color w:val="000000"/>
                <w:sz w:val="22"/>
                <w:szCs w:val="22"/>
                <w:lang w:val="en-GB"/>
              </w:rPr>
            </w:pPr>
            <w:r>
              <w:rPr>
                <w:rFonts w:cs="Times New Roman"/>
                <w:color w:val="000000"/>
                <w:sz w:val="22"/>
                <w:szCs w:val="22"/>
                <w:lang w:val="en-GB"/>
              </w:rPr>
              <w:t>GDP</w:t>
            </w:r>
          </w:p>
        </w:tc>
        <w:tc>
          <w:tcPr>
            <w:tcW w:w="2090" w:type="dxa"/>
            <w:tcBorders>
              <w:top w:val="single" w:color="auto" w:sz="12" w:space="0"/>
              <w:left w:val="nil"/>
              <w:bottom w:val="single" w:color="auto" w:sz="8" w:space="0"/>
              <w:right w:val="nil"/>
            </w:tcBorders>
            <w:shd w:val="clear" w:color="auto" w:fill="auto"/>
            <w:noWrap/>
            <w:vAlign w:val="center"/>
          </w:tcPr>
          <w:p>
            <w:pPr>
              <w:widowControl/>
              <w:jc w:val="left"/>
              <w:rPr>
                <w:rFonts w:cs="Times New Roman"/>
                <w:color w:val="000000"/>
                <w:sz w:val="22"/>
                <w:szCs w:val="22"/>
                <w:lang w:val="en-GB"/>
              </w:rPr>
            </w:pPr>
            <w:r>
              <w:rPr>
                <w:rFonts w:cs="Times New Roman"/>
                <w:color w:val="000000"/>
                <w:sz w:val="22"/>
                <w:szCs w:val="22"/>
                <w:lang w:val="en-GB"/>
              </w:rPr>
              <w:t>Pindex</w:t>
            </w:r>
          </w:p>
        </w:tc>
        <w:tc>
          <w:tcPr>
            <w:tcW w:w="1492" w:type="dxa"/>
            <w:tcBorders>
              <w:top w:val="single" w:color="auto" w:sz="12" w:space="0"/>
              <w:left w:val="nil"/>
              <w:bottom w:val="single" w:color="auto" w:sz="8" w:space="0"/>
              <w:right w:val="nil"/>
            </w:tcBorders>
            <w:shd w:val="clear" w:color="auto" w:fill="auto"/>
            <w:noWrap/>
            <w:vAlign w:val="center"/>
          </w:tcPr>
          <w:p>
            <w:pPr>
              <w:widowControl/>
              <w:jc w:val="left"/>
              <w:rPr>
                <w:rFonts w:cs="Times New Roman"/>
                <w:color w:val="000000"/>
                <w:sz w:val="22"/>
                <w:szCs w:val="22"/>
                <w:lang w:val="en-GB"/>
              </w:rPr>
            </w:pPr>
            <w:r>
              <w:rPr>
                <w:rFonts w:cs="Times New Roman"/>
                <w:color w:val="000000"/>
                <w:sz w:val="22"/>
                <w:szCs w:val="22"/>
                <w:lang w:val="en-GB"/>
              </w:rPr>
              <w:t>CPI</w:t>
            </w:r>
          </w:p>
        </w:tc>
        <w:tc>
          <w:tcPr>
            <w:tcW w:w="222" w:type="dxa"/>
            <w:tcBorders>
              <w:top w:val="single" w:color="auto" w:sz="12" w:space="0"/>
              <w:left w:val="nil"/>
              <w:bottom w:val="single" w:color="auto" w:sz="8" w:space="0"/>
              <w:right w:val="nil"/>
            </w:tcBorders>
          </w:tcPr>
          <w:p>
            <w:pPr>
              <w:widowControl/>
              <w:jc w:val="left"/>
              <w:rPr>
                <w:rFonts w:cs="Times New Roman"/>
                <w:color w:val="000000"/>
                <w:sz w:val="22"/>
                <w:szCs w:val="22"/>
                <w:lang w:val="en-GB"/>
              </w:rPr>
            </w:pPr>
          </w:p>
        </w:tc>
        <w:tc>
          <w:tcPr>
            <w:tcW w:w="1830" w:type="dxa"/>
            <w:tcBorders>
              <w:top w:val="single" w:color="auto" w:sz="12" w:space="0"/>
              <w:left w:val="nil"/>
              <w:bottom w:val="single" w:color="auto" w:sz="8" w:space="0"/>
              <w:right w:val="nil"/>
            </w:tcBorders>
            <w:shd w:val="clear" w:color="auto" w:fill="auto"/>
            <w:noWrap/>
            <w:vAlign w:val="center"/>
          </w:tcPr>
          <w:p>
            <w:pPr>
              <w:widowControl/>
              <w:jc w:val="left"/>
              <w:rPr>
                <w:rFonts w:cs="Times New Roman"/>
                <w:color w:val="000000"/>
                <w:sz w:val="22"/>
                <w:szCs w:val="22"/>
                <w:lang w:val="en-GB"/>
              </w:rPr>
            </w:pPr>
            <w:r>
              <w:rPr>
                <w:rFonts w:cs="Times New Roman"/>
                <w:color w:val="000000"/>
                <w:sz w:val="22"/>
                <w:szCs w:val="22"/>
                <w:lang w:val="en-GB"/>
              </w:rPr>
              <w:t>M2</w:t>
            </w:r>
          </w:p>
        </w:tc>
      </w:tr>
      <w:tr>
        <w:tblPrEx>
          <w:tblCellMar>
            <w:top w:w="0" w:type="dxa"/>
            <w:left w:w="108" w:type="dxa"/>
            <w:bottom w:w="0" w:type="dxa"/>
            <w:right w:w="108" w:type="dxa"/>
          </w:tblCellMar>
        </w:tblPrEx>
        <w:trPr>
          <w:trHeight w:val="397" w:hRule="atLeast"/>
        </w:trPr>
        <w:tc>
          <w:tcPr>
            <w:tcW w:w="2089" w:type="dxa"/>
            <w:tcBorders>
              <w:top w:val="single" w:color="auto" w:sz="8" w:space="0"/>
              <w:left w:val="nil"/>
              <w:bottom w:val="nil"/>
              <w:right w:val="single" w:color="auto" w:sz="8" w:space="0"/>
            </w:tcBorders>
            <w:shd w:val="clear" w:color="auto" w:fill="auto"/>
            <w:noWrap/>
            <w:vAlign w:val="center"/>
          </w:tcPr>
          <w:p>
            <w:pPr>
              <w:widowControl/>
              <w:jc w:val="left"/>
              <w:rPr>
                <w:rFonts w:cs="Times New Roman"/>
                <w:color w:val="000000"/>
                <w:sz w:val="22"/>
                <w:szCs w:val="22"/>
                <w:lang w:val="en-GB"/>
              </w:rPr>
            </w:pPr>
            <w:r>
              <w:rPr>
                <w:rFonts w:cs="Times New Roman"/>
                <w:color w:val="000000"/>
                <w:sz w:val="22"/>
                <w:szCs w:val="22"/>
                <w:lang w:val="en-GB"/>
              </w:rPr>
              <w:t>ROA</w:t>
            </w:r>
          </w:p>
        </w:tc>
        <w:tc>
          <w:tcPr>
            <w:tcW w:w="1631" w:type="dxa"/>
            <w:tcBorders>
              <w:top w:val="single" w:color="auto" w:sz="8" w:space="0"/>
              <w:left w:val="single" w:color="auto" w:sz="8" w:space="0"/>
              <w:bottom w:val="nil"/>
              <w:right w:val="nil"/>
            </w:tcBorders>
            <w:shd w:val="clear" w:color="auto" w:fill="auto"/>
            <w:noWrap/>
            <w:vAlign w:val="center"/>
          </w:tcPr>
          <w:p>
            <w:pPr>
              <w:widowControl/>
              <w:jc w:val="left"/>
              <w:rPr>
                <w:rFonts w:cs="Times New Roman"/>
                <w:color w:val="000000"/>
                <w:sz w:val="22"/>
                <w:szCs w:val="22"/>
                <w:lang w:val="en-GB"/>
              </w:rPr>
            </w:pPr>
            <w:r>
              <w:rPr>
                <w:rFonts w:cs="Times New Roman"/>
                <w:color w:val="000000"/>
                <w:sz w:val="22"/>
                <w:szCs w:val="22"/>
                <w:lang w:val="en-GB"/>
              </w:rPr>
              <w:t>0.0421**</w:t>
            </w:r>
          </w:p>
        </w:tc>
        <w:tc>
          <w:tcPr>
            <w:tcW w:w="2090" w:type="dxa"/>
            <w:tcBorders>
              <w:top w:val="single" w:color="auto" w:sz="8" w:space="0"/>
              <w:left w:val="nil"/>
              <w:bottom w:val="nil"/>
              <w:right w:val="nil"/>
            </w:tcBorders>
            <w:shd w:val="clear" w:color="auto" w:fill="auto"/>
            <w:noWrap/>
            <w:vAlign w:val="center"/>
          </w:tcPr>
          <w:p>
            <w:pPr>
              <w:widowControl/>
              <w:jc w:val="left"/>
              <w:rPr>
                <w:rFonts w:cs="Times New Roman"/>
                <w:color w:val="000000"/>
                <w:sz w:val="22"/>
                <w:szCs w:val="22"/>
                <w:lang w:val="en-GB"/>
              </w:rPr>
            </w:pPr>
            <w:r>
              <w:rPr>
                <w:rFonts w:cs="Times New Roman"/>
                <w:color w:val="000000"/>
                <w:sz w:val="22"/>
                <w:szCs w:val="22"/>
                <w:lang w:val="en-GB"/>
              </w:rPr>
              <w:t>0.00184***</w:t>
            </w:r>
          </w:p>
        </w:tc>
        <w:tc>
          <w:tcPr>
            <w:tcW w:w="1492" w:type="dxa"/>
            <w:tcBorders>
              <w:top w:val="single" w:color="auto" w:sz="8" w:space="0"/>
              <w:left w:val="nil"/>
              <w:bottom w:val="nil"/>
              <w:right w:val="nil"/>
            </w:tcBorders>
            <w:shd w:val="clear" w:color="auto" w:fill="auto"/>
            <w:noWrap/>
            <w:vAlign w:val="center"/>
          </w:tcPr>
          <w:p>
            <w:pPr>
              <w:widowControl/>
              <w:jc w:val="left"/>
              <w:rPr>
                <w:rFonts w:cs="Times New Roman"/>
                <w:color w:val="000000"/>
                <w:sz w:val="22"/>
                <w:szCs w:val="22"/>
                <w:lang w:val="en-GB"/>
              </w:rPr>
            </w:pPr>
            <w:r>
              <w:rPr>
                <w:rFonts w:cs="Times New Roman"/>
                <w:color w:val="000000"/>
                <w:sz w:val="22"/>
                <w:szCs w:val="22"/>
                <w:lang w:val="en-GB"/>
              </w:rPr>
              <w:t>0.0886</w:t>
            </w:r>
          </w:p>
        </w:tc>
        <w:tc>
          <w:tcPr>
            <w:tcW w:w="222" w:type="dxa"/>
            <w:tcBorders>
              <w:top w:val="single" w:color="auto" w:sz="8" w:space="0"/>
              <w:left w:val="nil"/>
              <w:bottom w:val="nil"/>
              <w:right w:val="nil"/>
            </w:tcBorders>
          </w:tcPr>
          <w:p>
            <w:pPr>
              <w:widowControl/>
              <w:jc w:val="left"/>
              <w:rPr>
                <w:rFonts w:cs="Times New Roman"/>
                <w:color w:val="000000"/>
                <w:sz w:val="22"/>
                <w:szCs w:val="22"/>
                <w:lang w:val="en-GB"/>
              </w:rPr>
            </w:pPr>
          </w:p>
        </w:tc>
        <w:tc>
          <w:tcPr>
            <w:tcW w:w="1830" w:type="dxa"/>
            <w:tcBorders>
              <w:top w:val="single" w:color="auto" w:sz="8" w:space="0"/>
              <w:left w:val="nil"/>
              <w:bottom w:val="nil"/>
              <w:right w:val="nil"/>
            </w:tcBorders>
            <w:shd w:val="clear" w:color="auto" w:fill="auto"/>
            <w:noWrap/>
            <w:vAlign w:val="center"/>
          </w:tcPr>
          <w:p>
            <w:pPr>
              <w:widowControl/>
              <w:jc w:val="left"/>
              <w:rPr>
                <w:rFonts w:cs="Times New Roman"/>
                <w:color w:val="000000"/>
                <w:sz w:val="22"/>
                <w:szCs w:val="22"/>
                <w:lang w:val="en-GB"/>
              </w:rPr>
            </w:pPr>
            <w:r>
              <w:rPr>
                <w:rFonts w:cs="Times New Roman"/>
                <w:color w:val="000000"/>
                <w:sz w:val="22"/>
                <w:szCs w:val="22"/>
                <w:lang w:val="en-GB"/>
              </w:rPr>
              <w:t>0.0322**</w:t>
            </w:r>
          </w:p>
        </w:tc>
      </w:tr>
      <w:tr>
        <w:tblPrEx>
          <w:tblCellMar>
            <w:top w:w="0" w:type="dxa"/>
            <w:left w:w="108" w:type="dxa"/>
            <w:bottom w:w="0" w:type="dxa"/>
            <w:right w:w="108" w:type="dxa"/>
          </w:tblCellMar>
        </w:tblPrEx>
        <w:trPr>
          <w:trHeight w:val="397" w:hRule="atLeast"/>
        </w:trPr>
        <w:tc>
          <w:tcPr>
            <w:tcW w:w="2089" w:type="dxa"/>
            <w:tcBorders>
              <w:top w:val="nil"/>
              <w:left w:val="nil"/>
              <w:bottom w:val="single" w:color="auto" w:sz="8" w:space="0"/>
              <w:right w:val="single" w:color="auto" w:sz="8" w:space="0"/>
            </w:tcBorders>
            <w:shd w:val="clear" w:color="auto" w:fill="auto"/>
            <w:noWrap/>
            <w:vAlign w:val="center"/>
          </w:tcPr>
          <w:p>
            <w:pPr>
              <w:widowControl/>
              <w:jc w:val="left"/>
              <w:rPr>
                <w:rFonts w:cs="Times New Roman"/>
                <w:color w:val="000000"/>
                <w:sz w:val="22"/>
                <w:szCs w:val="22"/>
                <w:lang w:val="en-GB"/>
              </w:rPr>
            </w:pPr>
            <w:r>
              <w:rPr>
                <w:rFonts w:cs="Times New Roman"/>
                <w:color w:val="000000"/>
                <w:sz w:val="22"/>
                <w:szCs w:val="22"/>
                <w:lang w:val="en-GB"/>
              </w:rPr>
              <w:t>* βi,t: -</w:t>
            </w:r>
          </w:p>
        </w:tc>
        <w:tc>
          <w:tcPr>
            <w:tcW w:w="1631" w:type="dxa"/>
            <w:tcBorders>
              <w:top w:val="nil"/>
              <w:left w:val="single" w:color="auto" w:sz="8" w:space="0"/>
              <w:bottom w:val="single" w:color="auto" w:sz="8" w:space="0"/>
              <w:right w:val="nil"/>
            </w:tcBorders>
            <w:shd w:val="clear" w:color="auto" w:fill="auto"/>
            <w:noWrap/>
            <w:vAlign w:val="center"/>
          </w:tcPr>
          <w:p>
            <w:pPr>
              <w:widowControl/>
              <w:jc w:val="left"/>
              <w:rPr>
                <w:rFonts w:cs="Times New Roman"/>
                <w:color w:val="000000"/>
                <w:sz w:val="22"/>
                <w:szCs w:val="22"/>
                <w:lang w:val="en-GB"/>
              </w:rPr>
            </w:pPr>
            <w:r>
              <w:rPr>
                <w:rFonts w:cs="Times New Roman"/>
                <w:color w:val="000000"/>
                <w:sz w:val="22"/>
                <w:szCs w:val="22"/>
                <w:lang w:val="en-GB"/>
              </w:rPr>
              <w:t>(-0.0198)</w:t>
            </w:r>
          </w:p>
        </w:tc>
        <w:tc>
          <w:tcPr>
            <w:tcW w:w="2090" w:type="dxa"/>
            <w:tcBorders>
              <w:top w:val="nil"/>
              <w:left w:val="nil"/>
              <w:bottom w:val="single" w:color="auto" w:sz="8" w:space="0"/>
              <w:right w:val="nil"/>
            </w:tcBorders>
            <w:shd w:val="clear" w:color="auto" w:fill="auto"/>
            <w:noWrap/>
            <w:vAlign w:val="center"/>
          </w:tcPr>
          <w:p>
            <w:pPr>
              <w:widowControl/>
              <w:jc w:val="left"/>
              <w:rPr>
                <w:rFonts w:cs="Times New Roman"/>
                <w:color w:val="000000"/>
                <w:sz w:val="22"/>
                <w:szCs w:val="22"/>
                <w:lang w:val="en-GB"/>
              </w:rPr>
            </w:pPr>
            <w:r>
              <w:rPr>
                <w:rFonts w:cs="Times New Roman"/>
                <w:color w:val="000000"/>
                <w:sz w:val="22"/>
                <w:szCs w:val="22"/>
                <w:lang w:val="en-GB"/>
              </w:rPr>
              <w:t>(-0.000609)</w:t>
            </w:r>
          </w:p>
        </w:tc>
        <w:tc>
          <w:tcPr>
            <w:tcW w:w="1492" w:type="dxa"/>
            <w:tcBorders>
              <w:top w:val="nil"/>
              <w:left w:val="nil"/>
              <w:bottom w:val="single" w:color="auto" w:sz="8" w:space="0"/>
              <w:right w:val="nil"/>
            </w:tcBorders>
            <w:shd w:val="clear" w:color="auto" w:fill="auto"/>
            <w:noWrap/>
            <w:vAlign w:val="center"/>
          </w:tcPr>
          <w:p>
            <w:pPr>
              <w:widowControl/>
              <w:jc w:val="left"/>
              <w:rPr>
                <w:rFonts w:cs="Times New Roman"/>
                <w:color w:val="000000"/>
                <w:sz w:val="22"/>
                <w:szCs w:val="22"/>
                <w:lang w:val="en-GB"/>
              </w:rPr>
            </w:pPr>
            <w:r>
              <w:rPr>
                <w:rFonts w:cs="Times New Roman"/>
                <w:color w:val="000000"/>
                <w:sz w:val="22"/>
                <w:szCs w:val="22"/>
                <w:lang w:val="en-GB"/>
              </w:rPr>
              <w:t>(-0.0557)</w:t>
            </w:r>
          </w:p>
        </w:tc>
        <w:tc>
          <w:tcPr>
            <w:tcW w:w="222" w:type="dxa"/>
            <w:tcBorders>
              <w:top w:val="nil"/>
              <w:left w:val="nil"/>
              <w:bottom w:val="single" w:color="auto" w:sz="8" w:space="0"/>
              <w:right w:val="nil"/>
            </w:tcBorders>
          </w:tcPr>
          <w:p>
            <w:pPr>
              <w:widowControl/>
              <w:jc w:val="left"/>
              <w:rPr>
                <w:rFonts w:cs="Times New Roman"/>
                <w:color w:val="000000"/>
                <w:sz w:val="22"/>
                <w:szCs w:val="22"/>
                <w:lang w:val="en-GB"/>
              </w:rPr>
            </w:pPr>
          </w:p>
        </w:tc>
        <w:tc>
          <w:tcPr>
            <w:tcW w:w="1830" w:type="dxa"/>
            <w:tcBorders>
              <w:top w:val="nil"/>
              <w:left w:val="nil"/>
              <w:bottom w:val="single" w:color="auto" w:sz="8" w:space="0"/>
              <w:right w:val="nil"/>
            </w:tcBorders>
            <w:shd w:val="clear" w:color="auto" w:fill="auto"/>
            <w:noWrap/>
            <w:vAlign w:val="center"/>
          </w:tcPr>
          <w:p>
            <w:pPr>
              <w:widowControl/>
              <w:jc w:val="left"/>
              <w:rPr>
                <w:rFonts w:cs="Times New Roman"/>
                <w:color w:val="000000"/>
                <w:sz w:val="22"/>
                <w:szCs w:val="22"/>
                <w:lang w:val="en-GB"/>
              </w:rPr>
            </w:pPr>
            <w:r>
              <w:rPr>
                <w:rFonts w:cs="Times New Roman"/>
                <w:color w:val="000000"/>
                <w:sz w:val="22"/>
                <w:szCs w:val="22"/>
                <w:lang w:val="en-GB"/>
              </w:rPr>
              <w:t>(-0.0143)</w:t>
            </w:r>
          </w:p>
        </w:tc>
      </w:tr>
      <w:tr>
        <w:tblPrEx>
          <w:tblCellMar>
            <w:top w:w="0" w:type="dxa"/>
            <w:left w:w="108" w:type="dxa"/>
            <w:bottom w:w="0" w:type="dxa"/>
            <w:right w:w="108" w:type="dxa"/>
          </w:tblCellMar>
        </w:tblPrEx>
        <w:trPr>
          <w:trHeight w:val="397" w:hRule="atLeast"/>
        </w:trPr>
        <w:tc>
          <w:tcPr>
            <w:tcW w:w="2089" w:type="dxa"/>
            <w:tcBorders>
              <w:top w:val="single" w:color="auto" w:sz="8" w:space="0"/>
              <w:left w:val="nil"/>
              <w:bottom w:val="nil"/>
              <w:right w:val="single" w:color="auto" w:sz="8" w:space="0"/>
            </w:tcBorders>
            <w:shd w:val="clear" w:color="auto" w:fill="auto"/>
            <w:noWrap/>
            <w:vAlign w:val="center"/>
          </w:tcPr>
          <w:p>
            <w:pPr>
              <w:widowControl/>
              <w:jc w:val="left"/>
              <w:rPr>
                <w:rFonts w:cs="Times New Roman"/>
                <w:color w:val="000000"/>
                <w:sz w:val="22"/>
                <w:szCs w:val="22"/>
                <w:lang w:val="en-GB"/>
              </w:rPr>
            </w:pPr>
            <w:r>
              <w:rPr>
                <w:rFonts w:cs="Times New Roman"/>
                <w:color w:val="000000"/>
                <w:sz w:val="22"/>
                <w:szCs w:val="22"/>
                <w:lang w:val="en-GB"/>
              </w:rPr>
              <w:t>Size</w:t>
            </w:r>
          </w:p>
        </w:tc>
        <w:tc>
          <w:tcPr>
            <w:tcW w:w="1631" w:type="dxa"/>
            <w:tcBorders>
              <w:top w:val="single" w:color="auto" w:sz="8" w:space="0"/>
              <w:left w:val="single" w:color="auto" w:sz="8" w:space="0"/>
              <w:bottom w:val="nil"/>
              <w:right w:val="nil"/>
            </w:tcBorders>
            <w:shd w:val="clear" w:color="auto" w:fill="auto"/>
            <w:noWrap/>
            <w:vAlign w:val="center"/>
          </w:tcPr>
          <w:p>
            <w:pPr>
              <w:widowControl/>
              <w:jc w:val="left"/>
              <w:rPr>
                <w:rFonts w:cs="Times New Roman"/>
                <w:color w:val="000000"/>
                <w:sz w:val="22"/>
                <w:szCs w:val="22"/>
                <w:lang w:val="en-GB"/>
              </w:rPr>
            </w:pPr>
            <w:r>
              <w:rPr>
                <w:rFonts w:cs="Times New Roman"/>
                <w:color w:val="000000"/>
                <w:sz w:val="22"/>
                <w:szCs w:val="22"/>
                <w:lang w:val="en-GB"/>
              </w:rPr>
              <w:t>-0.0232</w:t>
            </w:r>
          </w:p>
        </w:tc>
        <w:tc>
          <w:tcPr>
            <w:tcW w:w="2090" w:type="dxa"/>
            <w:tcBorders>
              <w:top w:val="single" w:color="auto" w:sz="8" w:space="0"/>
              <w:left w:val="nil"/>
              <w:bottom w:val="nil"/>
              <w:right w:val="nil"/>
            </w:tcBorders>
            <w:shd w:val="clear" w:color="auto" w:fill="auto"/>
            <w:noWrap/>
            <w:vAlign w:val="center"/>
          </w:tcPr>
          <w:p>
            <w:pPr>
              <w:widowControl/>
              <w:jc w:val="left"/>
              <w:rPr>
                <w:rFonts w:cs="Times New Roman"/>
                <w:color w:val="000000"/>
                <w:sz w:val="22"/>
                <w:szCs w:val="22"/>
                <w:lang w:val="en-GB"/>
              </w:rPr>
            </w:pPr>
            <w:r>
              <w:rPr>
                <w:rFonts w:cs="Times New Roman"/>
                <w:color w:val="000000"/>
                <w:sz w:val="22"/>
                <w:szCs w:val="22"/>
                <w:lang w:val="en-GB"/>
              </w:rPr>
              <w:t>0.00666**</w:t>
            </w:r>
          </w:p>
        </w:tc>
        <w:tc>
          <w:tcPr>
            <w:tcW w:w="1492" w:type="dxa"/>
            <w:tcBorders>
              <w:top w:val="single" w:color="auto" w:sz="8" w:space="0"/>
              <w:left w:val="nil"/>
              <w:bottom w:val="nil"/>
              <w:right w:val="nil"/>
            </w:tcBorders>
            <w:shd w:val="clear" w:color="auto" w:fill="auto"/>
            <w:noWrap/>
            <w:vAlign w:val="center"/>
          </w:tcPr>
          <w:p>
            <w:pPr>
              <w:widowControl/>
              <w:jc w:val="left"/>
              <w:rPr>
                <w:rFonts w:cs="Times New Roman"/>
                <w:color w:val="000000"/>
                <w:sz w:val="22"/>
                <w:szCs w:val="22"/>
                <w:lang w:val="en-GB"/>
              </w:rPr>
            </w:pPr>
            <w:r>
              <w:rPr>
                <w:rFonts w:cs="Times New Roman"/>
                <w:color w:val="000000"/>
                <w:sz w:val="22"/>
                <w:szCs w:val="22"/>
                <w:lang w:val="en-GB"/>
              </w:rPr>
              <w:t>0.13</w:t>
            </w:r>
          </w:p>
        </w:tc>
        <w:tc>
          <w:tcPr>
            <w:tcW w:w="222" w:type="dxa"/>
            <w:tcBorders>
              <w:top w:val="single" w:color="auto" w:sz="8" w:space="0"/>
              <w:left w:val="nil"/>
              <w:bottom w:val="nil"/>
              <w:right w:val="nil"/>
            </w:tcBorders>
          </w:tcPr>
          <w:p>
            <w:pPr>
              <w:widowControl/>
              <w:jc w:val="left"/>
              <w:rPr>
                <w:rFonts w:cs="Times New Roman"/>
                <w:color w:val="000000"/>
                <w:sz w:val="22"/>
                <w:szCs w:val="22"/>
                <w:lang w:val="en-GB"/>
              </w:rPr>
            </w:pPr>
          </w:p>
        </w:tc>
        <w:tc>
          <w:tcPr>
            <w:tcW w:w="1830" w:type="dxa"/>
            <w:tcBorders>
              <w:top w:val="single" w:color="auto" w:sz="8" w:space="0"/>
              <w:left w:val="nil"/>
              <w:bottom w:val="nil"/>
              <w:right w:val="nil"/>
            </w:tcBorders>
            <w:shd w:val="clear" w:color="auto" w:fill="auto"/>
            <w:noWrap/>
            <w:vAlign w:val="center"/>
          </w:tcPr>
          <w:p>
            <w:pPr>
              <w:widowControl/>
              <w:jc w:val="left"/>
              <w:rPr>
                <w:rFonts w:cs="Times New Roman"/>
                <w:color w:val="000000"/>
                <w:sz w:val="22"/>
                <w:szCs w:val="22"/>
                <w:lang w:val="en-GB"/>
              </w:rPr>
            </w:pPr>
            <w:r>
              <w:rPr>
                <w:rFonts w:cs="Times New Roman"/>
                <w:color w:val="000000"/>
                <w:sz w:val="22"/>
                <w:szCs w:val="22"/>
                <w:lang w:val="en-GB"/>
              </w:rPr>
              <w:t>-0.196</w:t>
            </w:r>
          </w:p>
        </w:tc>
      </w:tr>
      <w:tr>
        <w:tblPrEx>
          <w:tblCellMar>
            <w:top w:w="0" w:type="dxa"/>
            <w:left w:w="108" w:type="dxa"/>
            <w:bottom w:w="0" w:type="dxa"/>
            <w:right w:w="108" w:type="dxa"/>
          </w:tblCellMar>
        </w:tblPrEx>
        <w:trPr>
          <w:trHeight w:val="397" w:hRule="atLeast"/>
        </w:trPr>
        <w:tc>
          <w:tcPr>
            <w:tcW w:w="2089" w:type="dxa"/>
            <w:tcBorders>
              <w:top w:val="nil"/>
              <w:left w:val="nil"/>
              <w:bottom w:val="single" w:color="auto" w:sz="8" w:space="0"/>
              <w:right w:val="single" w:color="auto" w:sz="8" w:space="0"/>
            </w:tcBorders>
            <w:shd w:val="clear" w:color="auto" w:fill="auto"/>
            <w:noWrap/>
            <w:vAlign w:val="center"/>
          </w:tcPr>
          <w:p>
            <w:pPr>
              <w:widowControl/>
              <w:jc w:val="left"/>
              <w:rPr>
                <w:rFonts w:cs="Times New Roman"/>
                <w:color w:val="000000"/>
                <w:sz w:val="22"/>
                <w:szCs w:val="22"/>
                <w:lang w:val="en-GB"/>
              </w:rPr>
            </w:pPr>
            <w:r>
              <w:rPr>
                <w:rFonts w:cs="Times New Roman"/>
                <w:color w:val="000000"/>
                <w:sz w:val="22"/>
                <w:szCs w:val="22"/>
                <w:lang w:val="en-GB"/>
              </w:rPr>
              <w:t>* βi,t: -</w:t>
            </w:r>
          </w:p>
        </w:tc>
        <w:tc>
          <w:tcPr>
            <w:tcW w:w="1631" w:type="dxa"/>
            <w:tcBorders>
              <w:top w:val="nil"/>
              <w:left w:val="single" w:color="auto" w:sz="8" w:space="0"/>
              <w:bottom w:val="single" w:color="auto" w:sz="8" w:space="0"/>
              <w:right w:val="nil"/>
            </w:tcBorders>
            <w:shd w:val="clear" w:color="auto" w:fill="auto"/>
            <w:noWrap/>
            <w:vAlign w:val="center"/>
          </w:tcPr>
          <w:p>
            <w:pPr>
              <w:widowControl/>
              <w:jc w:val="left"/>
              <w:rPr>
                <w:rFonts w:cs="Times New Roman"/>
                <w:color w:val="000000"/>
                <w:sz w:val="22"/>
                <w:szCs w:val="22"/>
                <w:lang w:val="en-GB"/>
              </w:rPr>
            </w:pPr>
            <w:r>
              <w:rPr>
                <w:rFonts w:cs="Times New Roman"/>
                <w:color w:val="000000"/>
                <w:sz w:val="22"/>
                <w:szCs w:val="22"/>
                <w:lang w:val="en-GB"/>
              </w:rPr>
              <w:t>(-0.149)</w:t>
            </w:r>
          </w:p>
        </w:tc>
        <w:tc>
          <w:tcPr>
            <w:tcW w:w="2090" w:type="dxa"/>
            <w:tcBorders>
              <w:top w:val="nil"/>
              <w:left w:val="nil"/>
              <w:bottom w:val="single" w:color="auto" w:sz="8" w:space="0"/>
              <w:right w:val="nil"/>
            </w:tcBorders>
            <w:shd w:val="clear" w:color="auto" w:fill="auto"/>
            <w:noWrap/>
            <w:vAlign w:val="center"/>
          </w:tcPr>
          <w:p>
            <w:pPr>
              <w:widowControl/>
              <w:jc w:val="left"/>
              <w:rPr>
                <w:rFonts w:cs="Times New Roman"/>
                <w:color w:val="000000"/>
                <w:sz w:val="22"/>
                <w:szCs w:val="22"/>
                <w:lang w:val="en-GB"/>
              </w:rPr>
            </w:pPr>
            <w:r>
              <w:rPr>
                <w:rFonts w:cs="Times New Roman"/>
                <w:color w:val="000000"/>
                <w:sz w:val="22"/>
                <w:szCs w:val="22"/>
                <w:lang w:val="en-GB"/>
              </w:rPr>
              <w:t>(-0.00294)</w:t>
            </w:r>
          </w:p>
        </w:tc>
        <w:tc>
          <w:tcPr>
            <w:tcW w:w="1492" w:type="dxa"/>
            <w:tcBorders>
              <w:top w:val="nil"/>
              <w:left w:val="nil"/>
              <w:bottom w:val="single" w:color="auto" w:sz="8" w:space="0"/>
              <w:right w:val="nil"/>
            </w:tcBorders>
            <w:shd w:val="clear" w:color="auto" w:fill="auto"/>
            <w:noWrap/>
            <w:vAlign w:val="center"/>
          </w:tcPr>
          <w:p>
            <w:pPr>
              <w:widowControl/>
              <w:jc w:val="left"/>
              <w:rPr>
                <w:rFonts w:cs="Times New Roman"/>
                <w:color w:val="000000"/>
                <w:sz w:val="22"/>
                <w:szCs w:val="22"/>
                <w:lang w:val="en-GB"/>
              </w:rPr>
            </w:pPr>
            <w:r>
              <w:rPr>
                <w:rFonts w:cs="Times New Roman"/>
                <w:color w:val="000000"/>
                <w:sz w:val="22"/>
                <w:szCs w:val="22"/>
                <w:lang w:val="en-GB"/>
              </w:rPr>
              <w:t>(-0.264)</w:t>
            </w:r>
          </w:p>
        </w:tc>
        <w:tc>
          <w:tcPr>
            <w:tcW w:w="222" w:type="dxa"/>
            <w:tcBorders>
              <w:top w:val="nil"/>
              <w:left w:val="nil"/>
              <w:bottom w:val="single" w:color="auto" w:sz="8" w:space="0"/>
              <w:right w:val="nil"/>
            </w:tcBorders>
          </w:tcPr>
          <w:p>
            <w:pPr>
              <w:widowControl/>
              <w:jc w:val="left"/>
              <w:rPr>
                <w:rFonts w:cs="Times New Roman"/>
                <w:color w:val="000000"/>
                <w:sz w:val="22"/>
                <w:szCs w:val="22"/>
                <w:lang w:val="en-GB"/>
              </w:rPr>
            </w:pPr>
          </w:p>
        </w:tc>
        <w:tc>
          <w:tcPr>
            <w:tcW w:w="1830" w:type="dxa"/>
            <w:tcBorders>
              <w:top w:val="nil"/>
              <w:left w:val="nil"/>
              <w:bottom w:val="single" w:color="auto" w:sz="8" w:space="0"/>
              <w:right w:val="nil"/>
            </w:tcBorders>
            <w:shd w:val="clear" w:color="auto" w:fill="auto"/>
            <w:noWrap/>
            <w:vAlign w:val="center"/>
          </w:tcPr>
          <w:p>
            <w:pPr>
              <w:widowControl/>
              <w:jc w:val="left"/>
              <w:rPr>
                <w:rFonts w:cs="Times New Roman"/>
                <w:color w:val="000000"/>
                <w:sz w:val="22"/>
                <w:szCs w:val="22"/>
                <w:lang w:val="en-GB"/>
              </w:rPr>
            </w:pPr>
            <w:r>
              <w:rPr>
                <w:rFonts w:cs="Times New Roman"/>
                <w:color w:val="000000"/>
                <w:sz w:val="22"/>
                <w:szCs w:val="22"/>
                <w:lang w:val="en-GB"/>
              </w:rPr>
              <w:t>(-0.121)</w:t>
            </w:r>
          </w:p>
        </w:tc>
      </w:tr>
      <w:tr>
        <w:tblPrEx>
          <w:tblCellMar>
            <w:top w:w="0" w:type="dxa"/>
            <w:left w:w="108" w:type="dxa"/>
            <w:bottom w:w="0" w:type="dxa"/>
            <w:right w:w="108" w:type="dxa"/>
          </w:tblCellMar>
        </w:tblPrEx>
        <w:trPr>
          <w:trHeight w:val="397" w:hRule="atLeast"/>
        </w:trPr>
        <w:tc>
          <w:tcPr>
            <w:tcW w:w="2089" w:type="dxa"/>
            <w:tcBorders>
              <w:top w:val="single" w:color="auto" w:sz="8" w:space="0"/>
              <w:left w:val="nil"/>
              <w:bottom w:val="nil"/>
              <w:right w:val="single" w:color="auto" w:sz="8" w:space="0"/>
            </w:tcBorders>
            <w:shd w:val="clear" w:color="auto" w:fill="auto"/>
            <w:noWrap/>
            <w:vAlign w:val="center"/>
          </w:tcPr>
          <w:p>
            <w:pPr>
              <w:widowControl/>
              <w:jc w:val="left"/>
              <w:rPr>
                <w:rFonts w:cs="Times New Roman"/>
                <w:color w:val="000000"/>
                <w:sz w:val="22"/>
                <w:szCs w:val="22"/>
                <w:lang w:val="en-GB"/>
              </w:rPr>
            </w:pPr>
            <w:r>
              <w:rPr>
                <w:rFonts w:cs="Times New Roman"/>
                <w:color w:val="000000"/>
                <w:sz w:val="22"/>
                <w:szCs w:val="22"/>
                <w:lang w:val="en-GB"/>
              </w:rPr>
              <w:t>Tangibility</w:t>
            </w:r>
          </w:p>
        </w:tc>
        <w:tc>
          <w:tcPr>
            <w:tcW w:w="1631" w:type="dxa"/>
            <w:tcBorders>
              <w:top w:val="single" w:color="auto" w:sz="8" w:space="0"/>
              <w:left w:val="single" w:color="auto" w:sz="8" w:space="0"/>
              <w:bottom w:val="nil"/>
              <w:right w:val="nil"/>
            </w:tcBorders>
            <w:shd w:val="clear" w:color="auto" w:fill="auto"/>
            <w:noWrap/>
            <w:vAlign w:val="center"/>
          </w:tcPr>
          <w:p>
            <w:pPr>
              <w:widowControl/>
              <w:jc w:val="left"/>
              <w:rPr>
                <w:rFonts w:cs="Times New Roman"/>
                <w:color w:val="000000"/>
                <w:sz w:val="22"/>
                <w:szCs w:val="22"/>
                <w:lang w:val="en-GB"/>
              </w:rPr>
            </w:pPr>
            <w:r>
              <w:rPr>
                <w:rFonts w:cs="Times New Roman"/>
                <w:color w:val="000000"/>
                <w:sz w:val="22"/>
                <w:szCs w:val="22"/>
                <w:lang w:val="en-GB"/>
              </w:rPr>
              <w:t>-0.0488***</w:t>
            </w:r>
          </w:p>
        </w:tc>
        <w:tc>
          <w:tcPr>
            <w:tcW w:w="2090" w:type="dxa"/>
            <w:tcBorders>
              <w:top w:val="single" w:color="auto" w:sz="8" w:space="0"/>
              <w:left w:val="nil"/>
              <w:bottom w:val="nil"/>
              <w:right w:val="nil"/>
            </w:tcBorders>
            <w:shd w:val="clear" w:color="auto" w:fill="auto"/>
            <w:noWrap/>
            <w:vAlign w:val="center"/>
          </w:tcPr>
          <w:p>
            <w:pPr>
              <w:widowControl/>
              <w:jc w:val="left"/>
              <w:rPr>
                <w:rFonts w:cs="Times New Roman"/>
                <w:color w:val="000000"/>
                <w:sz w:val="22"/>
                <w:szCs w:val="22"/>
                <w:lang w:val="en-GB"/>
              </w:rPr>
            </w:pPr>
            <w:r>
              <w:rPr>
                <w:rFonts w:cs="Times New Roman"/>
                <w:color w:val="000000"/>
                <w:sz w:val="22"/>
                <w:szCs w:val="22"/>
                <w:lang w:val="en-GB"/>
              </w:rPr>
              <w:t>0.000119</w:t>
            </w:r>
          </w:p>
        </w:tc>
        <w:tc>
          <w:tcPr>
            <w:tcW w:w="1492" w:type="dxa"/>
            <w:tcBorders>
              <w:top w:val="single" w:color="auto" w:sz="8" w:space="0"/>
              <w:left w:val="nil"/>
              <w:bottom w:val="nil"/>
              <w:right w:val="nil"/>
            </w:tcBorders>
            <w:shd w:val="clear" w:color="auto" w:fill="auto"/>
            <w:noWrap/>
            <w:vAlign w:val="center"/>
          </w:tcPr>
          <w:p>
            <w:pPr>
              <w:widowControl/>
              <w:jc w:val="left"/>
              <w:rPr>
                <w:rFonts w:cs="Times New Roman"/>
                <w:color w:val="000000"/>
                <w:sz w:val="22"/>
                <w:szCs w:val="22"/>
                <w:lang w:val="en-GB"/>
              </w:rPr>
            </w:pPr>
            <w:r>
              <w:rPr>
                <w:rFonts w:cs="Times New Roman"/>
                <w:color w:val="000000"/>
                <w:sz w:val="22"/>
                <w:szCs w:val="22"/>
                <w:lang w:val="en-GB"/>
              </w:rPr>
              <w:t>0.0159</w:t>
            </w:r>
          </w:p>
        </w:tc>
        <w:tc>
          <w:tcPr>
            <w:tcW w:w="222" w:type="dxa"/>
            <w:tcBorders>
              <w:top w:val="single" w:color="auto" w:sz="8" w:space="0"/>
              <w:left w:val="nil"/>
              <w:bottom w:val="nil"/>
              <w:right w:val="nil"/>
            </w:tcBorders>
          </w:tcPr>
          <w:p>
            <w:pPr>
              <w:widowControl/>
              <w:jc w:val="left"/>
              <w:rPr>
                <w:rFonts w:cs="Times New Roman"/>
                <w:color w:val="000000"/>
                <w:sz w:val="22"/>
                <w:szCs w:val="22"/>
                <w:lang w:val="en-GB"/>
              </w:rPr>
            </w:pPr>
          </w:p>
        </w:tc>
        <w:tc>
          <w:tcPr>
            <w:tcW w:w="1830" w:type="dxa"/>
            <w:tcBorders>
              <w:top w:val="single" w:color="auto" w:sz="8" w:space="0"/>
              <w:left w:val="nil"/>
              <w:bottom w:val="nil"/>
              <w:right w:val="nil"/>
            </w:tcBorders>
            <w:shd w:val="clear" w:color="auto" w:fill="auto"/>
            <w:noWrap/>
            <w:vAlign w:val="center"/>
          </w:tcPr>
          <w:p>
            <w:pPr>
              <w:widowControl/>
              <w:jc w:val="left"/>
              <w:rPr>
                <w:rFonts w:cs="Times New Roman"/>
                <w:color w:val="000000"/>
                <w:sz w:val="22"/>
                <w:szCs w:val="22"/>
                <w:lang w:val="en-GB"/>
              </w:rPr>
            </w:pPr>
            <w:r>
              <w:rPr>
                <w:rFonts w:cs="Times New Roman"/>
                <w:color w:val="000000"/>
                <w:sz w:val="22"/>
                <w:szCs w:val="22"/>
                <w:lang w:val="en-GB"/>
              </w:rPr>
              <w:t>-0.0287***</w:t>
            </w:r>
          </w:p>
        </w:tc>
      </w:tr>
      <w:tr>
        <w:tblPrEx>
          <w:tblCellMar>
            <w:top w:w="0" w:type="dxa"/>
            <w:left w:w="108" w:type="dxa"/>
            <w:bottom w:w="0" w:type="dxa"/>
            <w:right w:w="108" w:type="dxa"/>
          </w:tblCellMar>
        </w:tblPrEx>
        <w:trPr>
          <w:trHeight w:val="549" w:hRule="atLeast"/>
        </w:trPr>
        <w:tc>
          <w:tcPr>
            <w:tcW w:w="2089" w:type="dxa"/>
            <w:tcBorders>
              <w:top w:val="nil"/>
              <w:left w:val="nil"/>
              <w:bottom w:val="single" w:color="auto" w:sz="8" w:space="0"/>
              <w:right w:val="single" w:color="auto" w:sz="8" w:space="0"/>
            </w:tcBorders>
            <w:shd w:val="clear" w:color="auto" w:fill="auto"/>
            <w:noWrap/>
            <w:vAlign w:val="center"/>
          </w:tcPr>
          <w:p>
            <w:pPr>
              <w:widowControl/>
              <w:jc w:val="left"/>
              <w:rPr>
                <w:rFonts w:cs="Times New Roman"/>
                <w:color w:val="000000"/>
                <w:sz w:val="22"/>
                <w:szCs w:val="22"/>
                <w:lang w:val="en-GB"/>
              </w:rPr>
            </w:pPr>
            <w:r>
              <w:rPr>
                <w:rFonts w:cs="Times New Roman"/>
                <w:color w:val="000000"/>
                <w:sz w:val="22"/>
                <w:szCs w:val="22"/>
                <w:lang w:val="en-GB"/>
              </w:rPr>
              <w:t>* βi,t: -</w:t>
            </w:r>
          </w:p>
        </w:tc>
        <w:tc>
          <w:tcPr>
            <w:tcW w:w="1631" w:type="dxa"/>
            <w:tcBorders>
              <w:top w:val="nil"/>
              <w:left w:val="single" w:color="auto" w:sz="8" w:space="0"/>
              <w:bottom w:val="single" w:color="auto" w:sz="8" w:space="0"/>
              <w:right w:val="nil"/>
            </w:tcBorders>
            <w:shd w:val="clear" w:color="auto" w:fill="auto"/>
            <w:noWrap/>
            <w:vAlign w:val="center"/>
          </w:tcPr>
          <w:p>
            <w:pPr>
              <w:widowControl/>
              <w:jc w:val="left"/>
              <w:rPr>
                <w:rFonts w:cs="Times New Roman"/>
                <w:color w:val="000000"/>
                <w:sz w:val="22"/>
                <w:szCs w:val="22"/>
                <w:lang w:val="en-GB"/>
              </w:rPr>
            </w:pPr>
            <w:r>
              <w:rPr>
                <w:rFonts w:cs="Times New Roman"/>
                <w:color w:val="000000"/>
                <w:sz w:val="22"/>
                <w:szCs w:val="22"/>
                <w:lang w:val="en-GB"/>
              </w:rPr>
              <w:t>(-0.00982)</w:t>
            </w:r>
          </w:p>
        </w:tc>
        <w:tc>
          <w:tcPr>
            <w:tcW w:w="2090" w:type="dxa"/>
            <w:tcBorders>
              <w:top w:val="nil"/>
              <w:left w:val="nil"/>
              <w:bottom w:val="single" w:color="auto" w:sz="8" w:space="0"/>
              <w:right w:val="nil"/>
            </w:tcBorders>
            <w:shd w:val="clear" w:color="auto" w:fill="auto"/>
            <w:noWrap/>
            <w:vAlign w:val="center"/>
          </w:tcPr>
          <w:p>
            <w:pPr>
              <w:widowControl/>
              <w:jc w:val="left"/>
              <w:rPr>
                <w:rFonts w:cs="Times New Roman"/>
                <w:color w:val="000000"/>
                <w:sz w:val="22"/>
                <w:szCs w:val="22"/>
                <w:lang w:val="en-GB"/>
              </w:rPr>
            </w:pPr>
            <w:r>
              <w:rPr>
                <w:rFonts w:cs="Times New Roman"/>
                <w:color w:val="000000"/>
                <w:sz w:val="22"/>
                <w:szCs w:val="22"/>
                <w:lang w:val="en-GB"/>
              </w:rPr>
              <w:t>(-0.000196)</w:t>
            </w:r>
          </w:p>
        </w:tc>
        <w:tc>
          <w:tcPr>
            <w:tcW w:w="1492" w:type="dxa"/>
            <w:tcBorders>
              <w:top w:val="nil"/>
              <w:left w:val="nil"/>
              <w:bottom w:val="single" w:color="auto" w:sz="8" w:space="0"/>
              <w:right w:val="nil"/>
            </w:tcBorders>
            <w:shd w:val="clear" w:color="auto" w:fill="auto"/>
            <w:noWrap/>
            <w:vAlign w:val="center"/>
          </w:tcPr>
          <w:p>
            <w:pPr>
              <w:widowControl/>
              <w:jc w:val="left"/>
              <w:rPr>
                <w:rFonts w:cs="Times New Roman"/>
                <w:color w:val="000000"/>
                <w:sz w:val="22"/>
                <w:szCs w:val="22"/>
                <w:lang w:val="en-GB"/>
              </w:rPr>
            </w:pPr>
            <w:r>
              <w:rPr>
                <w:rFonts w:cs="Times New Roman"/>
                <w:color w:val="000000"/>
                <w:sz w:val="22"/>
                <w:szCs w:val="22"/>
                <w:lang w:val="en-GB"/>
              </w:rPr>
              <w:t>(-0.0104)</w:t>
            </w:r>
          </w:p>
        </w:tc>
        <w:tc>
          <w:tcPr>
            <w:tcW w:w="222" w:type="dxa"/>
            <w:tcBorders>
              <w:top w:val="nil"/>
              <w:left w:val="nil"/>
              <w:bottom w:val="single" w:color="auto" w:sz="8" w:space="0"/>
              <w:right w:val="nil"/>
            </w:tcBorders>
          </w:tcPr>
          <w:p>
            <w:pPr>
              <w:widowControl/>
              <w:jc w:val="left"/>
              <w:rPr>
                <w:rFonts w:cs="Times New Roman"/>
                <w:color w:val="000000"/>
                <w:sz w:val="22"/>
                <w:szCs w:val="22"/>
                <w:lang w:val="en-GB"/>
              </w:rPr>
            </w:pPr>
          </w:p>
        </w:tc>
        <w:tc>
          <w:tcPr>
            <w:tcW w:w="1830" w:type="dxa"/>
            <w:tcBorders>
              <w:top w:val="nil"/>
              <w:left w:val="nil"/>
              <w:bottom w:val="single" w:color="auto" w:sz="8" w:space="0"/>
              <w:right w:val="nil"/>
            </w:tcBorders>
            <w:shd w:val="clear" w:color="auto" w:fill="auto"/>
            <w:noWrap/>
            <w:vAlign w:val="center"/>
          </w:tcPr>
          <w:p>
            <w:pPr>
              <w:widowControl/>
              <w:jc w:val="left"/>
              <w:rPr>
                <w:rFonts w:cs="Times New Roman"/>
                <w:color w:val="000000"/>
                <w:sz w:val="22"/>
                <w:szCs w:val="22"/>
                <w:lang w:val="en-GB"/>
              </w:rPr>
            </w:pPr>
            <w:r>
              <w:rPr>
                <w:rFonts w:cs="Times New Roman"/>
                <w:color w:val="000000"/>
                <w:sz w:val="22"/>
                <w:szCs w:val="22"/>
                <w:lang w:val="en-GB"/>
              </w:rPr>
              <w:t>(-0.0101)</w:t>
            </w:r>
          </w:p>
        </w:tc>
      </w:tr>
      <w:tr>
        <w:tblPrEx>
          <w:tblCellMar>
            <w:top w:w="0" w:type="dxa"/>
            <w:left w:w="108" w:type="dxa"/>
            <w:bottom w:w="0" w:type="dxa"/>
            <w:right w:w="108" w:type="dxa"/>
          </w:tblCellMar>
        </w:tblPrEx>
        <w:trPr>
          <w:trHeight w:val="397" w:hRule="atLeast"/>
        </w:trPr>
        <w:tc>
          <w:tcPr>
            <w:tcW w:w="2089" w:type="dxa"/>
            <w:tcBorders>
              <w:top w:val="single" w:color="auto" w:sz="8" w:space="0"/>
              <w:left w:val="nil"/>
              <w:bottom w:val="nil"/>
              <w:right w:val="single" w:color="auto" w:sz="8" w:space="0"/>
            </w:tcBorders>
            <w:shd w:val="clear" w:color="auto" w:fill="auto"/>
            <w:noWrap/>
            <w:vAlign w:val="center"/>
          </w:tcPr>
          <w:p>
            <w:pPr>
              <w:widowControl/>
              <w:jc w:val="left"/>
              <w:rPr>
                <w:rFonts w:cs="Times New Roman"/>
                <w:color w:val="000000"/>
                <w:sz w:val="22"/>
                <w:szCs w:val="22"/>
                <w:lang w:val="en-GB"/>
              </w:rPr>
            </w:pPr>
            <w:r>
              <w:rPr>
                <w:rFonts w:cs="Times New Roman"/>
                <w:color w:val="000000"/>
                <w:sz w:val="22"/>
                <w:szCs w:val="22"/>
                <w:lang w:val="en-GB"/>
              </w:rPr>
              <w:t>TA</w:t>
            </w:r>
          </w:p>
        </w:tc>
        <w:tc>
          <w:tcPr>
            <w:tcW w:w="1631" w:type="dxa"/>
            <w:tcBorders>
              <w:top w:val="single" w:color="auto" w:sz="8" w:space="0"/>
              <w:left w:val="single" w:color="auto" w:sz="8" w:space="0"/>
              <w:bottom w:val="nil"/>
              <w:right w:val="nil"/>
            </w:tcBorders>
            <w:shd w:val="clear" w:color="auto" w:fill="auto"/>
            <w:noWrap/>
            <w:vAlign w:val="center"/>
          </w:tcPr>
          <w:p>
            <w:pPr>
              <w:widowControl/>
              <w:jc w:val="left"/>
              <w:rPr>
                <w:rFonts w:cs="Times New Roman"/>
                <w:color w:val="000000"/>
                <w:sz w:val="22"/>
                <w:szCs w:val="22"/>
                <w:lang w:val="en-GB"/>
              </w:rPr>
            </w:pPr>
            <w:r>
              <w:rPr>
                <w:rFonts w:cs="Times New Roman"/>
                <w:color w:val="000000"/>
                <w:sz w:val="22"/>
                <w:szCs w:val="22"/>
                <w:lang w:val="en-GB"/>
              </w:rPr>
              <w:t>-0.656</w:t>
            </w:r>
          </w:p>
        </w:tc>
        <w:tc>
          <w:tcPr>
            <w:tcW w:w="2090" w:type="dxa"/>
            <w:tcBorders>
              <w:top w:val="single" w:color="auto" w:sz="8" w:space="0"/>
              <w:left w:val="nil"/>
              <w:bottom w:val="nil"/>
              <w:right w:val="nil"/>
            </w:tcBorders>
            <w:shd w:val="clear" w:color="auto" w:fill="auto"/>
            <w:noWrap/>
            <w:vAlign w:val="center"/>
          </w:tcPr>
          <w:p>
            <w:pPr>
              <w:widowControl/>
              <w:jc w:val="left"/>
              <w:rPr>
                <w:rFonts w:cs="Times New Roman"/>
                <w:color w:val="000000"/>
                <w:sz w:val="22"/>
                <w:szCs w:val="22"/>
                <w:lang w:val="en-GB"/>
              </w:rPr>
            </w:pPr>
            <w:r>
              <w:rPr>
                <w:rFonts w:cs="Times New Roman"/>
                <w:color w:val="000000"/>
                <w:sz w:val="22"/>
                <w:szCs w:val="22"/>
                <w:lang w:val="en-GB"/>
              </w:rPr>
              <w:t>-0.0304**</w:t>
            </w:r>
          </w:p>
        </w:tc>
        <w:tc>
          <w:tcPr>
            <w:tcW w:w="1492" w:type="dxa"/>
            <w:tcBorders>
              <w:top w:val="single" w:color="auto" w:sz="8" w:space="0"/>
              <w:left w:val="nil"/>
              <w:bottom w:val="nil"/>
              <w:right w:val="nil"/>
            </w:tcBorders>
            <w:shd w:val="clear" w:color="auto" w:fill="auto"/>
            <w:noWrap/>
            <w:vAlign w:val="center"/>
          </w:tcPr>
          <w:p>
            <w:pPr>
              <w:widowControl/>
              <w:jc w:val="left"/>
              <w:rPr>
                <w:rFonts w:cs="Times New Roman"/>
                <w:color w:val="000000"/>
                <w:sz w:val="22"/>
                <w:szCs w:val="22"/>
                <w:lang w:val="en-GB"/>
              </w:rPr>
            </w:pPr>
            <w:r>
              <w:rPr>
                <w:rFonts w:cs="Times New Roman"/>
                <w:color w:val="000000"/>
                <w:sz w:val="22"/>
                <w:szCs w:val="22"/>
                <w:lang w:val="en-GB"/>
              </w:rPr>
              <w:t>-1.614**</w:t>
            </w:r>
          </w:p>
        </w:tc>
        <w:tc>
          <w:tcPr>
            <w:tcW w:w="222" w:type="dxa"/>
            <w:tcBorders>
              <w:top w:val="single" w:color="auto" w:sz="8" w:space="0"/>
              <w:left w:val="nil"/>
              <w:bottom w:val="nil"/>
              <w:right w:val="nil"/>
            </w:tcBorders>
          </w:tcPr>
          <w:p>
            <w:pPr>
              <w:widowControl/>
              <w:jc w:val="left"/>
              <w:rPr>
                <w:rFonts w:cs="Times New Roman"/>
                <w:color w:val="000000"/>
                <w:sz w:val="22"/>
                <w:szCs w:val="22"/>
                <w:lang w:val="en-GB"/>
              </w:rPr>
            </w:pPr>
          </w:p>
        </w:tc>
        <w:tc>
          <w:tcPr>
            <w:tcW w:w="1830" w:type="dxa"/>
            <w:tcBorders>
              <w:top w:val="single" w:color="auto" w:sz="8" w:space="0"/>
              <w:left w:val="nil"/>
              <w:bottom w:val="nil"/>
              <w:right w:val="nil"/>
            </w:tcBorders>
            <w:shd w:val="clear" w:color="auto" w:fill="auto"/>
            <w:noWrap/>
            <w:vAlign w:val="center"/>
          </w:tcPr>
          <w:p>
            <w:pPr>
              <w:widowControl/>
              <w:jc w:val="left"/>
              <w:rPr>
                <w:rFonts w:cs="Times New Roman"/>
                <w:color w:val="000000"/>
                <w:sz w:val="22"/>
                <w:szCs w:val="22"/>
                <w:lang w:val="en-GB"/>
              </w:rPr>
            </w:pPr>
            <w:r>
              <w:rPr>
                <w:rFonts w:cs="Times New Roman"/>
                <w:color w:val="000000"/>
                <w:sz w:val="22"/>
                <w:szCs w:val="22"/>
                <w:lang w:val="en-GB"/>
              </w:rPr>
              <w:t>-0.493</w:t>
            </w:r>
          </w:p>
        </w:tc>
      </w:tr>
      <w:tr>
        <w:tblPrEx>
          <w:tblCellMar>
            <w:top w:w="0" w:type="dxa"/>
            <w:left w:w="108" w:type="dxa"/>
            <w:bottom w:w="0" w:type="dxa"/>
            <w:right w:w="108" w:type="dxa"/>
          </w:tblCellMar>
        </w:tblPrEx>
        <w:trPr>
          <w:trHeight w:val="397" w:hRule="atLeast"/>
        </w:trPr>
        <w:tc>
          <w:tcPr>
            <w:tcW w:w="2089" w:type="dxa"/>
            <w:tcBorders>
              <w:top w:val="nil"/>
              <w:left w:val="nil"/>
              <w:bottom w:val="single" w:color="auto" w:sz="8" w:space="0"/>
              <w:right w:val="single" w:color="auto" w:sz="8" w:space="0"/>
            </w:tcBorders>
            <w:shd w:val="clear" w:color="auto" w:fill="auto"/>
            <w:noWrap/>
            <w:vAlign w:val="center"/>
          </w:tcPr>
          <w:p>
            <w:pPr>
              <w:widowControl/>
              <w:jc w:val="left"/>
              <w:rPr>
                <w:rFonts w:cs="Times New Roman"/>
                <w:color w:val="000000"/>
                <w:sz w:val="22"/>
                <w:szCs w:val="22"/>
                <w:lang w:val="en-GB"/>
              </w:rPr>
            </w:pPr>
            <w:r>
              <w:rPr>
                <w:rFonts w:cs="Times New Roman"/>
                <w:color w:val="000000"/>
                <w:sz w:val="22"/>
                <w:szCs w:val="22"/>
                <w:lang w:val="en-GB"/>
              </w:rPr>
              <w:t>βi,t: +</w:t>
            </w:r>
          </w:p>
        </w:tc>
        <w:tc>
          <w:tcPr>
            <w:tcW w:w="1631" w:type="dxa"/>
            <w:tcBorders>
              <w:top w:val="nil"/>
              <w:left w:val="single" w:color="auto" w:sz="8" w:space="0"/>
              <w:bottom w:val="single" w:color="auto" w:sz="8" w:space="0"/>
              <w:right w:val="nil"/>
            </w:tcBorders>
            <w:shd w:val="clear" w:color="auto" w:fill="auto"/>
            <w:noWrap/>
            <w:vAlign w:val="center"/>
          </w:tcPr>
          <w:p>
            <w:pPr>
              <w:widowControl/>
              <w:jc w:val="left"/>
              <w:rPr>
                <w:rFonts w:cs="Times New Roman"/>
                <w:color w:val="000000"/>
                <w:sz w:val="22"/>
                <w:szCs w:val="22"/>
                <w:lang w:val="en-GB"/>
              </w:rPr>
            </w:pPr>
            <w:r>
              <w:rPr>
                <w:rFonts w:cs="Times New Roman"/>
                <w:color w:val="000000"/>
                <w:sz w:val="22"/>
                <w:szCs w:val="22"/>
                <w:lang w:val="en-GB"/>
              </w:rPr>
              <w:t>(-0.475)</w:t>
            </w:r>
          </w:p>
        </w:tc>
        <w:tc>
          <w:tcPr>
            <w:tcW w:w="2090" w:type="dxa"/>
            <w:tcBorders>
              <w:top w:val="nil"/>
              <w:left w:val="nil"/>
              <w:bottom w:val="single" w:color="auto" w:sz="8" w:space="0"/>
              <w:right w:val="nil"/>
            </w:tcBorders>
            <w:shd w:val="clear" w:color="auto" w:fill="auto"/>
            <w:noWrap/>
            <w:vAlign w:val="center"/>
          </w:tcPr>
          <w:p>
            <w:pPr>
              <w:widowControl/>
              <w:jc w:val="left"/>
              <w:rPr>
                <w:rFonts w:cs="Times New Roman"/>
                <w:color w:val="000000"/>
                <w:sz w:val="22"/>
                <w:szCs w:val="22"/>
                <w:lang w:val="en-GB"/>
              </w:rPr>
            </w:pPr>
            <w:r>
              <w:rPr>
                <w:rFonts w:cs="Times New Roman"/>
                <w:color w:val="000000"/>
                <w:sz w:val="22"/>
                <w:szCs w:val="22"/>
                <w:lang w:val="en-GB"/>
              </w:rPr>
              <w:t>(-0.0119)</w:t>
            </w:r>
          </w:p>
        </w:tc>
        <w:tc>
          <w:tcPr>
            <w:tcW w:w="1492" w:type="dxa"/>
            <w:tcBorders>
              <w:top w:val="nil"/>
              <w:left w:val="nil"/>
              <w:bottom w:val="single" w:color="auto" w:sz="8" w:space="0"/>
              <w:right w:val="nil"/>
            </w:tcBorders>
            <w:shd w:val="clear" w:color="auto" w:fill="auto"/>
            <w:noWrap/>
            <w:vAlign w:val="center"/>
          </w:tcPr>
          <w:p>
            <w:pPr>
              <w:widowControl/>
              <w:jc w:val="left"/>
              <w:rPr>
                <w:rFonts w:cs="Times New Roman"/>
                <w:color w:val="000000"/>
                <w:sz w:val="22"/>
                <w:szCs w:val="22"/>
                <w:lang w:val="en-GB"/>
              </w:rPr>
            </w:pPr>
            <w:r>
              <w:rPr>
                <w:rFonts w:cs="Times New Roman"/>
                <w:color w:val="000000"/>
                <w:sz w:val="22"/>
                <w:szCs w:val="22"/>
                <w:lang w:val="en-GB"/>
              </w:rPr>
              <w:t>(-0.713)</w:t>
            </w:r>
          </w:p>
        </w:tc>
        <w:tc>
          <w:tcPr>
            <w:tcW w:w="222" w:type="dxa"/>
            <w:tcBorders>
              <w:top w:val="nil"/>
              <w:left w:val="nil"/>
              <w:bottom w:val="single" w:color="auto" w:sz="8" w:space="0"/>
              <w:right w:val="nil"/>
            </w:tcBorders>
          </w:tcPr>
          <w:p>
            <w:pPr>
              <w:widowControl/>
              <w:jc w:val="left"/>
              <w:rPr>
                <w:rFonts w:cs="Times New Roman"/>
                <w:color w:val="000000"/>
                <w:sz w:val="22"/>
                <w:szCs w:val="22"/>
                <w:lang w:val="en-GB"/>
              </w:rPr>
            </w:pPr>
          </w:p>
        </w:tc>
        <w:tc>
          <w:tcPr>
            <w:tcW w:w="1830" w:type="dxa"/>
            <w:tcBorders>
              <w:top w:val="nil"/>
              <w:left w:val="nil"/>
              <w:bottom w:val="single" w:color="auto" w:sz="8" w:space="0"/>
              <w:right w:val="nil"/>
            </w:tcBorders>
            <w:shd w:val="clear" w:color="auto" w:fill="auto"/>
            <w:noWrap/>
            <w:vAlign w:val="center"/>
          </w:tcPr>
          <w:p>
            <w:pPr>
              <w:widowControl/>
              <w:jc w:val="left"/>
              <w:rPr>
                <w:rFonts w:cs="Times New Roman"/>
                <w:color w:val="000000"/>
                <w:sz w:val="22"/>
                <w:szCs w:val="22"/>
                <w:lang w:val="en-GB"/>
              </w:rPr>
            </w:pPr>
            <w:r>
              <w:rPr>
                <w:rFonts w:cs="Times New Roman"/>
                <w:color w:val="000000"/>
                <w:sz w:val="22"/>
                <w:szCs w:val="22"/>
                <w:lang w:val="en-GB"/>
              </w:rPr>
              <w:t>(-0.315)</w:t>
            </w:r>
          </w:p>
        </w:tc>
      </w:tr>
      <w:tr>
        <w:tblPrEx>
          <w:tblCellMar>
            <w:top w:w="0" w:type="dxa"/>
            <w:left w:w="108" w:type="dxa"/>
            <w:bottom w:w="0" w:type="dxa"/>
            <w:right w:w="108" w:type="dxa"/>
          </w:tblCellMar>
        </w:tblPrEx>
        <w:trPr>
          <w:trHeight w:val="397" w:hRule="atLeast"/>
        </w:trPr>
        <w:tc>
          <w:tcPr>
            <w:tcW w:w="2089" w:type="dxa"/>
            <w:tcBorders>
              <w:top w:val="single" w:color="auto" w:sz="8" w:space="0"/>
              <w:left w:val="nil"/>
              <w:bottom w:val="nil"/>
              <w:right w:val="single" w:color="auto" w:sz="8" w:space="0"/>
            </w:tcBorders>
            <w:shd w:val="clear" w:color="auto" w:fill="auto"/>
            <w:noWrap/>
            <w:vAlign w:val="center"/>
          </w:tcPr>
          <w:p>
            <w:pPr>
              <w:widowControl/>
              <w:jc w:val="left"/>
              <w:rPr>
                <w:rFonts w:cs="Times New Roman"/>
                <w:color w:val="000000"/>
                <w:sz w:val="22"/>
                <w:szCs w:val="22"/>
                <w:lang w:val="en-GB"/>
              </w:rPr>
            </w:pPr>
            <w:r>
              <w:rPr>
                <w:rFonts w:cs="Times New Roman"/>
                <w:color w:val="000000"/>
                <w:sz w:val="22"/>
                <w:szCs w:val="22"/>
                <w:lang w:val="en-GB"/>
              </w:rPr>
              <w:t>Liquidity</w:t>
            </w:r>
          </w:p>
        </w:tc>
        <w:tc>
          <w:tcPr>
            <w:tcW w:w="1631" w:type="dxa"/>
            <w:tcBorders>
              <w:top w:val="single" w:color="auto" w:sz="8" w:space="0"/>
              <w:left w:val="single" w:color="auto" w:sz="8" w:space="0"/>
              <w:bottom w:val="nil"/>
              <w:right w:val="nil"/>
            </w:tcBorders>
            <w:shd w:val="clear" w:color="auto" w:fill="auto"/>
            <w:noWrap/>
            <w:vAlign w:val="center"/>
          </w:tcPr>
          <w:p>
            <w:pPr>
              <w:widowControl/>
              <w:jc w:val="left"/>
              <w:rPr>
                <w:rFonts w:cs="Times New Roman"/>
                <w:color w:val="000000"/>
                <w:sz w:val="22"/>
                <w:szCs w:val="22"/>
                <w:lang w:val="en-GB"/>
              </w:rPr>
            </w:pPr>
            <w:r>
              <w:rPr>
                <w:rFonts w:cs="Times New Roman"/>
                <w:color w:val="000000"/>
                <w:sz w:val="22"/>
                <w:szCs w:val="22"/>
                <w:lang w:val="en-GB"/>
              </w:rPr>
              <w:t>0.0603**</w:t>
            </w:r>
          </w:p>
        </w:tc>
        <w:tc>
          <w:tcPr>
            <w:tcW w:w="2090" w:type="dxa"/>
            <w:tcBorders>
              <w:top w:val="single" w:color="auto" w:sz="8" w:space="0"/>
              <w:left w:val="nil"/>
              <w:bottom w:val="nil"/>
              <w:right w:val="nil"/>
            </w:tcBorders>
            <w:shd w:val="clear" w:color="auto" w:fill="auto"/>
            <w:noWrap/>
            <w:vAlign w:val="center"/>
          </w:tcPr>
          <w:p>
            <w:pPr>
              <w:widowControl/>
              <w:jc w:val="left"/>
              <w:rPr>
                <w:rFonts w:cs="Times New Roman"/>
                <w:color w:val="000000"/>
                <w:sz w:val="22"/>
                <w:szCs w:val="22"/>
                <w:lang w:val="en-GB"/>
              </w:rPr>
            </w:pPr>
            <w:r>
              <w:rPr>
                <w:rFonts w:cs="Times New Roman"/>
                <w:color w:val="000000"/>
                <w:sz w:val="22"/>
                <w:szCs w:val="22"/>
                <w:lang w:val="en-GB"/>
              </w:rPr>
              <w:t>-0.00115</w:t>
            </w:r>
          </w:p>
        </w:tc>
        <w:tc>
          <w:tcPr>
            <w:tcW w:w="1492" w:type="dxa"/>
            <w:tcBorders>
              <w:top w:val="single" w:color="auto" w:sz="8" w:space="0"/>
              <w:left w:val="nil"/>
              <w:bottom w:val="nil"/>
              <w:right w:val="nil"/>
            </w:tcBorders>
            <w:shd w:val="clear" w:color="auto" w:fill="auto"/>
            <w:noWrap/>
            <w:vAlign w:val="center"/>
          </w:tcPr>
          <w:p>
            <w:pPr>
              <w:widowControl/>
              <w:jc w:val="left"/>
              <w:rPr>
                <w:rFonts w:cs="Times New Roman"/>
                <w:color w:val="000000"/>
                <w:sz w:val="22"/>
                <w:szCs w:val="22"/>
                <w:lang w:val="en-GB"/>
              </w:rPr>
            </w:pPr>
            <w:r>
              <w:rPr>
                <w:rFonts w:cs="Times New Roman"/>
                <w:color w:val="000000"/>
                <w:sz w:val="22"/>
                <w:szCs w:val="22"/>
                <w:lang w:val="en-GB"/>
              </w:rPr>
              <w:t>0.0184</w:t>
            </w:r>
          </w:p>
        </w:tc>
        <w:tc>
          <w:tcPr>
            <w:tcW w:w="222" w:type="dxa"/>
            <w:tcBorders>
              <w:top w:val="single" w:color="auto" w:sz="8" w:space="0"/>
              <w:left w:val="nil"/>
              <w:bottom w:val="nil"/>
              <w:right w:val="nil"/>
            </w:tcBorders>
          </w:tcPr>
          <w:p>
            <w:pPr>
              <w:widowControl/>
              <w:jc w:val="left"/>
              <w:rPr>
                <w:rFonts w:cs="Times New Roman"/>
                <w:color w:val="000000"/>
                <w:sz w:val="22"/>
                <w:szCs w:val="22"/>
                <w:lang w:val="en-GB"/>
              </w:rPr>
            </w:pPr>
          </w:p>
        </w:tc>
        <w:tc>
          <w:tcPr>
            <w:tcW w:w="1830" w:type="dxa"/>
            <w:tcBorders>
              <w:top w:val="single" w:color="auto" w:sz="8" w:space="0"/>
              <w:left w:val="nil"/>
              <w:bottom w:val="nil"/>
              <w:right w:val="nil"/>
            </w:tcBorders>
            <w:shd w:val="clear" w:color="auto" w:fill="auto"/>
            <w:noWrap/>
            <w:vAlign w:val="center"/>
          </w:tcPr>
          <w:p>
            <w:pPr>
              <w:widowControl/>
              <w:jc w:val="left"/>
              <w:rPr>
                <w:rFonts w:cs="Times New Roman"/>
                <w:color w:val="000000"/>
                <w:sz w:val="22"/>
                <w:szCs w:val="22"/>
                <w:lang w:val="en-GB"/>
              </w:rPr>
            </w:pPr>
            <w:r>
              <w:rPr>
                <w:rFonts w:cs="Times New Roman"/>
                <w:color w:val="000000"/>
                <w:sz w:val="22"/>
                <w:szCs w:val="22"/>
                <w:lang w:val="en-GB"/>
              </w:rPr>
              <w:t>0.0179</w:t>
            </w:r>
          </w:p>
        </w:tc>
      </w:tr>
      <w:tr>
        <w:tblPrEx>
          <w:tblCellMar>
            <w:top w:w="0" w:type="dxa"/>
            <w:left w:w="108" w:type="dxa"/>
            <w:bottom w:w="0" w:type="dxa"/>
            <w:right w:w="108" w:type="dxa"/>
          </w:tblCellMar>
        </w:tblPrEx>
        <w:trPr>
          <w:trHeight w:val="397" w:hRule="atLeast"/>
        </w:trPr>
        <w:tc>
          <w:tcPr>
            <w:tcW w:w="2089" w:type="dxa"/>
            <w:tcBorders>
              <w:top w:val="nil"/>
              <w:left w:val="nil"/>
              <w:bottom w:val="single" w:color="auto" w:sz="8" w:space="0"/>
              <w:right w:val="single" w:color="auto" w:sz="8" w:space="0"/>
            </w:tcBorders>
            <w:shd w:val="clear" w:color="auto" w:fill="auto"/>
            <w:noWrap/>
            <w:vAlign w:val="center"/>
          </w:tcPr>
          <w:p>
            <w:pPr>
              <w:widowControl/>
              <w:jc w:val="left"/>
              <w:rPr>
                <w:rFonts w:cs="Times New Roman"/>
                <w:color w:val="000000"/>
                <w:sz w:val="22"/>
                <w:szCs w:val="22"/>
                <w:lang w:val="en-GB"/>
              </w:rPr>
            </w:pPr>
            <w:r>
              <w:rPr>
                <w:rFonts w:cs="Times New Roman"/>
                <w:color w:val="000000"/>
                <w:sz w:val="22"/>
                <w:szCs w:val="22"/>
                <w:lang w:val="en-GB"/>
              </w:rPr>
              <w:t>* βi,t: -</w:t>
            </w:r>
          </w:p>
        </w:tc>
        <w:tc>
          <w:tcPr>
            <w:tcW w:w="1631" w:type="dxa"/>
            <w:tcBorders>
              <w:top w:val="nil"/>
              <w:left w:val="single" w:color="auto" w:sz="8" w:space="0"/>
              <w:bottom w:val="single" w:color="auto" w:sz="8" w:space="0"/>
              <w:right w:val="nil"/>
            </w:tcBorders>
            <w:shd w:val="clear" w:color="auto" w:fill="auto"/>
            <w:noWrap/>
            <w:vAlign w:val="center"/>
          </w:tcPr>
          <w:p>
            <w:pPr>
              <w:widowControl/>
              <w:jc w:val="left"/>
              <w:rPr>
                <w:rFonts w:cs="Times New Roman"/>
                <w:color w:val="000000"/>
                <w:sz w:val="22"/>
                <w:szCs w:val="22"/>
                <w:lang w:val="en-GB"/>
              </w:rPr>
            </w:pPr>
            <w:r>
              <w:rPr>
                <w:rFonts w:cs="Times New Roman"/>
                <w:color w:val="000000"/>
                <w:sz w:val="22"/>
                <w:szCs w:val="22"/>
                <w:lang w:val="en-GB"/>
              </w:rPr>
              <w:t>(-0.0288)</w:t>
            </w:r>
          </w:p>
        </w:tc>
        <w:tc>
          <w:tcPr>
            <w:tcW w:w="2090" w:type="dxa"/>
            <w:tcBorders>
              <w:top w:val="nil"/>
              <w:left w:val="nil"/>
              <w:bottom w:val="single" w:color="auto" w:sz="8" w:space="0"/>
              <w:right w:val="nil"/>
            </w:tcBorders>
            <w:shd w:val="clear" w:color="auto" w:fill="auto"/>
            <w:noWrap/>
            <w:vAlign w:val="center"/>
          </w:tcPr>
          <w:p>
            <w:pPr>
              <w:widowControl/>
              <w:jc w:val="left"/>
              <w:rPr>
                <w:rFonts w:cs="Times New Roman"/>
                <w:color w:val="000000"/>
                <w:sz w:val="22"/>
                <w:szCs w:val="22"/>
                <w:lang w:val="en-GB"/>
              </w:rPr>
            </w:pPr>
            <w:r>
              <w:rPr>
                <w:rFonts w:cs="Times New Roman"/>
                <w:color w:val="000000"/>
                <w:sz w:val="22"/>
                <w:szCs w:val="22"/>
                <w:lang w:val="en-GB"/>
              </w:rPr>
              <w:t>(-0.000749)</w:t>
            </w:r>
          </w:p>
        </w:tc>
        <w:tc>
          <w:tcPr>
            <w:tcW w:w="1492" w:type="dxa"/>
            <w:tcBorders>
              <w:top w:val="nil"/>
              <w:left w:val="nil"/>
              <w:bottom w:val="single" w:color="auto" w:sz="8" w:space="0"/>
              <w:right w:val="nil"/>
            </w:tcBorders>
            <w:shd w:val="clear" w:color="auto" w:fill="auto"/>
            <w:noWrap/>
            <w:vAlign w:val="center"/>
          </w:tcPr>
          <w:p>
            <w:pPr>
              <w:widowControl/>
              <w:jc w:val="left"/>
              <w:rPr>
                <w:rFonts w:cs="Times New Roman"/>
                <w:color w:val="000000"/>
                <w:sz w:val="22"/>
                <w:szCs w:val="22"/>
                <w:lang w:val="en-GB"/>
              </w:rPr>
            </w:pPr>
            <w:r>
              <w:rPr>
                <w:rFonts w:cs="Times New Roman"/>
                <w:color w:val="000000"/>
                <w:sz w:val="22"/>
                <w:szCs w:val="22"/>
                <w:lang w:val="en-GB"/>
              </w:rPr>
              <w:t>(-0.0571)</w:t>
            </w:r>
          </w:p>
        </w:tc>
        <w:tc>
          <w:tcPr>
            <w:tcW w:w="222" w:type="dxa"/>
            <w:tcBorders>
              <w:top w:val="nil"/>
              <w:left w:val="nil"/>
              <w:bottom w:val="single" w:color="auto" w:sz="8" w:space="0"/>
              <w:right w:val="nil"/>
            </w:tcBorders>
          </w:tcPr>
          <w:p>
            <w:pPr>
              <w:widowControl/>
              <w:jc w:val="left"/>
              <w:rPr>
                <w:rFonts w:cs="Times New Roman"/>
                <w:color w:val="000000"/>
                <w:sz w:val="22"/>
                <w:szCs w:val="22"/>
                <w:lang w:val="en-GB"/>
              </w:rPr>
            </w:pPr>
          </w:p>
        </w:tc>
        <w:tc>
          <w:tcPr>
            <w:tcW w:w="1830" w:type="dxa"/>
            <w:tcBorders>
              <w:top w:val="nil"/>
              <w:left w:val="nil"/>
              <w:bottom w:val="single" w:color="auto" w:sz="8" w:space="0"/>
              <w:right w:val="nil"/>
            </w:tcBorders>
            <w:shd w:val="clear" w:color="auto" w:fill="auto"/>
            <w:noWrap/>
            <w:vAlign w:val="center"/>
          </w:tcPr>
          <w:p>
            <w:pPr>
              <w:widowControl/>
              <w:jc w:val="left"/>
              <w:rPr>
                <w:rFonts w:cs="Times New Roman"/>
                <w:color w:val="000000"/>
                <w:sz w:val="22"/>
                <w:szCs w:val="22"/>
                <w:lang w:val="en-GB"/>
              </w:rPr>
            </w:pPr>
            <w:r>
              <w:rPr>
                <w:rFonts w:cs="Times New Roman"/>
                <w:color w:val="000000"/>
                <w:sz w:val="22"/>
                <w:szCs w:val="22"/>
                <w:lang w:val="en-GB"/>
              </w:rPr>
              <w:t>(-0.0182)</w:t>
            </w:r>
          </w:p>
        </w:tc>
      </w:tr>
      <w:tr>
        <w:tblPrEx>
          <w:tblCellMar>
            <w:top w:w="0" w:type="dxa"/>
            <w:left w:w="108" w:type="dxa"/>
            <w:bottom w:w="0" w:type="dxa"/>
            <w:right w:w="108" w:type="dxa"/>
          </w:tblCellMar>
        </w:tblPrEx>
        <w:trPr>
          <w:trHeight w:val="397" w:hRule="atLeast"/>
        </w:trPr>
        <w:tc>
          <w:tcPr>
            <w:tcW w:w="2089" w:type="dxa"/>
            <w:tcBorders>
              <w:top w:val="single" w:color="auto" w:sz="8" w:space="0"/>
              <w:left w:val="nil"/>
              <w:bottom w:val="nil"/>
              <w:right w:val="single" w:color="auto" w:sz="8" w:space="0"/>
            </w:tcBorders>
            <w:shd w:val="clear" w:color="auto" w:fill="auto"/>
            <w:noWrap/>
            <w:vAlign w:val="center"/>
          </w:tcPr>
          <w:p>
            <w:pPr>
              <w:widowControl/>
              <w:jc w:val="left"/>
              <w:rPr>
                <w:rFonts w:cs="Times New Roman"/>
                <w:color w:val="000000"/>
                <w:sz w:val="22"/>
                <w:szCs w:val="22"/>
                <w:lang w:val="en-GB"/>
              </w:rPr>
            </w:pPr>
            <w:r>
              <w:rPr>
                <w:rFonts w:cs="Times New Roman"/>
                <w:color w:val="000000"/>
                <w:sz w:val="22"/>
                <w:szCs w:val="22"/>
                <w:lang w:val="en-GB"/>
              </w:rPr>
              <w:t>Grow</w:t>
            </w:r>
          </w:p>
        </w:tc>
        <w:tc>
          <w:tcPr>
            <w:tcW w:w="1631" w:type="dxa"/>
            <w:tcBorders>
              <w:top w:val="single" w:color="auto" w:sz="8" w:space="0"/>
              <w:left w:val="single" w:color="auto" w:sz="8" w:space="0"/>
              <w:bottom w:val="nil"/>
              <w:right w:val="nil"/>
            </w:tcBorders>
            <w:shd w:val="clear" w:color="auto" w:fill="auto"/>
            <w:noWrap/>
            <w:vAlign w:val="center"/>
          </w:tcPr>
          <w:p>
            <w:pPr>
              <w:widowControl/>
              <w:jc w:val="left"/>
              <w:rPr>
                <w:rFonts w:cs="Times New Roman"/>
                <w:color w:val="000000"/>
                <w:sz w:val="22"/>
                <w:szCs w:val="22"/>
                <w:lang w:val="en-GB"/>
              </w:rPr>
            </w:pPr>
            <w:r>
              <w:rPr>
                <w:rFonts w:cs="Times New Roman"/>
                <w:color w:val="000000"/>
                <w:sz w:val="22"/>
                <w:szCs w:val="22"/>
                <w:lang w:val="en-GB"/>
              </w:rPr>
              <w:t>0.00000228</w:t>
            </w:r>
          </w:p>
        </w:tc>
        <w:tc>
          <w:tcPr>
            <w:tcW w:w="2090" w:type="dxa"/>
            <w:tcBorders>
              <w:top w:val="single" w:color="auto" w:sz="8" w:space="0"/>
              <w:left w:val="nil"/>
              <w:bottom w:val="nil"/>
              <w:right w:val="nil"/>
            </w:tcBorders>
            <w:shd w:val="clear" w:color="auto" w:fill="auto"/>
            <w:noWrap/>
            <w:vAlign w:val="center"/>
          </w:tcPr>
          <w:p>
            <w:pPr>
              <w:widowControl/>
              <w:jc w:val="left"/>
              <w:rPr>
                <w:rFonts w:cs="Times New Roman"/>
                <w:color w:val="000000"/>
                <w:sz w:val="22"/>
                <w:szCs w:val="22"/>
                <w:lang w:val="en-GB"/>
              </w:rPr>
            </w:pPr>
            <w:r>
              <w:rPr>
                <w:rFonts w:cs="Times New Roman"/>
                <w:color w:val="000000"/>
                <w:sz w:val="22"/>
                <w:szCs w:val="22"/>
                <w:lang w:val="en-GB"/>
              </w:rPr>
              <w:t>0.0000255</w:t>
            </w:r>
          </w:p>
        </w:tc>
        <w:tc>
          <w:tcPr>
            <w:tcW w:w="1492" w:type="dxa"/>
            <w:tcBorders>
              <w:top w:val="single" w:color="auto" w:sz="8" w:space="0"/>
              <w:left w:val="nil"/>
              <w:bottom w:val="nil"/>
              <w:right w:val="nil"/>
            </w:tcBorders>
            <w:shd w:val="clear" w:color="auto" w:fill="auto"/>
            <w:noWrap/>
            <w:vAlign w:val="center"/>
          </w:tcPr>
          <w:p>
            <w:pPr>
              <w:widowControl/>
              <w:jc w:val="left"/>
              <w:rPr>
                <w:rFonts w:cs="Times New Roman"/>
                <w:color w:val="000000"/>
                <w:sz w:val="22"/>
                <w:szCs w:val="22"/>
                <w:lang w:val="en-GB"/>
              </w:rPr>
            </w:pPr>
            <w:r>
              <w:rPr>
                <w:rFonts w:cs="Times New Roman"/>
                <w:color w:val="000000"/>
                <w:sz w:val="22"/>
                <w:szCs w:val="22"/>
                <w:lang w:val="en-GB"/>
              </w:rPr>
              <w:t>0.00139</w:t>
            </w:r>
          </w:p>
        </w:tc>
        <w:tc>
          <w:tcPr>
            <w:tcW w:w="222" w:type="dxa"/>
            <w:tcBorders>
              <w:top w:val="single" w:color="auto" w:sz="8" w:space="0"/>
              <w:left w:val="nil"/>
              <w:bottom w:val="nil"/>
              <w:right w:val="nil"/>
            </w:tcBorders>
          </w:tcPr>
          <w:p>
            <w:pPr>
              <w:widowControl/>
              <w:jc w:val="left"/>
              <w:rPr>
                <w:rFonts w:cs="Times New Roman"/>
                <w:color w:val="000000"/>
                <w:sz w:val="22"/>
                <w:szCs w:val="22"/>
                <w:lang w:val="en-GB"/>
              </w:rPr>
            </w:pPr>
          </w:p>
        </w:tc>
        <w:tc>
          <w:tcPr>
            <w:tcW w:w="1830" w:type="dxa"/>
            <w:tcBorders>
              <w:top w:val="single" w:color="auto" w:sz="8" w:space="0"/>
              <w:left w:val="nil"/>
              <w:bottom w:val="nil"/>
              <w:right w:val="nil"/>
            </w:tcBorders>
            <w:shd w:val="clear" w:color="auto" w:fill="auto"/>
            <w:noWrap/>
            <w:vAlign w:val="center"/>
          </w:tcPr>
          <w:p>
            <w:pPr>
              <w:widowControl/>
              <w:jc w:val="left"/>
              <w:rPr>
                <w:rFonts w:cs="Times New Roman"/>
                <w:color w:val="000000"/>
                <w:sz w:val="22"/>
                <w:szCs w:val="22"/>
                <w:lang w:val="en-GB"/>
              </w:rPr>
            </w:pPr>
            <w:r>
              <w:rPr>
                <w:rFonts w:cs="Times New Roman"/>
                <w:color w:val="000000"/>
                <w:sz w:val="22"/>
                <w:szCs w:val="22"/>
                <w:lang w:val="en-GB"/>
              </w:rPr>
              <w:t>-0.0000901</w:t>
            </w:r>
          </w:p>
        </w:tc>
      </w:tr>
      <w:tr>
        <w:tblPrEx>
          <w:tblCellMar>
            <w:top w:w="0" w:type="dxa"/>
            <w:left w:w="108" w:type="dxa"/>
            <w:bottom w:w="0" w:type="dxa"/>
            <w:right w:w="108" w:type="dxa"/>
          </w:tblCellMar>
        </w:tblPrEx>
        <w:trPr>
          <w:trHeight w:val="397" w:hRule="atLeast"/>
        </w:trPr>
        <w:tc>
          <w:tcPr>
            <w:tcW w:w="2089" w:type="dxa"/>
            <w:tcBorders>
              <w:top w:val="nil"/>
              <w:left w:val="nil"/>
              <w:bottom w:val="single" w:color="auto" w:sz="8" w:space="0"/>
              <w:right w:val="single" w:color="auto" w:sz="8" w:space="0"/>
            </w:tcBorders>
            <w:shd w:val="clear" w:color="auto" w:fill="auto"/>
            <w:noWrap/>
            <w:vAlign w:val="center"/>
          </w:tcPr>
          <w:p>
            <w:pPr>
              <w:widowControl/>
              <w:jc w:val="left"/>
              <w:rPr>
                <w:rFonts w:cs="Times New Roman"/>
                <w:color w:val="000000"/>
                <w:sz w:val="22"/>
                <w:szCs w:val="22"/>
                <w:lang w:val="en-GB"/>
              </w:rPr>
            </w:pPr>
            <w:r>
              <w:rPr>
                <w:rFonts w:cs="Times New Roman"/>
                <w:color w:val="000000"/>
                <w:sz w:val="22"/>
                <w:szCs w:val="22"/>
                <w:lang w:val="en-GB"/>
              </w:rPr>
              <w:t>βi,t: +</w:t>
            </w:r>
          </w:p>
        </w:tc>
        <w:tc>
          <w:tcPr>
            <w:tcW w:w="1631" w:type="dxa"/>
            <w:tcBorders>
              <w:top w:val="nil"/>
              <w:left w:val="single" w:color="auto" w:sz="8" w:space="0"/>
              <w:bottom w:val="single" w:color="auto" w:sz="8" w:space="0"/>
              <w:right w:val="nil"/>
            </w:tcBorders>
            <w:shd w:val="clear" w:color="auto" w:fill="auto"/>
            <w:noWrap/>
            <w:vAlign w:val="center"/>
          </w:tcPr>
          <w:p>
            <w:pPr>
              <w:widowControl/>
              <w:jc w:val="left"/>
              <w:rPr>
                <w:rFonts w:cs="Times New Roman"/>
                <w:color w:val="000000"/>
                <w:sz w:val="22"/>
                <w:szCs w:val="22"/>
                <w:lang w:val="en-GB"/>
              </w:rPr>
            </w:pPr>
            <w:r>
              <w:rPr>
                <w:rFonts w:cs="Times New Roman"/>
                <w:color w:val="000000"/>
                <w:sz w:val="22"/>
                <w:szCs w:val="22"/>
                <w:lang w:val="en-GB"/>
              </w:rPr>
              <w:t>(-0.0009)</w:t>
            </w:r>
          </w:p>
        </w:tc>
        <w:tc>
          <w:tcPr>
            <w:tcW w:w="2090" w:type="dxa"/>
            <w:tcBorders>
              <w:top w:val="nil"/>
              <w:left w:val="nil"/>
              <w:bottom w:val="single" w:color="auto" w:sz="8" w:space="0"/>
              <w:right w:val="nil"/>
            </w:tcBorders>
            <w:shd w:val="clear" w:color="auto" w:fill="auto"/>
            <w:noWrap/>
            <w:vAlign w:val="center"/>
          </w:tcPr>
          <w:p>
            <w:pPr>
              <w:widowControl/>
              <w:jc w:val="left"/>
              <w:rPr>
                <w:rFonts w:cs="Times New Roman"/>
                <w:color w:val="000000"/>
                <w:sz w:val="22"/>
                <w:szCs w:val="22"/>
                <w:lang w:val="en-GB"/>
              </w:rPr>
            </w:pPr>
            <w:r>
              <w:rPr>
                <w:rFonts w:cs="Times New Roman"/>
                <w:color w:val="000000"/>
                <w:sz w:val="22"/>
                <w:szCs w:val="22"/>
                <w:lang w:val="en-GB"/>
              </w:rPr>
              <w:t>(-0.0000259)</w:t>
            </w:r>
          </w:p>
        </w:tc>
        <w:tc>
          <w:tcPr>
            <w:tcW w:w="1492" w:type="dxa"/>
            <w:tcBorders>
              <w:top w:val="nil"/>
              <w:left w:val="nil"/>
              <w:bottom w:val="single" w:color="auto" w:sz="8" w:space="0"/>
              <w:right w:val="nil"/>
            </w:tcBorders>
            <w:shd w:val="clear" w:color="auto" w:fill="auto"/>
            <w:noWrap/>
            <w:vAlign w:val="center"/>
          </w:tcPr>
          <w:p>
            <w:pPr>
              <w:widowControl/>
              <w:jc w:val="left"/>
              <w:rPr>
                <w:rFonts w:cs="Times New Roman"/>
                <w:color w:val="000000"/>
                <w:sz w:val="22"/>
                <w:szCs w:val="22"/>
                <w:lang w:val="en-GB"/>
              </w:rPr>
            </w:pPr>
            <w:r>
              <w:rPr>
                <w:rFonts w:cs="Times New Roman"/>
                <w:color w:val="000000"/>
                <w:sz w:val="22"/>
                <w:szCs w:val="22"/>
                <w:lang w:val="en-GB"/>
              </w:rPr>
              <w:t>(-0.00172)</w:t>
            </w:r>
          </w:p>
        </w:tc>
        <w:tc>
          <w:tcPr>
            <w:tcW w:w="222" w:type="dxa"/>
            <w:tcBorders>
              <w:top w:val="nil"/>
              <w:left w:val="nil"/>
              <w:bottom w:val="single" w:color="auto" w:sz="8" w:space="0"/>
              <w:right w:val="nil"/>
            </w:tcBorders>
          </w:tcPr>
          <w:p>
            <w:pPr>
              <w:widowControl/>
              <w:jc w:val="left"/>
              <w:rPr>
                <w:rFonts w:cs="Times New Roman"/>
                <w:color w:val="000000"/>
                <w:sz w:val="22"/>
                <w:szCs w:val="22"/>
                <w:lang w:val="en-GB"/>
              </w:rPr>
            </w:pPr>
          </w:p>
        </w:tc>
        <w:tc>
          <w:tcPr>
            <w:tcW w:w="1830" w:type="dxa"/>
            <w:tcBorders>
              <w:top w:val="nil"/>
              <w:left w:val="nil"/>
              <w:bottom w:val="single" w:color="auto" w:sz="8" w:space="0"/>
              <w:right w:val="nil"/>
            </w:tcBorders>
            <w:shd w:val="clear" w:color="auto" w:fill="auto"/>
            <w:noWrap/>
            <w:vAlign w:val="center"/>
          </w:tcPr>
          <w:p>
            <w:pPr>
              <w:widowControl/>
              <w:jc w:val="left"/>
              <w:rPr>
                <w:rFonts w:cs="Times New Roman"/>
                <w:color w:val="000000"/>
                <w:sz w:val="22"/>
                <w:szCs w:val="22"/>
                <w:lang w:val="en-GB"/>
              </w:rPr>
            </w:pPr>
            <w:r>
              <w:rPr>
                <w:rFonts w:cs="Times New Roman"/>
                <w:color w:val="000000"/>
                <w:sz w:val="22"/>
                <w:szCs w:val="22"/>
                <w:lang w:val="en-GB"/>
              </w:rPr>
              <w:t>(-0.000625)</w:t>
            </w:r>
          </w:p>
        </w:tc>
      </w:tr>
      <w:tr>
        <w:tblPrEx>
          <w:tblCellMar>
            <w:top w:w="0" w:type="dxa"/>
            <w:left w:w="108" w:type="dxa"/>
            <w:bottom w:w="0" w:type="dxa"/>
            <w:right w:w="108" w:type="dxa"/>
          </w:tblCellMar>
        </w:tblPrEx>
        <w:trPr>
          <w:trHeight w:val="397" w:hRule="atLeast"/>
        </w:trPr>
        <w:tc>
          <w:tcPr>
            <w:tcW w:w="2089" w:type="dxa"/>
            <w:tcBorders>
              <w:top w:val="single" w:color="auto" w:sz="8" w:space="0"/>
              <w:left w:val="nil"/>
              <w:bottom w:val="nil"/>
              <w:right w:val="single" w:color="auto" w:sz="8" w:space="0"/>
            </w:tcBorders>
            <w:shd w:val="clear" w:color="auto" w:fill="auto"/>
            <w:noWrap/>
            <w:vAlign w:val="center"/>
          </w:tcPr>
          <w:p>
            <w:pPr>
              <w:widowControl/>
              <w:jc w:val="left"/>
              <w:rPr>
                <w:rFonts w:cs="Times New Roman"/>
                <w:color w:val="000000"/>
                <w:sz w:val="22"/>
                <w:szCs w:val="22"/>
                <w:lang w:val="en-GB"/>
              </w:rPr>
            </w:pPr>
            <w:r>
              <w:rPr>
                <w:rFonts w:cs="Times New Roman"/>
                <w:color w:val="000000"/>
                <w:sz w:val="22"/>
                <w:szCs w:val="22"/>
                <w:lang w:val="en-GB"/>
              </w:rPr>
              <w:t>Tax</w:t>
            </w:r>
          </w:p>
        </w:tc>
        <w:tc>
          <w:tcPr>
            <w:tcW w:w="1631" w:type="dxa"/>
            <w:tcBorders>
              <w:top w:val="single" w:color="auto" w:sz="8" w:space="0"/>
              <w:left w:val="single" w:color="auto" w:sz="8" w:space="0"/>
              <w:bottom w:val="nil"/>
              <w:right w:val="nil"/>
            </w:tcBorders>
            <w:shd w:val="clear" w:color="auto" w:fill="auto"/>
            <w:noWrap/>
            <w:vAlign w:val="center"/>
          </w:tcPr>
          <w:p>
            <w:pPr>
              <w:widowControl/>
              <w:jc w:val="left"/>
              <w:rPr>
                <w:rFonts w:cs="Times New Roman"/>
                <w:color w:val="000000"/>
                <w:sz w:val="22"/>
                <w:szCs w:val="22"/>
                <w:lang w:val="en-GB"/>
              </w:rPr>
            </w:pPr>
            <w:r>
              <w:rPr>
                <w:rFonts w:cs="Times New Roman"/>
                <w:color w:val="000000"/>
                <w:sz w:val="22"/>
                <w:szCs w:val="22"/>
                <w:lang w:val="en-GB"/>
              </w:rPr>
              <w:t>0.0691</w:t>
            </w:r>
          </w:p>
        </w:tc>
        <w:tc>
          <w:tcPr>
            <w:tcW w:w="2090" w:type="dxa"/>
            <w:tcBorders>
              <w:top w:val="single" w:color="auto" w:sz="8" w:space="0"/>
              <w:left w:val="nil"/>
              <w:bottom w:val="nil"/>
              <w:right w:val="nil"/>
            </w:tcBorders>
            <w:shd w:val="clear" w:color="auto" w:fill="auto"/>
            <w:noWrap/>
            <w:vAlign w:val="center"/>
          </w:tcPr>
          <w:p>
            <w:pPr>
              <w:widowControl/>
              <w:jc w:val="left"/>
              <w:rPr>
                <w:rFonts w:cs="Times New Roman"/>
                <w:color w:val="000000"/>
                <w:sz w:val="22"/>
                <w:szCs w:val="22"/>
                <w:lang w:val="en-GB"/>
              </w:rPr>
            </w:pPr>
            <w:r>
              <w:rPr>
                <w:rFonts w:cs="Times New Roman"/>
                <w:color w:val="000000"/>
                <w:sz w:val="22"/>
                <w:szCs w:val="22"/>
                <w:lang w:val="en-GB"/>
              </w:rPr>
              <w:t>0.00319</w:t>
            </w:r>
          </w:p>
        </w:tc>
        <w:tc>
          <w:tcPr>
            <w:tcW w:w="1492" w:type="dxa"/>
            <w:tcBorders>
              <w:top w:val="single" w:color="auto" w:sz="8" w:space="0"/>
              <w:left w:val="nil"/>
              <w:bottom w:val="nil"/>
              <w:right w:val="nil"/>
            </w:tcBorders>
            <w:shd w:val="clear" w:color="auto" w:fill="auto"/>
            <w:noWrap/>
            <w:vAlign w:val="center"/>
          </w:tcPr>
          <w:p>
            <w:pPr>
              <w:widowControl/>
              <w:jc w:val="left"/>
              <w:rPr>
                <w:rFonts w:cs="Times New Roman"/>
                <w:color w:val="000000"/>
                <w:sz w:val="22"/>
                <w:szCs w:val="22"/>
                <w:lang w:val="en-GB"/>
              </w:rPr>
            </w:pPr>
            <w:r>
              <w:rPr>
                <w:rFonts w:cs="Times New Roman"/>
                <w:color w:val="000000"/>
                <w:sz w:val="22"/>
                <w:szCs w:val="22"/>
                <w:lang w:val="en-GB"/>
              </w:rPr>
              <w:t>0.379</w:t>
            </w:r>
          </w:p>
        </w:tc>
        <w:tc>
          <w:tcPr>
            <w:tcW w:w="222" w:type="dxa"/>
            <w:tcBorders>
              <w:top w:val="single" w:color="auto" w:sz="8" w:space="0"/>
              <w:left w:val="nil"/>
              <w:bottom w:val="nil"/>
              <w:right w:val="nil"/>
            </w:tcBorders>
          </w:tcPr>
          <w:p>
            <w:pPr>
              <w:widowControl/>
              <w:jc w:val="left"/>
              <w:rPr>
                <w:rFonts w:cs="Times New Roman"/>
                <w:color w:val="000000"/>
                <w:sz w:val="22"/>
                <w:szCs w:val="22"/>
                <w:lang w:val="en-GB"/>
              </w:rPr>
            </w:pPr>
          </w:p>
        </w:tc>
        <w:tc>
          <w:tcPr>
            <w:tcW w:w="1830" w:type="dxa"/>
            <w:tcBorders>
              <w:top w:val="single" w:color="auto" w:sz="8" w:space="0"/>
              <w:left w:val="nil"/>
              <w:bottom w:val="nil"/>
              <w:right w:val="nil"/>
            </w:tcBorders>
            <w:shd w:val="clear" w:color="auto" w:fill="auto"/>
            <w:noWrap/>
            <w:vAlign w:val="center"/>
          </w:tcPr>
          <w:p>
            <w:pPr>
              <w:widowControl/>
              <w:jc w:val="left"/>
              <w:rPr>
                <w:rFonts w:cs="Times New Roman"/>
                <w:color w:val="000000"/>
                <w:sz w:val="22"/>
                <w:szCs w:val="22"/>
                <w:lang w:val="en-GB"/>
              </w:rPr>
            </w:pPr>
            <w:r>
              <w:rPr>
                <w:rFonts w:cs="Times New Roman"/>
                <w:color w:val="000000"/>
                <w:sz w:val="22"/>
                <w:szCs w:val="22"/>
                <w:lang w:val="en-GB"/>
              </w:rPr>
              <w:t>-0.013</w:t>
            </w:r>
          </w:p>
        </w:tc>
      </w:tr>
      <w:tr>
        <w:tblPrEx>
          <w:tblCellMar>
            <w:top w:w="0" w:type="dxa"/>
            <w:left w:w="108" w:type="dxa"/>
            <w:bottom w:w="0" w:type="dxa"/>
            <w:right w:w="108" w:type="dxa"/>
          </w:tblCellMar>
        </w:tblPrEx>
        <w:trPr>
          <w:trHeight w:val="397" w:hRule="atLeast"/>
        </w:trPr>
        <w:tc>
          <w:tcPr>
            <w:tcW w:w="2089" w:type="dxa"/>
            <w:tcBorders>
              <w:top w:val="nil"/>
              <w:left w:val="nil"/>
              <w:bottom w:val="single" w:color="auto" w:sz="8" w:space="0"/>
              <w:right w:val="single" w:color="auto" w:sz="8" w:space="0"/>
            </w:tcBorders>
            <w:shd w:val="clear" w:color="auto" w:fill="auto"/>
            <w:noWrap/>
            <w:vAlign w:val="center"/>
          </w:tcPr>
          <w:p>
            <w:pPr>
              <w:widowControl/>
              <w:jc w:val="left"/>
              <w:rPr>
                <w:rFonts w:cs="Times New Roman"/>
                <w:color w:val="000000"/>
                <w:sz w:val="22"/>
                <w:szCs w:val="22"/>
                <w:lang w:val="en-GB"/>
              </w:rPr>
            </w:pPr>
            <w:r>
              <w:rPr>
                <w:rFonts w:cs="Times New Roman"/>
                <w:color w:val="000000"/>
                <w:sz w:val="22"/>
                <w:szCs w:val="22"/>
                <w:lang w:val="en-GB"/>
              </w:rPr>
              <w:t>* βi,t: +</w:t>
            </w:r>
          </w:p>
        </w:tc>
        <w:tc>
          <w:tcPr>
            <w:tcW w:w="1631" w:type="dxa"/>
            <w:tcBorders>
              <w:top w:val="nil"/>
              <w:left w:val="single" w:color="auto" w:sz="8" w:space="0"/>
              <w:bottom w:val="single" w:color="auto" w:sz="8" w:space="0"/>
              <w:right w:val="nil"/>
            </w:tcBorders>
            <w:shd w:val="clear" w:color="auto" w:fill="auto"/>
            <w:noWrap/>
            <w:vAlign w:val="center"/>
          </w:tcPr>
          <w:p>
            <w:pPr>
              <w:widowControl/>
              <w:jc w:val="left"/>
              <w:rPr>
                <w:rFonts w:cs="Times New Roman"/>
                <w:color w:val="000000"/>
                <w:sz w:val="22"/>
                <w:szCs w:val="22"/>
                <w:lang w:val="en-GB"/>
              </w:rPr>
            </w:pPr>
            <w:r>
              <w:rPr>
                <w:rFonts w:cs="Times New Roman"/>
                <w:color w:val="000000"/>
                <w:sz w:val="22"/>
                <w:szCs w:val="22"/>
                <w:lang w:val="en-GB"/>
              </w:rPr>
              <w:t>(-0.115)</w:t>
            </w:r>
          </w:p>
        </w:tc>
        <w:tc>
          <w:tcPr>
            <w:tcW w:w="2090" w:type="dxa"/>
            <w:tcBorders>
              <w:top w:val="nil"/>
              <w:left w:val="nil"/>
              <w:bottom w:val="single" w:color="auto" w:sz="8" w:space="0"/>
              <w:right w:val="nil"/>
            </w:tcBorders>
            <w:shd w:val="clear" w:color="auto" w:fill="auto"/>
            <w:noWrap/>
            <w:vAlign w:val="center"/>
          </w:tcPr>
          <w:p>
            <w:pPr>
              <w:widowControl/>
              <w:jc w:val="left"/>
              <w:rPr>
                <w:rFonts w:cs="Times New Roman"/>
                <w:color w:val="000000"/>
                <w:sz w:val="22"/>
                <w:szCs w:val="22"/>
                <w:lang w:val="en-GB"/>
              </w:rPr>
            </w:pPr>
            <w:r>
              <w:rPr>
                <w:rFonts w:cs="Times New Roman"/>
                <w:color w:val="000000"/>
                <w:sz w:val="22"/>
                <w:szCs w:val="22"/>
                <w:lang w:val="en-GB"/>
              </w:rPr>
              <w:t>(-0.00225)</w:t>
            </w:r>
          </w:p>
        </w:tc>
        <w:tc>
          <w:tcPr>
            <w:tcW w:w="1492" w:type="dxa"/>
            <w:tcBorders>
              <w:top w:val="nil"/>
              <w:left w:val="nil"/>
              <w:bottom w:val="single" w:color="auto" w:sz="8" w:space="0"/>
              <w:right w:val="nil"/>
            </w:tcBorders>
            <w:shd w:val="clear" w:color="auto" w:fill="auto"/>
            <w:noWrap/>
            <w:vAlign w:val="center"/>
          </w:tcPr>
          <w:p>
            <w:pPr>
              <w:widowControl/>
              <w:jc w:val="left"/>
              <w:rPr>
                <w:rFonts w:cs="Times New Roman"/>
                <w:color w:val="000000"/>
                <w:sz w:val="22"/>
                <w:szCs w:val="22"/>
                <w:lang w:val="en-GB"/>
              </w:rPr>
            </w:pPr>
            <w:r>
              <w:rPr>
                <w:rFonts w:cs="Times New Roman"/>
                <w:color w:val="000000"/>
                <w:sz w:val="22"/>
                <w:szCs w:val="22"/>
                <w:lang w:val="en-GB"/>
              </w:rPr>
              <w:t>(-0.231)</w:t>
            </w:r>
          </w:p>
        </w:tc>
        <w:tc>
          <w:tcPr>
            <w:tcW w:w="222" w:type="dxa"/>
            <w:tcBorders>
              <w:top w:val="nil"/>
              <w:left w:val="nil"/>
              <w:bottom w:val="single" w:color="auto" w:sz="8" w:space="0"/>
              <w:right w:val="nil"/>
            </w:tcBorders>
          </w:tcPr>
          <w:p>
            <w:pPr>
              <w:widowControl/>
              <w:jc w:val="left"/>
              <w:rPr>
                <w:rFonts w:cs="Times New Roman"/>
                <w:color w:val="000000"/>
                <w:sz w:val="22"/>
                <w:szCs w:val="22"/>
                <w:lang w:val="en-GB"/>
              </w:rPr>
            </w:pPr>
          </w:p>
        </w:tc>
        <w:tc>
          <w:tcPr>
            <w:tcW w:w="1830" w:type="dxa"/>
            <w:tcBorders>
              <w:top w:val="nil"/>
              <w:left w:val="nil"/>
              <w:bottom w:val="single" w:color="auto" w:sz="8" w:space="0"/>
              <w:right w:val="nil"/>
            </w:tcBorders>
            <w:shd w:val="clear" w:color="auto" w:fill="auto"/>
            <w:noWrap/>
            <w:vAlign w:val="center"/>
          </w:tcPr>
          <w:p>
            <w:pPr>
              <w:widowControl/>
              <w:jc w:val="left"/>
              <w:rPr>
                <w:rFonts w:cs="Times New Roman"/>
                <w:color w:val="000000"/>
                <w:sz w:val="22"/>
                <w:szCs w:val="22"/>
                <w:lang w:val="en-GB"/>
              </w:rPr>
            </w:pPr>
            <w:r>
              <w:rPr>
                <w:rFonts w:cs="Times New Roman"/>
                <w:color w:val="000000"/>
                <w:sz w:val="22"/>
                <w:szCs w:val="22"/>
                <w:lang w:val="en-GB"/>
              </w:rPr>
              <w:t>(-0.0642)</w:t>
            </w:r>
          </w:p>
        </w:tc>
      </w:tr>
      <w:tr>
        <w:tblPrEx>
          <w:tblCellMar>
            <w:top w:w="0" w:type="dxa"/>
            <w:left w:w="108" w:type="dxa"/>
            <w:bottom w:w="0" w:type="dxa"/>
            <w:right w:w="108" w:type="dxa"/>
          </w:tblCellMar>
        </w:tblPrEx>
        <w:trPr>
          <w:trHeight w:val="397" w:hRule="atLeast"/>
        </w:trPr>
        <w:tc>
          <w:tcPr>
            <w:tcW w:w="2089" w:type="dxa"/>
            <w:tcBorders>
              <w:top w:val="single" w:color="auto" w:sz="8" w:space="0"/>
              <w:left w:val="nil"/>
              <w:bottom w:val="nil"/>
              <w:right w:val="single" w:color="auto" w:sz="8" w:space="0"/>
            </w:tcBorders>
            <w:shd w:val="clear" w:color="auto" w:fill="auto"/>
            <w:noWrap/>
            <w:vAlign w:val="center"/>
          </w:tcPr>
          <w:p>
            <w:pPr>
              <w:widowControl/>
              <w:jc w:val="left"/>
              <w:rPr>
                <w:rFonts w:cs="Times New Roman"/>
                <w:color w:val="000000"/>
                <w:sz w:val="22"/>
                <w:szCs w:val="22"/>
                <w:lang w:val="en-GB"/>
              </w:rPr>
            </w:pPr>
            <w:r>
              <w:rPr>
                <w:rFonts w:cs="Times New Roman"/>
                <w:color w:val="000000"/>
                <w:sz w:val="22"/>
                <w:szCs w:val="22"/>
                <w:lang w:val="en-GB"/>
              </w:rPr>
              <w:t>Industry</w:t>
            </w:r>
          </w:p>
        </w:tc>
        <w:tc>
          <w:tcPr>
            <w:tcW w:w="1631" w:type="dxa"/>
            <w:tcBorders>
              <w:top w:val="single" w:color="auto" w:sz="8" w:space="0"/>
              <w:left w:val="single" w:color="auto" w:sz="8" w:space="0"/>
              <w:bottom w:val="nil"/>
              <w:right w:val="nil"/>
            </w:tcBorders>
            <w:shd w:val="clear" w:color="auto" w:fill="auto"/>
            <w:noWrap/>
            <w:vAlign w:val="center"/>
          </w:tcPr>
          <w:p>
            <w:pPr>
              <w:widowControl/>
              <w:jc w:val="left"/>
              <w:rPr>
                <w:rFonts w:cs="Times New Roman"/>
                <w:color w:val="000000"/>
                <w:sz w:val="22"/>
                <w:szCs w:val="22"/>
                <w:lang w:val="en-GB"/>
              </w:rPr>
            </w:pPr>
            <w:r>
              <w:rPr>
                <w:rFonts w:cs="Times New Roman"/>
                <w:color w:val="000000"/>
                <w:sz w:val="22"/>
                <w:szCs w:val="22"/>
                <w:lang w:val="en-GB"/>
              </w:rPr>
              <w:t>-0.0101</w:t>
            </w:r>
          </w:p>
        </w:tc>
        <w:tc>
          <w:tcPr>
            <w:tcW w:w="2090" w:type="dxa"/>
            <w:tcBorders>
              <w:top w:val="single" w:color="auto" w:sz="8" w:space="0"/>
              <w:left w:val="nil"/>
              <w:bottom w:val="nil"/>
              <w:right w:val="nil"/>
            </w:tcBorders>
            <w:shd w:val="clear" w:color="auto" w:fill="auto"/>
            <w:noWrap/>
            <w:vAlign w:val="center"/>
          </w:tcPr>
          <w:p>
            <w:pPr>
              <w:widowControl/>
              <w:jc w:val="left"/>
              <w:rPr>
                <w:rFonts w:cs="Times New Roman"/>
                <w:color w:val="000000"/>
                <w:sz w:val="22"/>
                <w:szCs w:val="22"/>
                <w:lang w:val="en-GB"/>
              </w:rPr>
            </w:pPr>
            <w:r>
              <w:rPr>
                <w:rFonts w:cs="Times New Roman"/>
                <w:color w:val="000000"/>
                <w:sz w:val="22"/>
                <w:szCs w:val="22"/>
                <w:lang w:val="en-GB"/>
              </w:rPr>
              <w:t>0.000597</w:t>
            </w:r>
          </w:p>
        </w:tc>
        <w:tc>
          <w:tcPr>
            <w:tcW w:w="1492" w:type="dxa"/>
            <w:tcBorders>
              <w:top w:val="single" w:color="auto" w:sz="8" w:space="0"/>
              <w:left w:val="nil"/>
              <w:bottom w:val="nil"/>
              <w:right w:val="nil"/>
            </w:tcBorders>
            <w:shd w:val="clear" w:color="auto" w:fill="auto"/>
            <w:noWrap/>
            <w:vAlign w:val="center"/>
          </w:tcPr>
          <w:p>
            <w:pPr>
              <w:widowControl/>
              <w:jc w:val="left"/>
              <w:rPr>
                <w:rFonts w:cs="Times New Roman"/>
                <w:color w:val="000000"/>
                <w:sz w:val="22"/>
                <w:szCs w:val="22"/>
                <w:lang w:val="en-GB"/>
              </w:rPr>
            </w:pPr>
            <w:r>
              <w:rPr>
                <w:rFonts w:cs="Times New Roman"/>
                <w:color w:val="000000"/>
                <w:sz w:val="22"/>
                <w:szCs w:val="22"/>
                <w:lang w:val="en-GB"/>
              </w:rPr>
              <w:t>-0.00827</w:t>
            </w:r>
          </w:p>
        </w:tc>
        <w:tc>
          <w:tcPr>
            <w:tcW w:w="222" w:type="dxa"/>
            <w:tcBorders>
              <w:top w:val="single" w:color="auto" w:sz="8" w:space="0"/>
              <w:left w:val="nil"/>
              <w:bottom w:val="nil"/>
              <w:right w:val="nil"/>
            </w:tcBorders>
          </w:tcPr>
          <w:p>
            <w:pPr>
              <w:widowControl/>
              <w:jc w:val="left"/>
              <w:rPr>
                <w:rFonts w:cs="Times New Roman"/>
                <w:color w:val="000000"/>
                <w:sz w:val="22"/>
                <w:szCs w:val="22"/>
                <w:lang w:val="en-GB"/>
              </w:rPr>
            </w:pPr>
          </w:p>
        </w:tc>
        <w:tc>
          <w:tcPr>
            <w:tcW w:w="1830" w:type="dxa"/>
            <w:tcBorders>
              <w:top w:val="single" w:color="auto" w:sz="8" w:space="0"/>
              <w:left w:val="nil"/>
              <w:bottom w:val="nil"/>
              <w:right w:val="nil"/>
            </w:tcBorders>
            <w:shd w:val="clear" w:color="auto" w:fill="auto"/>
            <w:noWrap/>
            <w:vAlign w:val="center"/>
          </w:tcPr>
          <w:p>
            <w:pPr>
              <w:widowControl/>
              <w:jc w:val="left"/>
              <w:rPr>
                <w:rFonts w:cs="Times New Roman"/>
                <w:color w:val="000000"/>
                <w:sz w:val="22"/>
                <w:szCs w:val="22"/>
                <w:lang w:val="en-GB"/>
              </w:rPr>
            </w:pPr>
            <w:r>
              <w:rPr>
                <w:rFonts w:cs="Times New Roman"/>
                <w:color w:val="000000"/>
                <w:sz w:val="22"/>
                <w:szCs w:val="22"/>
                <w:lang w:val="en-GB"/>
              </w:rPr>
              <w:t>0.00831</w:t>
            </w:r>
          </w:p>
        </w:tc>
      </w:tr>
      <w:tr>
        <w:tblPrEx>
          <w:tblCellMar>
            <w:top w:w="0" w:type="dxa"/>
            <w:left w:w="108" w:type="dxa"/>
            <w:bottom w:w="0" w:type="dxa"/>
            <w:right w:w="108" w:type="dxa"/>
          </w:tblCellMar>
        </w:tblPrEx>
        <w:trPr>
          <w:trHeight w:val="397" w:hRule="atLeast"/>
        </w:trPr>
        <w:tc>
          <w:tcPr>
            <w:tcW w:w="2089" w:type="dxa"/>
            <w:tcBorders>
              <w:top w:val="nil"/>
              <w:left w:val="nil"/>
              <w:bottom w:val="single" w:color="auto" w:sz="8" w:space="0"/>
              <w:right w:val="single" w:color="auto" w:sz="8" w:space="0"/>
            </w:tcBorders>
            <w:shd w:val="clear" w:color="auto" w:fill="auto"/>
            <w:noWrap/>
            <w:vAlign w:val="center"/>
          </w:tcPr>
          <w:p>
            <w:pPr>
              <w:widowControl/>
              <w:jc w:val="left"/>
              <w:rPr>
                <w:rFonts w:cs="Times New Roman"/>
                <w:color w:val="000000"/>
                <w:sz w:val="22"/>
                <w:szCs w:val="22"/>
                <w:lang w:val="en-GB"/>
              </w:rPr>
            </w:pPr>
            <w:r>
              <w:rPr>
                <w:rFonts w:cs="Times New Roman"/>
                <w:color w:val="000000"/>
                <w:sz w:val="22"/>
                <w:szCs w:val="22"/>
                <w:lang w:val="en-GB"/>
              </w:rPr>
              <w:t>* βi,t: +</w:t>
            </w:r>
          </w:p>
        </w:tc>
        <w:tc>
          <w:tcPr>
            <w:tcW w:w="1631" w:type="dxa"/>
            <w:tcBorders>
              <w:top w:val="nil"/>
              <w:left w:val="single" w:color="auto" w:sz="8" w:space="0"/>
              <w:bottom w:val="single" w:color="auto" w:sz="8" w:space="0"/>
              <w:right w:val="nil"/>
            </w:tcBorders>
            <w:shd w:val="clear" w:color="auto" w:fill="auto"/>
            <w:noWrap/>
            <w:vAlign w:val="center"/>
          </w:tcPr>
          <w:p>
            <w:pPr>
              <w:widowControl/>
              <w:jc w:val="left"/>
              <w:rPr>
                <w:rFonts w:cs="Times New Roman"/>
                <w:color w:val="000000"/>
                <w:sz w:val="22"/>
                <w:szCs w:val="22"/>
                <w:lang w:val="en-GB"/>
              </w:rPr>
            </w:pPr>
            <w:r>
              <w:rPr>
                <w:rFonts w:cs="Times New Roman"/>
                <w:color w:val="000000"/>
                <w:sz w:val="22"/>
                <w:szCs w:val="22"/>
                <w:lang w:val="en-GB"/>
              </w:rPr>
              <w:t>(-0.0174)</w:t>
            </w:r>
          </w:p>
        </w:tc>
        <w:tc>
          <w:tcPr>
            <w:tcW w:w="2090" w:type="dxa"/>
            <w:tcBorders>
              <w:top w:val="nil"/>
              <w:left w:val="nil"/>
              <w:bottom w:val="single" w:color="auto" w:sz="8" w:space="0"/>
              <w:right w:val="nil"/>
            </w:tcBorders>
            <w:shd w:val="clear" w:color="auto" w:fill="auto"/>
            <w:noWrap/>
            <w:vAlign w:val="center"/>
          </w:tcPr>
          <w:p>
            <w:pPr>
              <w:widowControl/>
              <w:jc w:val="left"/>
              <w:rPr>
                <w:rFonts w:cs="Times New Roman"/>
                <w:color w:val="000000"/>
                <w:sz w:val="22"/>
                <w:szCs w:val="22"/>
                <w:lang w:val="en-GB"/>
              </w:rPr>
            </w:pPr>
            <w:r>
              <w:rPr>
                <w:rFonts w:cs="Times New Roman"/>
                <w:color w:val="000000"/>
                <w:sz w:val="22"/>
                <w:szCs w:val="22"/>
                <w:lang w:val="en-GB"/>
              </w:rPr>
              <w:t>(-0.000415)</w:t>
            </w:r>
          </w:p>
        </w:tc>
        <w:tc>
          <w:tcPr>
            <w:tcW w:w="1492" w:type="dxa"/>
            <w:tcBorders>
              <w:top w:val="nil"/>
              <w:left w:val="nil"/>
              <w:bottom w:val="single" w:color="auto" w:sz="8" w:space="0"/>
              <w:right w:val="nil"/>
            </w:tcBorders>
            <w:shd w:val="clear" w:color="auto" w:fill="auto"/>
            <w:noWrap/>
            <w:vAlign w:val="center"/>
          </w:tcPr>
          <w:p>
            <w:pPr>
              <w:widowControl/>
              <w:jc w:val="left"/>
              <w:rPr>
                <w:rFonts w:cs="Times New Roman"/>
                <w:color w:val="000000"/>
                <w:sz w:val="22"/>
                <w:szCs w:val="22"/>
                <w:lang w:val="en-GB"/>
              </w:rPr>
            </w:pPr>
            <w:r>
              <w:rPr>
                <w:rFonts w:cs="Times New Roman"/>
                <w:color w:val="000000"/>
                <w:sz w:val="22"/>
                <w:szCs w:val="22"/>
                <w:lang w:val="en-GB"/>
              </w:rPr>
              <w:t>(-0.0267)</w:t>
            </w:r>
          </w:p>
        </w:tc>
        <w:tc>
          <w:tcPr>
            <w:tcW w:w="222" w:type="dxa"/>
            <w:tcBorders>
              <w:top w:val="nil"/>
              <w:left w:val="nil"/>
              <w:bottom w:val="single" w:color="auto" w:sz="8" w:space="0"/>
              <w:right w:val="nil"/>
            </w:tcBorders>
          </w:tcPr>
          <w:p>
            <w:pPr>
              <w:widowControl/>
              <w:jc w:val="left"/>
              <w:rPr>
                <w:rFonts w:cs="Times New Roman"/>
                <w:color w:val="000000"/>
                <w:sz w:val="22"/>
                <w:szCs w:val="22"/>
                <w:lang w:val="en-GB"/>
              </w:rPr>
            </w:pPr>
          </w:p>
        </w:tc>
        <w:tc>
          <w:tcPr>
            <w:tcW w:w="1830" w:type="dxa"/>
            <w:tcBorders>
              <w:top w:val="nil"/>
              <w:left w:val="nil"/>
              <w:bottom w:val="single" w:color="auto" w:sz="8" w:space="0"/>
              <w:right w:val="nil"/>
            </w:tcBorders>
            <w:shd w:val="clear" w:color="auto" w:fill="auto"/>
            <w:noWrap/>
            <w:vAlign w:val="center"/>
          </w:tcPr>
          <w:p>
            <w:pPr>
              <w:widowControl/>
              <w:jc w:val="left"/>
              <w:rPr>
                <w:rFonts w:cs="Times New Roman"/>
                <w:color w:val="000000"/>
                <w:sz w:val="22"/>
                <w:szCs w:val="22"/>
                <w:lang w:val="en-GB"/>
              </w:rPr>
            </w:pPr>
            <w:r>
              <w:rPr>
                <w:rFonts w:cs="Times New Roman"/>
                <w:color w:val="000000"/>
                <w:sz w:val="22"/>
                <w:szCs w:val="22"/>
                <w:lang w:val="en-GB"/>
              </w:rPr>
              <w:t>(-0.0123)</w:t>
            </w:r>
          </w:p>
        </w:tc>
      </w:tr>
      <w:tr>
        <w:tblPrEx>
          <w:tblCellMar>
            <w:top w:w="0" w:type="dxa"/>
            <w:left w:w="108" w:type="dxa"/>
            <w:bottom w:w="0" w:type="dxa"/>
            <w:right w:w="108" w:type="dxa"/>
          </w:tblCellMar>
        </w:tblPrEx>
        <w:trPr>
          <w:trHeight w:val="397" w:hRule="atLeast"/>
        </w:trPr>
        <w:tc>
          <w:tcPr>
            <w:tcW w:w="2089" w:type="dxa"/>
            <w:tcBorders>
              <w:top w:val="single" w:color="auto" w:sz="8" w:space="0"/>
              <w:left w:val="nil"/>
              <w:bottom w:val="single" w:color="auto" w:sz="8" w:space="0"/>
              <w:right w:val="single" w:color="auto" w:sz="8" w:space="0"/>
            </w:tcBorders>
            <w:shd w:val="clear" w:color="auto" w:fill="auto"/>
            <w:noWrap/>
            <w:vAlign w:val="center"/>
          </w:tcPr>
          <w:p>
            <w:pPr>
              <w:widowControl/>
              <w:jc w:val="left"/>
              <w:rPr>
                <w:rFonts w:cs="Times New Roman"/>
                <w:color w:val="000000"/>
                <w:sz w:val="22"/>
                <w:szCs w:val="22"/>
                <w:lang w:val="en-GB"/>
              </w:rPr>
            </w:pPr>
            <w:r>
              <w:rPr>
                <w:rFonts w:cs="Times New Roman"/>
                <w:color w:val="000000"/>
                <w:sz w:val="22"/>
                <w:szCs w:val="22"/>
                <w:lang w:val="en-GB"/>
              </w:rPr>
              <w:t>R-sq</w:t>
            </w:r>
          </w:p>
        </w:tc>
        <w:tc>
          <w:tcPr>
            <w:tcW w:w="1631" w:type="dxa"/>
            <w:tcBorders>
              <w:top w:val="single" w:color="auto" w:sz="8" w:space="0"/>
              <w:left w:val="single" w:color="auto" w:sz="8" w:space="0"/>
              <w:bottom w:val="single" w:color="auto" w:sz="8" w:space="0"/>
              <w:right w:val="nil"/>
            </w:tcBorders>
            <w:shd w:val="clear" w:color="auto" w:fill="auto"/>
            <w:noWrap/>
            <w:vAlign w:val="center"/>
          </w:tcPr>
          <w:p>
            <w:pPr>
              <w:widowControl/>
              <w:jc w:val="left"/>
              <w:rPr>
                <w:rFonts w:cs="Times New Roman"/>
                <w:color w:val="000000"/>
                <w:sz w:val="22"/>
                <w:szCs w:val="22"/>
                <w:lang w:val="en-GB"/>
              </w:rPr>
            </w:pPr>
            <w:r>
              <w:rPr>
                <w:rFonts w:cs="Times New Roman"/>
                <w:color w:val="000000"/>
                <w:sz w:val="22"/>
                <w:szCs w:val="22"/>
                <w:lang w:val="en-GB"/>
              </w:rPr>
              <w:t>0.2136</w:t>
            </w:r>
          </w:p>
        </w:tc>
        <w:tc>
          <w:tcPr>
            <w:tcW w:w="2090" w:type="dxa"/>
            <w:tcBorders>
              <w:top w:val="single" w:color="auto" w:sz="8" w:space="0"/>
              <w:left w:val="nil"/>
              <w:bottom w:val="single" w:color="auto" w:sz="8" w:space="0"/>
              <w:right w:val="nil"/>
            </w:tcBorders>
            <w:shd w:val="clear" w:color="auto" w:fill="auto"/>
            <w:noWrap/>
            <w:vAlign w:val="center"/>
          </w:tcPr>
          <w:p>
            <w:pPr>
              <w:widowControl/>
              <w:jc w:val="left"/>
              <w:rPr>
                <w:rFonts w:cs="Times New Roman"/>
                <w:color w:val="000000"/>
                <w:sz w:val="22"/>
                <w:szCs w:val="22"/>
                <w:lang w:val="en-GB"/>
              </w:rPr>
            </w:pPr>
            <w:r>
              <w:rPr>
                <w:rFonts w:cs="Times New Roman"/>
                <w:color w:val="000000"/>
                <w:sz w:val="22"/>
                <w:szCs w:val="22"/>
                <w:lang w:val="en-GB"/>
              </w:rPr>
              <w:t>0.2088</w:t>
            </w:r>
          </w:p>
        </w:tc>
        <w:tc>
          <w:tcPr>
            <w:tcW w:w="1492" w:type="dxa"/>
            <w:tcBorders>
              <w:top w:val="single" w:color="auto" w:sz="8" w:space="0"/>
              <w:left w:val="nil"/>
              <w:bottom w:val="single" w:color="auto" w:sz="8" w:space="0"/>
              <w:right w:val="nil"/>
            </w:tcBorders>
            <w:shd w:val="clear" w:color="auto" w:fill="auto"/>
            <w:noWrap/>
            <w:vAlign w:val="center"/>
          </w:tcPr>
          <w:p>
            <w:pPr>
              <w:widowControl/>
              <w:jc w:val="left"/>
              <w:rPr>
                <w:rFonts w:cs="Times New Roman"/>
                <w:color w:val="000000"/>
                <w:sz w:val="22"/>
                <w:szCs w:val="22"/>
                <w:lang w:val="en-GB"/>
              </w:rPr>
            </w:pPr>
            <w:r>
              <w:rPr>
                <w:rFonts w:cs="Times New Roman"/>
                <w:color w:val="000000"/>
                <w:sz w:val="22"/>
                <w:szCs w:val="22"/>
                <w:lang w:val="en-GB"/>
              </w:rPr>
              <w:t>0.2037</w:t>
            </w:r>
          </w:p>
        </w:tc>
        <w:tc>
          <w:tcPr>
            <w:tcW w:w="222" w:type="dxa"/>
            <w:tcBorders>
              <w:top w:val="single" w:color="auto" w:sz="8" w:space="0"/>
              <w:left w:val="nil"/>
              <w:bottom w:val="single" w:color="auto" w:sz="8" w:space="0"/>
              <w:right w:val="nil"/>
            </w:tcBorders>
          </w:tcPr>
          <w:p>
            <w:pPr>
              <w:widowControl/>
              <w:jc w:val="left"/>
              <w:rPr>
                <w:rFonts w:cs="Times New Roman"/>
                <w:color w:val="000000"/>
                <w:sz w:val="22"/>
                <w:szCs w:val="22"/>
                <w:lang w:val="en-GB"/>
              </w:rPr>
            </w:pPr>
          </w:p>
        </w:tc>
        <w:tc>
          <w:tcPr>
            <w:tcW w:w="1830" w:type="dxa"/>
            <w:tcBorders>
              <w:top w:val="single" w:color="auto" w:sz="8" w:space="0"/>
              <w:left w:val="nil"/>
              <w:bottom w:val="single" w:color="auto" w:sz="8" w:space="0"/>
              <w:right w:val="nil"/>
            </w:tcBorders>
            <w:shd w:val="clear" w:color="auto" w:fill="auto"/>
            <w:noWrap/>
            <w:vAlign w:val="center"/>
          </w:tcPr>
          <w:p>
            <w:pPr>
              <w:widowControl/>
              <w:jc w:val="left"/>
              <w:rPr>
                <w:rFonts w:cs="Times New Roman"/>
                <w:color w:val="000000"/>
                <w:sz w:val="22"/>
                <w:szCs w:val="22"/>
                <w:lang w:val="en-GB"/>
              </w:rPr>
            </w:pPr>
            <w:r>
              <w:rPr>
                <w:rFonts w:cs="Times New Roman"/>
                <w:color w:val="000000"/>
                <w:sz w:val="22"/>
                <w:szCs w:val="22"/>
                <w:lang w:val="en-GB"/>
              </w:rPr>
              <w:t>0.2089</w:t>
            </w:r>
          </w:p>
        </w:tc>
      </w:tr>
      <w:tr>
        <w:tblPrEx>
          <w:tblCellMar>
            <w:top w:w="0" w:type="dxa"/>
            <w:left w:w="108" w:type="dxa"/>
            <w:bottom w:w="0" w:type="dxa"/>
            <w:right w:w="108" w:type="dxa"/>
          </w:tblCellMar>
        </w:tblPrEx>
        <w:trPr>
          <w:trHeight w:val="397" w:hRule="atLeast"/>
        </w:trPr>
        <w:tc>
          <w:tcPr>
            <w:tcW w:w="2089" w:type="dxa"/>
            <w:tcBorders>
              <w:top w:val="single" w:color="auto" w:sz="8" w:space="0"/>
              <w:left w:val="nil"/>
              <w:bottom w:val="single" w:color="auto" w:sz="12" w:space="0"/>
              <w:right w:val="single" w:color="auto" w:sz="8" w:space="0"/>
            </w:tcBorders>
            <w:shd w:val="clear" w:color="auto" w:fill="auto"/>
            <w:noWrap/>
            <w:vAlign w:val="center"/>
          </w:tcPr>
          <w:p>
            <w:pPr>
              <w:widowControl/>
              <w:jc w:val="left"/>
              <w:rPr>
                <w:rFonts w:cs="Times New Roman"/>
                <w:color w:val="000000"/>
                <w:sz w:val="22"/>
                <w:szCs w:val="22"/>
                <w:lang w:val="en-GB"/>
              </w:rPr>
            </w:pPr>
            <w:r>
              <w:rPr>
                <w:rFonts w:cs="Times New Roman"/>
                <w:color w:val="000000"/>
                <w:sz w:val="22"/>
                <w:szCs w:val="22"/>
                <w:lang w:val="en-GB"/>
              </w:rPr>
              <w:t>Company number</w:t>
            </w:r>
          </w:p>
        </w:tc>
        <w:tc>
          <w:tcPr>
            <w:tcW w:w="1631" w:type="dxa"/>
            <w:tcBorders>
              <w:top w:val="single" w:color="auto" w:sz="8" w:space="0"/>
              <w:left w:val="single" w:color="auto" w:sz="8" w:space="0"/>
              <w:bottom w:val="single" w:color="auto" w:sz="12" w:space="0"/>
              <w:right w:val="nil"/>
            </w:tcBorders>
            <w:shd w:val="clear" w:color="auto" w:fill="auto"/>
            <w:noWrap/>
            <w:vAlign w:val="center"/>
          </w:tcPr>
          <w:p>
            <w:pPr>
              <w:widowControl/>
              <w:jc w:val="left"/>
              <w:rPr>
                <w:rFonts w:cs="Times New Roman"/>
                <w:color w:val="000000"/>
                <w:sz w:val="22"/>
                <w:szCs w:val="22"/>
                <w:lang w:val="en-GB"/>
              </w:rPr>
            </w:pPr>
            <w:r>
              <w:rPr>
                <w:rFonts w:cs="Times New Roman"/>
                <w:color w:val="000000"/>
                <w:sz w:val="22"/>
                <w:szCs w:val="22"/>
                <w:lang w:val="en-GB"/>
              </w:rPr>
              <w:t>758</w:t>
            </w:r>
          </w:p>
        </w:tc>
        <w:tc>
          <w:tcPr>
            <w:tcW w:w="2090" w:type="dxa"/>
            <w:tcBorders>
              <w:top w:val="single" w:color="auto" w:sz="8" w:space="0"/>
              <w:left w:val="nil"/>
              <w:bottom w:val="single" w:color="auto" w:sz="12" w:space="0"/>
              <w:right w:val="nil"/>
            </w:tcBorders>
            <w:shd w:val="clear" w:color="auto" w:fill="auto"/>
            <w:noWrap/>
            <w:vAlign w:val="center"/>
          </w:tcPr>
          <w:p>
            <w:pPr>
              <w:widowControl/>
              <w:jc w:val="left"/>
              <w:rPr>
                <w:rFonts w:cs="Times New Roman"/>
                <w:color w:val="000000"/>
                <w:sz w:val="22"/>
                <w:szCs w:val="22"/>
                <w:lang w:val="en-GB"/>
              </w:rPr>
            </w:pPr>
            <w:r>
              <w:rPr>
                <w:rFonts w:cs="Times New Roman"/>
                <w:color w:val="000000"/>
                <w:sz w:val="22"/>
                <w:szCs w:val="22"/>
                <w:lang w:val="en-GB"/>
              </w:rPr>
              <w:t>758</w:t>
            </w:r>
          </w:p>
        </w:tc>
        <w:tc>
          <w:tcPr>
            <w:tcW w:w="1492" w:type="dxa"/>
            <w:tcBorders>
              <w:top w:val="single" w:color="auto" w:sz="8" w:space="0"/>
              <w:left w:val="nil"/>
              <w:bottom w:val="single" w:color="auto" w:sz="12" w:space="0"/>
              <w:right w:val="nil"/>
            </w:tcBorders>
            <w:shd w:val="clear" w:color="auto" w:fill="auto"/>
            <w:noWrap/>
            <w:vAlign w:val="center"/>
          </w:tcPr>
          <w:p>
            <w:pPr>
              <w:widowControl/>
              <w:jc w:val="left"/>
              <w:rPr>
                <w:rFonts w:cs="Times New Roman"/>
                <w:color w:val="000000"/>
                <w:sz w:val="22"/>
                <w:szCs w:val="22"/>
                <w:lang w:val="en-GB"/>
              </w:rPr>
            </w:pPr>
            <w:r>
              <w:rPr>
                <w:rFonts w:cs="Times New Roman"/>
                <w:color w:val="000000"/>
                <w:sz w:val="22"/>
                <w:szCs w:val="22"/>
                <w:lang w:val="en-GB"/>
              </w:rPr>
              <w:t>758</w:t>
            </w:r>
          </w:p>
        </w:tc>
        <w:tc>
          <w:tcPr>
            <w:tcW w:w="222" w:type="dxa"/>
            <w:tcBorders>
              <w:top w:val="single" w:color="auto" w:sz="8" w:space="0"/>
              <w:left w:val="nil"/>
              <w:bottom w:val="single" w:color="auto" w:sz="12" w:space="0"/>
              <w:right w:val="nil"/>
            </w:tcBorders>
          </w:tcPr>
          <w:p>
            <w:pPr>
              <w:widowControl/>
              <w:jc w:val="left"/>
              <w:rPr>
                <w:rFonts w:cs="Times New Roman"/>
                <w:color w:val="000000"/>
                <w:sz w:val="22"/>
                <w:szCs w:val="22"/>
                <w:lang w:val="en-GB"/>
              </w:rPr>
            </w:pPr>
          </w:p>
        </w:tc>
        <w:tc>
          <w:tcPr>
            <w:tcW w:w="1830" w:type="dxa"/>
            <w:tcBorders>
              <w:top w:val="single" w:color="auto" w:sz="8" w:space="0"/>
              <w:left w:val="nil"/>
              <w:bottom w:val="single" w:color="auto" w:sz="12" w:space="0"/>
              <w:right w:val="nil"/>
            </w:tcBorders>
            <w:shd w:val="clear" w:color="auto" w:fill="auto"/>
            <w:noWrap/>
            <w:vAlign w:val="center"/>
          </w:tcPr>
          <w:p>
            <w:pPr>
              <w:widowControl/>
              <w:jc w:val="left"/>
              <w:rPr>
                <w:rFonts w:cs="Times New Roman"/>
                <w:color w:val="000000"/>
                <w:sz w:val="22"/>
                <w:szCs w:val="22"/>
                <w:lang w:val="en-GB"/>
              </w:rPr>
            </w:pPr>
            <w:r>
              <w:rPr>
                <w:rFonts w:cs="Times New Roman"/>
                <w:color w:val="000000"/>
                <w:sz w:val="22"/>
                <w:szCs w:val="22"/>
                <w:lang w:val="en-GB"/>
              </w:rPr>
              <w:t>758</w:t>
            </w:r>
          </w:p>
        </w:tc>
      </w:tr>
    </w:tbl>
    <w:p>
      <w:pPr>
        <w:spacing w:line="360" w:lineRule="auto"/>
        <w:contextualSpacing/>
        <w:jc w:val="left"/>
        <w:rPr>
          <w:rFonts w:cs="Times New Roman"/>
          <w:lang w:val="en-GB"/>
        </w:rPr>
      </w:pPr>
      <w:bookmarkStart w:id="1" w:name="_Toc8551285"/>
      <w:r>
        <w:rPr>
          <w:rFonts w:cs="Times New Roman"/>
          <w:lang w:val="en-GB"/>
        </w:rPr>
        <w:t>Note: The standard deviations of the sample statistics are shown in parentheses. *p&lt;0.1, **p&lt;0.05, ***p&lt;0.01.</w:t>
      </w:r>
    </w:p>
    <w:bookmarkEnd w:id="1"/>
    <w:p>
      <w:pPr>
        <w:pStyle w:val="4"/>
        <w:spacing w:before="0" w:after="0" w:line="360" w:lineRule="auto"/>
        <w:contextualSpacing/>
        <w:jc w:val="left"/>
        <w:rPr>
          <w:szCs w:val="24"/>
          <w:lang w:val="en-GB"/>
        </w:rPr>
      </w:pPr>
    </w:p>
    <w:p>
      <w:pPr>
        <w:pStyle w:val="4"/>
        <w:spacing w:before="0" w:after="0" w:line="360" w:lineRule="auto"/>
        <w:contextualSpacing/>
        <w:jc w:val="left"/>
        <w:rPr>
          <w:i/>
          <w:szCs w:val="24"/>
          <w:lang w:val="en-GB"/>
        </w:rPr>
      </w:pPr>
      <w:r>
        <w:rPr>
          <w:i/>
          <w:szCs w:val="24"/>
          <w:lang w:val="en-GB"/>
        </w:rPr>
        <w:t>5.2.3 Robustness test</w:t>
      </w:r>
    </w:p>
    <w:p>
      <w:pPr>
        <w:spacing w:line="360" w:lineRule="auto"/>
        <w:ind w:firstLine="720"/>
        <w:contextualSpacing/>
        <w:jc w:val="left"/>
        <w:rPr>
          <w:rFonts w:hint="eastAsia" w:eastAsia="宋体" w:cs="Times New Roman"/>
          <w:lang w:val="en-US" w:eastAsia="zh-CN"/>
        </w:rPr>
      </w:pPr>
      <w:r>
        <w:rPr>
          <w:rFonts w:cs="Times New Roman"/>
          <w:lang w:val="en-GB"/>
        </w:rPr>
        <w:t>The endogeneity of this model mainly comes from the interaction and mutual influence between the leverage ratio of non-financial enterprises in the greater bay area and explanatory variables at the enterprise level. To eliminate the ability of the leverage ratio to explain the micro-level variables, this paper selects the lag period of the leverage ratio and the explanatory variables at the micro level of enterprises in the current period for regression. The regression results, shown in the following table, are basically consistent with the empirical test results above, supporting the robustness of the results.</w:t>
      </w:r>
      <w:r>
        <w:rPr>
          <w:rFonts w:hint="eastAsia" w:cs="Times New Roman"/>
          <w:lang w:val="en-US" w:eastAsia="zh-CN"/>
        </w:rPr>
        <w:t xml:space="preserve"> The </w:t>
      </w:r>
      <w:r>
        <w:rPr>
          <w:rFonts w:hint="eastAsia" w:cs="Times New Roman"/>
          <w:lang w:eastAsia="zh-CN"/>
        </w:rPr>
        <w:t>r</w:t>
      </w:r>
      <w:r>
        <w:rPr>
          <w:rFonts w:hint="eastAsia" w:cs="Times New Roman"/>
        </w:rPr>
        <w:t>egression results of instrumental variables</w:t>
      </w:r>
      <w:r>
        <w:rPr>
          <w:rFonts w:hint="eastAsia" w:ascii="Times New Roman" w:hAnsi="Times New Roman" w:cs="Times New Roman"/>
        </w:rPr>
        <w:t xml:space="preserve">are shown in </w:t>
      </w:r>
      <w:r>
        <w:rPr>
          <w:rFonts w:hint="eastAsia" w:ascii="Times New Roman" w:hAnsi="Times New Roman" w:cs="Times New Roman"/>
          <w:color w:val="00B0F0"/>
        </w:rPr>
        <w:t xml:space="preserve">Table </w:t>
      </w:r>
      <w:r>
        <w:rPr>
          <w:rFonts w:hint="eastAsia" w:cs="Times New Roman"/>
          <w:color w:val="00B0F0"/>
          <w:lang w:val="en-US" w:eastAsia="zh-CN"/>
        </w:rPr>
        <w:t>7</w:t>
      </w:r>
      <w:r>
        <w:rPr>
          <w:rFonts w:hint="eastAsia" w:ascii="Times New Roman" w:hAnsi="Times New Roman" w:cs="Times New Roman"/>
        </w:rPr>
        <w:t>.</w:t>
      </w:r>
    </w:p>
    <w:p>
      <w:pPr>
        <w:spacing w:line="360" w:lineRule="auto"/>
        <w:contextualSpacing/>
        <w:jc w:val="left"/>
        <w:rPr>
          <w:rFonts w:eastAsia="黑体" w:cs="Times New Roman"/>
          <w:lang w:val="en-GB"/>
        </w:rPr>
      </w:pPr>
      <w:r>
        <w:rPr>
          <w:rFonts w:eastAsia="黑体" w:cs="Times New Roman"/>
          <w:b/>
          <w:lang w:val="en-GB"/>
        </w:rPr>
        <w:t>Table 11.</w:t>
      </w:r>
      <w:r>
        <w:rPr>
          <w:rFonts w:eastAsia="黑体" w:cs="Times New Roman"/>
          <w:lang w:val="en-GB"/>
        </w:rPr>
        <w:t xml:space="preserve"> Regression results of instrumental variables</w:t>
      </w:r>
    </w:p>
    <w:tbl>
      <w:tblPr>
        <w:tblStyle w:val="14"/>
        <w:tblW w:w="5000" w:type="pct"/>
        <w:tblInd w:w="0" w:type="dxa"/>
        <w:tblLayout w:type="autofit"/>
        <w:tblCellMar>
          <w:top w:w="0" w:type="dxa"/>
          <w:left w:w="108" w:type="dxa"/>
          <w:bottom w:w="0" w:type="dxa"/>
          <w:right w:w="108" w:type="dxa"/>
        </w:tblCellMar>
      </w:tblPr>
      <w:tblGrid>
        <w:gridCol w:w="2060"/>
        <w:gridCol w:w="1428"/>
        <w:gridCol w:w="1428"/>
        <w:gridCol w:w="1661"/>
        <w:gridCol w:w="1428"/>
        <w:gridCol w:w="1571"/>
      </w:tblGrid>
      <w:tr>
        <w:tblPrEx>
          <w:tblCellMar>
            <w:top w:w="0" w:type="dxa"/>
            <w:left w:w="108" w:type="dxa"/>
            <w:bottom w:w="0" w:type="dxa"/>
            <w:right w:w="108" w:type="dxa"/>
          </w:tblCellMar>
        </w:tblPrEx>
        <w:trPr>
          <w:trHeight w:val="397" w:hRule="atLeast"/>
        </w:trPr>
        <w:tc>
          <w:tcPr>
            <w:tcW w:w="2062" w:type="dxa"/>
            <w:tcBorders>
              <w:top w:val="single" w:color="auto" w:sz="12" w:space="0"/>
              <w:left w:val="nil"/>
              <w:bottom w:val="single" w:color="auto" w:sz="8" w:space="0"/>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　</w:t>
            </w:r>
          </w:p>
        </w:tc>
        <w:tc>
          <w:tcPr>
            <w:tcW w:w="1430" w:type="dxa"/>
            <w:tcBorders>
              <w:top w:val="single" w:color="auto" w:sz="12" w:space="0"/>
              <w:left w:val="single" w:color="auto" w:sz="8" w:space="0"/>
              <w:bottom w:val="single" w:color="auto" w:sz="8" w:space="0"/>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Total sample</w:t>
            </w:r>
          </w:p>
        </w:tc>
        <w:tc>
          <w:tcPr>
            <w:tcW w:w="1430" w:type="dxa"/>
            <w:tcBorders>
              <w:top w:val="single" w:color="auto" w:sz="12" w:space="0"/>
              <w:left w:val="single" w:color="auto" w:sz="8" w:space="0"/>
              <w:bottom w:val="single" w:color="auto" w:sz="8" w:space="0"/>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State-owned enterprises</w:t>
            </w:r>
          </w:p>
        </w:tc>
        <w:tc>
          <w:tcPr>
            <w:tcW w:w="1430" w:type="dxa"/>
            <w:tcBorders>
              <w:top w:val="single" w:color="auto" w:sz="12" w:space="0"/>
              <w:left w:val="single" w:color="auto" w:sz="8" w:space="0"/>
              <w:bottom w:val="single" w:color="auto" w:sz="8" w:space="0"/>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Non-state-owned enterprises</w:t>
            </w:r>
          </w:p>
        </w:tc>
        <w:tc>
          <w:tcPr>
            <w:tcW w:w="1430" w:type="dxa"/>
            <w:tcBorders>
              <w:top w:val="single" w:color="auto" w:sz="12" w:space="0"/>
              <w:left w:val="single" w:color="auto" w:sz="8" w:space="0"/>
              <w:bottom w:val="single" w:color="auto" w:sz="8" w:space="0"/>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sz w:val="21"/>
                <w:szCs w:val="21"/>
                <w:lang w:val="en-GB"/>
              </w:rPr>
              <w:t>Enterprises with high leverage ratio</w:t>
            </w:r>
          </w:p>
        </w:tc>
        <w:tc>
          <w:tcPr>
            <w:tcW w:w="1572" w:type="dxa"/>
            <w:tcBorders>
              <w:top w:val="single" w:color="auto" w:sz="12" w:space="0"/>
              <w:left w:val="single" w:color="auto" w:sz="8" w:space="0"/>
              <w:bottom w:val="single" w:color="auto" w:sz="8" w:space="0"/>
              <w:right w:val="nil"/>
            </w:tcBorders>
            <w:shd w:val="clear" w:color="auto" w:fill="auto"/>
            <w:noWrap/>
            <w:vAlign w:val="center"/>
          </w:tcPr>
          <w:p>
            <w:pPr>
              <w:widowControl/>
              <w:jc w:val="left"/>
              <w:rPr>
                <w:rFonts w:cs="Times New Roman"/>
                <w:color w:val="000000"/>
                <w:sz w:val="21"/>
                <w:szCs w:val="21"/>
                <w:lang w:val="en-GB"/>
              </w:rPr>
            </w:pPr>
            <w:r>
              <w:rPr>
                <w:rFonts w:cs="Times New Roman"/>
                <w:sz w:val="21"/>
                <w:szCs w:val="21"/>
                <w:lang w:val="en-GB"/>
              </w:rPr>
              <w:t>Enterprises with low leverage ratio</w:t>
            </w:r>
          </w:p>
        </w:tc>
      </w:tr>
      <w:tr>
        <w:tblPrEx>
          <w:tblCellMar>
            <w:top w:w="0" w:type="dxa"/>
            <w:left w:w="108" w:type="dxa"/>
            <w:bottom w:w="0" w:type="dxa"/>
            <w:right w:w="108" w:type="dxa"/>
          </w:tblCellMar>
        </w:tblPrEx>
        <w:trPr>
          <w:trHeight w:val="397" w:hRule="atLeast"/>
        </w:trPr>
        <w:tc>
          <w:tcPr>
            <w:tcW w:w="2062" w:type="dxa"/>
            <w:vMerge w:val="restart"/>
            <w:tcBorders>
              <w:top w:val="single" w:color="auto" w:sz="8" w:space="0"/>
              <w:left w:val="nil"/>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ROA</w:t>
            </w:r>
          </w:p>
        </w:tc>
        <w:tc>
          <w:tcPr>
            <w:tcW w:w="1430" w:type="dxa"/>
            <w:tcBorders>
              <w:top w:val="single" w:color="auto" w:sz="8" w:space="0"/>
              <w:left w:val="single" w:color="auto" w:sz="8" w:space="0"/>
              <w:bottom w:val="nil"/>
              <w:right w:val="single" w:color="auto" w:sz="8" w:space="0"/>
            </w:tcBorders>
            <w:shd w:val="clear" w:color="auto" w:fill="auto"/>
            <w:noWrap/>
            <w:vAlign w:val="center"/>
          </w:tcPr>
          <w:p>
            <w:pPr>
              <w:widowControl/>
              <w:jc w:val="left"/>
              <w:rPr>
                <w:rFonts w:eastAsia="黑体" w:cs="Times New Roman"/>
                <w:color w:val="000000"/>
                <w:sz w:val="21"/>
                <w:szCs w:val="21"/>
                <w:lang w:val="en-GB"/>
              </w:rPr>
            </w:pPr>
            <w:r>
              <w:rPr>
                <w:rFonts w:eastAsia="黑体" w:cs="Times New Roman"/>
                <w:color w:val="000000"/>
                <w:sz w:val="21"/>
                <w:szCs w:val="21"/>
                <w:lang w:val="en-GB"/>
              </w:rPr>
              <w:t>-0.447***</w:t>
            </w:r>
          </w:p>
        </w:tc>
        <w:tc>
          <w:tcPr>
            <w:tcW w:w="1430" w:type="dxa"/>
            <w:tcBorders>
              <w:top w:val="single" w:color="auto" w:sz="8" w:space="0"/>
              <w:left w:val="single" w:color="auto" w:sz="8" w:space="0"/>
              <w:bottom w:val="nil"/>
              <w:right w:val="single" w:color="auto" w:sz="8" w:space="0"/>
            </w:tcBorders>
            <w:shd w:val="clear" w:color="auto" w:fill="auto"/>
            <w:noWrap/>
            <w:vAlign w:val="center"/>
          </w:tcPr>
          <w:p>
            <w:pPr>
              <w:widowControl/>
              <w:jc w:val="left"/>
              <w:rPr>
                <w:rFonts w:eastAsia="黑体" w:cs="Times New Roman"/>
                <w:color w:val="000000"/>
                <w:sz w:val="21"/>
                <w:szCs w:val="21"/>
                <w:lang w:val="en-GB"/>
              </w:rPr>
            </w:pPr>
            <w:r>
              <w:rPr>
                <w:rFonts w:eastAsia="黑体" w:cs="Times New Roman"/>
                <w:color w:val="000000"/>
                <w:sz w:val="21"/>
                <w:szCs w:val="21"/>
                <w:lang w:val="en-GB"/>
              </w:rPr>
              <w:t>-0.319***</w:t>
            </w:r>
          </w:p>
        </w:tc>
        <w:tc>
          <w:tcPr>
            <w:tcW w:w="1430" w:type="dxa"/>
            <w:tcBorders>
              <w:top w:val="single" w:color="auto" w:sz="8" w:space="0"/>
              <w:left w:val="single" w:color="auto" w:sz="8" w:space="0"/>
              <w:bottom w:val="nil"/>
              <w:right w:val="single" w:color="auto" w:sz="8" w:space="0"/>
            </w:tcBorders>
            <w:shd w:val="clear" w:color="auto" w:fill="auto"/>
            <w:noWrap/>
            <w:vAlign w:val="center"/>
          </w:tcPr>
          <w:p>
            <w:pPr>
              <w:widowControl/>
              <w:jc w:val="left"/>
              <w:rPr>
                <w:rFonts w:eastAsia="黑体" w:cs="Times New Roman"/>
                <w:color w:val="000000"/>
                <w:sz w:val="21"/>
                <w:szCs w:val="21"/>
                <w:lang w:val="en-GB"/>
              </w:rPr>
            </w:pPr>
            <w:r>
              <w:rPr>
                <w:rFonts w:eastAsia="黑体" w:cs="Times New Roman"/>
                <w:color w:val="000000"/>
                <w:sz w:val="21"/>
                <w:szCs w:val="21"/>
                <w:lang w:val="en-GB"/>
              </w:rPr>
              <w:t>-0.459***</w:t>
            </w:r>
          </w:p>
        </w:tc>
        <w:tc>
          <w:tcPr>
            <w:tcW w:w="1430" w:type="dxa"/>
            <w:tcBorders>
              <w:top w:val="single" w:color="auto" w:sz="8" w:space="0"/>
              <w:left w:val="single" w:color="auto" w:sz="8" w:space="0"/>
              <w:bottom w:val="nil"/>
              <w:right w:val="single" w:color="auto" w:sz="8" w:space="0"/>
            </w:tcBorders>
            <w:shd w:val="clear" w:color="auto" w:fill="auto"/>
            <w:noWrap/>
            <w:vAlign w:val="center"/>
          </w:tcPr>
          <w:p>
            <w:pPr>
              <w:widowControl/>
              <w:jc w:val="left"/>
              <w:rPr>
                <w:rFonts w:eastAsia="黑体" w:cs="Times New Roman"/>
                <w:color w:val="000000"/>
                <w:sz w:val="21"/>
                <w:szCs w:val="21"/>
                <w:lang w:val="en-GB"/>
              </w:rPr>
            </w:pPr>
            <w:r>
              <w:rPr>
                <w:rFonts w:eastAsia="黑体" w:cs="Times New Roman"/>
                <w:color w:val="000000"/>
                <w:sz w:val="21"/>
                <w:szCs w:val="21"/>
                <w:lang w:val="en-GB"/>
              </w:rPr>
              <w:t>-0.462**</w:t>
            </w:r>
          </w:p>
        </w:tc>
        <w:tc>
          <w:tcPr>
            <w:tcW w:w="1572" w:type="dxa"/>
            <w:tcBorders>
              <w:top w:val="single" w:color="auto" w:sz="8" w:space="0"/>
              <w:left w:val="single" w:color="auto" w:sz="8" w:space="0"/>
              <w:bottom w:val="nil"/>
              <w:right w:val="nil"/>
            </w:tcBorders>
            <w:shd w:val="clear" w:color="auto" w:fill="auto"/>
            <w:noWrap/>
            <w:vAlign w:val="center"/>
          </w:tcPr>
          <w:p>
            <w:pPr>
              <w:widowControl/>
              <w:jc w:val="left"/>
              <w:rPr>
                <w:rFonts w:eastAsia="黑体" w:cs="Times New Roman"/>
                <w:color w:val="000000"/>
                <w:sz w:val="21"/>
                <w:szCs w:val="21"/>
                <w:lang w:val="en-GB"/>
              </w:rPr>
            </w:pPr>
            <w:r>
              <w:rPr>
                <w:rFonts w:eastAsia="黑体" w:cs="Times New Roman"/>
                <w:color w:val="000000"/>
                <w:sz w:val="21"/>
                <w:szCs w:val="21"/>
                <w:lang w:val="en-GB"/>
              </w:rPr>
              <w:t>-0.0133</w:t>
            </w:r>
          </w:p>
        </w:tc>
      </w:tr>
      <w:tr>
        <w:tblPrEx>
          <w:tblCellMar>
            <w:top w:w="0" w:type="dxa"/>
            <w:left w:w="108" w:type="dxa"/>
            <w:bottom w:w="0" w:type="dxa"/>
            <w:right w:w="108" w:type="dxa"/>
          </w:tblCellMar>
        </w:tblPrEx>
        <w:trPr>
          <w:trHeight w:val="397" w:hRule="atLeast"/>
        </w:trPr>
        <w:tc>
          <w:tcPr>
            <w:tcW w:w="2062" w:type="dxa"/>
            <w:vMerge w:val="continue"/>
            <w:tcBorders>
              <w:top w:val="nil"/>
              <w:left w:val="nil"/>
              <w:bottom w:val="nil"/>
              <w:right w:val="single" w:color="auto" w:sz="8" w:space="0"/>
            </w:tcBorders>
            <w:vAlign w:val="center"/>
          </w:tcPr>
          <w:p>
            <w:pPr>
              <w:widowControl/>
              <w:jc w:val="left"/>
              <w:rPr>
                <w:rFonts w:cs="Times New Roman"/>
                <w:color w:val="000000"/>
                <w:sz w:val="21"/>
                <w:szCs w:val="21"/>
                <w:lang w:val="en-GB"/>
              </w:rPr>
            </w:pPr>
          </w:p>
        </w:tc>
        <w:tc>
          <w:tcPr>
            <w:tcW w:w="1430" w:type="dxa"/>
            <w:tcBorders>
              <w:top w:val="nil"/>
              <w:left w:val="single" w:color="auto" w:sz="8" w:space="0"/>
              <w:bottom w:val="nil"/>
              <w:right w:val="single" w:color="auto" w:sz="8" w:space="0"/>
            </w:tcBorders>
            <w:shd w:val="clear" w:color="auto" w:fill="auto"/>
            <w:noWrap/>
          </w:tcPr>
          <w:p>
            <w:pPr>
              <w:widowControl/>
              <w:jc w:val="left"/>
              <w:rPr>
                <w:rFonts w:eastAsia="黑体" w:cs="Times New Roman"/>
                <w:color w:val="000000"/>
                <w:sz w:val="21"/>
                <w:szCs w:val="21"/>
                <w:lang w:val="en-GB"/>
              </w:rPr>
            </w:pPr>
            <w:r>
              <w:rPr>
                <w:rFonts w:eastAsia="黑体" w:cs="Times New Roman"/>
                <w:color w:val="000000"/>
                <w:sz w:val="21"/>
                <w:szCs w:val="21"/>
                <w:lang w:val="en-GB"/>
              </w:rPr>
              <w:t>(-0.0871)</w:t>
            </w:r>
          </w:p>
        </w:tc>
        <w:tc>
          <w:tcPr>
            <w:tcW w:w="1430" w:type="dxa"/>
            <w:tcBorders>
              <w:top w:val="nil"/>
              <w:left w:val="single" w:color="auto" w:sz="8" w:space="0"/>
              <w:bottom w:val="nil"/>
              <w:right w:val="single" w:color="auto" w:sz="8" w:space="0"/>
            </w:tcBorders>
            <w:shd w:val="clear" w:color="auto" w:fill="auto"/>
            <w:noWrap/>
          </w:tcPr>
          <w:p>
            <w:pPr>
              <w:widowControl/>
              <w:jc w:val="left"/>
              <w:rPr>
                <w:rFonts w:eastAsia="黑体" w:cs="Times New Roman"/>
                <w:color w:val="000000"/>
                <w:sz w:val="21"/>
                <w:szCs w:val="21"/>
                <w:lang w:val="en-GB"/>
              </w:rPr>
            </w:pPr>
            <w:r>
              <w:rPr>
                <w:rFonts w:eastAsia="黑体" w:cs="Times New Roman"/>
                <w:color w:val="000000"/>
                <w:sz w:val="21"/>
                <w:szCs w:val="21"/>
                <w:lang w:val="en-GB"/>
              </w:rPr>
              <w:t>(-0.0833)</w:t>
            </w:r>
          </w:p>
        </w:tc>
        <w:tc>
          <w:tcPr>
            <w:tcW w:w="1430" w:type="dxa"/>
            <w:tcBorders>
              <w:top w:val="nil"/>
              <w:left w:val="single" w:color="auto" w:sz="8" w:space="0"/>
              <w:bottom w:val="nil"/>
              <w:right w:val="single" w:color="auto" w:sz="8" w:space="0"/>
            </w:tcBorders>
            <w:shd w:val="clear" w:color="auto" w:fill="auto"/>
            <w:noWrap/>
          </w:tcPr>
          <w:p>
            <w:pPr>
              <w:widowControl/>
              <w:jc w:val="left"/>
              <w:rPr>
                <w:rFonts w:eastAsia="黑体" w:cs="Times New Roman"/>
                <w:color w:val="000000"/>
                <w:sz w:val="21"/>
                <w:szCs w:val="21"/>
                <w:lang w:val="en-GB"/>
              </w:rPr>
            </w:pPr>
            <w:r>
              <w:rPr>
                <w:rFonts w:eastAsia="黑体" w:cs="Times New Roman"/>
                <w:color w:val="000000"/>
                <w:sz w:val="21"/>
                <w:szCs w:val="21"/>
                <w:lang w:val="en-GB"/>
              </w:rPr>
              <w:t>(-0.0932)</w:t>
            </w:r>
          </w:p>
        </w:tc>
        <w:tc>
          <w:tcPr>
            <w:tcW w:w="1430" w:type="dxa"/>
            <w:tcBorders>
              <w:top w:val="nil"/>
              <w:left w:val="single" w:color="auto" w:sz="8" w:space="0"/>
              <w:bottom w:val="nil"/>
              <w:right w:val="single" w:color="auto" w:sz="8" w:space="0"/>
            </w:tcBorders>
            <w:shd w:val="clear" w:color="auto" w:fill="auto"/>
            <w:noWrap/>
          </w:tcPr>
          <w:p>
            <w:pPr>
              <w:widowControl/>
              <w:jc w:val="left"/>
              <w:rPr>
                <w:rFonts w:eastAsia="黑体" w:cs="Times New Roman"/>
                <w:color w:val="000000"/>
                <w:sz w:val="21"/>
                <w:szCs w:val="21"/>
                <w:lang w:val="en-GB"/>
              </w:rPr>
            </w:pPr>
            <w:r>
              <w:rPr>
                <w:rFonts w:eastAsia="黑体" w:cs="Times New Roman"/>
                <w:color w:val="000000"/>
                <w:sz w:val="21"/>
                <w:szCs w:val="21"/>
                <w:lang w:val="en-GB"/>
              </w:rPr>
              <w:t>(-0.181)</w:t>
            </w:r>
          </w:p>
        </w:tc>
        <w:tc>
          <w:tcPr>
            <w:tcW w:w="1572" w:type="dxa"/>
            <w:tcBorders>
              <w:top w:val="nil"/>
              <w:left w:val="single" w:color="auto" w:sz="8" w:space="0"/>
              <w:bottom w:val="nil"/>
              <w:right w:val="nil"/>
            </w:tcBorders>
            <w:shd w:val="clear" w:color="auto" w:fill="auto"/>
            <w:noWrap/>
          </w:tcPr>
          <w:p>
            <w:pPr>
              <w:widowControl/>
              <w:jc w:val="left"/>
              <w:rPr>
                <w:rFonts w:eastAsia="黑体" w:cs="Times New Roman"/>
                <w:color w:val="000000"/>
                <w:sz w:val="21"/>
                <w:szCs w:val="21"/>
                <w:lang w:val="en-GB"/>
              </w:rPr>
            </w:pPr>
            <w:r>
              <w:rPr>
                <w:rFonts w:eastAsia="黑体" w:cs="Times New Roman"/>
                <w:color w:val="000000"/>
                <w:sz w:val="21"/>
                <w:szCs w:val="21"/>
                <w:lang w:val="en-GB"/>
              </w:rPr>
              <w:t>(-0.0101)</w:t>
            </w:r>
          </w:p>
        </w:tc>
      </w:tr>
      <w:tr>
        <w:tblPrEx>
          <w:tblCellMar>
            <w:top w:w="0" w:type="dxa"/>
            <w:left w:w="108" w:type="dxa"/>
            <w:bottom w:w="0" w:type="dxa"/>
            <w:right w:w="108" w:type="dxa"/>
          </w:tblCellMar>
        </w:tblPrEx>
        <w:trPr>
          <w:trHeight w:val="397" w:hRule="atLeast"/>
        </w:trPr>
        <w:tc>
          <w:tcPr>
            <w:tcW w:w="2062" w:type="dxa"/>
            <w:vMerge w:val="restart"/>
            <w:tcBorders>
              <w:top w:val="nil"/>
              <w:left w:val="nil"/>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Size</w:t>
            </w:r>
          </w:p>
        </w:tc>
        <w:tc>
          <w:tcPr>
            <w:tcW w:w="1430" w:type="dxa"/>
            <w:tcBorders>
              <w:top w:val="nil"/>
              <w:left w:val="single" w:color="auto" w:sz="8" w:space="0"/>
              <w:bottom w:val="nil"/>
              <w:right w:val="single" w:color="auto" w:sz="8" w:space="0"/>
            </w:tcBorders>
            <w:shd w:val="clear" w:color="auto" w:fill="auto"/>
            <w:noWrap/>
            <w:vAlign w:val="center"/>
          </w:tcPr>
          <w:p>
            <w:pPr>
              <w:widowControl/>
              <w:jc w:val="left"/>
              <w:rPr>
                <w:rFonts w:eastAsia="黑体" w:cs="Times New Roman"/>
                <w:color w:val="000000"/>
                <w:sz w:val="21"/>
                <w:szCs w:val="21"/>
                <w:lang w:val="en-GB"/>
              </w:rPr>
            </w:pPr>
            <w:r>
              <w:rPr>
                <w:rFonts w:eastAsia="黑体" w:cs="Times New Roman"/>
                <w:color w:val="000000"/>
                <w:sz w:val="21"/>
                <w:szCs w:val="21"/>
                <w:lang w:val="en-GB"/>
              </w:rPr>
              <w:t>2.963</w:t>
            </w:r>
          </w:p>
        </w:tc>
        <w:tc>
          <w:tcPr>
            <w:tcW w:w="1430" w:type="dxa"/>
            <w:tcBorders>
              <w:top w:val="nil"/>
              <w:left w:val="single" w:color="auto" w:sz="8" w:space="0"/>
              <w:bottom w:val="nil"/>
              <w:right w:val="single" w:color="auto" w:sz="8" w:space="0"/>
            </w:tcBorders>
            <w:shd w:val="clear" w:color="auto" w:fill="auto"/>
            <w:noWrap/>
            <w:vAlign w:val="center"/>
          </w:tcPr>
          <w:p>
            <w:pPr>
              <w:widowControl/>
              <w:jc w:val="left"/>
              <w:rPr>
                <w:rFonts w:eastAsia="黑体" w:cs="Times New Roman"/>
                <w:color w:val="000000"/>
                <w:sz w:val="21"/>
                <w:szCs w:val="21"/>
                <w:lang w:val="en-GB"/>
              </w:rPr>
            </w:pPr>
            <w:r>
              <w:rPr>
                <w:rFonts w:eastAsia="黑体" w:cs="Times New Roman"/>
                <w:color w:val="000000"/>
                <w:sz w:val="21"/>
                <w:szCs w:val="21"/>
                <w:lang w:val="en-GB"/>
              </w:rPr>
              <w:t>-0.743</w:t>
            </w:r>
          </w:p>
        </w:tc>
        <w:tc>
          <w:tcPr>
            <w:tcW w:w="1430" w:type="dxa"/>
            <w:tcBorders>
              <w:top w:val="nil"/>
              <w:left w:val="single" w:color="auto" w:sz="8" w:space="0"/>
              <w:bottom w:val="nil"/>
              <w:right w:val="single" w:color="auto" w:sz="8" w:space="0"/>
            </w:tcBorders>
            <w:shd w:val="clear" w:color="auto" w:fill="auto"/>
            <w:noWrap/>
            <w:vAlign w:val="center"/>
          </w:tcPr>
          <w:p>
            <w:pPr>
              <w:widowControl/>
              <w:jc w:val="left"/>
              <w:rPr>
                <w:rFonts w:eastAsia="黑体" w:cs="Times New Roman"/>
                <w:color w:val="000000"/>
                <w:sz w:val="21"/>
                <w:szCs w:val="21"/>
                <w:lang w:val="en-GB"/>
              </w:rPr>
            </w:pPr>
            <w:r>
              <w:rPr>
                <w:rFonts w:eastAsia="黑体" w:cs="Times New Roman"/>
                <w:color w:val="000000"/>
                <w:sz w:val="21"/>
                <w:szCs w:val="21"/>
                <w:lang w:val="en-GB"/>
              </w:rPr>
              <w:t>3.142</w:t>
            </w:r>
          </w:p>
        </w:tc>
        <w:tc>
          <w:tcPr>
            <w:tcW w:w="1430" w:type="dxa"/>
            <w:tcBorders>
              <w:top w:val="nil"/>
              <w:left w:val="single" w:color="auto" w:sz="8" w:space="0"/>
              <w:bottom w:val="nil"/>
              <w:right w:val="single" w:color="auto" w:sz="8" w:space="0"/>
            </w:tcBorders>
            <w:shd w:val="clear" w:color="auto" w:fill="auto"/>
            <w:noWrap/>
            <w:vAlign w:val="center"/>
          </w:tcPr>
          <w:p>
            <w:pPr>
              <w:widowControl/>
              <w:jc w:val="left"/>
              <w:rPr>
                <w:rFonts w:eastAsia="黑体" w:cs="Times New Roman"/>
                <w:color w:val="000000"/>
                <w:sz w:val="21"/>
                <w:szCs w:val="21"/>
                <w:lang w:val="en-GB"/>
              </w:rPr>
            </w:pPr>
            <w:r>
              <w:rPr>
                <w:rFonts w:eastAsia="黑体" w:cs="Times New Roman"/>
                <w:color w:val="000000"/>
                <w:sz w:val="21"/>
                <w:szCs w:val="21"/>
                <w:lang w:val="en-GB"/>
              </w:rPr>
              <w:t>5.895</w:t>
            </w:r>
          </w:p>
        </w:tc>
        <w:tc>
          <w:tcPr>
            <w:tcW w:w="1572" w:type="dxa"/>
            <w:tcBorders>
              <w:top w:val="nil"/>
              <w:left w:val="single" w:color="auto" w:sz="8" w:space="0"/>
              <w:bottom w:val="nil"/>
              <w:right w:val="nil"/>
            </w:tcBorders>
            <w:shd w:val="clear" w:color="auto" w:fill="auto"/>
            <w:noWrap/>
            <w:vAlign w:val="center"/>
          </w:tcPr>
          <w:p>
            <w:pPr>
              <w:widowControl/>
              <w:jc w:val="left"/>
              <w:rPr>
                <w:rFonts w:eastAsia="黑体" w:cs="Times New Roman"/>
                <w:color w:val="000000"/>
                <w:sz w:val="21"/>
                <w:szCs w:val="21"/>
                <w:lang w:val="en-GB"/>
              </w:rPr>
            </w:pPr>
            <w:r>
              <w:rPr>
                <w:rFonts w:eastAsia="黑体" w:cs="Times New Roman"/>
                <w:color w:val="000000"/>
                <w:sz w:val="21"/>
                <w:szCs w:val="21"/>
                <w:lang w:val="en-GB"/>
              </w:rPr>
              <w:t>0.622*</w:t>
            </w:r>
          </w:p>
        </w:tc>
      </w:tr>
      <w:tr>
        <w:tblPrEx>
          <w:tblCellMar>
            <w:top w:w="0" w:type="dxa"/>
            <w:left w:w="108" w:type="dxa"/>
            <w:bottom w:w="0" w:type="dxa"/>
            <w:right w:w="108" w:type="dxa"/>
          </w:tblCellMar>
        </w:tblPrEx>
        <w:trPr>
          <w:trHeight w:val="397" w:hRule="atLeast"/>
        </w:trPr>
        <w:tc>
          <w:tcPr>
            <w:tcW w:w="2062" w:type="dxa"/>
            <w:vMerge w:val="continue"/>
            <w:tcBorders>
              <w:top w:val="nil"/>
              <w:left w:val="nil"/>
              <w:bottom w:val="nil"/>
              <w:right w:val="single" w:color="auto" w:sz="8" w:space="0"/>
            </w:tcBorders>
            <w:vAlign w:val="center"/>
          </w:tcPr>
          <w:p>
            <w:pPr>
              <w:widowControl/>
              <w:jc w:val="left"/>
              <w:rPr>
                <w:rFonts w:cs="Times New Roman"/>
                <w:color w:val="000000"/>
                <w:sz w:val="21"/>
                <w:szCs w:val="21"/>
                <w:lang w:val="en-GB"/>
              </w:rPr>
            </w:pPr>
          </w:p>
        </w:tc>
        <w:tc>
          <w:tcPr>
            <w:tcW w:w="1430" w:type="dxa"/>
            <w:tcBorders>
              <w:top w:val="nil"/>
              <w:left w:val="single" w:color="auto" w:sz="8" w:space="0"/>
              <w:bottom w:val="nil"/>
              <w:right w:val="single" w:color="auto" w:sz="8" w:space="0"/>
            </w:tcBorders>
            <w:shd w:val="clear" w:color="auto" w:fill="auto"/>
            <w:noWrap/>
            <w:vAlign w:val="center"/>
          </w:tcPr>
          <w:p>
            <w:pPr>
              <w:widowControl/>
              <w:jc w:val="left"/>
              <w:rPr>
                <w:rFonts w:eastAsia="黑体" w:cs="Times New Roman"/>
                <w:color w:val="000000"/>
                <w:sz w:val="21"/>
                <w:szCs w:val="21"/>
                <w:lang w:val="en-GB"/>
              </w:rPr>
            </w:pPr>
            <w:r>
              <w:rPr>
                <w:rFonts w:eastAsia="黑体" w:cs="Times New Roman"/>
                <w:color w:val="000000"/>
                <w:sz w:val="21"/>
                <w:szCs w:val="21"/>
                <w:lang w:val="en-GB"/>
              </w:rPr>
              <w:t>(-2.086)</w:t>
            </w:r>
          </w:p>
        </w:tc>
        <w:tc>
          <w:tcPr>
            <w:tcW w:w="1430" w:type="dxa"/>
            <w:tcBorders>
              <w:top w:val="nil"/>
              <w:left w:val="single" w:color="auto" w:sz="8" w:space="0"/>
              <w:bottom w:val="nil"/>
              <w:right w:val="single" w:color="auto" w:sz="8" w:space="0"/>
            </w:tcBorders>
            <w:shd w:val="clear" w:color="auto" w:fill="auto"/>
            <w:noWrap/>
            <w:vAlign w:val="center"/>
          </w:tcPr>
          <w:p>
            <w:pPr>
              <w:widowControl/>
              <w:jc w:val="left"/>
              <w:rPr>
                <w:rFonts w:eastAsia="黑体" w:cs="Times New Roman"/>
                <w:color w:val="000000"/>
                <w:sz w:val="21"/>
                <w:szCs w:val="21"/>
                <w:lang w:val="en-GB"/>
              </w:rPr>
            </w:pPr>
            <w:r>
              <w:rPr>
                <w:rFonts w:eastAsia="黑体" w:cs="Times New Roman"/>
                <w:color w:val="000000"/>
                <w:sz w:val="21"/>
                <w:szCs w:val="21"/>
                <w:lang w:val="en-GB"/>
              </w:rPr>
              <w:t>(-1.538)</w:t>
            </w:r>
          </w:p>
        </w:tc>
        <w:tc>
          <w:tcPr>
            <w:tcW w:w="1430" w:type="dxa"/>
            <w:tcBorders>
              <w:top w:val="nil"/>
              <w:left w:val="single" w:color="auto" w:sz="8" w:space="0"/>
              <w:bottom w:val="nil"/>
              <w:right w:val="single" w:color="auto" w:sz="8" w:space="0"/>
            </w:tcBorders>
            <w:shd w:val="clear" w:color="auto" w:fill="auto"/>
            <w:noWrap/>
            <w:vAlign w:val="center"/>
          </w:tcPr>
          <w:p>
            <w:pPr>
              <w:widowControl/>
              <w:jc w:val="left"/>
              <w:rPr>
                <w:rFonts w:eastAsia="黑体" w:cs="Times New Roman"/>
                <w:color w:val="000000"/>
                <w:sz w:val="21"/>
                <w:szCs w:val="21"/>
                <w:lang w:val="en-GB"/>
              </w:rPr>
            </w:pPr>
            <w:r>
              <w:rPr>
                <w:rFonts w:eastAsia="黑体" w:cs="Times New Roman"/>
                <w:color w:val="000000"/>
                <w:sz w:val="21"/>
                <w:szCs w:val="21"/>
                <w:lang w:val="en-GB"/>
              </w:rPr>
              <w:t>(-2.375)</w:t>
            </w:r>
          </w:p>
        </w:tc>
        <w:tc>
          <w:tcPr>
            <w:tcW w:w="1430" w:type="dxa"/>
            <w:tcBorders>
              <w:top w:val="nil"/>
              <w:left w:val="single" w:color="auto" w:sz="8" w:space="0"/>
              <w:bottom w:val="nil"/>
              <w:right w:val="single" w:color="auto" w:sz="8" w:space="0"/>
            </w:tcBorders>
            <w:shd w:val="clear" w:color="auto" w:fill="auto"/>
            <w:noWrap/>
            <w:vAlign w:val="center"/>
          </w:tcPr>
          <w:p>
            <w:pPr>
              <w:widowControl/>
              <w:jc w:val="left"/>
              <w:rPr>
                <w:rFonts w:eastAsia="黑体" w:cs="Times New Roman"/>
                <w:color w:val="000000"/>
                <w:sz w:val="21"/>
                <w:szCs w:val="21"/>
                <w:lang w:val="en-GB"/>
              </w:rPr>
            </w:pPr>
            <w:r>
              <w:rPr>
                <w:rFonts w:eastAsia="黑体" w:cs="Times New Roman"/>
                <w:color w:val="000000"/>
                <w:sz w:val="21"/>
                <w:szCs w:val="21"/>
                <w:lang w:val="en-GB"/>
              </w:rPr>
              <w:t>(-3.721)</w:t>
            </w:r>
          </w:p>
        </w:tc>
        <w:tc>
          <w:tcPr>
            <w:tcW w:w="1572" w:type="dxa"/>
            <w:tcBorders>
              <w:top w:val="nil"/>
              <w:left w:val="single" w:color="auto" w:sz="8" w:space="0"/>
              <w:bottom w:val="nil"/>
              <w:right w:val="nil"/>
            </w:tcBorders>
            <w:shd w:val="clear" w:color="auto" w:fill="auto"/>
            <w:noWrap/>
            <w:vAlign w:val="center"/>
          </w:tcPr>
          <w:p>
            <w:pPr>
              <w:widowControl/>
              <w:jc w:val="left"/>
              <w:rPr>
                <w:rFonts w:eastAsia="黑体" w:cs="Times New Roman"/>
                <w:color w:val="000000"/>
                <w:sz w:val="21"/>
                <w:szCs w:val="21"/>
                <w:lang w:val="en-GB"/>
              </w:rPr>
            </w:pPr>
            <w:r>
              <w:rPr>
                <w:rFonts w:eastAsia="黑体" w:cs="Times New Roman"/>
                <w:color w:val="000000"/>
                <w:sz w:val="21"/>
                <w:szCs w:val="21"/>
                <w:lang w:val="en-GB"/>
              </w:rPr>
              <w:t>(-0.343)</w:t>
            </w:r>
          </w:p>
        </w:tc>
      </w:tr>
      <w:tr>
        <w:tblPrEx>
          <w:tblCellMar>
            <w:top w:w="0" w:type="dxa"/>
            <w:left w:w="108" w:type="dxa"/>
            <w:bottom w:w="0" w:type="dxa"/>
            <w:right w:w="108" w:type="dxa"/>
          </w:tblCellMar>
        </w:tblPrEx>
        <w:trPr>
          <w:trHeight w:val="397" w:hRule="atLeast"/>
        </w:trPr>
        <w:tc>
          <w:tcPr>
            <w:tcW w:w="2062" w:type="dxa"/>
            <w:vMerge w:val="restart"/>
            <w:tcBorders>
              <w:top w:val="nil"/>
              <w:left w:val="nil"/>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Tangibility</w:t>
            </w:r>
          </w:p>
        </w:tc>
        <w:tc>
          <w:tcPr>
            <w:tcW w:w="1430" w:type="dxa"/>
            <w:tcBorders>
              <w:top w:val="nil"/>
              <w:left w:val="single" w:color="auto" w:sz="8" w:space="0"/>
              <w:bottom w:val="nil"/>
              <w:right w:val="single" w:color="auto" w:sz="8" w:space="0"/>
            </w:tcBorders>
            <w:shd w:val="clear" w:color="auto" w:fill="auto"/>
            <w:noWrap/>
            <w:vAlign w:val="center"/>
          </w:tcPr>
          <w:p>
            <w:pPr>
              <w:widowControl/>
              <w:jc w:val="left"/>
              <w:rPr>
                <w:rFonts w:eastAsia="黑体" w:cs="Times New Roman"/>
                <w:color w:val="000000"/>
                <w:sz w:val="21"/>
                <w:szCs w:val="21"/>
                <w:lang w:val="en-GB"/>
              </w:rPr>
            </w:pPr>
            <w:r>
              <w:rPr>
                <w:rFonts w:eastAsia="黑体" w:cs="Times New Roman"/>
                <w:color w:val="000000"/>
                <w:sz w:val="21"/>
                <w:szCs w:val="21"/>
                <w:lang w:val="en-GB"/>
              </w:rPr>
              <w:t>-0.0939</w:t>
            </w:r>
          </w:p>
        </w:tc>
        <w:tc>
          <w:tcPr>
            <w:tcW w:w="1430" w:type="dxa"/>
            <w:tcBorders>
              <w:top w:val="nil"/>
              <w:left w:val="single" w:color="auto" w:sz="8" w:space="0"/>
              <w:bottom w:val="nil"/>
              <w:right w:val="single" w:color="auto" w:sz="8" w:space="0"/>
            </w:tcBorders>
            <w:shd w:val="clear" w:color="auto" w:fill="auto"/>
            <w:noWrap/>
            <w:vAlign w:val="center"/>
          </w:tcPr>
          <w:p>
            <w:pPr>
              <w:widowControl/>
              <w:jc w:val="left"/>
              <w:rPr>
                <w:rFonts w:eastAsia="黑体" w:cs="Times New Roman"/>
                <w:color w:val="000000"/>
                <w:sz w:val="21"/>
                <w:szCs w:val="21"/>
                <w:lang w:val="en-GB"/>
              </w:rPr>
            </w:pPr>
            <w:r>
              <w:rPr>
                <w:rFonts w:eastAsia="黑体" w:cs="Times New Roman"/>
                <w:color w:val="000000"/>
                <w:sz w:val="21"/>
                <w:szCs w:val="21"/>
                <w:lang w:val="en-GB"/>
              </w:rPr>
              <w:t>-0.348***</w:t>
            </w:r>
          </w:p>
        </w:tc>
        <w:tc>
          <w:tcPr>
            <w:tcW w:w="1430" w:type="dxa"/>
            <w:tcBorders>
              <w:top w:val="nil"/>
              <w:left w:val="single" w:color="auto" w:sz="8" w:space="0"/>
              <w:bottom w:val="nil"/>
              <w:right w:val="single" w:color="auto" w:sz="8" w:space="0"/>
            </w:tcBorders>
            <w:shd w:val="clear" w:color="auto" w:fill="auto"/>
            <w:noWrap/>
            <w:vAlign w:val="center"/>
          </w:tcPr>
          <w:p>
            <w:pPr>
              <w:widowControl/>
              <w:jc w:val="left"/>
              <w:rPr>
                <w:rFonts w:eastAsia="黑体" w:cs="Times New Roman"/>
                <w:color w:val="000000"/>
                <w:sz w:val="21"/>
                <w:szCs w:val="21"/>
                <w:lang w:val="en-GB"/>
              </w:rPr>
            </w:pPr>
            <w:r>
              <w:rPr>
                <w:rFonts w:eastAsia="黑体" w:cs="Times New Roman"/>
                <w:color w:val="000000"/>
                <w:sz w:val="21"/>
                <w:szCs w:val="21"/>
                <w:lang w:val="en-GB"/>
              </w:rPr>
              <w:t>-0.0682</w:t>
            </w:r>
          </w:p>
        </w:tc>
        <w:tc>
          <w:tcPr>
            <w:tcW w:w="1430" w:type="dxa"/>
            <w:tcBorders>
              <w:top w:val="nil"/>
              <w:left w:val="single" w:color="auto" w:sz="8" w:space="0"/>
              <w:bottom w:val="nil"/>
              <w:right w:val="single" w:color="auto" w:sz="8" w:space="0"/>
            </w:tcBorders>
            <w:shd w:val="clear" w:color="auto" w:fill="auto"/>
            <w:noWrap/>
            <w:vAlign w:val="center"/>
          </w:tcPr>
          <w:p>
            <w:pPr>
              <w:widowControl/>
              <w:jc w:val="left"/>
              <w:rPr>
                <w:rFonts w:eastAsia="黑体" w:cs="Times New Roman"/>
                <w:color w:val="000000"/>
                <w:sz w:val="21"/>
                <w:szCs w:val="21"/>
                <w:lang w:val="en-GB"/>
              </w:rPr>
            </w:pPr>
            <w:r>
              <w:rPr>
                <w:rFonts w:eastAsia="黑体" w:cs="Times New Roman"/>
                <w:color w:val="000000"/>
                <w:sz w:val="21"/>
                <w:szCs w:val="21"/>
                <w:lang w:val="en-GB"/>
              </w:rPr>
              <w:t>-0.00208</w:t>
            </w:r>
          </w:p>
        </w:tc>
        <w:tc>
          <w:tcPr>
            <w:tcW w:w="1572" w:type="dxa"/>
            <w:tcBorders>
              <w:top w:val="nil"/>
              <w:left w:val="single" w:color="auto" w:sz="8" w:space="0"/>
              <w:bottom w:val="nil"/>
              <w:right w:val="nil"/>
            </w:tcBorders>
            <w:shd w:val="clear" w:color="auto" w:fill="auto"/>
            <w:noWrap/>
            <w:vAlign w:val="center"/>
          </w:tcPr>
          <w:p>
            <w:pPr>
              <w:widowControl/>
              <w:jc w:val="left"/>
              <w:rPr>
                <w:rFonts w:eastAsia="黑体" w:cs="Times New Roman"/>
                <w:color w:val="000000"/>
                <w:sz w:val="21"/>
                <w:szCs w:val="21"/>
                <w:lang w:val="en-GB"/>
              </w:rPr>
            </w:pPr>
            <w:r>
              <w:rPr>
                <w:rFonts w:eastAsia="黑体" w:cs="Times New Roman"/>
                <w:color w:val="000000"/>
                <w:sz w:val="21"/>
                <w:szCs w:val="21"/>
                <w:lang w:val="en-GB"/>
              </w:rPr>
              <w:t>-0.0196</w:t>
            </w:r>
          </w:p>
        </w:tc>
      </w:tr>
      <w:tr>
        <w:tblPrEx>
          <w:tblCellMar>
            <w:top w:w="0" w:type="dxa"/>
            <w:left w:w="108" w:type="dxa"/>
            <w:bottom w:w="0" w:type="dxa"/>
            <w:right w:w="108" w:type="dxa"/>
          </w:tblCellMar>
        </w:tblPrEx>
        <w:trPr>
          <w:trHeight w:val="397" w:hRule="atLeast"/>
        </w:trPr>
        <w:tc>
          <w:tcPr>
            <w:tcW w:w="2062" w:type="dxa"/>
            <w:vMerge w:val="continue"/>
            <w:tcBorders>
              <w:top w:val="nil"/>
              <w:left w:val="nil"/>
              <w:bottom w:val="nil"/>
              <w:right w:val="single" w:color="auto" w:sz="8" w:space="0"/>
            </w:tcBorders>
            <w:vAlign w:val="center"/>
          </w:tcPr>
          <w:p>
            <w:pPr>
              <w:widowControl/>
              <w:jc w:val="left"/>
              <w:rPr>
                <w:rFonts w:cs="Times New Roman"/>
                <w:color w:val="000000"/>
                <w:sz w:val="21"/>
                <w:szCs w:val="21"/>
                <w:lang w:val="en-GB"/>
              </w:rPr>
            </w:pPr>
          </w:p>
        </w:tc>
        <w:tc>
          <w:tcPr>
            <w:tcW w:w="1430" w:type="dxa"/>
            <w:tcBorders>
              <w:top w:val="nil"/>
              <w:left w:val="single" w:color="auto" w:sz="8" w:space="0"/>
              <w:bottom w:val="nil"/>
              <w:right w:val="single" w:color="auto" w:sz="8" w:space="0"/>
            </w:tcBorders>
            <w:shd w:val="clear" w:color="auto" w:fill="auto"/>
            <w:noWrap/>
            <w:vAlign w:val="center"/>
          </w:tcPr>
          <w:p>
            <w:pPr>
              <w:widowControl/>
              <w:jc w:val="left"/>
              <w:rPr>
                <w:rFonts w:eastAsia="黑体" w:cs="Times New Roman"/>
                <w:color w:val="000000"/>
                <w:sz w:val="21"/>
                <w:szCs w:val="21"/>
                <w:lang w:val="en-GB"/>
              </w:rPr>
            </w:pPr>
            <w:r>
              <w:rPr>
                <w:rFonts w:eastAsia="黑体" w:cs="Times New Roman"/>
                <w:color w:val="000000"/>
                <w:sz w:val="21"/>
                <w:szCs w:val="21"/>
                <w:lang w:val="en-GB"/>
              </w:rPr>
              <w:t>(-0.0572)</w:t>
            </w:r>
          </w:p>
        </w:tc>
        <w:tc>
          <w:tcPr>
            <w:tcW w:w="1430" w:type="dxa"/>
            <w:tcBorders>
              <w:top w:val="nil"/>
              <w:left w:val="single" w:color="auto" w:sz="8" w:space="0"/>
              <w:bottom w:val="nil"/>
              <w:right w:val="single" w:color="auto" w:sz="8" w:space="0"/>
            </w:tcBorders>
            <w:shd w:val="clear" w:color="auto" w:fill="auto"/>
            <w:noWrap/>
            <w:vAlign w:val="center"/>
          </w:tcPr>
          <w:p>
            <w:pPr>
              <w:widowControl/>
              <w:jc w:val="left"/>
              <w:rPr>
                <w:rFonts w:eastAsia="黑体" w:cs="Times New Roman"/>
                <w:color w:val="000000"/>
                <w:sz w:val="21"/>
                <w:szCs w:val="21"/>
                <w:lang w:val="en-GB"/>
              </w:rPr>
            </w:pPr>
            <w:r>
              <w:rPr>
                <w:rFonts w:eastAsia="黑体" w:cs="Times New Roman"/>
                <w:color w:val="000000"/>
                <w:sz w:val="21"/>
                <w:szCs w:val="21"/>
                <w:lang w:val="en-GB"/>
              </w:rPr>
              <w:t>(-0.0602)</w:t>
            </w:r>
          </w:p>
        </w:tc>
        <w:tc>
          <w:tcPr>
            <w:tcW w:w="1430" w:type="dxa"/>
            <w:tcBorders>
              <w:top w:val="nil"/>
              <w:left w:val="single" w:color="auto" w:sz="8" w:space="0"/>
              <w:bottom w:val="nil"/>
              <w:right w:val="single" w:color="auto" w:sz="8" w:space="0"/>
            </w:tcBorders>
            <w:shd w:val="clear" w:color="auto" w:fill="auto"/>
            <w:noWrap/>
            <w:vAlign w:val="center"/>
          </w:tcPr>
          <w:p>
            <w:pPr>
              <w:widowControl/>
              <w:jc w:val="left"/>
              <w:rPr>
                <w:rFonts w:eastAsia="黑体" w:cs="Times New Roman"/>
                <w:color w:val="000000"/>
                <w:sz w:val="21"/>
                <w:szCs w:val="21"/>
                <w:lang w:val="en-GB"/>
              </w:rPr>
            </w:pPr>
            <w:r>
              <w:rPr>
                <w:rFonts w:eastAsia="黑体" w:cs="Times New Roman"/>
                <w:color w:val="000000"/>
                <w:sz w:val="21"/>
                <w:szCs w:val="21"/>
                <w:lang w:val="en-GB"/>
              </w:rPr>
              <w:t>(-0.063)</w:t>
            </w:r>
          </w:p>
        </w:tc>
        <w:tc>
          <w:tcPr>
            <w:tcW w:w="1430" w:type="dxa"/>
            <w:tcBorders>
              <w:top w:val="nil"/>
              <w:left w:val="single" w:color="auto" w:sz="8" w:space="0"/>
              <w:bottom w:val="nil"/>
              <w:right w:val="single" w:color="auto" w:sz="8" w:space="0"/>
            </w:tcBorders>
            <w:shd w:val="clear" w:color="auto" w:fill="auto"/>
            <w:noWrap/>
            <w:vAlign w:val="center"/>
          </w:tcPr>
          <w:p>
            <w:pPr>
              <w:widowControl/>
              <w:jc w:val="left"/>
              <w:rPr>
                <w:rFonts w:eastAsia="黑体" w:cs="Times New Roman"/>
                <w:color w:val="000000"/>
                <w:sz w:val="21"/>
                <w:szCs w:val="21"/>
                <w:lang w:val="en-GB"/>
              </w:rPr>
            </w:pPr>
            <w:r>
              <w:rPr>
                <w:rFonts w:eastAsia="黑体" w:cs="Times New Roman"/>
                <w:color w:val="000000"/>
                <w:sz w:val="21"/>
                <w:szCs w:val="21"/>
                <w:lang w:val="en-GB"/>
              </w:rPr>
              <w:t>(-0.179)</w:t>
            </w:r>
          </w:p>
        </w:tc>
        <w:tc>
          <w:tcPr>
            <w:tcW w:w="1572" w:type="dxa"/>
            <w:tcBorders>
              <w:top w:val="nil"/>
              <w:left w:val="single" w:color="auto" w:sz="8" w:space="0"/>
              <w:bottom w:val="nil"/>
              <w:right w:val="nil"/>
            </w:tcBorders>
            <w:shd w:val="clear" w:color="auto" w:fill="auto"/>
            <w:noWrap/>
            <w:vAlign w:val="center"/>
          </w:tcPr>
          <w:p>
            <w:pPr>
              <w:widowControl/>
              <w:jc w:val="left"/>
              <w:rPr>
                <w:rFonts w:eastAsia="黑体" w:cs="Times New Roman"/>
                <w:color w:val="000000"/>
                <w:sz w:val="21"/>
                <w:szCs w:val="21"/>
                <w:lang w:val="en-GB"/>
              </w:rPr>
            </w:pPr>
            <w:r>
              <w:rPr>
                <w:rFonts w:eastAsia="黑体" w:cs="Times New Roman"/>
                <w:color w:val="000000"/>
                <w:sz w:val="21"/>
                <w:szCs w:val="21"/>
                <w:lang w:val="en-GB"/>
              </w:rPr>
              <w:t>(-0.0127)</w:t>
            </w:r>
          </w:p>
        </w:tc>
      </w:tr>
      <w:tr>
        <w:tblPrEx>
          <w:tblCellMar>
            <w:top w:w="0" w:type="dxa"/>
            <w:left w:w="108" w:type="dxa"/>
            <w:bottom w:w="0" w:type="dxa"/>
            <w:right w:w="108" w:type="dxa"/>
          </w:tblCellMar>
        </w:tblPrEx>
        <w:trPr>
          <w:trHeight w:val="397" w:hRule="atLeast"/>
        </w:trPr>
        <w:tc>
          <w:tcPr>
            <w:tcW w:w="2062" w:type="dxa"/>
            <w:vMerge w:val="restart"/>
            <w:tcBorders>
              <w:top w:val="nil"/>
              <w:left w:val="nil"/>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TA</w:t>
            </w:r>
          </w:p>
        </w:tc>
        <w:tc>
          <w:tcPr>
            <w:tcW w:w="1430" w:type="dxa"/>
            <w:tcBorders>
              <w:top w:val="nil"/>
              <w:left w:val="single" w:color="auto" w:sz="8" w:space="0"/>
              <w:bottom w:val="nil"/>
              <w:right w:val="single" w:color="auto" w:sz="8" w:space="0"/>
            </w:tcBorders>
            <w:shd w:val="clear" w:color="auto" w:fill="auto"/>
            <w:noWrap/>
            <w:vAlign w:val="center"/>
          </w:tcPr>
          <w:p>
            <w:pPr>
              <w:widowControl/>
              <w:jc w:val="left"/>
              <w:rPr>
                <w:rFonts w:eastAsia="黑体" w:cs="Times New Roman"/>
                <w:color w:val="000000"/>
                <w:sz w:val="21"/>
                <w:szCs w:val="21"/>
                <w:lang w:val="en-GB"/>
              </w:rPr>
            </w:pPr>
            <w:r>
              <w:rPr>
                <w:rFonts w:eastAsia="黑体" w:cs="Times New Roman"/>
                <w:color w:val="000000"/>
                <w:sz w:val="21"/>
                <w:szCs w:val="21"/>
                <w:lang w:val="en-GB"/>
              </w:rPr>
              <w:t>-0.249</w:t>
            </w:r>
          </w:p>
        </w:tc>
        <w:tc>
          <w:tcPr>
            <w:tcW w:w="1430" w:type="dxa"/>
            <w:tcBorders>
              <w:top w:val="nil"/>
              <w:left w:val="single" w:color="auto" w:sz="8" w:space="0"/>
              <w:bottom w:val="nil"/>
              <w:right w:val="single" w:color="auto" w:sz="8" w:space="0"/>
            </w:tcBorders>
            <w:shd w:val="clear" w:color="auto" w:fill="auto"/>
            <w:noWrap/>
            <w:vAlign w:val="center"/>
          </w:tcPr>
          <w:p>
            <w:pPr>
              <w:widowControl/>
              <w:jc w:val="left"/>
              <w:rPr>
                <w:rFonts w:eastAsia="黑体" w:cs="Times New Roman"/>
                <w:color w:val="000000"/>
                <w:sz w:val="21"/>
                <w:szCs w:val="21"/>
                <w:lang w:val="en-GB"/>
              </w:rPr>
            </w:pPr>
            <w:r>
              <w:rPr>
                <w:rFonts w:eastAsia="黑体" w:cs="Times New Roman"/>
                <w:color w:val="000000"/>
                <w:sz w:val="21"/>
                <w:szCs w:val="21"/>
                <w:lang w:val="en-GB"/>
              </w:rPr>
              <w:t>0.32</w:t>
            </w:r>
          </w:p>
        </w:tc>
        <w:tc>
          <w:tcPr>
            <w:tcW w:w="1430" w:type="dxa"/>
            <w:tcBorders>
              <w:top w:val="nil"/>
              <w:left w:val="single" w:color="auto" w:sz="8" w:space="0"/>
              <w:bottom w:val="nil"/>
              <w:right w:val="single" w:color="auto" w:sz="8" w:space="0"/>
            </w:tcBorders>
            <w:shd w:val="clear" w:color="auto" w:fill="auto"/>
            <w:noWrap/>
            <w:vAlign w:val="center"/>
          </w:tcPr>
          <w:p>
            <w:pPr>
              <w:widowControl/>
              <w:jc w:val="left"/>
              <w:rPr>
                <w:rFonts w:eastAsia="黑体" w:cs="Times New Roman"/>
                <w:color w:val="000000"/>
                <w:sz w:val="21"/>
                <w:szCs w:val="21"/>
                <w:lang w:val="en-GB"/>
              </w:rPr>
            </w:pPr>
            <w:r>
              <w:rPr>
                <w:rFonts w:eastAsia="黑体" w:cs="Times New Roman"/>
                <w:color w:val="000000"/>
                <w:sz w:val="21"/>
                <w:szCs w:val="21"/>
                <w:lang w:val="en-GB"/>
              </w:rPr>
              <w:t>-0.236</w:t>
            </w:r>
          </w:p>
        </w:tc>
        <w:tc>
          <w:tcPr>
            <w:tcW w:w="1430" w:type="dxa"/>
            <w:tcBorders>
              <w:top w:val="nil"/>
              <w:left w:val="single" w:color="auto" w:sz="8" w:space="0"/>
              <w:bottom w:val="nil"/>
              <w:right w:val="single" w:color="auto" w:sz="8" w:space="0"/>
            </w:tcBorders>
            <w:shd w:val="clear" w:color="auto" w:fill="auto"/>
            <w:noWrap/>
            <w:vAlign w:val="center"/>
          </w:tcPr>
          <w:p>
            <w:pPr>
              <w:widowControl/>
              <w:jc w:val="left"/>
              <w:rPr>
                <w:rFonts w:eastAsia="黑体" w:cs="Times New Roman"/>
                <w:color w:val="000000"/>
                <w:sz w:val="21"/>
                <w:szCs w:val="21"/>
                <w:lang w:val="en-GB"/>
              </w:rPr>
            </w:pPr>
            <w:r>
              <w:rPr>
                <w:rFonts w:eastAsia="黑体" w:cs="Times New Roman"/>
                <w:color w:val="000000"/>
                <w:sz w:val="21"/>
                <w:szCs w:val="21"/>
                <w:lang w:val="en-GB"/>
              </w:rPr>
              <w:t>-8.98</w:t>
            </w:r>
          </w:p>
        </w:tc>
        <w:tc>
          <w:tcPr>
            <w:tcW w:w="1572" w:type="dxa"/>
            <w:tcBorders>
              <w:top w:val="nil"/>
              <w:left w:val="single" w:color="auto" w:sz="8" w:space="0"/>
              <w:bottom w:val="nil"/>
              <w:right w:val="nil"/>
            </w:tcBorders>
            <w:shd w:val="clear" w:color="auto" w:fill="auto"/>
            <w:noWrap/>
            <w:vAlign w:val="center"/>
          </w:tcPr>
          <w:p>
            <w:pPr>
              <w:widowControl/>
              <w:jc w:val="left"/>
              <w:rPr>
                <w:rFonts w:eastAsia="黑体" w:cs="Times New Roman"/>
                <w:color w:val="000000"/>
                <w:sz w:val="21"/>
                <w:szCs w:val="21"/>
                <w:lang w:val="en-GB"/>
              </w:rPr>
            </w:pPr>
            <w:r>
              <w:rPr>
                <w:rFonts w:eastAsia="黑体" w:cs="Times New Roman"/>
                <w:color w:val="000000"/>
                <w:sz w:val="21"/>
                <w:szCs w:val="21"/>
                <w:lang w:val="en-GB"/>
              </w:rPr>
              <w:t>-0.471</w:t>
            </w:r>
          </w:p>
        </w:tc>
      </w:tr>
      <w:tr>
        <w:tblPrEx>
          <w:tblCellMar>
            <w:top w:w="0" w:type="dxa"/>
            <w:left w:w="108" w:type="dxa"/>
            <w:bottom w:w="0" w:type="dxa"/>
            <w:right w:w="108" w:type="dxa"/>
          </w:tblCellMar>
        </w:tblPrEx>
        <w:trPr>
          <w:trHeight w:val="397" w:hRule="atLeast"/>
        </w:trPr>
        <w:tc>
          <w:tcPr>
            <w:tcW w:w="2062" w:type="dxa"/>
            <w:vMerge w:val="continue"/>
            <w:tcBorders>
              <w:top w:val="nil"/>
              <w:left w:val="nil"/>
              <w:bottom w:val="nil"/>
              <w:right w:val="single" w:color="auto" w:sz="8" w:space="0"/>
            </w:tcBorders>
            <w:vAlign w:val="center"/>
          </w:tcPr>
          <w:p>
            <w:pPr>
              <w:widowControl/>
              <w:jc w:val="left"/>
              <w:rPr>
                <w:rFonts w:cs="Times New Roman"/>
                <w:color w:val="000000"/>
                <w:sz w:val="21"/>
                <w:szCs w:val="21"/>
                <w:lang w:val="en-GB"/>
              </w:rPr>
            </w:pPr>
          </w:p>
        </w:tc>
        <w:tc>
          <w:tcPr>
            <w:tcW w:w="1430" w:type="dxa"/>
            <w:tcBorders>
              <w:top w:val="nil"/>
              <w:left w:val="single" w:color="auto" w:sz="8" w:space="0"/>
              <w:bottom w:val="nil"/>
              <w:right w:val="single" w:color="auto" w:sz="8" w:space="0"/>
            </w:tcBorders>
            <w:shd w:val="clear" w:color="auto" w:fill="auto"/>
            <w:noWrap/>
            <w:vAlign w:val="center"/>
          </w:tcPr>
          <w:p>
            <w:pPr>
              <w:widowControl/>
              <w:jc w:val="left"/>
              <w:rPr>
                <w:rFonts w:eastAsia="黑体" w:cs="Times New Roman"/>
                <w:color w:val="000000"/>
                <w:sz w:val="21"/>
                <w:szCs w:val="21"/>
                <w:lang w:val="en-GB"/>
              </w:rPr>
            </w:pPr>
            <w:r>
              <w:rPr>
                <w:rFonts w:eastAsia="黑体" w:cs="Times New Roman"/>
                <w:color w:val="000000"/>
                <w:sz w:val="21"/>
                <w:szCs w:val="21"/>
                <w:lang w:val="en-GB"/>
              </w:rPr>
              <w:t>(-4.052)</w:t>
            </w:r>
          </w:p>
        </w:tc>
        <w:tc>
          <w:tcPr>
            <w:tcW w:w="1430" w:type="dxa"/>
            <w:tcBorders>
              <w:top w:val="nil"/>
              <w:left w:val="single" w:color="auto" w:sz="8" w:space="0"/>
              <w:bottom w:val="nil"/>
              <w:right w:val="single" w:color="auto" w:sz="8" w:space="0"/>
            </w:tcBorders>
            <w:shd w:val="clear" w:color="auto" w:fill="auto"/>
            <w:noWrap/>
            <w:vAlign w:val="center"/>
          </w:tcPr>
          <w:p>
            <w:pPr>
              <w:widowControl/>
              <w:jc w:val="left"/>
              <w:rPr>
                <w:rFonts w:eastAsia="黑体" w:cs="Times New Roman"/>
                <w:color w:val="000000"/>
                <w:sz w:val="21"/>
                <w:szCs w:val="21"/>
                <w:lang w:val="en-GB"/>
              </w:rPr>
            </w:pPr>
            <w:r>
              <w:rPr>
                <w:rFonts w:eastAsia="黑体" w:cs="Times New Roman"/>
                <w:color w:val="000000"/>
                <w:sz w:val="21"/>
                <w:szCs w:val="21"/>
                <w:lang w:val="en-GB"/>
              </w:rPr>
              <w:t>(-1.976)</w:t>
            </w:r>
          </w:p>
        </w:tc>
        <w:tc>
          <w:tcPr>
            <w:tcW w:w="1430" w:type="dxa"/>
            <w:tcBorders>
              <w:top w:val="nil"/>
              <w:left w:val="single" w:color="auto" w:sz="8" w:space="0"/>
              <w:bottom w:val="nil"/>
              <w:right w:val="single" w:color="auto" w:sz="8" w:space="0"/>
            </w:tcBorders>
            <w:shd w:val="clear" w:color="auto" w:fill="auto"/>
            <w:noWrap/>
            <w:vAlign w:val="center"/>
          </w:tcPr>
          <w:p>
            <w:pPr>
              <w:widowControl/>
              <w:jc w:val="left"/>
              <w:rPr>
                <w:rFonts w:eastAsia="黑体" w:cs="Times New Roman"/>
                <w:color w:val="000000"/>
                <w:sz w:val="21"/>
                <w:szCs w:val="21"/>
                <w:lang w:val="en-GB"/>
              </w:rPr>
            </w:pPr>
            <w:r>
              <w:rPr>
                <w:rFonts w:eastAsia="黑体" w:cs="Times New Roman"/>
                <w:color w:val="000000"/>
                <w:sz w:val="21"/>
                <w:szCs w:val="21"/>
                <w:lang w:val="en-GB"/>
              </w:rPr>
              <w:t>(-4.586)</w:t>
            </w:r>
          </w:p>
        </w:tc>
        <w:tc>
          <w:tcPr>
            <w:tcW w:w="1430" w:type="dxa"/>
            <w:tcBorders>
              <w:top w:val="nil"/>
              <w:left w:val="single" w:color="auto" w:sz="8" w:space="0"/>
              <w:bottom w:val="nil"/>
              <w:right w:val="single" w:color="auto" w:sz="8" w:space="0"/>
            </w:tcBorders>
            <w:shd w:val="clear" w:color="auto" w:fill="auto"/>
            <w:noWrap/>
            <w:vAlign w:val="center"/>
          </w:tcPr>
          <w:p>
            <w:pPr>
              <w:widowControl/>
              <w:jc w:val="left"/>
              <w:rPr>
                <w:rFonts w:eastAsia="黑体" w:cs="Times New Roman"/>
                <w:color w:val="000000"/>
                <w:sz w:val="21"/>
                <w:szCs w:val="21"/>
                <w:lang w:val="en-GB"/>
              </w:rPr>
            </w:pPr>
            <w:r>
              <w:rPr>
                <w:rFonts w:eastAsia="黑体" w:cs="Times New Roman"/>
                <w:color w:val="000000"/>
                <w:sz w:val="21"/>
                <w:szCs w:val="21"/>
                <w:lang w:val="en-GB"/>
              </w:rPr>
              <w:t>(-6.627)</w:t>
            </w:r>
          </w:p>
        </w:tc>
        <w:tc>
          <w:tcPr>
            <w:tcW w:w="1572" w:type="dxa"/>
            <w:tcBorders>
              <w:top w:val="nil"/>
              <w:left w:val="single" w:color="auto" w:sz="8" w:space="0"/>
              <w:bottom w:val="nil"/>
              <w:right w:val="nil"/>
            </w:tcBorders>
            <w:shd w:val="clear" w:color="auto" w:fill="auto"/>
            <w:noWrap/>
            <w:vAlign w:val="center"/>
          </w:tcPr>
          <w:p>
            <w:pPr>
              <w:widowControl/>
              <w:jc w:val="left"/>
              <w:rPr>
                <w:rFonts w:eastAsia="黑体" w:cs="Times New Roman"/>
                <w:color w:val="000000"/>
                <w:sz w:val="21"/>
                <w:szCs w:val="21"/>
                <w:lang w:val="en-GB"/>
              </w:rPr>
            </w:pPr>
            <w:r>
              <w:rPr>
                <w:rFonts w:eastAsia="黑体" w:cs="Times New Roman"/>
                <w:color w:val="000000"/>
                <w:sz w:val="21"/>
                <w:szCs w:val="21"/>
                <w:lang w:val="en-GB"/>
              </w:rPr>
              <w:t>(-0.527)</w:t>
            </w:r>
          </w:p>
        </w:tc>
      </w:tr>
      <w:tr>
        <w:tblPrEx>
          <w:tblCellMar>
            <w:top w:w="0" w:type="dxa"/>
            <w:left w:w="108" w:type="dxa"/>
            <w:bottom w:w="0" w:type="dxa"/>
            <w:right w:w="108" w:type="dxa"/>
          </w:tblCellMar>
        </w:tblPrEx>
        <w:trPr>
          <w:trHeight w:val="397" w:hRule="atLeast"/>
        </w:trPr>
        <w:tc>
          <w:tcPr>
            <w:tcW w:w="2062" w:type="dxa"/>
            <w:vMerge w:val="restart"/>
            <w:tcBorders>
              <w:top w:val="nil"/>
              <w:left w:val="nil"/>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Liquidity</w:t>
            </w:r>
          </w:p>
        </w:tc>
        <w:tc>
          <w:tcPr>
            <w:tcW w:w="1430" w:type="dxa"/>
            <w:tcBorders>
              <w:top w:val="nil"/>
              <w:left w:val="single" w:color="auto" w:sz="8" w:space="0"/>
              <w:bottom w:val="nil"/>
              <w:right w:val="single" w:color="auto" w:sz="8" w:space="0"/>
            </w:tcBorders>
            <w:shd w:val="clear" w:color="auto" w:fill="auto"/>
            <w:noWrap/>
            <w:vAlign w:val="center"/>
          </w:tcPr>
          <w:p>
            <w:pPr>
              <w:widowControl/>
              <w:jc w:val="left"/>
              <w:rPr>
                <w:rFonts w:eastAsia="黑体" w:cs="Times New Roman"/>
                <w:color w:val="000000"/>
                <w:sz w:val="21"/>
                <w:szCs w:val="21"/>
                <w:lang w:val="en-GB"/>
              </w:rPr>
            </w:pPr>
            <w:r>
              <w:rPr>
                <w:rFonts w:eastAsia="黑体" w:cs="Times New Roman"/>
                <w:color w:val="000000"/>
                <w:sz w:val="21"/>
                <w:szCs w:val="21"/>
                <w:lang w:val="en-GB"/>
              </w:rPr>
              <w:t>-0.547***</w:t>
            </w:r>
          </w:p>
        </w:tc>
        <w:tc>
          <w:tcPr>
            <w:tcW w:w="1430" w:type="dxa"/>
            <w:tcBorders>
              <w:top w:val="nil"/>
              <w:left w:val="single" w:color="auto" w:sz="8" w:space="0"/>
              <w:bottom w:val="nil"/>
              <w:right w:val="single" w:color="auto" w:sz="8" w:space="0"/>
            </w:tcBorders>
            <w:shd w:val="clear" w:color="auto" w:fill="auto"/>
            <w:noWrap/>
            <w:vAlign w:val="center"/>
          </w:tcPr>
          <w:p>
            <w:pPr>
              <w:widowControl/>
              <w:jc w:val="left"/>
              <w:rPr>
                <w:rFonts w:eastAsia="黑体" w:cs="Times New Roman"/>
                <w:color w:val="000000"/>
                <w:sz w:val="21"/>
                <w:szCs w:val="21"/>
                <w:lang w:val="en-GB"/>
              </w:rPr>
            </w:pPr>
            <w:r>
              <w:rPr>
                <w:rFonts w:eastAsia="黑体" w:cs="Times New Roman"/>
                <w:color w:val="000000"/>
                <w:sz w:val="21"/>
                <w:szCs w:val="21"/>
                <w:lang w:val="en-GB"/>
              </w:rPr>
              <w:t>0.0478</w:t>
            </w:r>
          </w:p>
        </w:tc>
        <w:tc>
          <w:tcPr>
            <w:tcW w:w="1430" w:type="dxa"/>
            <w:tcBorders>
              <w:top w:val="nil"/>
              <w:left w:val="single" w:color="auto" w:sz="8" w:space="0"/>
              <w:bottom w:val="nil"/>
              <w:right w:val="single" w:color="auto" w:sz="8" w:space="0"/>
            </w:tcBorders>
            <w:shd w:val="clear" w:color="auto" w:fill="auto"/>
            <w:noWrap/>
            <w:vAlign w:val="center"/>
          </w:tcPr>
          <w:p>
            <w:pPr>
              <w:widowControl/>
              <w:jc w:val="left"/>
              <w:rPr>
                <w:rFonts w:eastAsia="黑体" w:cs="Times New Roman"/>
                <w:color w:val="000000"/>
                <w:sz w:val="21"/>
                <w:szCs w:val="21"/>
                <w:lang w:val="en-GB"/>
              </w:rPr>
            </w:pPr>
            <w:r>
              <w:rPr>
                <w:rFonts w:eastAsia="黑体" w:cs="Times New Roman"/>
                <w:color w:val="000000"/>
                <w:sz w:val="21"/>
                <w:szCs w:val="21"/>
                <w:lang w:val="en-GB"/>
              </w:rPr>
              <w:t>-0.582***</w:t>
            </w:r>
          </w:p>
        </w:tc>
        <w:tc>
          <w:tcPr>
            <w:tcW w:w="1430" w:type="dxa"/>
            <w:tcBorders>
              <w:top w:val="nil"/>
              <w:left w:val="single" w:color="auto" w:sz="8" w:space="0"/>
              <w:bottom w:val="nil"/>
              <w:right w:val="single" w:color="auto" w:sz="8" w:space="0"/>
            </w:tcBorders>
            <w:shd w:val="clear" w:color="auto" w:fill="auto"/>
            <w:noWrap/>
            <w:vAlign w:val="center"/>
          </w:tcPr>
          <w:p>
            <w:pPr>
              <w:widowControl/>
              <w:jc w:val="left"/>
              <w:rPr>
                <w:rFonts w:eastAsia="黑体" w:cs="Times New Roman"/>
                <w:color w:val="000000"/>
                <w:sz w:val="21"/>
                <w:szCs w:val="21"/>
                <w:lang w:val="en-GB"/>
              </w:rPr>
            </w:pPr>
            <w:r>
              <w:rPr>
                <w:rFonts w:eastAsia="黑体" w:cs="Times New Roman"/>
                <w:color w:val="000000"/>
                <w:sz w:val="21"/>
                <w:szCs w:val="21"/>
                <w:lang w:val="en-GB"/>
              </w:rPr>
              <w:t>0.165</w:t>
            </w:r>
          </w:p>
        </w:tc>
        <w:tc>
          <w:tcPr>
            <w:tcW w:w="1572" w:type="dxa"/>
            <w:tcBorders>
              <w:top w:val="nil"/>
              <w:left w:val="single" w:color="auto" w:sz="8" w:space="0"/>
              <w:bottom w:val="nil"/>
              <w:right w:val="nil"/>
            </w:tcBorders>
            <w:shd w:val="clear" w:color="auto" w:fill="auto"/>
            <w:noWrap/>
            <w:vAlign w:val="center"/>
          </w:tcPr>
          <w:p>
            <w:pPr>
              <w:widowControl/>
              <w:jc w:val="left"/>
              <w:rPr>
                <w:rFonts w:eastAsia="黑体" w:cs="Times New Roman"/>
                <w:color w:val="000000"/>
                <w:sz w:val="21"/>
                <w:szCs w:val="21"/>
                <w:lang w:val="en-GB"/>
              </w:rPr>
            </w:pPr>
            <w:r>
              <w:rPr>
                <w:rFonts w:eastAsia="黑体" w:cs="Times New Roman"/>
                <w:color w:val="000000"/>
                <w:sz w:val="21"/>
                <w:szCs w:val="21"/>
                <w:lang w:val="en-GB"/>
              </w:rPr>
              <w:t>-0.148***</w:t>
            </w:r>
          </w:p>
        </w:tc>
      </w:tr>
      <w:tr>
        <w:tblPrEx>
          <w:tblCellMar>
            <w:top w:w="0" w:type="dxa"/>
            <w:left w:w="108" w:type="dxa"/>
            <w:bottom w:w="0" w:type="dxa"/>
            <w:right w:w="108" w:type="dxa"/>
          </w:tblCellMar>
        </w:tblPrEx>
        <w:trPr>
          <w:trHeight w:val="397" w:hRule="atLeast"/>
        </w:trPr>
        <w:tc>
          <w:tcPr>
            <w:tcW w:w="2062" w:type="dxa"/>
            <w:vMerge w:val="continue"/>
            <w:tcBorders>
              <w:top w:val="nil"/>
              <w:left w:val="nil"/>
              <w:bottom w:val="nil"/>
              <w:right w:val="single" w:color="auto" w:sz="8" w:space="0"/>
            </w:tcBorders>
            <w:vAlign w:val="center"/>
          </w:tcPr>
          <w:p>
            <w:pPr>
              <w:widowControl/>
              <w:jc w:val="left"/>
              <w:rPr>
                <w:rFonts w:cs="Times New Roman"/>
                <w:color w:val="000000"/>
                <w:sz w:val="21"/>
                <w:szCs w:val="21"/>
                <w:lang w:val="en-GB"/>
              </w:rPr>
            </w:pPr>
          </w:p>
        </w:tc>
        <w:tc>
          <w:tcPr>
            <w:tcW w:w="1430" w:type="dxa"/>
            <w:tcBorders>
              <w:top w:val="nil"/>
              <w:left w:val="single" w:color="auto" w:sz="8" w:space="0"/>
              <w:bottom w:val="nil"/>
              <w:right w:val="single" w:color="auto" w:sz="8" w:space="0"/>
            </w:tcBorders>
            <w:shd w:val="clear" w:color="auto" w:fill="auto"/>
            <w:noWrap/>
            <w:vAlign w:val="center"/>
          </w:tcPr>
          <w:p>
            <w:pPr>
              <w:widowControl/>
              <w:jc w:val="left"/>
              <w:rPr>
                <w:rFonts w:eastAsia="黑体" w:cs="Times New Roman"/>
                <w:color w:val="000000"/>
                <w:sz w:val="21"/>
                <w:szCs w:val="21"/>
                <w:lang w:val="en-GB"/>
              </w:rPr>
            </w:pPr>
            <w:r>
              <w:rPr>
                <w:rFonts w:eastAsia="黑体" w:cs="Times New Roman"/>
                <w:color w:val="000000"/>
                <w:sz w:val="21"/>
                <w:szCs w:val="21"/>
                <w:lang w:val="en-GB"/>
              </w:rPr>
              <w:t>(-0.0981)</w:t>
            </w:r>
          </w:p>
        </w:tc>
        <w:tc>
          <w:tcPr>
            <w:tcW w:w="1430" w:type="dxa"/>
            <w:tcBorders>
              <w:top w:val="nil"/>
              <w:left w:val="single" w:color="auto" w:sz="8" w:space="0"/>
              <w:bottom w:val="nil"/>
              <w:right w:val="single" w:color="auto" w:sz="8" w:space="0"/>
            </w:tcBorders>
            <w:shd w:val="clear" w:color="auto" w:fill="auto"/>
            <w:noWrap/>
            <w:vAlign w:val="center"/>
          </w:tcPr>
          <w:p>
            <w:pPr>
              <w:widowControl/>
              <w:jc w:val="left"/>
              <w:rPr>
                <w:rFonts w:eastAsia="黑体" w:cs="Times New Roman"/>
                <w:color w:val="000000"/>
                <w:sz w:val="21"/>
                <w:szCs w:val="21"/>
                <w:lang w:val="en-GB"/>
              </w:rPr>
            </w:pPr>
            <w:r>
              <w:rPr>
                <w:rFonts w:eastAsia="黑体" w:cs="Times New Roman"/>
                <w:color w:val="000000"/>
                <w:sz w:val="21"/>
                <w:szCs w:val="21"/>
                <w:lang w:val="en-GB"/>
              </w:rPr>
              <w:t>(-0.626)</w:t>
            </w:r>
          </w:p>
        </w:tc>
        <w:tc>
          <w:tcPr>
            <w:tcW w:w="1430" w:type="dxa"/>
            <w:tcBorders>
              <w:top w:val="nil"/>
              <w:left w:val="single" w:color="auto" w:sz="8" w:space="0"/>
              <w:bottom w:val="nil"/>
              <w:right w:val="single" w:color="auto" w:sz="8" w:space="0"/>
            </w:tcBorders>
            <w:shd w:val="clear" w:color="auto" w:fill="auto"/>
            <w:noWrap/>
            <w:vAlign w:val="center"/>
          </w:tcPr>
          <w:p>
            <w:pPr>
              <w:widowControl/>
              <w:jc w:val="left"/>
              <w:rPr>
                <w:rFonts w:eastAsia="黑体" w:cs="Times New Roman"/>
                <w:color w:val="000000"/>
                <w:sz w:val="21"/>
                <w:szCs w:val="21"/>
                <w:lang w:val="en-GB"/>
              </w:rPr>
            </w:pPr>
            <w:r>
              <w:rPr>
                <w:rFonts w:eastAsia="黑体" w:cs="Times New Roman"/>
                <w:color w:val="000000"/>
                <w:sz w:val="21"/>
                <w:szCs w:val="21"/>
                <w:lang w:val="en-GB"/>
              </w:rPr>
              <w:t>(-0.0989)</w:t>
            </w:r>
          </w:p>
        </w:tc>
        <w:tc>
          <w:tcPr>
            <w:tcW w:w="1430" w:type="dxa"/>
            <w:tcBorders>
              <w:top w:val="nil"/>
              <w:left w:val="single" w:color="auto" w:sz="8" w:space="0"/>
              <w:bottom w:val="nil"/>
              <w:right w:val="single" w:color="auto" w:sz="8" w:space="0"/>
            </w:tcBorders>
            <w:shd w:val="clear" w:color="auto" w:fill="auto"/>
            <w:noWrap/>
            <w:vAlign w:val="center"/>
          </w:tcPr>
          <w:p>
            <w:pPr>
              <w:widowControl/>
              <w:jc w:val="left"/>
              <w:rPr>
                <w:rFonts w:eastAsia="黑体" w:cs="Times New Roman"/>
                <w:color w:val="000000"/>
                <w:sz w:val="21"/>
                <w:szCs w:val="21"/>
                <w:lang w:val="en-GB"/>
              </w:rPr>
            </w:pPr>
            <w:r>
              <w:rPr>
                <w:rFonts w:eastAsia="黑体" w:cs="Times New Roman"/>
                <w:color w:val="000000"/>
                <w:sz w:val="21"/>
                <w:szCs w:val="21"/>
                <w:lang w:val="en-GB"/>
              </w:rPr>
              <w:t>(-0.432)</w:t>
            </w:r>
          </w:p>
        </w:tc>
        <w:tc>
          <w:tcPr>
            <w:tcW w:w="1572" w:type="dxa"/>
            <w:tcBorders>
              <w:top w:val="nil"/>
              <w:left w:val="single" w:color="auto" w:sz="8" w:space="0"/>
              <w:bottom w:val="nil"/>
              <w:right w:val="nil"/>
            </w:tcBorders>
            <w:shd w:val="clear" w:color="auto" w:fill="auto"/>
            <w:noWrap/>
            <w:vAlign w:val="center"/>
          </w:tcPr>
          <w:p>
            <w:pPr>
              <w:widowControl/>
              <w:jc w:val="left"/>
              <w:rPr>
                <w:rFonts w:eastAsia="黑体" w:cs="Times New Roman"/>
                <w:color w:val="000000"/>
                <w:sz w:val="21"/>
                <w:szCs w:val="21"/>
                <w:lang w:val="en-GB"/>
              </w:rPr>
            </w:pPr>
            <w:r>
              <w:rPr>
                <w:rFonts w:eastAsia="黑体" w:cs="Times New Roman"/>
                <w:color w:val="000000"/>
                <w:sz w:val="21"/>
                <w:szCs w:val="21"/>
                <w:lang w:val="en-GB"/>
              </w:rPr>
              <w:t>(-0.0217)</w:t>
            </w:r>
          </w:p>
        </w:tc>
      </w:tr>
      <w:tr>
        <w:tblPrEx>
          <w:tblCellMar>
            <w:top w:w="0" w:type="dxa"/>
            <w:left w:w="108" w:type="dxa"/>
            <w:bottom w:w="0" w:type="dxa"/>
            <w:right w:w="108" w:type="dxa"/>
          </w:tblCellMar>
        </w:tblPrEx>
        <w:trPr>
          <w:trHeight w:val="397" w:hRule="atLeast"/>
        </w:trPr>
        <w:tc>
          <w:tcPr>
            <w:tcW w:w="2062" w:type="dxa"/>
            <w:vMerge w:val="restart"/>
            <w:tcBorders>
              <w:top w:val="nil"/>
              <w:left w:val="nil"/>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Grow</w:t>
            </w:r>
          </w:p>
        </w:tc>
        <w:tc>
          <w:tcPr>
            <w:tcW w:w="1430" w:type="dxa"/>
            <w:tcBorders>
              <w:top w:val="nil"/>
              <w:left w:val="single" w:color="auto" w:sz="8" w:space="0"/>
              <w:bottom w:val="nil"/>
              <w:right w:val="single" w:color="auto" w:sz="8" w:space="0"/>
            </w:tcBorders>
            <w:shd w:val="clear" w:color="auto" w:fill="auto"/>
            <w:noWrap/>
            <w:vAlign w:val="center"/>
          </w:tcPr>
          <w:p>
            <w:pPr>
              <w:widowControl/>
              <w:jc w:val="left"/>
              <w:rPr>
                <w:rFonts w:eastAsia="黑体" w:cs="Times New Roman"/>
                <w:color w:val="000000"/>
                <w:sz w:val="21"/>
                <w:szCs w:val="21"/>
                <w:lang w:val="en-GB"/>
              </w:rPr>
            </w:pPr>
            <w:r>
              <w:rPr>
                <w:rFonts w:eastAsia="黑体" w:cs="Times New Roman"/>
                <w:color w:val="000000"/>
                <w:sz w:val="21"/>
                <w:szCs w:val="21"/>
                <w:lang w:val="en-GB"/>
              </w:rPr>
              <w:t>-0.000841</w:t>
            </w:r>
          </w:p>
        </w:tc>
        <w:tc>
          <w:tcPr>
            <w:tcW w:w="1430" w:type="dxa"/>
            <w:tcBorders>
              <w:top w:val="nil"/>
              <w:left w:val="single" w:color="auto" w:sz="8" w:space="0"/>
              <w:bottom w:val="nil"/>
              <w:right w:val="single" w:color="auto" w:sz="8" w:space="0"/>
            </w:tcBorders>
            <w:shd w:val="clear" w:color="auto" w:fill="auto"/>
            <w:noWrap/>
            <w:vAlign w:val="center"/>
          </w:tcPr>
          <w:p>
            <w:pPr>
              <w:widowControl/>
              <w:jc w:val="left"/>
              <w:rPr>
                <w:rFonts w:eastAsia="黑体" w:cs="Times New Roman"/>
                <w:color w:val="000000"/>
                <w:sz w:val="21"/>
                <w:szCs w:val="21"/>
                <w:lang w:val="en-GB"/>
              </w:rPr>
            </w:pPr>
            <w:r>
              <w:rPr>
                <w:rFonts w:eastAsia="黑体" w:cs="Times New Roman"/>
                <w:color w:val="000000"/>
                <w:sz w:val="21"/>
                <w:szCs w:val="21"/>
                <w:lang w:val="en-GB"/>
              </w:rPr>
              <w:t>-0.00487*</w:t>
            </w:r>
          </w:p>
        </w:tc>
        <w:tc>
          <w:tcPr>
            <w:tcW w:w="1430" w:type="dxa"/>
            <w:tcBorders>
              <w:top w:val="nil"/>
              <w:left w:val="single" w:color="auto" w:sz="8" w:space="0"/>
              <w:bottom w:val="nil"/>
              <w:right w:val="single" w:color="auto" w:sz="8" w:space="0"/>
            </w:tcBorders>
            <w:shd w:val="clear" w:color="auto" w:fill="auto"/>
            <w:noWrap/>
            <w:vAlign w:val="center"/>
          </w:tcPr>
          <w:p>
            <w:pPr>
              <w:widowControl/>
              <w:jc w:val="left"/>
              <w:rPr>
                <w:rFonts w:eastAsia="黑体" w:cs="Times New Roman"/>
                <w:color w:val="000000"/>
                <w:sz w:val="21"/>
                <w:szCs w:val="21"/>
                <w:lang w:val="en-GB"/>
              </w:rPr>
            </w:pPr>
            <w:r>
              <w:rPr>
                <w:rFonts w:eastAsia="黑体" w:cs="Times New Roman"/>
                <w:color w:val="000000"/>
                <w:sz w:val="21"/>
                <w:szCs w:val="21"/>
                <w:lang w:val="en-GB"/>
              </w:rPr>
              <w:t>0.000126</w:t>
            </w:r>
          </w:p>
        </w:tc>
        <w:tc>
          <w:tcPr>
            <w:tcW w:w="1430" w:type="dxa"/>
            <w:tcBorders>
              <w:top w:val="nil"/>
              <w:left w:val="single" w:color="auto" w:sz="8" w:space="0"/>
              <w:bottom w:val="nil"/>
              <w:right w:val="single" w:color="auto" w:sz="8" w:space="0"/>
            </w:tcBorders>
            <w:shd w:val="clear" w:color="auto" w:fill="auto"/>
            <w:noWrap/>
            <w:vAlign w:val="center"/>
          </w:tcPr>
          <w:p>
            <w:pPr>
              <w:widowControl/>
              <w:jc w:val="left"/>
              <w:rPr>
                <w:rFonts w:eastAsia="黑体" w:cs="Times New Roman"/>
                <w:color w:val="000000"/>
                <w:sz w:val="21"/>
                <w:szCs w:val="21"/>
                <w:lang w:val="en-GB"/>
              </w:rPr>
            </w:pPr>
            <w:r>
              <w:rPr>
                <w:rFonts w:eastAsia="黑体" w:cs="Times New Roman"/>
                <w:color w:val="000000"/>
                <w:sz w:val="21"/>
                <w:szCs w:val="21"/>
                <w:lang w:val="en-GB"/>
              </w:rPr>
              <w:t>-0.00871</w:t>
            </w:r>
          </w:p>
        </w:tc>
        <w:tc>
          <w:tcPr>
            <w:tcW w:w="1572" w:type="dxa"/>
            <w:tcBorders>
              <w:top w:val="nil"/>
              <w:left w:val="single" w:color="auto" w:sz="8" w:space="0"/>
              <w:bottom w:val="nil"/>
              <w:right w:val="nil"/>
            </w:tcBorders>
            <w:shd w:val="clear" w:color="auto" w:fill="auto"/>
            <w:noWrap/>
            <w:vAlign w:val="center"/>
          </w:tcPr>
          <w:p>
            <w:pPr>
              <w:widowControl/>
              <w:jc w:val="left"/>
              <w:rPr>
                <w:rFonts w:eastAsia="黑体" w:cs="Times New Roman"/>
                <w:color w:val="000000"/>
                <w:sz w:val="21"/>
                <w:szCs w:val="21"/>
                <w:lang w:val="en-GB"/>
              </w:rPr>
            </w:pPr>
            <w:r>
              <w:rPr>
                <w:rFonts w:eastAsia="黑体" w:cs="Times New Roman"/>
                <w:color w:val="000000"/>
                <w:sz w:val="21"/>
                <w:szCs w:val="21"/>
                <w:lang w:val="en-GB"/>
              </w:rPr>
              <w:t>0.0000616</w:t>
            </w:r>
          </w:p>
        </w:tc>
      </w:tr>
      <w:tr>
        <w:tblPrEx>
          <w:tblCellMar>
            <w:top w:w="0" w:type="dxa"/>
            <w:left w:w="108" w:type="dxa"/>
            <w:bottom w:w="0" w:type="dxa"/>
            <w:right w:w="108" w:type="dxa"/>
          </w:tblCellMar>
        </w:tblPrEx>
        <w:trPr>
          <w:trHeight w:val="397" w:hRule="atLeast"/>
        </w:trPr>
        <w:tc>
          <w:tcPr>
            <w:tcW w:w="2062" w:type="dxa"/>
            <w:vMerge w:val="continue"/>
            <w:tcBorders>
              <w:top w:val="nil"/>
              <w:left w:val="nil"/>
              <w:bottom w:val="nil"/>
              <w:right w:val="single" w:color="auto" w:sz="8" w:space="0"/>
            </w:tcBorders>
            <w:vAlign w:val="center"/>
          </w:tcPr>
          <w:p>
            <w:pPr>
              <w:widowControl/>
              <w:jc w:val="left"/>
              <w:rPr>
                <w:rFonts w:cs="Times New Roman"/>
                <w:color w:val="000000"/>
                <w:sz w:val="21"/>
                <w:szCs w:val="21"/>
                <w:lang w:val="en-GB"/>
              </w:rPr>
            </w:pPr>
          </w:p>
        </w:tc>
        <w:tc>
          <w:tcPr>
            <w:tcW w:w="1430" w:type="dxa"/>
            <w:tcBorders>
              <w:top w:val="nil"/>
              <w:left w:val="single" w:color="auto" w:sz="8" w:space="0"/>
              <w:bottom w:val="nil"/>
              <w:right w:val="single" w:color="auto" w:sz="8" w:space="0"/>
            </w:tcBorders>
            <w:shd w:val="clear" w:color="auto" w:fill="auto"/>
            <w:noWrap/>
            <w:vAlign w:val="center"/>
          </w:tcPr>
          <w:p>
            <w:pPr>
              <w:widowControl/>
              <w:jc w:val="left"/>
              <w:rPr>
                <w:rFonts w:eastAsia="黑体" w:cs="Times New Roman"/>
                <w:color w:val="000000"/>
                <w:sz w:val="21"/>
                <w:szCs w:val="21"/>
                <w:lang w:val="en-GB"/>
              </w:rPr>
            </w:pPr>
            <w:r>
              <w:rPr>
                <w:rFonts w:eastAsia="黑体" w:cs="Times New Roman"/>
                <w:color w:val="000000"/>
                <w:sz w:val="21"/>
                <w:szCs w:val="21"/>
                <w:lang w:val="en-GB"/>
              </w:rPr>
              <w:t>(-0.00337)</w:t>
            </w:r>
          </w:p>
        </w:tc>
        <w:tc>
          <w:tcPr>
            <w:tcW w:w="1430" w:type="dxa"/>
            <w:tcBorders>
              <w:top w:val="nil"/>
              <w:left w:val="single" w:color="auto" w:sz="8" w:space="0"/>
              <w:bottom w:val="nil"/>
              <w:right w:val="single" w:color="auto" w:sz="8" w:space="0"/>
            </w:tcBorders>
            <w:shd w:val="clear" w:color="auto" w:fill="auto"/>
            <w:noWrap/>
            <w:vAlign w:val="center"/>
          </w:tcPr>
          <w:p>
            <w:pPr>
              <w:widowControl/>
              <w:jc w:val="left"/>
              <w:rPr>
                <w:rFonts w:eastAsia="黑体" w:cs="Times New Roman"/>
                <w:color w:val="000000"/>
                <w:sz w:val="21"/>
                <w:szCs w:val="21"/>
                <w:lang w:val="en-GB"/>
              </w:rPr>
            </w:pPr>
            <w:r>
              <w:rPr>
                <w:rFonts w:eastAsia="黑体" w:cs="Times New Roman"/>
                <w:color w:val="000000"/>
                <w:sz w:val="21"/>
                <w:szCs w:val="21"/>
                <w:lang w:val="en-GB"/>
              </w:rPr>
              <w:t>(-0.00249)</w:t>
            </w:r>
          </w:p>
        </w:tc>
        <w:tc>
          <w:tcPr>
            <w:tcW w:w="1430" w:type="dxa"/>
            <w:tcBorders>
              <w:top w:val="nil"/>
              <w:left w:val="single" w:color="auto" w:sz="8" w:space="0"/>
              <w:bottom w:val="nil"/>
              <w:right w:val="single" w:color="auto" w:sz="8" w:space="0"/>
            </w:tcBorders>
            <w:shd w:val="clear" w:color="auto" w:fill="auto"/>
            <w:noWrap/>
            <w:vAlign w:val="center"/>
          </w:tcPr>
          <w:p>
            <w:pPr>
              <w:widowControl/>
              <w:jc w:val="left"/>
              <w:rPr>
                <w:rFonts w:eastAsia="黑体" w:cs="Times New Roman"/>
                <w:color w:val="000000"/>
                <w:sz w:val="21"/>
                <w:szCs w:val="21"/>
                <w:lang w:val="en-GB"/>
              </w:rPr>
            </w:pPr>
            <w:r>
              <w:rPr>
                <w:rFonts w:eastAsia="黑体" w:cs="Times New Roman"/>
                <w:color w:val="000000"/>
                <w:sz w:val="21"/>
                <w:szCs w:val="21"/>
                <w:lang w:val="en-GB"/>
              </w:rPr>
              <w:t>(-0.00379)</w:t>
            </w:r>
          </w:p>
        </w:tc>
        <w:tc>
          <w:tcPr>
            <w:tcW w:w="1430" w:type="dxa"/>
            <w:tcBorders>
              <w:top w:val="nil"/>
              <w:left w:val="single" w:color="auto" w:sz="8" w:space="0"/>
              <w:bottom w:val="nil"/>
              <w:right w:val="single" w:color="auto" w:sz="8" w:space="0"/>
            </w:tcBorders>
            <w:shd w:val="clear" w:color="auto" w:fill="auto"/>
            <w:noWrap/>
            <w:vAlign w:val="center"/>
          </w:tcPr>
          <w:p>
            <w:pPr>
              <w:widowControl/>
              <w:jc w:val="left"/>
              <w:rPr>
                <w:rFonts w:eastAsia="黑体" w:cs="Times New Roman"/>
                <w:color w:val="000000"/>
                <w:sz w:val="21"/>
                <w:szCs w:val="21"/>
                <w:lang w:val="en-GB"/>
              </w:rPr>
            </w:pPr>
            <w:r>
              <w:rPr>
                <w:rFonts w:eastAsia="黑体" w:cs="Times New Roman"/>
                <w:color w:val="000000"/>
                <w:sz w:val="21"/>
                <w:szCs w:val="21"/>
                <w:lang w:val="en-GB"/>
              </w:rPr>
              <w:t>(-0.00624)</w:t>
            </w:r>
          </w:p>
        </w:tc>
        <w:tc>
          <w:tcPr>
            <w:tcW w:w="1572" w:type="dxa"/>
            <w:tcBorders>
              <w:top w:val="nil"/>
              <w:left w:val="single" w:color="auto" w:sz="8" w:space="0"/>
              <w:bottom w:val="nil"/>
              <w:right w:val="nil"/>
            </w:tcBorders>
            <w:shd w:val="clear" w:color="auto" w:fill="auto"/>
            <w:noWrap/>
            <w:vAlign w:val="center"/>
          </w:tcPr>
          <w:p>
            <w:pPr>
              <w:widowControl/>
              <w:jc w:val="left"/>
              <w:rPr>
                <w:rFonts w:eastAsia="黑体" w:cs="Times New Roman"/>
                <w:color w:val="000000"/>
                <w:sz w:val="21"/>
                <w:szCs w:val="21"/>
                <w:lang w:val="en-GB"/>
              </w:rPr>
            </w:pPr>
            <w:r>
              <w:rPr>
                <w:rFonts w:eastAsia="黑体" w:cs="Times New Roman"/>
                <w:color w:val="000000"/>
                <w:sz w:val="21"/>
                <w:szCs w:val="21"/>
                <w:lang w:val="en-GB"/>
              </w:rPr>
              <w:t>(-0.000765)</w:t>
            </w:r>
          </w:p>
        </w:tc>
      </w:tr>
      <w:tr>
        <w:tblPrEx>
          <w:tblCellMar>
            <w:top w:w="0" w:type="dxa"/>
            <w:left w:w="108" w:type="dxa"/>
            <w:bottom w:w="0" w:type="dxa"/>
            <w:right w:w="108" w:type="dxa"/>
          </w:tblCellMar>
        </w:tblPrEx>
        <w:trPr>
          <w:trHeight w:val="397" w:hRule="atLeast"/>
        </w:trPr>
        <w:tc>
          <w:tcPr>
            <w:tcW w:w="2062" w:type="dxa"/>
            <w:vMerge w:val="restart"/>
            <w:tcBorders>
              <w:top w:val="nil"/>
              <w:left w:val="nil"/>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Tax</w:t>
            </w:r>
          </w:p>
        </w:tc>
        <w:tc>
          <w:tcPr>
            <w:tcW w:w="1430" w:type="dxa"/>
            <w:tcBorders>
              <w:top w:val="nil"/>
              <w:left w:val="single" w:color="auto" w:sz="8" w:space="0"/>
              <w:bottom w:val="nil"/>
              <w:right w:val="single" w:color="auto" w:sz="8" w:space="0"/>
            </w:tcBorders>
            <w:shd w:val="clear" w:color="auto" w:fill="auto"/>
            <w:noWrap/>
            <w:vAlign w:val="center"/>
          </w:tcPr>
          <w:p>
            <w:pPr>
              <w:widowControl/>
              <w:jc w:val="left"/>
              <w:rPr>
                <w:rFonts w:eastAsia="黑体" w:cs="Times New Roman"/>
                <w:color w:val="000000"/>
                <w:sz w:val="21"/>
                <w:szCs w:val="21"/>
                <w:lang w:val="en-GB"/>
              </w:rPr>
            </w:pPr>
            <w:r>
              <w:rPr>
                <w:rFonts w:eastAsia="黑体" w:cs="Times New Roman"/>
                <w:color w:val="000000"/>
                <w:sz w:val="21"/>
                <w:szCs w:val="21"/>
                <w:lang w:val="en-GB"/>
              </w:rPr>
              <w:t>2.761***</w:t>
            </w:r>
          </w:p>
        </w:tc>
        <w:tc>
          <w:tcPr>
            <w:tcW w:w="1430" w:type="dxa"/>
            <w:tcBorders>
              <w:top w:val="nil"/>
              <w:left w:val="single" w:color="auto" w:sz="8" w:space="0"/>
              <w:bottom w:val="nil"/>
              <w:right w:val="single" w:color="auto" w:sz="8" w:space="0"/>
            </w:tcBorders>
            <w:shd w:val="clear" w:color="auto" w:fill="auto"/>
            <w:noWrap/>
            <w:vAlign w:val="center"/>
          </w:tcPr>
          <w:p>
            <w:pPr>
              <w:widowControl/>
              <w:jc w:val="left"/>
              <w:rPr>
                <w:rFonts w:eastAsia="黑体" w:cs="Times New Roman"/>
                <w:color w:val="000000"/>
                <w:sz w:val="21"/>
                <w:szCs w:val="21"/>
                <w:lang w:val="en-GB"/>
              </w:rPr>
            </w:pPr>
            <w:r>
              <w:rPr>
                <w:rFonts w:eastAsia="黑体" w:cs="Times New Roman"/>
                <w:color w:val="000000"/>
                <w:sz w:val="21"/>
                <w:szCs w:val="21"/>
                <w:lang w:val="en-GB"/>
              </w:rPr>
              <w:t>-0.938*</w:t>
            </w:r>
          </w:p>
        </w:tc>
        <w:tc>
          <w:tcPr>
            <w:tcW w:w="1430" w:type="dxa"/>
            <w:tcBorders>
              <w:top w:val="nil"/>
              <w:left w:val="single" w:color="auto" w:sz="8" w:space="0"/>
              <w:bottom w:val="nil"/>
              <w:right w:val="single" w:color="auto" w:sz="8" w:space="0"/>
            </w:tcBorders>
            <w:shd w:val="clear" w:color="auto" w:fill="auto"/>
            <w:noWrap/>
            <w:vAlign w:val="center"/>
          </w:tcPr>
          <w:p>
            <w:pPr>
              <w:widowControl/>
              <w:jc w:val="left"/>
              <w:rPr>
                <w:rFonts w:eastAsia="黑体" w:cs="Times New Roman"/>
                <w:color w:val="000000"/>
                <w:sz w:val="21"/>
                <w:szCs w:val="21"/>
                <w:lang w:val="en-GB"/>
              </w:rPr>
            </w:pPr>
            <w:r>
              <w:rPr>
                <w:rFonts w:eastAsia="黑体" w:cs="Times New Roman"/>
                <w:color w:val="000000"/>
                <w:sz w:val="21"/>
                <w:szCs w:val="21"/>
                <w:lang w:val="en-GB"/>
              </w:rPr>
              <w:t>3.111***</w:t>
            </w:r>
          </w:p>
        </w:tc>
        <w:tc>
          <w:tcPr>
            <w:tcW w:w="1430" w:type="dxa"/>
            <w:tcBorders>
              <w:top w:val="nil"/>
              <w:left w:val="single" w:color="auto" w:sz="8" w:space="0"/>
              <w:bottom w:val="nil"/>
              <w:right w:val="single" w:color="auto" w:sz="8" w:space="0"/>
            </w:tcBorders>
            <w:shd w:val="clear" w:color="auto" w:fill="auto"/>
            <w:noWrap/>
            <w:vAlign w:val="center"/>
          </w:tcPr>
          <w:p>
            <w:pPr>
              <w:widowControl/>
              <w:jc w:val="left"/>
              <w:rPr>
                <w:rFonts w:eastAsia="黑体" w:cs="Times New Roman"/>
                <w:color w:val="000000"/>
                <w:sz w:val="21"/>
                <w:szCs w:val="21"/>
                <w:lang w:val="en-GB"/>
              </w:rPr>
            </w:pPr>
            <w:r>
              <w:rPr>
                <w:rFonts w:eastAsia="黑体" w:cs="Times New Roman"/>
                <w:color w:val="000000"/>
                <w:sz w:val="21"/>
                <w:szCs w:val="21"/>
                <w:lang w:val="en-GB"/>
              </w:rPr>
              <w:t>4.497***</w:t>
            </w:r>
          </w:p>
        </w:tc>
        <w:tc>
          <w:tcPr>
            <w:tcW w:w="1572" w:type="dxa"/>
            <w:tcBorders>
              <w:top w:val="nil"/>
              <w:left w:val="single" w:color="auto" w:sz="8" w:space="0"/>
              <w:bottom w:val="nil"/>
              <w:right w:val="nil"/>
            </w:tcBorders>
            <w:shd w:val="clear" w:color="auto" w:fill="auto"/>
            <w:noWrap/>
            <w:vAlign w:val="center"/>
          </w:tcPr>
          <w:p>
            <w:pPr>
              <w:widowControl/>
              <w:jc w:val="left"/>
              <w:rPr>
                <w:rFonts w:eastAsia="黑体" w:cs="Times New Roman"/>
                <w:color w:val="000000"/>
                <w:sz w:val="21"/>
                <w:szCs w:val="21"/>
                <w:lang w:val="en-GB"/>
              </w:rPr>
            </w:pPr>
            <w:r>
              <w:rPr>
                <w:rFonts w:eastAsia="黑体" w:cs="Times New Roman"/>
                <w:color w:val="000000"/>
                <w:sz w:val="21"/>
                <w:szCs w:val="21"/>
                <w:lang w:val="en-GB"/>
              </w:rPr>
              <w:t>-0.0134</w:t>
            </w:r>
          </w:p>
        </w:tc>
      </w:tr>
      <w:tr>
        <w:tblPrEx>
          <w:tblCellMar>
            <w:top w:w="0" w:type="dxa"/>
            <w:left w:w="108" w:type="dxa"/>
            <w:bottom w:w="0" w:type="dxa"/>
            <w:right w:w="108" w:type="dxa"/>
          </w:tblCellMar>
        </w:tblPrEx>
        <w:trPr>
          <w:trHeight w:val="397" w:hRule="atLeast"/>
        </w:trPr>
        <w:tc>
          <w:tcPr>
            <w:tcW w:w="2062" w:type="dxa"/>
            <w:vMerge w:val="continue"/>
            <w:tcBorders>
              <w:top w:val="nil"/>
              <w:left w:val="nil"/>
              <w:bottom w:val="nil"/>
              <w:right w:val="single" w:color="auto" w:sz="8" w:space="0"/>
            </w:tcBorders>
            <w:vAlign w:val="center"/>
          </w:tcPr>
          <w:p>
            <w:pPr>
              <w:widowControl/>
              <w:jc w:val="left"/>
              <w:rPr>
                <w:rFonts w:cs="Times New Roman"/>
                <w:color w:val="000000"/>
                <w:sz w:val="21"/>
                <w:szCs w:val="21"/>
                <w:lang w:val="en-GB"/>
              </w:rPr>
            </w:pPr>
          </w:p>
        </w:tc>
        <w:tc>
          <w:tcPr>
            <w:tcW w:w="1430" w:type="dxa"/>
            <w:tcBorders>
              <w:top w:val="nil"/>
              <w:left w:val="single" w:color="auto" w:sz="8" w:space="0"/>
              <w:bottom w:val="nil"/>
              <w:right w:val="single" w:color="auto" w:sz="8" w:space="0"/>
            </w:tcBorders>
            <w:shd w:val="clear" w:color="auto" w:fill="auto"/>
            <w:noWrap/>
            <w:vAlign w:val="center"/>
          </w:tcPr>
          <w:p>
            <w:pPr>
              <w:widowControl/>
              <w:jc w:val="left"/>
              <w:rPr>
                <w:rFonts w:eastAsia="黑体" w:cs="Times New Roman"/>
                <w:color w:val="000000"/>
                <w:sz w:val="21"/>
                <w:szCs w:val="21"/>
                <w:lang w:val="en-GB"/>
              </w:rPr>
            </w:pPr>
            <w:r>
              <w:rPr>
                <w:rFonts w:eastAsia="黑体" w:cs="Times New Roman"/>
                <w:color w:val="000000"/>
                <w:sz w:val="21"/>
                <w:szCs w:val="21"/>
                <w:lang w:val="en-GB"/>
              </w:rPr>
              <w:t>(-0.77)</w:t>
            </w:r>
          </w:p>
        </w:tc>
        <w:tc>
          <w:tcPr>
            <w:tcW w:w="1430" w:type="dxa"/>
            <w:tcBorders>
              <w:top w:val="nil"/>
              <w:left w:val="single" w:color="auto" w:sz="8" w:space="0"/>
              <w:bottom w:val="nil"/>
              <w:right w:val="single" w:color="auto" w:sz="8" w:space="0"/>
            </w:tcBorders>
            <w:shd w:val="clear" w:color="auto" w:fill="auto"/>
            <w:noWrap/>
            <w:vAlign w:val="center"/>
          </w:tcPr>
          <w:p>
            <w:pPr>
              <w:widowControl/>
              <w:jc w:val="left"/>
              <w:rPr>
                <w:rFonts w:eastAsia="黑体" w:cs="Times New Roman"/>
                <w:color w:val="000000"/>
                <w:sz w:val="21"/>
                <w:szCs w:val="21"/>
                <w:lang w:val="en-GB"/>
              </w:rPr>
            </w:pPr>
            <w:r>
              <w:rPr>
                <w:rFonts w:eastAsia="黑体" w:cs="Times New Roman"/>
                <w:color w:val="000000"/>
                <w:sz w:val="21"/>
                <w:szCs w:val="21"/>
                <w:lang w:val="en-GB"/>
              </w:rPr>
              <w:t>(-0.508)</w:t>
            </w:r>
          </w:p>
        </w:tc>
        <w:tc>
          <w:tcPr>
            <w:tcW w:w="1430" w:type="dxa"/>
            <w:tcBorders>
              <w:top w:val="nil"/>
              <w:left w:val="single" w:color="auto" w:sz="8" w:space="0"/>
              <w:bottom w:val="nil"/>
              <w:right w:val="single" w:color="auto" w:sz="8" w:space="0"/>
            </w:tcBorders>
            <w:shd w:val="clear" w:color="auto" w:fill="auto"/>
            <w:noWrap/>
            <w:vAlign w:val="center"/>
          </w:tcPr>
          <w:p>
            <w:pPr>
              <w:widowControl/>
              <w:jc w:val="left"/>
              <w:rPr>
                <w:rFonts w:eastAsia="黑体" w:cs="Times New Roman"/>
                <w:color w:val="000000"/>
                <w:sz w:val="21"/>
                <w:szCs w:val="21"/>
                <w:lang w:val="en-GB"/>
              </w:rPr>
            </w:pPr>
            <w:r>
              <w:rPr>
                <w:rFonts w:eastAsia="黑体" w:cs="Times New Roman"/>
                <w:color w:val="000000"/>
                <w:sz w:val="21"/>
                <w:szCs w:val="21"/>
                <w:lang w:val="en-GB"/>
              </w:rPr>
              <w:t>(-0.828)</w:t>
            </w:r>
          </w:p>
        </w:tc>
        <w:tc>
          <w:tcPr>
            <w:tcW w:w="1430" w:type="dxa"/>
            <w:tcBorders>
              <w:top w:val="nil"/>
              <w:left w:val="single" w:color="auto" w:sz="8" w:space="0"/>
              <w:bottom w:val="nil"/>
              <w:right w:val="single" w:color="auto" w:sz="8" w:space="0"/>
            </w:tcBorders>
            <w:shd w:val="clear" w:color="auto" w:fill="auto"/>
            <w:noWrap/>
            <w:vAlign w:val="center"/>
          </w:tcPr>
          <w:p>
            <w:pPr>
              <w:widowControl/>
              <w:jc w:val="left"/>
              <w:rPr>
                <w:rFonts w:eastAsia="黑体" w:cs="Times New Roman"/>
                <w:color w:val="000000"/>
                <w:sz w:val="21"/>
                <w:szCs w:val="21"/>
                <w:lang w:val="en-GB"/>
              </w:rPr>
            </w:pPr>
            <w:r>
              <w:rPr>
                <w:rFonts w:eastAsia="黑体" w:cs="Times New Roman"/>
                <w:color w:val="000000"/>
                <w:sz w:val="21"/>
                <w:szCs w:val="21"/>
                <w:lang w:val="en-GB"/>
              </w:rPr>
              <w:t>(-1.476)</w:t>
            </w:r>
          </w:p>
        </w:tc>
        <w:tc>
          <w:tcPr>
            <w:tcW w:w="1572" w:type="dxa"/>
            <w:tcBorders>
              <w:top w:val="nil"/>
              <w:left w:val="single" w:color="auto" w:sz="8" w:space="0"/>
              <w:bottom w:val="nil"/>
              <w:right w:val="nil"/>
            </w:tcBorders>
            <w:shd w:val="clear" w:color="auto" w:fill="auto"/>
            <w:noWrap/>
            <w:vAlign w:val="center"/>
          </w:tcPr>
          <w:p>
            <w:pPr>
              <w:widowControl/>
              <w:jc w:val="left"/>
              <w:rPr>
                <w:rFonts w:eastAsia="黑体" w:cs="Times New Roman"/>
                <w:color w:val="000000"/>
                <w:sz w:val="21"/>
                <w:szCs w:val="21"/>
                <w:lang w:val="en-GB"/>
              </w:rPr>
            </w:pPr>
            <w:r>
              <w:rPr>
                <w:rFonts w:eastAsia="黑体" w:cs="Times New Roman"/>
                <w:color w:val="000000"/>
                <w:sz w:val="21"/>
                <w:szCs w:val="21"/>
                <w:lang w:val="en-GB"/>
              </w:rPr>
              <w:t>(-0.114)</w:t>
            </w:r>
          </w:p>
        </w:tc>
      </w:tr>
      <w:tr>
        <w:tblPrEx>
          <w:tblCellMar>
            <w:top w:w="0" w:type="dxa"/>
            <w:left w:w="108" w:type="dxa"/>
            <w:bottom w:w="0" w:type="dxa"/>
            <w:right w:w="108" w:type="dxa"/>
          </w:tblCellMar>
        </w:tblPrEx>
        <w:trPr>
          <w:trHeight w:val="397" w:hRule="atLeast"/>
        </w:trPr>
        <w:tc>
          <w:tcPr>
            <w:tcW w:w="2062" w:type="dxa"/>
            <w:vMerge w:val="restart"/>
            <w:tcBorders>
              <w:top w:val="nil"/>
              <w:left w:val="nil"/>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Industry</w:t>
            </w:r>
          </w:p>
        </w:tc>
        <w:tc>
          <w:tcPr>
            <w:tcW w:w="1430" w:type="dxa"/>
            <w:tcBorders>
              <w:top w:val="nil"/>
              <w:left w:val="single" w:color="auto" w:sz="8" w:space="0"/>
              <w:bottom w:val="nil"/>
              <w:right w:val="single" w:color="auto" w:sz="8" w:space="0"/>
            </w:tcBorders>
            <w:shd w:val="clear" w:color="auto" w:fill="auto"/>
            <w:noWrap/>
            <w:vAlign w:val="center"/>
          </w:tcPr>
          <w:p>
            <w:pPr>
              <w:widowControl/>
              <w:jc w:val="left"/>
              <w:rPr>
                <w:rFonts w:eastAsia="黑体" w:cs="Times New Roman"/>
                <w:color w:val="000000"/>
                <w:sz w:val="21"/>
                <w:szCs w:val="21"/>
                <w:lang w:val="en-GB"/>
              </w:rPr>
            </w:pPr>
            <w:r>
              <w:rPr>
                <w:rFonts w:eastAsia="黑体" w:cs="Times New Roman"/>
                <w:color w:val="000000"/>
                <w:sz w:val="21"/>
                <w:szCs w:val="21"/>
                <w:lang w:val="en-GB"/>
              </w:rPr>
              <w:t>0.333***</w:t>
            </w:r>
          </w:p>
        </w:tc>
        <w:tc>
          <w:tcPr>
            <w:tcW w:w="1430" w:type="dxa"/>
            <w:tcBorders>
              <w:top w:val="nil"/>
              <w:left w:val="single" w:color="auto" w:sz="8" w:space="0"/>
              <w:bottom w:val="nil"/>
              <w:right w:val="single" w:color="auto" w:sz="8" w:space="0"/>
            </w:tcBorders>
            <w:shd w:val="clear" w:color="auto" w:fill="auto"/>
            <w:noWrap/>
            <w:vAlign w:val="center"/>
          </w:tcPr>
          <w:p>
            <w:pPr>
              <w:widowControl/>
              <w:jc w:val="left"/>
              <w:rPr>
                <w:rFonts w:eastAsia="黑体" w:cs="Times New Roman"/>
                <w:color w:val="000000"/>
                <w:sz w:val="21"/>
                <w:szCs w:val="21"/>
                <w:lang w:val="en-GB"/>
              </w:rPr>
            </w:pPr>
            <w:r>
              <w:rPr>
                <w:rFonts w:eastAsia="黑体" w:cs="Times New Roman"/>
                <w:color w:val="000000"/>
                <w:sz w:val="21"/>
                <w:szCs w:val="21"/>
                <w:lang w:val="en-GB"/>
              </w:rPr>
              <w:t>0.137</w:t>
            </w:r>
          </w:p>
        </w:tc>
        <w:tc>
          <w:tcPr>
            <w:tcW w:w="1430" w:type="dxa"/>
            <w:tcBorders>
              <w:top w:val="nil"/>
              <w:left w:val="single" w:color="auto" w:sz="8" w:space="0"/>
              <w:bottom w:val="nil"/>
              <w:right w:val="single" w:color="auto" w:sz="8" w:space="0"/>
            </w:tcBorders>
            <w:shd w:val="clear" w:color="auto" w:fill="auto"/>
            <w:noWrap/>
            <w:vAlign w:val="center"/>
          </w:tcPr>
          <w:p>
            <w:pPr>
              <w:widowControl/>
              <w:jc w:val="left"/>
              <w:rPr>
                <w:rFonts w:eastAsia="黑体" w:cs="Times New Roman"/>
                <w:color w:val="000000"/>
                <w:sz w:val="21"/>
                <w:szCs w:val="21"/>
                <w:lang w:val="en-GB"/>
              </w:rPr>
            </w:pPr>
            <w:r>
              <w:rPr>
                <w:rFonts w:eastAsia="黑体" w:cs="Times New Roman"/>
                <w:color w:val="000000"/>
                <w:sz w:val="21"/>
                <w:szCs w:val="21"/>
                <w:lang w:val="en-GB"/>
              </w:rPr>
              <w:t>0.332***</w:t>
            </w:r>
          </w:p>
        </w:tc>
        <w:tc>
          <w:tcPr>
            <w:tcW w:w="1430" w:type="dxa"/>
            <w:tcBorders>
              <w:top w:val="nil"/>
              <w:left w:val="single" w:color="auto" w:sz="8" w:space="0"/>
              <w:bottom w:val="nil"/>
              <w:right w:val="single" w:color="auto" w:sz="8" w:space="0"/>
            </w:tcBorders>
            <w:shd w:val="clear" w:color="auto" w:fill="auto"/>
            <w:noWrap/>
            <w:vAlign w:val="center"/>
          </w:tcPr>
          <w:p>
            <w:pPr>
              <w:widowControl/>
              <w:jc w:val="left"/>
              <w:rPr>
                <w:rFonts w:eastAsia="黑体" w:cs="Times New Roman"/>
                <w:color w:val="000000"/>
                <w:sz w:val="21"/>
                <w:szCs w:val="21"/>
                <w:lang w:val="en-GB"/>
              </w:rPr>
            </w:pPr>
            <w:r>
              <w:rPr>
                <w:rFonts w:eastAsia="黑体" w:cs="Times New Roman"/>
                <w:color w:val="000000"/>
                <w:sz w:val="21"/>
                <w:szCs w:val="21"/>
                <w:lang w:val="en-GB"/>
              </w:rPr>
              <w:t>0.426*</w:t>
            </w:r>
          </w:p>
        </w:tc>
        <w:tc>
          <w:tcPr>
            <w:tcW w:w="1572" w:type="dxa"/>
            <w:tcBorders>
              <w:top w:val="nil"/>
              <w:left w:val="single" w:color="auto" w:sz="8" w:space="0"/>
              <w:bottom w:val="nil"/>
              <w:right w:val="nil"/>
            </w:tcBorders>
            <w:shd w:val="clear" w:color="auto" w:fill="auto"/>
            <w:noWrap/>
            <w:vAlign w:val="center"/>
          </w:tcPr>
          <w:p>
            <w:pPr>
              <w:widowControl/>
              <w:jc w:val="left"/>
              <w:rPr>
                <w:rFonts w:eastAsia="黑体" w:cs="Times New Roman"/>
                <w:color w:val="000000"/>
                <w:sz w:val="21"/>
                <w:szCs w:val="21"/>
                <w:lang w:val="en-GB"/>
              </w:rPr>
            </w:pPr>
            <w:r>
              <w:rPr>
                <w:rFonts w:eastAsia="黑体" w:cs="Times New Roman"/>
                <w:color w:val="000000"/>
                <w:sz w:val="21"/>
                <w:szCs w:val="21"/>
                <w:lang w:val="en-GB"/>
              </w:rPr>
              <w:t>0.022</w:t>
            </w:r>
          </w:p>
        </w:tc>
      </w:tr>
      <w:tr>
        <w:tblPrEx>
          <w:tblCellMar>
            <w:top w:w="0" w:type="dxa"/>
            <w:left w:w="108" w:type="dxa"/>
            <w:bottom w:w="0" w:type="dxa"/>
            <w:right w:w="108" w:type="dxa"/>
          </w:tblCellMar>
        </w:tblPrEx>
        <w:trPr>
          <w:trHeight w:val="397" w:hRule="atLeast"/>
        </w:trPr>
        <w:tc>
          <w:tcPr>
            <w:tcW w:w="2062" w:type="dxa"/>
            <w:vMerge w:val="continue"/>
            <w:tcBorders>
              <w:top w:val="nil"/>
              <w:left w:val="nil"/>
              <w:bottom w:val="nil"/>
              <w:right w:val="single" w:color="auto" w:sz="8" w:space="0"/>
            </w:tcBorders>
            <w:vAlign w:val="center"/>
          </w:tcPr>
          <w:p>
            <w:pPr>
              <w:widowControl/>
              <w:jc w:val="left"/>
              <w:rPr>
                <w:rFonts w:cs="Times New Roman"/>
                <w:color w:val="000000"/>
                <w:sz w:val="21"/>
                <w:szCs w:val="21"/>
                <w:lang w:val="en-GB"/>
              </w:rPr>
            </w:pPr>
          </w:p>
        </w:tc>
        <w:tc>
          <w:tcPr>
            <w:tcW w:w="1430" w:type="dxa"/>
            <w:tcBorders>
              <w:top w:val="nil"/>
              <w:left w:val="single" w:color="auto" w:sz="8" w:space="0"/>
              <w:bottom w:val="nil"/>
              <w:right w:val="single" w:color="auto" w:sz="8" w:space="0"/>
            </w:tcBorders>
            <w:shd w:val="clear" w:color="auto" w:fill="auto"/>
            <w:noWrap/>
            <w:vAlign w:val="center"/>
          </w:tcPr>
          <w:p>
            <w:pPr>
              <w:widowControl/>
              <w:jc w:val="left"/>
              <w:rPr>
                <w:rFonts w:eastAsia="黑体" w:cs="Times New Roman"/>
                <w:color w:val="000000"/>
                <w:sz w:val="21"/>
                <w:szCs w:val="21"/>
                <w:lang w:val="en-GB"/>
              </w:rPr>
            </w:pPr>
            <w:r>
              <w:rPr>
                <w:rFonts w:eastAsia="黑体" w:cs="Times New Roman"/>
                <w:color w:val="000000"/>
                <w:sz w:val="21"/>
                <w:szCs w:val="21"/>
                <w:lang w:val="en-GB"/>
              </w:rPr>
              <w:t>(-0.0918)</w:t>
            </w:r>
          </w:p>
        </w:tc>
        <w:tc>
          <w:tcPr>
            <w:tcW w:w="1430" w:type="dxa"/>
            <w:tcBorders>
              <w:top w:val="nil"/>
              <w:left w:val="single" w:color="auto" w:sz="8" w:space="0"/>
              <w:bottom w:val="nil"/>
              <w:right w:val="single" w:color="auto" w:sz="8" w:space="0"/>
            </w:tcBorders>
            <w:shd w:val="clear" w:color="auto" w:fill="auto"/>
            <w:noWrap/>
            <w:vAlign w:val="center"/>
          </w:tcPr>
          <w:p>
            <w:pPr>
              <w:widowControl/>
              <w:jc w:val="left"/>
              <w:rPr>
                <w:rFonts w:eastAsia="黑体" w:cs="Times New Roman"/>
                <w:color w:val="000000"/>
                <w:sz w:val="21"/>
                <w:szCs w:val="21"/>
                <w:lang w:val="en-GB"/>
              </w:rPr>
            </w:pPr>
            <w:r>
              <w:rPr>
                <w:rFonts w:eastAsia="黑体" w:cs="Times New Roman"/>
                <w:color w:val="000000"/>
                <w:sz w:val="21"/>
                <w:szCs w:val="21"/>
                <w:lang w:val="en-GB"/>
              </w:rPr>
              <w:t>(-0.105)</w:t>
            </w:r>
          </w:p>
        </w:tc>
        <w:tc>
          <w:tcPr>
            <w:tcW w:w="1430" w:type="dxa"/>
            <w:tcBorders>
              <w:top w:val="nil"/>
              <w:left w:val="single" w:color="auto" w:sz="8" w:space="0"/>
              <w:bottom w:val="nil"/>
              <w:right w:val="single" w:color="auto" w:sz="8" w:space="0"/>
            </w:tcBorders>
            <w:shd w:val="clear" w:color="auto" w:fill="auto"/>
            <w:noWrap/>
            <w:vAlign w:val="center"/>
          </w:tcPr>
          <w:p>
            <w:pPr>
              <w:widowControl/>
              <w:jc w:val="left"/>
              <w:rPr>
                <w:rFonts w:eastAsia="黑体" w:cs="Times New Roman"/>
                <w:color w:val="000000"/>
                <w:sz w:val="21"/>
                <w:szCs w:val="21"/>
                <w:lang w:val="en-GB"/>
              </w:rPr>
            </w:pPr>
            <w:r>
              <w:rPr>
                <w:rFonts w:eastAsia="黑体" w:cs="Times New Roman"/>
                <w:color w:val="000000"/>
                <w:sz w:val="21"/>
                <w:szCs w:val="21"/>
                <w:lang w:val="en-GB"/>
              </w:rPr>
              <w:t>(-0.106)</w:t>
            </w:r>
          </w:p>
        </w:tc>
        <w:tc>
          <w:tcPr>
            <w:tcW w:w="1430" w:type="dxa"/>
            <w:tcBorders>
              <w:top w:val="nil"/>
              <w:left w:val="single" w:color="auto" w:sz="8" w:space="0"/>
              <w:bottom w:val="nil"/>
              <w:right w:val="single" w:color="auto" w:sz="8" w:space="0"/>
            </w:tcBorders>
            <w:shd w:val="clear" w:color="auto" w:fill="auto"/>
            <w:noWrap/>
            <w:vAlign w:val="center"/>
          </w:tcPr>
          <w:p>
            <w:pPr>
              <w:widowControl/>
              <w:jc w:val="left"/>
              <w:rPr>
                <w:rFonts w:eastAsia="黑体" w:cs="Times New Roman"/>
                <w:color w:val="000000"/>
                <w:sz w:val="21"/>
                <w:szCs w:val="21"/>
                <w:lang w:val="en-GB"/>
              </w:rPr>
            </w:pPr>
            <w:r>
              <w:rPr>
                <w:rFonts w:eastAsia="黑体" w:cs="Times New Roman"/>
                <w:color w:val="000000"/>
                <w:sz w:val="21"/>
                <w:szCs w:val="21"/>
                <w:lang w:val="en-GB"/>
              </w:rPr>
              <w:t>(-0.24)</w:t>
            </w:r>
          </w:p>
        </w:tc>
        <w:tc>
          <w:tcPr>
            <w:tcW w:w="1572" w:type="dxa"/>
            <w:tcBorders>
              <w:top w:val="nil"/>
              <w:left w:val="single" w:color="auto" w:sz="8" w:space="0"/>
              <w:bottom w:val="nil"/>
              <w:right w:val="nil"/>
            </w:tcBorders>
            <w:shd w:val="clear" w:color="auto" w:fill="auto"/>
            <w:noWrap/>
            <w:vAlign w:val="center"/>
          </w:tcPr>
          <w:p>
            <w:pPr>
              <w:widowControl/>
              <w:jc w:val="left"/>
              <w:rPr>
                <w:rFonts w:eastAsia="黑体" w:cs="Times New Roman"/>
                <w:color w:val="000000"/>
                <w:sz w:val="21"/>
                <w:szCs w:val="21"/>
                <w:lang w:val="en-GB"/>
              </w:rPr>
            </w:pPr>
            <w:r>
              <w:rPr>
                <w:rFonts w:eastAsia="黑体" w:cs="Times New Roman"/>
                <w:color w:val="000000"/>
                <w:sz w:val="21"/>
                <w:szCs w:val="21"/>
                <w:lang w:val="en-GB"/>
              </w:rPr>
              <w:t>(-0.0244)</w:t>
            </w:r>
          </w:p>
        </w:tc>
      </w:tr>
      <w:tr>
        <w:tblPrEx>
          <w:tblCellMar>
            <w:top w:w="0" w:type="dxa"/>
            <w:left w:w="108" w:type="dxa"/>
            <w:bottom w:w="0" w:type="dxa"/>
            <w:right w:w="108" w:type="dxa"/>
          </w:tblCellMar>
        </w:tblPrEx>
        <w:trPr>
          <w:trHeight w:val="397" w:hRule="atLeast"/>
        </w:trPr>
        <w:tc>
          <w:tcPr>
            <w:tcW w:w="2062" w:type="dxa"/>
            <w:vMerge w:val="restart"/>
            <w:tcBorders>
              <w:top w:val="nil"/>
              <w:left w:val="nil"/>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Constant</w:t>
            </w:r>
          </w:p>
        </w:tc>
        <w:tc>
          <w:tcPr>
            <w:tcW w:w="1430" w:type="dxa"/>
            <w:tcBorders>
              <w:top w:val="nil"/>
              <w:left w:val="single" w:color="auto" w:sz="8" w:space="0"/>
              <w:bottom w:val="nil"/>
              <w:right w:val="single" w:color="auto" w:sz="8" w:space="0"/>
            </w:tcBorders>
            <w:shd w:val="clear" w:color="auto" w:fill="auto"/>
            <w:noWrap/>
            <w:vAlign w:val="center"/>
          </w:tcPr>
          <w:p>
            <w:pPr>
              <w:widowControl/>
              <w:jc w:val="left"/>
              <w:rPr>
                <w:rFonts w:eastAsia="黑体" w:cs="Times New Roman"/>
                <w:color w:val="000000"/>
                <w:sz w:val="21"/>
                <w:szCs w:val="21"/>
                <w:lang w:val="en-GB"/>
              </w:rPr>
            </w:pPr>
            <w:r>
              <w:rPr>
                <w:rFonts w:eastAsia="黑体" w:cs="Times New Roman"/>
                <w:color w:val="000000"/>
                <w:sz w:val="21"/>
                <w:szCs w:val="21"/>
                <w:lang w:val="en-GB"/>
              </w:rPr>
              <w:t>-22</w:t>
            </w:r>
          </w:p>
        </w:tc>
        <w:tc>
          <w:tcPr>
            <w:tcW w:w="1430" w:type="dxa"/>
            <w:tcBorders>
              <w:top w:val="nil"/>
              <w:left w:val="single" w:color="auto" w:sz="8" w:space="0"/>
              <w:bottom w:val="nil"/>
              <w:right w:val="single" w:color="auto" w:sz="8" w:space="0"/>
            </w:tcBorders>
            <w:shd w:val="clear" w:color="auto" w:fill="auto"/>
            <w:noWrap/>
            <w:vAlign w:val="center"/>
          </w:tcPr>
          <w:p>
            <w:pPr>
              <w:widowControl/>
              <w:jc w:val="left"/>
              <w:rPr>
                <w:rFonts w:eastAsia="黑体" w:cs="Times New Roman"/>
                <w:color w:val="000000"/>
                <w:sz w:val="21"/>
                <w:szCs w:val="21"/>
                <w:lang w:val="en-GB"/>
              </w:rPr>
            </w:pPr>
            <w:r>
              <w:rPr>
                <w:rFonts w:eastAsia="黑体" w:cs="Times New Roman"/>
                <w:color w:val="000000"/>
                <w:sz w:val="21"/>
                <w:szCs w:val="21"/>
                <w:lang w:val="en-GB"/>
              </w:rPr>
              <w:t>85.19**</w:t>
            </w:r>
          </w:p>
        </w:tc>
        <w:tc>
          <w:tcPr>
            <w:tcW w:w="1430" w:type="dxa"/>
            <w:tcBorders>
              <w:top w:val="nil"/>
              <w:left w:val="single" w:color="auto" w:sz="8" w:space="0"/>
              <w:bottom w:val="nil"/>
              <w:right w:val="single" w:color="auto" w:sz="8" w:space="0"/>
            </w:tcBorders>
            <w:shd w:val="clear" w:color="auto" w:fill="auto"/>
            <w:noWrap/>
            <w:vAlign w:val="center"/>
          </w:tcPr>
          <w:p>
            <w:pPr>
              <w:widowControl/>
              <w:jc w:val="left"/>
              <w:rPr>
                <w:rFonts w:eastAsia="黑体" w:cs="Times New Roman"/>
                <w:color w:val="000000"/>
                <w:sz w:val="21"/>
                <w:szCs w:val="21"/>
                <w:lang w:val="en-GB"/>
              </w:rPr>
            </w:pPr>
            <w:r>
              <w:rPr>
                <w:rFonts w:eastAsia="黑体" w:cs="Times New Roman"/>
                <w:color w:val="000000"/>
                <w:sz w:val="21"/>
                <w:szCs w:val="21"/>
                <w:lang w:val="en-GB"/>
              </w:rPr>
              <w:t>-27.49</w:t>
            </w:r>
          </w:p>
        </w:tc>
        <w:tc>
          <w:tcPr>
            <w:tcW w:w="1430" w:type="dxa"/>
            <w:tcBorders>
              <w:top w:val="nil"/>
              <w:left w:val="single" w:color="auto" w:sz="8" w:space="0"/>
              <w:bottom w:val="nil"/>
              <w:right w:val="single" w:color="auto" w:sz="8" w:space="0"/>
            </w:tcBorders>
            <w:shd w:val="clear" w:color="auto" w:fill="auto"/>
            <w:noWrap/>
            <w:vAlign w:val="center"/>
          </w:tcPr>
          <w:p>
            <w:pPr>
              <w:widowControl/>
              <w:jc w:val="left"/>
              <w:rPr>
                <w:rFonts w:eastAsia="黑体" w:cs="Times New Roman"/>
                <w:color w:val="000000"/>
                <w:sz w:val="21"/>
                <w:szCs w:val="21"/>
                <w:lang w:val="en-GB"/>
              </w:rPr>
            </w:pPr>
            <w:r>
              <w:rPr>
                <w:rFonts w:eastAsia="黑体" w:cs="Times New Roman"/>
                <w:color w:val="000000"/>
                <w:sz w:val="21"/>
                <w:szCs w:val="21"/>
                <w:lang w:val="en-GB"/>
              </w:rPr>
              <w:t>-49.2</w:t>
            </w:r>
          </w:p>
        </w:tc>
        <w:tc>
          <w:tcPr>
            <w:tcW w:w="1572" w:type="dxa"/>
            <w:tcBorders>
              <w:top w:val="nil"/>
              <w:left w:val="single" w:color="auto" w:sz="8" w:space="0"/>
              <w:bottom w:val="nil"/>
              <w:right w:val="nil"/>
            </w:tcBorders>
            <w:shd w:val="clear" w:color="auto" w:fill="auto"/>
            <w:noWrap/>
            <w:vAlign w:val="center"/>
          </w:tcPr>
          <w:p>
            <w:pPr>
              <w:widowControl/>
              <w:jc w:val="left"/>
              <w:rPr>
                <w:rFonts w:eastAsia="黑体" w:cs="Times New Roman"/>
                <w:color w:val="000000"/>
                <w:sz w:val="21"/>
                <w:szCs w:val="21"/>
                <w:lang w:val="en-GB"/>
              </w:rPr>
            </w:pPr>
            <w:r>
              <w:rPr>
                <w:rFonts w:eastAsia="黑体" w:cs="Times New Roman"/>
                <w:color w:val="000000"/>
                <w:sz w:val="21"/>
                <w:szCs w:val="21"/>
                <w:lang w:val="en-GB"/>
              </w:rPr>
              <w:t>2.914</w:t>
            </w:r>
          </w:p>
        </w:tc>
      </w:tr>
      <w:tr>
        <w:tblPrEx>
          <w:tblCellMar>
            <w:top w:w="0" w:type="dxa"/>
            <w:left w:w="108" w:type="dxa"/>
            <w:bottom w:w="0" w:type="dxa"/>
            <w:right w:w="108" w:type="dxa"/>
          </w:tblCellMar>
        </w:tblPrEx>
        <w:trPr>
          <w:trHeight w:val="397" w:hRule="atLeast"/>
        </w:trPr>
        <w:tc>
          <w:tcPr>
            <w:tcW w:w="2062" w:type="dxa"/>
            <w:vMerge w:val="continue"/>
            <w:tcBorders>
              <w:top w:val="nil"/>
              <w:left w:val="nil"/>
              <w:bottom w:val="nil"/>
              <w:right w:val="single" w:color="auto" w:sz="8" w:space="0"/>
            </w:tcBorders>
            <w:vAlign w:val="center"/>
          </w:tcPr>
          <w:p>
            <w:pPr>
              <w:widowControl/>
              <w:jc w:val="left"/>
              <w:rPr>
                <w:rFonts w:cs="Times New Roman"/>
                <w:color w:val="000000"/>
                <w:sz w:val="21"/>
                <w:szCs w:val="21"/>
                <w:lang w:val="en-GB"/>
              </w:rPr>
            </w:pPr>
          </w:p>
        </w:tc>
        <w:tc>
          <w:tcPr>
            <w:tcW w:w="1430" w:type="dxa"/>
            <w:tcBorders>
              <w:top w:val="nil"/>
              <w:left w:val="single" w:color="auto" w:sz="8" w:space="0"/>
              <w:bottom w:val="nil"/>
              <w:right w:val="single" w:color="auto" w:sz="8" w:space="0"/>
            </w:tcBorders>
            <w:shd w:val="clear" w:color="auto" w:fill="auto"/>
            <w:noWrap/>
            <w:vAlign w:val="center"/>
          </w:tcPr>
          <w:p>
            <w:pPr>
              <w:widowControl/>
              <w:jc w:val="left"/>
              <w:rPr>
                <w:rFonts w:eastAsia="黑体" w:cs="Times New Roman"/>
                <w:color w:val="000000"/>
                <w:sz w:val="21"/>
                <w:szCs w:val="21"/>
                <w:lang w:val="en-GB"/>
              </w:rPr>
            </w:pPr>
            <w:r>
              <w:rPr>
                <w:rFonts w:eastAsia="黑体" w:cs="Times New Roman"/>
                <w:color w:val="000000"/>
                <w:sz w:val="21"/>
                <w:szCs w:val="21"/>
                <w:lang w:val="en-GB"/>
              </w:rPr>
              <w:t>(-47.36)</w:t>
            </w:r>
          </w:p>
        </w:tc>
        <w:tc>
          <w:tcPr>
            <w:tcW w:w="1430" w:type="dxa"/>
            <w:tcBorders>
              <w:top w:val="nil"/>
              <w:left w:val="single" w:color="auto" w:sz="8" w:space="0"/>
              <w:bottom w:val="nil"/>
              <w:right w:val="single" w:color="auto" w:sz="8" w:space="0"/>
            </w:tcBorders>
            <w:shd w:val="clear" w:color="auto" w:fill="auto"/>
            <w:noWrap/>
            <w:vAlign w:val="center"/>
          </w:tcPr>
          <w:p>
            <w:pPr>
              <w:widowControl/>
              <w:jc w:val="left"/>
              <w:rPr>
                <w:rFonts w:eastAsia="黑体" w:cs="Times New Roman"/>
                <w:color w:val="000000"/>
                <w:sz w:val="21"/>
                <w:szCs w:val="21"/>
                <w:lang w:val="en-GB"/>
              </w:rPr>
            </w:pPr>
            <w:r>
              <w:rPr>
                <w:rFonts w:eastAsia="黑体" w:cs="Times New Roman"/>
                <w:color w:val="000000"/>
                <w:sz w:val="21"/>
                <w:szCs w:val="21"/>
                <w:lang w:val="en-GB"/>
              </w:rPr>
              <w:t>(-35.07)</w:t>
            </w:r>
          </w:p>
        </w:tc>
        <w:tc>
          <w:tcPr>
            <w:tcW w:w="1430" w:type="dxa"/>
            <w:tcBorders>
              <w:top w:val="nil"/>
              <w:left w:val="single" w:color="auto" w:sz="8" w:space="0"/>
              <w:bottom w:val="nil"/>
              <w:right w:val="single" w:color="auto" w:sz="8" w:space="0"/>
            </w:tcBorders>
            <w:shd w:val="clear" w:color="auto" w:fill="auto"/>
            <w:noWrap/>
            <w:vAlign w:val="center"/>
          </w:tcPr>
          <w:p>
            <w:pPr>
              <w:widowControl/>
              <w:jc w:val="left"/>
              <w:rPr>
                <w:rFonts w:eastAsia="黑体" w:cs="Times New Roman"/>
                <w:color w:val="000000"/>
                <w:sz w:val="21"/>
                <w:szCs w:val="21"/>
                <w:lang w:val="en-GB"/>
              </w:rPr>
            </w:pPr>
            <w:r>
              <w:rPr>
                <w:rFonts w:eastAsia="黑体" w:cs="Times New Roman"/>
                <w:color w:val="000000"/>
                <w:sz w:val="21"/>
                <w:szCs w:val="21"/>
                <w:lang w:val="en-GB"/>
              </w:rPr>
              <w:t>(-53.44)</w:t>
            </w:r>
          </w:p>
        </w:tc>
        <w:tc>
          <w:tcPr>
            <w:tcW w:w="1430" w:type="dxa"/>
            <w:tcBorders>
              <w:top w:val="nil"/>
              <w:left w:val="single" w:color="auto" w:sz="8" w:space="0"/>
              <w:bottom w:val="nil"/>
              <w:right w:val="single" w:color="auto" w:sz="8" w:space="0"/>
            </w:tcBorders>
            <w:shd w:val="clear" w:color="auto" w:fill="auto"/>
            <w:noWrap/>
            <w:vAlign w:val="center"/>
          </w:tcPr>
          <w:p>
            <w:pPr>
              <w:widowControl/>
              <w:jc w:val="left"/>
              <w:rPr>
                <w:rFonts w:eastAsia="黑体" w:cs="Times New Roman"/>
                <w:color w:val="000000"/>
                <w:sz w:val="21"/>
                <w:szCs w:val="21"/>
                <w:lang w:val="en-GB"/>
              </w:rPr>
            </w:pPr>
            <w:r>
              <w:rPr>
                <w:rFonts w:eastAsia="黑体" w:cs="Times New Roman"/>
                <w:color w:val="000000"/>
                <w:sz w:val="21"/>
                <w:szCs w:val="21"/>
                <w:lang w:val="en-GB"/>
              </w:rPr>
              <w:t>(-86.35)</w:t>
            </w:r>
          </w:p>
        </w:tc>
        <w:tc>
          <w:tcPr>
            <w:tcW w:w="1572" w:type="dxa"/>
            <w:tcBorders>
              <w:top w:val="nil"/>
              <w:left w:val="single" w:color="auto" w:sz="8" w:space="0"/>
              <w:bottom w:val="nil"/>
              <w:right w:val="nil"/>
            </w:tcBorders>
            <w:shd w:val="clear" w:color="auto" w:fill="auto"/>
            <w:noWrap/>
            <w:vAlign w:val="center"/>
          </w:tcPr>
          <w:p>
            <w:pPr>
              <w:widowControl/>
              <w:jc w:val="left"/>
              <w:rPr>
                <w:rFonts w:eastAsia="黑体" w:cs="Times New Roman"/>
                <w:color w:val="000000"/>
                <w:sz w:val="21"/>
                <w:szCs w:val="21"/>
                <w:lang w:val="en-GB"/>
              </w:rPr>
            </w:pPr>
            <w:r>
              <w:rPr>
                <w:rFonts w:eastAsia="黑体" w:cs="Times New Roman"/>
                <w:color w:val="000000"/>
                <w:sz w:val="21"/>
                <w:szCs w:val="21"/>
                <w:lang w:val="en-GB"/>
              </w:rPr>
              <w:t>(-7.657)</w:t>
            </w:r>
          </w:p>
        </w:tc>
      </w:tr>
      <w:tr>
        <w:tblPrEx>
          <w:tblCellMar>
            <w:top w:w="0" w:type="dxa"/>
            <w:left w:w="108" w:type="dxa"/>
            <w:bottom w:w="0" w:type="dxa"/>
            <w:right w:w="108" w:type="dxa"/>
          </w:tblCellMar>
        </w:tblPrEx>
        <w:trPr>
          <w:trHeight w:val="397" w:hRule="atLeast"/>
        </w:trPr>
        <w:tc>
          <w:tcPr>
            <w:tcW w:w="2062" w:type="dxa"/>
            <w:tcBorders>
              <w:top w:val="nil"/>
              <w:left w:val="nil"/>
              <w:bottom w:val="nil"/>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R-sq</w:t>
            </w:r>
          </w:p>
        </w:tc>
        <w:tc>
          <w:tcPr>
            <w:tcW w:w="1430" w:type="dxa"/>
            <w:tcBorders>
              <w:top w:val="nil"/>
              <w:left w:val="single" w:color="auto" w:sz="8" w:space="0"/>
              <w:bottom w:val="nil"/>
              <w:right w:val="single" w:color="auto" w:sz="8" w:space="0"/>
            </w:tcBorders>
            <w:shd w:val="clear" w:color="auto" w:fill="auto"/>
            <w:noWrap/>
            <w:vAlign w:val="center"/>
          </w:tcPr>
          <w:p>
            <w:pPr>
              <w:widowControl/>
              <w:jc w:val="left"/>
              <w:rPr>
                <w:rFonts w:eastAsia="黑体" w:cs="Times New Roman"/>
                <w:color w:val="000000"/>
                <w:sz w:val="21"/>
                <w:szCs w:val="21"/>
                <w:lang w:val="en-GB"/>
              </w:rPr>
            </w:pPr>
            <w:r>
              <w:rPr>
                <w:rFonts w:eastAsia="黑体" w:cs="Times New Roman"/>
                <w:color w:val="000000"/>
                <w:sz w:val="21"/>
                <w:szCs w:val="21"/>
                <w:lang w:val="en-GB"/>
              </w:rPr>
              <w:t>0.101</w:t>
            </w:r>
          </w:p>
        </w:tc>
        <w:tc>
          <w:tcPr>
            <w:tcW w:w="1430" w:type="dxa"/>
            <w:tcBorders>
              <w:top w:val="nil"/>
              <w:left w:val="single" w:color="auto" w:sz="8" w:space="0"/>
              <w:bottom w:val="nil"/>
              <w:right w:val="single" w:color="auto" w:sz="8" w:space="0"/>
            </w:tcBorders>
            <w:shd w:val="clear" w:color="auto" w:fill="auto"/>
            <w:noWrap/>
            <w:vAlign w:val="center"/>
          </w:tcPr>
          <w:p>
            <w:pPr>
              <w:widowControl/>
              <w:jc w:val="left"/>
              <w:rPr>
                <w:rFonts w:eastAsia="黑体" w:cs="Times New Roman"/>
                <w:color w:val="000000"/>
                <w:sz w:val="21"/>
                <w:szCs w:val="21"/>
                <w:lang w:val="en-GB"/>
              </w:rPr>
            </w:pPr>
            <w:r>
              <w:rPr>
                <w:rFonts w:eastAsia="黑体" w:cs="Times New Roman"/>
                <w:color w:val="000000"/>
                <w:sz w:val="21"/>
                <w:szCs w:val="21"/>
                <w:lang w:val="en-GB"/>
              </w:rPr>
              <w:t>0.1198</w:t>
            </w:r>
          </w:p>
        </w:tc>
        <w:tc>
          <w:tcPr>
            <w:tcW w:w="1430" w:type="dxa"/>
            <w:tcBorders>
              <w:top w:val="nil"/>
              <w:left w:val="single" w:color="auto" w:sz="8" w:space="0"/>
              <w:bottom w:val="nil"/>
              <w:right w:val="single" w:color="auto" w:sz="8" w:space="0"/>
            </w:tcBorders>
            <w:shd w:val="clear" w:color="auto" w:fill="auto"/>
            <w:noWrap/>
            <w:vAlign w:val="center"/>
          </w:tcPr>
          <w:p>
            <w:pPr>
              <w:widowControl/>
              <w:jc w:val="left"/>
              <w:rPr>
                <w:rFonts w:eastAsia="黑体" w:cs="Times New Roman"/>
                <w:color w:val="000000"/>
                <w:sz w:val="21"/>
                <w:szCs w:val="21"/>
                <w:lang w:val="en-GB"/>
              </w:rPr>
            </w:pPr>
            <w:r>
              <w:rPr>
                <w:rFonts w:eastAsia="黑体" w:cs="Times New Roman"/>
                <w:color w:val="000000"/>
                <w:sz w:val="21"/>
                <w:szCs w:val="21"/>
                <w:lang w:val="en-GB"/>
              </w:rPr>
              <w:t>0.1082</w:t>
            </w:r>
          </w:p>
        </w:tc>
        <w:tc>
          <w:tcPr>
            <w:tcW w:w="1430" w:type="dxa"/>
            <w:tcBorders>
              <w:top w:val="nil"/>
              <w:left w:val="single" w:color="auto" w:sz="8" w:space="0"/>
              <w:bottom w:val="nil"/>
              <w:right w:val="single" w:color="auto" w:sz="8" w:space="0"/>
            </w:tcBorders>
            <w:shd w:val="clear" w:color="auto" w:fill="auto"/>
            <w:noWrap/>
            <w:vAlign w:val="center"/>
          </w:tcPr>
          <w:p>
            <w:pPr>
              <w:widowControl/>
              <w:jc w:val="left"/>
              <w:rPr>
                <w:rFonts w:eastAsia="黑体" w:cs="Times New Roman"/>
                <w:color w:val="000000"/>
                <w:sz w:val="21"/>
                <w:szCs w:val="21"/>
                <w:lang w:val="en-GB"/>
              </w:rPr>
            </w:pPr>
            <w:r>
              <w:rPr>
                <w:rFonts w:eastAsia="黑体" w:cs="Times New Roman"/>
                <w:color w:val="000000"/>
                <w:sz w:val="21"/>
                <w:szCs w:val="21"/>
                <w:lang w:val="en-GB"/>
              </w:rPr>
              <w:t>0.139</w:t>
            </w:r>
          </w:p>
        </w:tc>
        <w:tc>
          <w:tcPr>
            <w:tcW w:w="1572" w:type="dxa"/>
            <w:tcBorders>
              <w:top w:val="nil"/>
              <w:left w:val="single" w:color="auto" w:sz="8" w:space="0"/>
              <w:bottom w:val="nil"/>
              <w:right w:val="nil"/>
            </w:tcBorders>
            <w:shd w:val="clear" w:color="auto" w:fill="auto"/>
            <w:noWrap/>
            <w:vAlign w:val="center"/>
          </w:tcPr>
          <w:p>
            <w:pPr>
              <w:widowControl/>
              <w:jc w:val="left"/>
              <w:rPr>
                <w:rFonts w:eastAsia="黑体" w:cs="Times New Roman"/>
                <w:color w:val="000000"/>
                <w:sz w:val="21"/>
                <w:szCs w:val="21"/>
                <w:lang w:val="en-GB"/>
              </w:rPr>
            </w:pPr>
            <w:r>
              <w:rPr>
                <w:rFonts w:eastAsia="黑体" w:cs="Times New Roman"/>
                <w:color w:val="000000"/>
                <w:sz w:val="21"/>
                <w:szCs w:val="21"/>
                <w:lang w:val="en-GB"/>
              </w:rPr>
              <w:t>0.0668</w:t>
            </w:r>
          </w:p>
        </w:tc>
      </w:tr>
      <w:tr>
        <w:tblPrEx>
          <w:tblCellMar>
            <w:top w:w="0" w:type="dxa"/>
            <w:left w:w="108" w:type="dxa"/>
            <w:bottom w:w="0" w:type="dxa"/>
            <w:right w:w="108" w:type="dxa"/>
          </w:tblCellMar>
        </w:tblPrEx>
        <w:trPr>
          <w:trHeight w:val="397" w:hRule="atLeast"/>
        </w:trPr>
        <w:tc>
          <w:tcPr>
            <w:tcW w:w="2062" w:type="dxa"/>
            <w:tcBorders>
              <w:top w:val="nil"/>
              <w:left w:val="nil"/>
              <w:bottom w:val="single" w:color="auto" w:sz="12" w:space="0"/>
              <w:right w:val="single" w:color="auto" w:sz="8" w:space="0"/>
            </w:tcBorders>
            <w:shd w:val="clear" w:color="auto" w:fill="auto"/>
            <w:noWrap/>
            <w:vAlign w:val="center"/>
          </w:tcPr>
          <w:p>
            <w:pPr>
              <w:widowControl/>
              <w:jc w:val="left"/>
              <w:rPr>
                <w:rFonts w:cs="Times New Roman"/>
                <w:color w:val="000000"/>
                <w:sz w:val="21"/>
                <w:szCs w:val="21"/>
                <w:lang w:val="en-GB"/>
              </w:rPr>
            </w:pPr>
            <w:r>
              <w:rPr>
                <w:rFonts w:cs="Times New Roman"/>
                <w:color w:val="000000"/>
                <w:sz w:val="21"/>
                <w:szCs w:val="21"/>
                <w:lang w:val="en-GB"/>
              </w:rPr>
              <w:t>Company number</w:t>
            </w:r>
          </w:p>
        </w:tc>
        <w:tc>
          <w:tcPr>
            <w:tcW w:w="1430" w:type="dxa"/>
            <w:tcBorders>
              <w:top w:val="nil"/>
              <w:left w:val="single" w:color="auto" w:sz="8" w:space="0"/>
              <w:bottom w:val="single" w:color="auto" w:sz="12" w:space="0"/>
              <w:right w:val="single" w:color="auto" w:sz="8" w:space="0"/>
            </w:tcBorders>
            <w:shd w:val="clear" w:color="auto" w:fill="auto"/>
            <w:noWrap/>
            <w:vAlign w:val="center"/>
          </w:tcPr>
          <w:p>
            <w:pPr>
              <w:widowControl/>
              <w:jc w:val="left"/>
              <w:rPr>
                <w:rFonts w:eastAsia="黑体" w:cs="Times New Roman"/>
                <w:color w:val="000000"/>
                <w:sz w:val="21"/>
                <w:szCs w:val="21"/>
                <w:lang w:val="en-GB"/>
              </w:rPr>
            </w:pPr>
            <w:r>
              <w:rPr>
                <w:rFonts w:eastAsia="黑体" w:cs="Times New Roman"/>
                <w:color w:val="000000"/>
                <w:sz w:val="21"/>
                <w:szCs w:val="21"/>
                <w:lang w:val="en-GB"/>
              </w:rPr>
              <w:t>890</w:t>
            </w:r>
          </w:p>
        </w:tc>
        <w:tc>
          <w:tcPr>
            <w:tcW w:w="1430" w:type="dxa"/>
            <w:tcBorders>
              <w:top w:val="nil"/>
              <w:left w:val="single" w:color="auto" w:sz="8" w:space="0"/>
              <w:bottom w:val="single" w:color="auto" w:sz="12" w:space="0"/>
              <w:right w:val="single" w:color="auto" w:sz="8" w:space="0"/>
            </w:tcBorders>
            <w:shd w:val="clear" w:color="auto" w:fill="auto"/>
            <w:noWrap/>
            <w:vAlign w:val="center"/>
          </w:tcPr>
          <w:p>
            <w:pPr>
              <w:widowControl/>
              <w:jc w:val="left"/>
              <w:rPr>
                <w:rFonts w:eastAsia="黑体" w:cs="Times New Roman"/>
                <w:color w:val="000000"/>
                <w:sz w:val="21"/>
                <w:szCs w:val="21"/>
                <w:lang w:val="en-GB"/>
              </w:rPr>
            </w:pPr>
            <w:r>
              <w:rPr>
                <w:rFonts w:eastAsia="黑体" w:cs="Times New Roman"/>
                <w:color w:val="000000"/>
                <w:sz w:val="21"/>
                <w:szCs w:val="21"/>
                <w:lang w:val="en-GB"/>
              </w:rPr>
              <w:t>132</w:t>
            </w:r>
          </w:p>
        </w:tc>
        <w:tc>
          <w:tcPr>
            <w:tcW w:w="1430" w:type="dxa"/>
            <w:tcBorders>
              <w:top w:val="nil"/>
              <w:left w:val="single" w:color="auto" w:sz="8" w:space="0"/>
              <w:bottom w:val="single" w:color="auto" w:sz="12" w:space="0"/>
              <w:right w:val="single" w:color="auto" w:sz="8" w:space="0"/>
            </w:tcBorders>
            <w:shd w:val="clear" w:color="auto" w:fill="auto"/>
            <w:noWrap/>
            <w:vAlign w:val="center"/>
          </w:tcPr>
          <w:p>
            <w:pPr>
              <w:widowControl/>
              <w:jc w:val="left"/>
              <w:rPr>
                <w:rFonts w:eastAsia="黑体" w:cs="Times New Roman"/>
                <w:color w:val="000000"/>
                <w:sz w:val="21"/>
                <w:szCs w:val="21"/>
                <w:lang w:val="en-GB"/>
              </w:rPr>
            </w:pPr>
            <w:r>
              <w:rPr>
                <w:rFonts w:eastAsia="黑体" w:cs="Times New Roman"/>
                <w:color w:val="000000"/>
                <w:sz w:val="21"/>
                <w:szCs w:val="21"/>
                <w:lang w:val="en-GB"/>
              </w:rPr>
              <w:t>758</w:t>
            </w:r>
          </w:p>
        </w:tc>
        <w:tc>
          <w:tcPr>
            <w:tcW w:w="1430" w:type="dxa"/>
            <w:tcBorders>
              <w:top w:val="nil"/>
              <w:left w:val="single" w:color="auto" w:sz="8" w:space="0"/>
              <w:bottom w:val="single" w:color="auto" w:sz="12" w:space="0"/>
              <w:right w:val="single" w:color="auto" w:sz="8" w:space="0"/>
            </w:tcBorders>
            <w:shd w:val="clear" w:color="auto" w:fill="auto"/>
            <w:noWrap/>
            <w:vAlign w:val="center"/>
          </w:tcPr>
          <w:p>
            <w:pPr>
              <w:widowControl/>
              <w:jc w:val="left"/>
              <w:rPr>
                <w:rFonts w:eastAsia="黑体" w:cs="Times New Roman"/>
                <w:color w:val="000000"/>
                <w:sz w:val="21"/>
                <w:szCs w:val="21"/>
                <w:lang w:val="en-GB"/>
              </w:rPr>
            </w:pPr>
            <w:r>
              <w:rPr>
                <w:rFonts w:eastAsia="黑体" w:cs="Times New Roman"/>
                <w:color w:val="000000"/>
                <w:sz w:val="21"/>
                <w:szCs w:val="21"/>
                <w:lang w:val="en-GB"/>
              </w:rPr>
              <w:t>448</w:t>
            </w:r>
          </w:p>
        </w:tc>
        <w:tc>
          <w:tcPr>
            <w:tcW w:w="1572" w:type="dxa"/>
            <w:tcBorders>
              <w:top w:val="nil"/>
              <w:left w:val="single" w:color="auto" w:sz="8" w:space="0"/>
              <w:bottom w:val="single" w:color="auto" w:sz="12" w:space="0"/>
              <w:right w:val="nil"/>
            </w:tcBorders>
            <w:shd w:val="clear" w:color="auto" w:fill="auto"/>
            <w:noWrap/>
            <w:vAlign w:val="center"/>
          </w:tcPr>
          <w:p>
            <w:pPr>
              <w:widowControl/>
              <w:jc w:val="left"/>
              <w:rPr>
                <w:rFonts w:eastAsia="黑体" w:cs="Times New Roman"/>
                <w:color w:val="000000"/>
                <w:sz w:val="21"/>
                <w:szCs w:val="21"/>
                <w:lang w:val="en-GB"/>
              </w:rPr>
            </w:pPr>
            <w:r>
              <w:rPr>
                <w:rFonts w:eastAsia="黑体" w:cs="Times New Roman"/>
                <w:color w:val="000000"/>
                <w:sz w:val="21"/>
                <w:szCs w:val="21"/>
                <w:lang w:val="en-GB"/>
              </w:rPr>
              <w:t>466</w:t>
            </w:r>
          </w:p>
        </w:tc>
      </w:tr>
    </w:tbl>
    <w:p>
      <w:pPr>
        <w:spacing w:line="360" w:lineRule="auto"/>
        <w:contextualSpacing/>
        <w:jc w:val="left"/>
        <w:rPr>
          <w:rFonts w:cs="Times New Roman"/>
          <w:lang w:val="en-GB"/>
        </w:rPr>
      </w:pPr>
      <w:bookmarkStart w:id="2" w:name="_Toc8551286"/>
      <w:r>
        <w:rPr>
          <w:rFonts w:cs="Times New Roman"/>
          <w:lang w:val="en-GB"/>
        </w:rPr>
        <w:t>Note: The standard deviations of the sample statistics are shown in parentheses. *p&lt;0.1, **p&lt;0.05, ***p&lt;0.01. Enterprises with high leverage ratios are those in the bottom 25%, while enterprises with low leverage ratios are those in the top 25%.</w:t>
      </w:r>
    </w:p>
    <w:bookmarkEnd w:id="2"/>
    <w:p>
      <w:pPr>
        <w:pStyle w:val="2"/>
        <w:spacing w:before="0" w:after="0" w:line="360" w:lineRule="auto"/>
        <w:contextualSpacing/>
        <w:jc w:val="left"/>
        <w:rPr>
          <w:sz w:val="24"/>
          <w:szCs w:val="24"/>
          <w:lang w:val="en-GB"/>
        </w:rPr>
      </w:pPr>
    </w:p>
    <w:p>
      <w:pPr>
        <w:pStyle w:val="2"/>
        <w:spacing w:before="0" w:after="0" w:line="360" w:lineRule="auto"/>
        <w:contextualSpacing/>
        <w:jc w:val="left"/>
        <w:rPr>
          <w:b/>
          <w:sz w:val="24"/>
          <w:szCs w:val="24"/>
          <w:lang w:val="en-GB"/>
        </w:rPr>
      </w:pPr>
      <w:r>
        <w:rPr>
          <w:b/>
          <w:sz w:val="24"/>
          <w:szCs w:val="24"/>
          <w:lang w:val="en-GB"/>
        </w:rPr>
        <w:t>6 Conclusions and policy recommendations</w:t>
      </w:r>
    </w:p>
    <w:p>
      <w:pPr>
        <w:spacing w:line="360" w:lineRule="auto"/>
        <w:ind w:firstLine="720"/>
        <w:contextualSpacing/>
        <w:jc w:val="left"/>
        <w:rPr>
          <w:rFonts w:cs="Times New Roman"/>
          <w:lang w:val="en-GB"/>
        </w:rPr>
      </w:pPr>
      <w:r>
        <w:rPr>
          <w:rFonts w:cs="Times New Roman"/>
          <w:lang w:val="en-GB"/>
        </w:rPr>
        <w:t>This paper selects non-financial enterprises in Guangdong, Hong Kong and Macao from 2007 to 2017 as samples. It first analyses the characteristics of the leverage ratio in the greater bay area and conducts a comparative analysis. Then, it conducts empirical research on the macro and micro factors influencing the leverage ratio of enterprises using the two-way fixed effect model. The conclusions are as follows:</w:t>
      </w:r>
    </w:p>
    <w:p>
      <w:pPr>
        <w:spacing w:line="360" w:lineRule="auto"/>
        <w:ind w:firstLine="720"/>
        <w:contextualSpacing/>
        <w:jc w:val="left"/>
        <w:rPr>
          <w:rFonts w:cs="Times New Roman"/>
          <w:lang w:val="en-GB"/>
        </w:rPr>
      </w:pPr>
      <w:r>
        <w:rPr>
          <w:rFonts w:cs="Times New Roman"/>
          <w:lang w:val="en-GB"/>
        </w:rPr>
        <w:t>The leverage ratio of non-financial enterprises in the Guangdong-Hong Kong-Macao Greater Bay Area is not high in comparison with that of similar enterprises in other regions of China and the world's major economies. From the perspective of ownership, the leverage ratio of state-owned enterprises is higher than that of non-state-owned enterprises, with the central state-owned enterprises having the highest ratio, while foreign-funded enterprises have the lowest. From the perspective of industry, the leverage ratio differs significantly across industries. From the regional perspective, before 2008, the enterprises in Macao had the lowest leverage ratio, and those in Guangdong had the highest. In recent years, the corporate leverage ratio in Guangdong, Hong Kong and Macao has tended to be similar.</w:t>
      </w:r>
    </w:p>
    <w:p>
      <w:pPr>
        <w:spacing w:line="360" w:lineRule="auto"/>
        <w:ind w:firstLine="720"/>
        <w:contextualSpacing/>
        <w:jc w:val="left"/>
        <w:rPr>
          <w:rFonts w:cs="Times New Roman"/>
          <w:lang w:val="en-GB"/>
        </w:rPr>
      </w:pPr>
      <w:r>
        <w:rPr>
          <w:rFonts w:cs="Times New Roman"/>
          <w:lang w:val="en-GB"/>
        </w:rPr>
        <w:t>Corporate profitability is the most important micro-level influencing factor affecting the leverage ratio. Corporate profitability, tangible asset ratio and liquidity ratio have a significant negative impact on all non-financial enterprises in the greater bay area. Enterprise size has a significant negative impact on non-state-owned enterprises and enterprises with a high leverage ratio but no significant negative impact on state-owned enterprises. Asset turnover has a significant positive impact on low-leverage enterprises. The non-debt tax shield has a significant positive impact on non-state-owned enterprises and enterprises with a high leverage ratio. The median leverage ratio has a significant positive impact on state-owned and non-state-owned enterprises.</w:t>
      </w:r>
    </w:p>
    <w:p>
      <w:pPr>
        <w:spacing w:line="360" w:lineRule="auto"/>
        <w:ind w:firstLine="720"/>
        <w:contextualSpacing/>
        <w:jc w:val="left"/>
        <w:rPr>
          <w:rFonts w:cs="Times New Roman"/>
          <w:lang w:val="en-GB"/>
        </w:rPr>
      </w:pPr>
      <w:r>
        <w:rPr>
          <w:rFonts w:cs="Times New Roman"/>
          <w:lang w:val="en-GB"/>
        </w:rPr>
        <w:t>Economic growth has the most significant direct impact on the leverage ratio of non-state-owned enterprises. Improvement in the macro economy has a significant positive impact on the leverage ratio of non-state-owned enterprises and a positive but nonsignificant impact on state-owned enterprises. The policy uncertainty index has a positive impact at the significance level of 10% for state-owned enterprises and a significant negative impact on high- and low-leverage enterprises. The inflation rate and M2 growth rate have a significant negative impact on enterprises with a low leverage ratio.</w:t>
      </w:r>
    </w:p>
    <w:p>
      <w:pPr>
        <w:spacing w:line="360" w:lineRule="auto"/>
        <w:ind w:firstLine="720"/>
        <w:contextualSpacing/>
        <w:jc w:val="left"/>
        <w:rPr>
          <w:rFonts w:cs="Times New Roman"/>
          <w:lang w:val="en-GB"/>
        </w:rPr>
      </w:pPr>
      <w:r>
        <w:rPr>
          <w:rFonts w:cs="Times New Roman"/>
          <w:lang w:val="en-GB"/>
        </w:rPr>
        <w:t>The indirect influence of economic growth rate, M2 growth rate and policy uncertainty on the leverage ratio is significant. An increase in the economic growth rate and M2 growth rate strengthens the negative impact of the tangible asset ratio on the corporate leverage ratio. The M2 growth rate reflects the degree of easing of the credit market. When the M2 growth rate increases, the stock market becomes more dynamic, and enterprises with a high ratio of tangible assets have lower equity financing costs. When the stock market is favourable, enterprises prefer equity financing. The increase in the M2 growth rate weakens the negative impact of profitability on the leverage ratio, like economic growth weakens the negative impact of profitability and liquidity ratio on the leverage ratio. An increase in policy uncertainty strengthens the negative impact of profitability on the leverage ratio for state-owned enterprises and weakens it for non-state enterprises. Increased policy uncertainty also reduces the negative impact of enterprise size on the leverage ratio of non-state-owned enterprises.</w:t>
      </w:r>
    </w:p>
    <w:p>
      <w:pPr>
        <w:spacing w:line="360" w:lineRule="auto"/>
        <w:ind w:firstLine="720"/>
        <w:contextualSpacing/>
        <w:jc w:val="left"/>
        <w:rPr>
          <w:rFonts w:cs="Times New Roman"/>
          <w:lang w:val="en-GB"/>
        </w:rPr>
      </w:pPr>
      <w:r>
        <w:rPr>
          <w:rFonts w:cs="Times New Roman"/>
          <w:lang w:val="en-GB"/>
        </w:rPr>
        <w:t>In view of the above conclusions, this paper proposes the following policy suggestions:</w:t>
      </w:r>
    </w:p>
    <w:p>
      <w:pPr>
        <w:spacing w:line="360" w:lineRule="auto"/>
        <w:ind w:left="1008" w:hanging="720"/>
        <w:contextualSpacing/>
        <w:jc w:val="left"/>
        <w:rPr>
          <w:rFonts w:cs="Times New Roman"/>
          <w:lang w:val="en-GB"/>
        </w:rPr>
      </w:pPr>
      <w:r>
        <w:rPr>
          <w:rFonts w:cs="Times New Roman"/>
          <w:lang w:val="en-GB"/>
        </w:rPr>
        <w:t>(1)</w:t>
      </w:r>
      <w:r>
        <w:rPr>
          <w:rFonts w:cs="Times New Roman"/>
          <w:lang w:val="en-GB"/>
        </w:rPr>
        <w:tab/>
      </w:r>
      <w:r>
        <w:rPr>
          <w:rFonts w:cs="Times New Roman"/>
          <w:lang w:val="en-GB"/>
        </w:rPr>
        <w:t>In the allocation of financial resources, the restrictions by type of enterprise ownership should be overcome, and state-owned enterprises should be further reformed. Among non-financial enterprises in the greater bay area of Guangdong, Hong Kong and Macao, those with high leverage ratios are state-owned enterprises, especially central state-owned enterprises. Therefore, the priority of "deleveraging" is to reduce the leverage ratio of central state-owned enterprises. We should speed up the merger and reorganization of state-owned enterprises with low output efficiency and high energy consumption to improve their production efficiency, utilization rate of financial resources and industrial competitiveness. In addition, we should actively promote the reform of mixed ownership, which will help reduce the asymmetric impact of economic policies on state-owned and non-state-owned enterprises.</w:t>
      </w:r>
    </w:p>
    <w:p>
      <w:pPr>
        <w:spacing w:line="360" w:lineRule="auto"/>
        <w:ind w:left="1008" w:hanging="720"/>
        <w:contextualSpacing/>
        <w:jc w:val="left"/>
        <w:rPr>
          <w:rFonts w:cs="Times New Roman"/>
          <w:lang w:val="en-GB"/>
        </w:rPr>
      </w:pPr>
      <w:r>
        <w:rPr>
          <w:rFonts w:cs="Times New Roman"/>
          <w:lang w:val="en-GB"/>
        </w:rPr>
        <w:t>(2)</w:t>
      </w:r>
      <w:r>
        <w:rPr>
          <w:rFonts w:cs="Times New Roman"/>
          <w:lang w:val="en-GB"/>
        </w:rPr>
        <w:tab/>
      </w:r>
      <w:r>
        <w:rPr>
          <w:rFonts w:cs="Times New Roman"/>
          <w:lang w:val="en-GB"/>
        </w:rPr>
        <w:t>We should promote the development of a multi-level capital market and the construction of a bond market. First, we need to respond positively to national policies and build a diversified, international and trans-regional investment and financing system for scientific and technological innovation in the Guangdong-Hong Kong-Macao Greater Bay Area. Regulatory powers should be delegated to lower-level governments, and a multi-level investment and financing platform should be vigorously developed for the greater bay area. Second, we should standardize credit rating agencies and improve the information disclosure system to lay a good foundation for the companies’ bond issuance. Finally, the pilot system of corporate bond registration should be promoted in the Guangdong-Hong Kong-Macao Greater Bay Area to reduce issuing costs and improve efficiency.</w:t>
      </w:r>
    </w:p>
    <w:p>
      <w:pPr>
        <w:spacing w:line="360" w:lineRule="auto"/>
        <w:ind w:left="1008" w:hanging="720"/>
        <w:contextualSpacing/>
        <w:jc w:val="left"/>
        <w:rPr>
          <w:rFonts w:cs="Times New Roman"/>
          <w:lang w:val="en-GB"/>
        </w:rPr>
      </w:pPr>
      <w:r>
        <w:rPr>
          <w:rFonts w:cs="Times New Roman"/>
          <w:lang w:val="en-GB"/>
        </w:rPr>
        <w:t>(3)</w:t>
      </w:r>
      <w:r>
        <w:rPr>
          <w:rFonts w:cs="Times New Roman"/>
          <w:lang w:val="en-GB"/>
        </w:rPr>
        <w:tab/>
      </w:r>
      <w:r>
        <w:rPr>
          <w:rFonts w:cs="Times New Roman"/>
          <w:lang w:val="en-GB"/>
        </w:rPr>
        <w:t>We should be cautious about innovative financial instruments and guard against hidden debt risks of non-financial enterprises. We should pay attention to the hidden debt risk brought by financial innovative instruments (such as perpetual debt). Perpetual bonds are generally recorded into equity in practice. Therefore, the issuance of perpetual bonds by enterprises reduces their leverage ratio but in fact increases their hidden leverage and debt risk. The regulators of the Guangdong-Hong Kong-Macao Greater Bay Area should pay attention to the hidden leverage associated with such financial innovation tools, and rating agencies should fully consider such hidden debt to reduce the level of debt risk.</w:t>
      </w:r>
    </w:p>
    <w:p>
      <w:pPr>
        <w:spacing w:line="360" w:lineRule="auto"/>
        <w:ind w:left="1008" w:hanging="720"/>
        <w:contextualSpacing/>
        <w:jc w:val="left"/>
        <w:rPr>
          <w:rFonts w:cs="Times New Roman"/>
          <w:lang w:val="en-GB"/>
        </w:rPr>
      </w:pPr>
    </w:p>
    <w:p>
      <w:pPr>
        <w:spacing w:line="360" w:lineRule="auto"/>
        <w:ind w:left="1008" w:hanging="720"/>
        <w:contextualSpacing/>
        <w:jc w:val="left"/>
        <w:rPr>
          <w:rFonts w:cs="Times New Roman"/>
          <w:lang w:val="en-GB"/>
        </w:rPr>
      </w:pPr>
    </w:p>
    <w:p>
      <w:pPr>
        <w:adjustRightInd w:val="0"/>
        <w:snapToGrid w:val="0"/>
        <w:spacing w:line="480" w:lineRule="auto"/>
        <w:contextualSpacing/>
        <w:jc w:val="left"/>
        <w:rPr>
          <w:rFonts w:ascii="Times New Roman" w:hAnsi="Times New Roman" w:eastAsia="等线" w:cs="Times New Roman"/>
          <w:b/>
          <w:bCs/>
          <w:sz w:val="24"/>
          <w:szCs w:val="24"/>
        </w:rPr>
      </w:pPr>
      <w:r>
        <w:rPr>
          <w:rFonts w:ascii="Times New Roman" w:hAnsi="Times New Roman" w:eastAsia="等线" w:cs="Times New Roman"/>
          <w:b/>
          <w:bCs/>
          <w:sz w:val="24"/>
          <w:szCs w:val="24"/>
        </w:rPr>
        <w:t>Acknowledgements</w:t>
      </w:r>
    </w:p>
    <w:p>
      <w:pPr>
        <w:adjustRightInd w:val="0"/>
        <w:snapToGrid w:val="0"/>
        <w:spacing w:line="480" w:lineRule="auto"/>
        <w:contextualSpacing/>
        <w:jc w:val="left"/>
        <w:rPr>
          <w:rFonts w:ascii="Times New Roman" w:hAnsi="Times New Roman" w:eastAsia="等线" w:cs="Times New Roman"/>
          <w:sz w:val="24"/>
          <w:szCs w:val="24"/>
        </w:rPr>
      </w:pPr>
      <w:r>
        <w:rPr>
          <w:rFonts w:ascii="Times New Roman" w:hAnsi="Times New Roman" w:eastAsia="等线" w:cs="Times New Roman"/>
          <w:sz w:val="24"/>
          <w:szCs w:val="24"/>
        </w:rPr>
        <w:t>The authors acknowledge the valuable comments and suggestions provided by our colleagues. The authors are grateful to the anonymous reviewers, whose comments have helped us improve the manuscript.</w:t>
      </w:r>
    </w:p>
    <w:p>
      <w:pPr>
        <w:adjustRightInd w:val="0"/>
        <w:snapToGrid w:val="0"/>
        <w:spacing w:line="480" w:lineRule="auto"/>
        <w:contextualSpacing/>
        <w:jc w:val="left"/>
        <w:rPr>
          <w:rFonts w:ascii="Times New Roman" w:hAnsi="Times New Roman" w:eastAsia="等线" w:cs="Times New Roman"/>
          <w:sz w:val="24"/>
          <w:szCs w:val="24"/>
        </w:rPr>
      </w:pPr>
    </w:p>
    <w:p>
      <w:pPr>
        <w:adjustRightInd w:val="0"/>
        <w:snapToGrid w:val="0"/>
        <w:spacing w:line="480" w:lineRule="auto"/>
        <w:contextualSpacing/>
        <w:jc w:val="left"/>
        <w:rPr>
          <w:rFonts w:ascii="Times New Roman" w:hAnsi="Times New Roman" w:eastAsia="等线" w:cs="Times New Roman"/>
          <w:b/>
          <w:bCs/>
          <w:sz w:val="24"/>
          <w:szCs w:val="24"/>
        </w:rPr>
      </w:pPr>
      <w:r>
        <w:rPr>
          <w:rFonts w:ascii="Times New Roman" w:hAnsi="Times New Roman" w:eastAsia="等线" w:cs="Times New Roman"/>
          <w:b/>
          <w:bCs/>
          <w:sz w:val="24"/>
          <w:szCs w:val="24"/>
        </w:rPr>
        <w:t>Funding</w:t>
      </w:r>
    </w:p>
    <w:p>
      <w:pPr>
        <w:adjustRightInd w:val="0"/>
        <w:snapToGrid w:val="0"/>
        <w:spacing w:line="480" w:lineRule="auto"/>
        <w:contextualSpacing/>
        <w:jc w:val="left"/>
        <w:rPr>
          <w:rFonts w:ascii="Times New Roman" w:hAnsi="Times New Roman" w:eastAsia="等线" w:cs="Times New Roman"/>
          <w:sz w:val="24"/>
          <w:szCs w:val="24"/>
        </w:rPr>
      </w:pPr>
      <w:r>
        <w:rPr>
          <w:rFonts w:ascii="Times New Roman" w:hAnsi="Times New Roman" w:eastAsia="等线" w:cs="Times New Roman"/>
          <w:sz w:val="24"/>
          <w:szCs w:val="24"/>
        </w:rPr>
        <w:t>This research is partially funded by Youth Project of the National Social Science Foundation of China (19CJY064); Major Projects of National Social Science Fund (21ZDA115, 21ZDA044).</w:t>
      </w:r>
    </w:p>
    <w:p>
      <w:pPr>
        <w:adjustRightInd w:val="0"/>
        <w:snapToGrid w:val="0"/>
        <w:spacing w:line="480" w:lineRule="auto"/>
        <w:contextualSpacing/>
        <w:jc w:val="left"/>
        <w:rPr>
          <w:rFonts w:ascii="Times New Roman" w:hAnsi="Times New Roman" w:eastAsia="等线" w:cs="Times New Roman"/>
          <w:sz w:val="24"/>
          <w:szCs w:val="24"/>
        </w:rPr>
      </w:pPr>
    </w:p>
    <w:p>
      <w:pPr>
        <w:adjustRightInd w:val="0"/>
        <w:snapToGrid w:val="0"/>
        <w:spacing w:line="480" w:lineRule="auto"/>
        <w:contextualSpacing/>
        <w:jc w:val="left"/>
        <w:rPr>
          <w:rFonts w:ascii="Times New Roman" w:hAnsi="Times New Roman" w:eastAsia="等线" w:cs="Times New Roman"/>
          <w:b/>
          <w:bCs/>
          <w:sz w:val="24"/>
          <w:szCs w:val="24"/>
        </w:rPr>
      </w:pPr>
      <w:r>
        <w:rPr>
          <w:rFonts w:ascii="Times New Roman" w:hAnsi="Times New Roman" w:eastAsia="等线" w:cs="Times New Roman"/>
          <w:b/>
          <w:bCs/>
          <w:sz w:val="24"/>
          <w:szCs w:val="24"/>
        </w:rPr>
        <w:t>Declarations of competing interest</w:t>
      </w:r>
    </w:p>
    <w:p>
      <w:pPr>
        <w:adjustRightInd w:val="0"/>
        <w:snapToGrid w:val="0"/>
        <w:spacing w:line="480" w:lineRule="auto"/>
        <w:contextualSpacing/>
        <w:jc w:val="left"/>
        <w:rPr>
          <w:rFonts w:ascii="Times New Roman" w:hAnsi="Times New Roman" w:eastAsia="等线" w:cs="Times New Roman"/>
          <w:sz w:val="24"/>
          <w:szCs w:val="24"/>
        </w:rPr>
      </w:pPr>
      <w:r>
        <w:rPr>
          <w:rFonts w:ascii="Times New Roman" w:hAnsi="Times New Roman" w:eastAsia="等线" w:cs="Times New Roman"/>
          <w:sz w:val="24"/>
          <w:szCs w:val="24"/>
        </w:rPr>
        <w:t>The authors declare that they have no conflicts of interest.</w:t>
      </w:r>
    </w:p>
    <w:p>
      <w:pPr>
        <w:widowControl/>
        <w:spacing w:line="360" w:lineRule="auto"/>
        <w:contextualSpacing/>
        <w:jc w:val="left"/>
        <w:rPr>
          <w:rFonts w:cs="Times New Roman"/>
          <w:lang w:val="en-GB"/>
        </w:rPr>
      </w:pPr>
    </w:p>
    <w:p>
      <w:pPr>
        <w:pStyle w:val="2"/>
        <w:spacing w:before="0" w:after="0" w:line="360" w:lineRule="auto"/>
        <w:contextualSpacing/>
        <w:jc w:val="left"/>
        <w:rPr>
          <w:rFonts w:cs="Times New Roman"/>
          <w:b/>
          <w:sz w:val="24"/>
          <w:szCs w:val="24"/>
          <w:lang w:val="en-GB"/>
        </w:rPr>
      </w:pPr>
      <w:r>
        <w:rPr>
          <w:rFonts w:cs="Times New Roman"/>
          <w:b/>
          <w:sz w:val="24"/>
          <w:szCs w:val="24"/>
          <w:lang w:val="en-GB"/>
        </w:rPr>
        <w:t>References</w:t>
      </w:r>
    </w:p>
    <w:p>
      <w:pPr>
        <w:pStyle w:val="35"/>
        <w:numPr>
          <w:ilvl w:val="-1"/>
          <w:numId w:val="0"/>
        </w:numPr>
        <w:spacing w:line="360" w:lineRule="auto"/>
        <w:ind w:left="480" w:hanging="480" w:hangingChars="200"/>
        <w:contextualSpacing/>
      </w:pPr>
      <w:bookmarkStart w:id="3" w:name="_Hlk22149156"/>
      <w:r>
        <w:rPr>
          <w:rFonts w:hint="eastAsia"/>
          <w:lang w:val="en-US" w:eastAsia="zh-CN"/>
        </w:rPr>
        <w:t xml:space="preserve">[1]  </w:t>
      </w:r>
      <w:r>
        <w:t xml:space="preserve">Belkhir, M., Maghyereh, A., &amp; Awartani, B. (2016). Institutions and corporate capital structure in the MENA region. </w:t>
      </w:r>
      <w:r>
        <w:rPr>
          <w:i/>
        </w:rPr>
        <w:t>Emerging Markets Review, 26</w:t>
      </w:r>
      <w:r>
        <w:t>(3), 99–129. https://doi.org/10.1016/j.ememar.2016.01.001.</w:t>
      </w:r>
    </w:p>
    <w:p>
      <w:pPr>
        <w:pStyle w:val="35"/>
        <w:numPr>
          <w:ilvl w:val="-1"/>
          <w:numId w:val="0"/>
        </w:numPr>
        <w:spacing w:line="480" w:lineRule="auto"/>
        <w:ind w:left="480" w:hanging="480" w:hangingChars="200"/>
        <w:contextualSpacing/>
      </w:pPr>
      <w:r>
        <w:rPr>
          <w:rFonts w:hint="eastAsia"/>
          <w:lang w:val="en-US" w:eastAsia="zh-CN"/>
        </w:rPr>
        <w:t xml:space="preserve">[2]  </w:t>
      </w:r>
      <w:r>
        <w:t xml:space="preserve">Chen, W., &amp; Xiong, Q. (2017). The international comparison of leverage rate of China's non-financial enterprises and suggestions. </w:t>
      </w:r>
      <w:r>
        <w:rPr>
          <w:i/>
        </w:rPr>
        <w:t>Studies of International Finance</w:t>
      </w:r>
      <w:r>
        <w:t>, (2), 3–11.</w:t>
      </w:r>
      <w:r>
        <w:rPr>
          <w:rStyle w:val="19"/>
          <w:rFonts w:hint="default" w:ascii="Times New Roman" w:hAnsi="Times New Roman" w:eastAsia="等线" w:cs="Times New Roman"/>
          <w:sz w:val="24"/>
          <w:szCs w:val="24"/>
          <w:vertAlign w:val="baseline"/>
          <w:lang w:val="en-US" w:eastAsia="zh-CN"/>
        </w:rPr>
        <w:t>(In Chinese)</w:t>
      </w:r>
      <w:r>
        <w:rPr>
          <w:rStyle w:val="19"/>
          <w:rFonts w:hint="eastAsia" w:ascii="Times New Roman" w:hAnsi="Times New Roman" w:eastAsia="等线" w:cs="Times New Roman"/>
          <w:sz w:val="24"/>
          <w:szCs w:val="24"/>
          <w:vertAlign w:val="baseline"/>
          <w:lang w:val="en-US" w:eastAsia="zh-CN"/>
        </w:rPr>
        <w:t>.</w:t>
      </w:r>
    </w:p>
    <w:p>
      <w:pPr>
        <w:pStyle w:val="35"/>
        <w:numPr>
          <w:ilvl w:val="-1"/>
          <w:numId w:val="0"/>
        </w:numPr>
        <w:spacing w:line="480" w:lineRule="auto"/>
        <w:ind w:left="480" w:hanging="480" w:hangingChars="200"/>
        <w:contextualSpacing/>
      </w:pPr>
      <w:r>
        <w:rPr>
          <w:rFonts w:hint="eastAsia"/>
          <w:lang w:val="en-US" w:eastAsia="zh-CN"/>
        </w:rPr>
        <w:t xml:space="preserve">[3]  </w:t>
      </w:r>
      <w:r>
        <w:t xml:space="preserve">Guo, P., &amp; Sun, P. (2003). The industrial characteristic of capital structure: An empirical study on chinese listed companies. </w:t>
      </w:r>
      <w:r>
        <w:rPr>
          <w:i/>
        </w:rPr>
        <w:t>Economic Research Journal</w:t>
      </w:r>
      <w:r>
        <w:t>, (5), 66–73+93.</w:t>
      </w:r>
      <w:r>
        <w:rPr>
          <w:rStyle w:val="19"/>
          <w:rFonts w:hint="default" w:ascii="Times New Roman" w:hAnsi="Times New Roman" w:eastAsia="等线" w:cs="Times New Roman"/>
          <w:sz w:val="24"/>
          <w:szCs w:val="24"/>
          <w:vertAlign w:val="baseline"/>
          <w:lang w:val="en-US" w:eastAsia="zh-CN"/>
        </w:rPr>
        <w:t>(In Chinese)</w:t>
      </w:r>
      <w:r>
        <w:rPr>
          <w:rStyle w:val="19"/>
          <w:rFonts w:hint="eastAsia" w:ascii="Times New Roman" w:hAnsi="Times New Roman" w:eastAsia="等线" w:cs="Times New Roman"/>
          <w:sz w:val="24"/>
          <w:szCs w:val="24"/>
          <w:vertAlign w:val="baseline"/>
          <w:lang w:val="en-US" w:eastAsia="zh-CN"/>
        </w:rPr>
        <w:t>.</w:t>
      </w:r>
    </w:p>
    <w:p>
      <w:pPr>
        <w:pStyle w:val="35"/>
        <w:numPr>
          <w:ilvl w:val="-1"/>
          <w:numId w:val="0"/>
        </w:numPr>
        <w:spacing w:line="360" w:lineRule="auto"/>
        <w:ind w:left="0" w:firstLine="0"/>
        <w:contextualSpacing/>
        <w:rPr>
          <w:rFonts w:hint="eastAsia"/>
          <w:lang w:val="en-US" w:eastAsia="zh-CN"/>
        </w:rPr>
      </w:pPr>
      <w:r>
        <w:rPr>
          <w:rFonts w:hint="eastAsia"/>
          <w:lang w:val="en-US" w:eastAsia="zh-CN"/>
        </w:rPr>
        <w:t xml:space="preserve">[4]  </w:t>
      </w:r>
      <w:r>
        <w:t xml:space="preserve">Halling, M., Yu, J., &amp; Zechner, J. (2016). Leverage dynamics over the business cycle. </w:t>
      </w:r>
      <w:r>
        <w:rPr>
          <w:rFonts w:hint="eastAsia"/>
          <w:lang w:val="en-US" w:eastAsia="zh-CN"/>
        </w:rPr>
        <w:t xml:space="preserve">  </w:t>
      </w:r>
    </w:p>
    <w:p>
      <w:pPr>
        <w:pStyle w:val="35"/>
        <w:numPr>
          <w:ilvl w:val="-1"/>
          <w:numId w:val="0"/>
        </w:numPr>
        <w:spacing w:line="360" w:lineRule="auto"/>
        <w:ind w:left="598" w:leftChars="249" w:firstLine="0" w:firstLineChars="0"/>
        <w:contextualSpacing/>
      </w:pPr>
      <w:r>
        <w:rPr>
          <w:i/>
        </w:rPr>
        <w:t>Journal of Financial Economics, 122</w:t>
      </w:r>
      <w:r>
        <w:t>(1), 21–41. https://doi.org/10.1016/j.jfineco.2016.07.001.</w:t>
      </w:r>
    </w:p>
    <w:p>
      <w:pPr>
        <w:pStyle w:val="35"/>
        <w:numPr>
          <w:ilvl w:val="-1"/>
          <w:numId w:val="0"/>
        </w:numPr>
        <w:spacing w:line="360" w:lineRule="auto"/>
        <w:ind w:left="480" w:hanging="480" w:hangingChars="200"/>
        <w:contextualSpacing/>
      </w:pPr>
      <w:r>
        <w:rPr>
          <w:rFonts w:hint="eastAsia"/>
          <w:lang w:val="en-US" w:eastAsia="zh-CN"/>
        </w:rPr>
        <w:t xml:space="preserve">[5]  </w:t>
      </w:r>
      <w:r>
        <w:t xml:space="preserve">Ji, Y., Wang, X., Tan, Y., &amp; Huang, Y. (2018). Economic policy uncertainty, implicit guarantee and divergence of corporate leverage rate. </w:t>
      </w:r>
      <w:r>
        <w:rPr>
          <w:i/>
        </w:rPr>
        <w:t>China Economic Quarterly, 17</w:t>
      </w:r>
      <w:r>
        <w:t>(2), 449–470.</w:t>
      </w:r>
    </w:p>
    <w:p>
      <w:pPr>
        <w:pStyle w:val="35"/>
        <w:numPr>
          <w:ilvl w:val="-1"/>
          <w:numId w:val="0"/>
        </w:numPr>
        <w:spacing w:line="360" w:lineRule="auto"/>
        <w:ind w:left="480" w:hanging="480" w:hangingChars="200"/>
        <w:contextualSpacing/>
      </w:pPr>
      <w:r>
        <w:rPr>
          <w:rFonts w:hint="eastAsia"/>
          <w:lang w:val="en-US" w:eastAsia="zh-CN"/>
        </w:rPr>
        <w:t xml:space="preserve">[6]  </w:t>
      </w:r>
      <w:r>
        <w:t xml:space="preserve">Li, L., &amp; Islam, S. Z. (2019). Firm and industry specific determinants of capital structure: Evidence from the Australian market. </w:t>
      </w:r>
      <w:r>
        <w:rPr>
          <w:i/>
        </w:rPr>
        <w:t>International Review of Economics &amp; Finance, 59</w:t>
      </w:r>
      <w:r>
        <w:t>(3), 425–437. https://doi.org/10.1016/j.iref.2018.10.007.</w:t>
      </w:r>
    </w:p>
    <w:p>
      <w:pPr>
        <w:pStyle w:val="35"/>
        <w:numPr>
          <w:ilvl w:val="-1"/>
          <w:numId w:val="0"/>
        </w:numPr>
        <w:spacing w:line="360" w:lineRule="auto"/>
        <w:ind w:left="480" w:hanging="480" w:hangingChars="200"/>
        <w:contextualSpacing/>
      </w:pPr>
      <w:r>
        <w:rPr>
          <w:rFonts w:hint="eastAsia"/>
          <w:lang w:val="en-US" w:eastAsia="zh-CN"/>
        </w:rPr>
        <w:t xml:space="preserve">[7]  </w:t>
      </w:r>
      <w:r>
        <w:t xml:space="preserve">Liang, J., Li, L. F., &amp; Song, H.-S. (2014). An explanation of capital structure of China's listed property firms. </w:t>
      </w:r>
      <w:r>
        <w:rPr>
          <w:i/>
        </w:rPr>
        <w:t>Property Management, 32</w:t>
      </w:r>
      <w:r>
        <w:t>(1), 4–15. https://doi.org/10.1108/PM-02-2013-0012.</w:t>
      </w:r>
    </w:p>
    <w:p>
      <w:pPr>
        <w:pStyle w:val="35"/>
        <w:numPr>
          <w:ilvl w:val="-1"/>
          <w:numId w:val="0"/>
        </w:numPr>
        <w:spacing w:line="360" w:lineRule="auto"/>
        <w:ind w:left="480" w:hanging="480" w:hangingChars="200"/>
        <w:contextualSpacing/>
      </w:pPr>
      <w:r>
        <w:rPr>
          <w:rFonts w:hint="eastAsia"/>
          <w:lang w:val="en-US" w:eastAsia="zh-CN"/>
        </w:rPr>
        <w:t xml:space="preserve">[8]  </w:t>
      </w:r>
      <w:r>
        <w:t xml:space="preserve">Liu, J., Chen, D., &amp; Xu, N. (2018). Has “low growth, low inflation” driven the rapid rise of China’s macro-economy leverage ratio. </w:t>
      </w:r>
      <w:r>
        <w:rPr>
          <w:i/>
        </w:rPr>
        <w:t>Journal of Jiangxi University of Finance and Economics</w:t>
      </w:r>
      <w:r>
        <w:t>, (4), 13–23.</w:t>
      </w:r>
      <w:r>
        <w:rPr>
          <w:rStyle w:val="19"/>
          <w:rFonts w:hint="default" w:ascii="Times New Roman" w:hAnsi="Times New Roman" w:eastAsia="等线" w:cs="Times New Roman"/>
          <w:sz w:val="24"/>
          <w:szCs w:val="24"/>
          <w:vertAlign w:val="baseline"/>
          <w:lang w:val="en-US" w:eastAsia="zh-CN"/>
        </w:rPr>
        <w:t>(In Chinese)</w:t>
      </w:r>
      <w:r>
        <w:rPr>
          <w:rStyle w:val="19"/>
          <w:rFonts w:hint="eastAsia" w:ascii="Times New Roman" w:hAnsi="Times New Roman" w:eastAsia="等线" w:cs="Times New Roman"/>
          <w:sz w:val="24"/>
          <w:szCs w:val="24"/>
          <w:vertAlign w:val="baseline"/>
          <w:lang w:val="en-US" w:eastAsia="zh-CN"/>
        </w:rPr>
        <w:t>.</w:t>
      </w:r>
    </w:p>
    <w:p>
      <w:pPr>
        <w:pStyle w:val="35"/>
        <w:numPr>
          <w:ilvl w:val="-1"/>
          <w:numId w:val="0"/>
        </w:numPr>
        <w:spacing w:line="360" w:lineRule="auto"/>
        <w:ind w:left="480" w:hanging="480" w:hangingChars="200"/>
        <w:contextualSpacing/>
      </w:pPr>
      <w:r>
        <w:rPr>
          <w:rFonts w:hint="eastAsia"/>
          <w:lang w:val="en-US" w:eastAsia="zh-CN"/>
        </w:rPr>
        <w:t xml:space="preserve">[9]  </w:t>
      </w:r>
      <w:r>
        <w:t xml:space="preserve">Lu, Z., He, J., Dou, H., Peking University, &amp; Ji’nan University. (2015). Whose leverage is more excessed, SOEs or non-SOEs?. </w:t>
      </w:r>
      <w:r>
        <w:rPr>
          <w:i/>
        </w:rPr>
        <w:t>Economic Research Journal, 50</w:t>
      </w:r>
      <w:r>
        <w:t>(12), 54–67.</w:t>
      </w:r>
    </w:p>
    <w:p>
      <w:pPr>
        <w:pStyle w:val="35"/>
        <w:numPr>
          <w:ilvl w:val="-1"/>
          <w:numId w:val="0"/>
        </w:numPr>
        <w:spacing w:line="360" w:lineRule="auto"/>
        <w:ind w:left="480" w:hanging="480" w:hangingChars="200"/>
        <w:contextualSpacing/>
      </w:pPr>
      <w:r>
        <w:rPr>
          <w:rFonts w:hint="eastAsia"/>
          <w:lang w:val="en-US" w:eastAsia="zh-CN"/>
        </w:rPr>
        <w:t xml:space="preserve">[10] </w:t>
      </w:r>
      <w:r>
        <w:t xml:space="preserve">Rao, P., Yue, H., &amp; Jiang, G. (2017). Economic policy uncertainty and firms’ investment. </w:t>
      </w:r>
      <w:r>
        <w:rPr>
          <w:i/>
        </w:rPr>
        <w:t>The Journal of World Economy, 40</w:t>
      </w:r>
      <w:r>
        <w:t>(2), 27–51.</w:t>
      </w:r>
    </w:p>
    <w:p>
      <w:pPr>
        <w:pStyle w:val="35"/>
        <w:numPr>
          <w:ilvl w:val="-1"/>
          <w:numId w:val="0"/>
        </w:numPr>
        <w:spacing w:line="360" w:lineRule="auto"/>
        <w:ind w:left="480" w:hanging="480" w:hangingChars="200"/>
        <w:contextualSpacing/>
      </w:pPr>
      <w:r>
        <w:rPr>
          <w:rFonts w:hint="eastAsia"/>
          <w:lang w:val="en-US" w:eastAsia="zh-CN"/>
        </w:rPr>
        <w:t xml:space="preserve">[11] </w:t>
      </w:r>
      <w:r>
        <w:t xml:space="preserve">Li, W., Yu, C., &amp; Wu, H. (2017). Systemic financial risks and soft budget constraints. </w:t>
      </w:r>
      <w:r>
        <w:rPr>
          <w:i/>
        </w:rPr>
        <w:t>Southeast Academic Research,</w:t>
      </w:r>
      <w:r>
        <w:t xml:space="preserve"> (6), 65–77+247.</w:t>
      </w:r>
      <w:r>
        <w:rPr>
          <w:rStyle w:val="19"/>
          <w:rFonts w:hint="default" w:ascii="Times New Roman" w:hAnsi="Times New Roman" w:eastAsia="等线" w:cs="Times New Roman"/>
          <w:sz w:val="24"/>
          <w:szCs w:val="24"/>
          <w:vertAlign w:val="baseline"/>
          <w:lang w:val="en-US" w:eastAsia="zh-CN"/>
        </w:rPr>
        <w:t>(In Chinese)</w:t>
      </w:r>
      <w:r>
        <w:rPr>
          <w:rStyle w:val="19"/>
          <w:rFonts w:hint="eastAsia" w:ascii="Times New Roman" w:hAnsi="Times New Roman" w:eastAsia="等线" w:cs="Times New Roman"/>
          <w:sz w:val="24"/>
          <w:szCs w:val="24"/>
          <w:vertAlign w:val="baseline"/>
          <w:lang w:val="en-US" w:eastAsia="zh-CN"/>
        </w:rPr>
        <w:t>.</w:t>
      </w:r>
    </w:p>
    <w:p>
      <w:pPr>
        <w:pStyle w:val="35"/>
        <w:numPr>
          <w:ilvl w:val="-1"/>
          <w:numId w:val="0"/>
        </w:numPr>
        <w:spacing w:line="360" w:lineRule="auto"/>
        <w:ind w:left="480" w:hanging="480" w:hangingChars="200"/>
        <w:contextualSpacing/>
      </w:pPr>
      <w:r>
        <w:rPr>
          <w:rFonts w:hint="eastAsia"/>
          <w:lang w:val="en-US" w:eastAsia="zh-CN"/>
        </w:rPr>
        <w:t xml:space="preserve">[12] </w:t>
      </w:r>
      <w:r>
        <w:t xml:space="preserve">Su, D., &amp; Zeng, H. (2009). Macroeconomic conditions and corporate capital structure : Evidence from publicly-listed firms in China during 1994 and 2007. </w:t>
      </w:r>
      <w:r>
        <w:rPr>
          <w:i/>
        </w:rPr>
        <w:t>Economic Research Journal, 44</w:t>
      </w:r>
      <w:r>
        <w:t>(12), 52–65.</w:t>
      </w:r>
    </w:p>
    <w:p>
      <w:pPr>
        <w:pStyle w:val="35"/>
        <w:numPr>
          <w:ilvl w:val="-1"/>
          <w:numId w:val="0"/>
        </w:numPr>
        <w:spacing w:line="360" w:lineRule="auto"/>
        <w:ind w:left="480" w:hanging="480" w:hangingChars="200"/>
        <w:contextualSpacing/>
      </w:pPr>
      <w:r>
        <w:rPr>
          <w:rFonts w:hint="eastAsia"/>
          <w:lang w:val="en-US" w:eastAsia="zh-CN"/>
        </w:rPr>
        <w:t xml:space="preserve">[13] </w:t>
      </w:r>
      <w:r>
        <w:t xml:space="preserve">Tan, X., Yin, B., &amp; Yang, Y. (2018). A study on determinants of Chinese non-financial corporation’s leverage: 2002-2015. </w:t>
      </w:r>
      <w:r>
        <w:rPr>
          <w:i/>
        </w:rPr>
        <w:t>Journal of Central University of Finance &amp; Economics</w:t>
      </w:r>
      <w:r>
        <w:t>, (2), 23–37.</w:t>
      </w:r>
      <w:r>
        <w:rPr>
          <w:rStyle w:val="19"/>
          <w:rFonts w:hint="default" w:ascii="Times New Roman" w:hAnsi="Times New Roman" w:eastAsia="等线" w:cs="Times New Roman"/>
          <w:sz w:val="24"/>
          <w:szCs w:val="24"/>
          <w:vertAlign w:val="baseline"/>
          <w:lang w:val="en-US" w:eastAsia="zh-CN"/>
        </w:rPr>
        <w:t>(In Chinese)</w:t>
      </w:r>
      <w:r>
        <w:rPr>
          <w:rStyle w:val="19"/>
          <w:rFonts w:hint="eastAsia" w:ascii="Times New Roman" w:hAnsi="Times New Roman" w:eastAsia="等线" w:cs="Times New Roman"/>
          <w:sz w:val="24"/>
          <w:szCs w:val="24"/>
          <w:vertAlign w:val="baseline"/>
          <w:lang w:val="en-US" w:eastAsia="zh-CN"/>
        </w:rPr>
        <w:t>.</w:t>
      </w:r>
    </w:p>
    <w:p>
      <w:pPr>
        <w:pStyle w:val="35"/>
        <w:numPr>
          <w:ilvl w:val="-1"/>
          <w:numId w:val="0"/>
        </w:numPr>
        <w:spacing w:line="360" w:lineRule="auto"/>
        <w:ind w:left="480" w:hanging="480" w:hangingChars="200"/>
        <w:contextualSpacing/>
      </w:pPr>
      <w:r>
        <w:rPr>
          <w:rFonts w:hint="eastAsia"/>
          <w:lang w:val="en-US" w:eastAsia="zh-CN"/>
        </w:rPr>
        <w:t xml:space="preserve">[14] </w:t>
      </w:r>
      <w:r>
        <w:t xml:space="preserve">Xiao, Z. (2005). </w:t>
      </w:r>
      <w:r>
        <w:rPr>
          <w:i/>
        </w:rPr>
        <w:t>Research on influencing factors of capital structure of listed companies in China</w:t>
      </w:r>
      <w:r>
        <w:t>.</w:t>
      </w:r>
      <w:r>
        <w:rPr>
          <w:rFonts w:hint="eastAsia"/>
        </w:rPr>
        <w:t>(</w:t>
      </w:r>
      <w:r>
        <w:rPr>
          <w:rFonts w:hint="eastAsia"/>
          <w:lang w:val="en-US" w:eastAsia="zh-CN"/>
        </w:rPr>
        <w:t>1</w:t>
      </w:r>
      <w:r>
        <w:rPr>
          <w:rFonts w:hint="eastAsia"/>
        </w:rPr>
        <w:t>th ed.).</w:t>
      </w:r>
      <w:r>
        <w:t xml:space="preserve"> </w:t>
      </w:r>
      <w:r>
        <w:rPr>
          <w:rFonts w:hint="eastAsia"/>
          <w:lang w:val="en-US" w:eastAsia="zh-CN"/>
        </w:rPr>
        <w:t xml:space="preserve">Beijing: </w:t>
      </w:r>
      <w:r>
        <w:t>Chinese Financial &amp; Economic Publishing House.</w:t>
      </w:r>
      <w:r>
        <w:rPr>
          <w:rStyle w:val="19"/>
          <w:rFonts w:hint="default" w:ascii="Times New Roman" w:hAnsi="Times New Roman" w:eastAsia="等线" w:cs="Times New Roman"/>
          <w:sz w:val="24"/>
          <w:szCs w:val="24"/>
          <w:vertAlign w:val="baseline"/>
          <w:lang w:val="en-US" w:eastAsia="zh-CN"/>
        </w:rPr>
        <w:t>(In Chinese)</w:t>
      </w:r>
      <w:r>
        <w:rPr>
          <w:rStyle w:val="19"/>
          <w:rFonts w:hint="eastAsia" w:ascii="Times New Roman" w:hAnsi="Times New Roman" w:eastAsia="等线" w:cs="Times New Roman"/>
          <w:sz w:val="24"/>
          <w:szCs w:val="24"/>
          <w:vertAlign w:val="baseline"/>
          <w:lang w:val="en-US" w:eastAsia="zh-CN"/>
        </w:rPr>
        <w:t>.</w:t>
      </w:r>
    </w:p>
    <w:p>
      <w:pPr>
        <w:pStyle w:val="35"/>
        <w:numPr>
          <w:ilvl w:val="-1"/>
          <w:numId w:val="0"/>
        </w:numPr>
        <w:spacing w:line="360" w:lineRule="auto"/>
        <w:ind w:left="480" w:hanging="480" w:hangingChars="200"/>
        <w:contextualSpacing/>
      </w:pPr>
      <w:r>
        <w:rPr>
          <w:rFonts w:hint="eastAsia"/>
          <w:lang w:val="en-US" w:eastAsia="zh-CN"/>
        </w:rPr>
        <w:t xml:space="preserve">[15] </w:t>
      </w:r>
      <w:r>
        <w:t xml:space="preserve">Xiao, Z., &amp; Zou, H. (2008). The determinants of capital structure and equity financing preference in listed Chinese companies. </w:t>
      </w:r>
      <w:r>
        <w:rPr>
          <w:i/>
        </w:rPr>
        <w:t>Economic Research Journal</w:t>
      </w:r>
      <w:r>
        <w:t>, (6), 119–134+144.</w:t>
      </w:r>
      <w:bookmarkEnd w:id="3"/>
      <w:r>
        <w:rPr>
          <w:rStyle w:val="19"/>
          <w:rFonts w:hint="default" w:ascii="Times New Roman" w:hAnsi="Times New Roman" w:eastAsia="等线" w:cs="Times New Roman"/>
          <w:sz w:val="24"/>
          <w:szCs w:val="24"/>
          <w:vertAlign w:val="baseline"/>
          <w:lang w:val="en-US" w:eastAsia="zh-CN"/>
        </w:rPr>
        <w:t>(In Chinese)</w:t>
      </w:r>
      <w:r>
        <w:rPr>
          <w:rStyle w:val="19"/>
          <w:rFonts w:hint="eastAsia" w:ascii="Times New Roman" w:hAnsi="Times New Roman" w:eastAsia="等线" w:cs="Times New Roman"/>
          <w:sz w:val="24"/>
          <w:szCs w:val="24"/>
          <w:vertAlign w:val="baseline"/>
          <w:lang w:val="en-US" w:eastAsia="zh-CN"/>
        </w:rPr>
        <w:t>.</w:t>
      </w:r>
    </w:p>
    <w:sectPr>
      <w:footerReference r:id="rId3" w:type="default"/>
      <w:pgSz w:w="12240" w:h="15840"/>
      <w:pgMar w:top="1440" w:right="1440" w:bottom="1440" w:left="1440" w:header="1134" w:footer="992" w:gutter="0"/>
      <w:pgNumType w:start="1"/>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宋体"/>
    <w:panose1 w:val="02010600030101010101"/>
    <w:charset w:val="86"/>
    <w:family w:val="auto"/>
    <w:pitch w:val="default"/>
    <w:sig w:usb0="00000000" w:usb1="00000000" w:usb2="00000016" w:usb3="00000000" w:csb0="0004000F"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03424633"/>
      <w:docPartObj>
        <w:docPartGallery w:val="autotext"/>
      </w:docPartObj>
    </w:sdtPr>
    <w:sdtEndPr>
      <w:rPr>
        <w:szCs w:val="24"/>
      </w:rPr>
    </w:sdtEndPr>
    <w:sdtContent>
      <w:p>
        <w:pPr>
          <w:pStyle w:val="8"/>
          <w:spacing w:line="360" w:lineRule="auto"/>
          <w:contextualSpacing/>
          <w:jc w:val="center"/>
          <w:rPr>
            <w:szCs w:val="24"/>
          </w:rPr>
        </w:pPr>
        <w:r>
          <w:rPr>
            <w:szCs w:val="24"/>
          </w:rPr>
          <w:fldChar w:fldCharType="begin"/>
        </w:r>
        <w:r>
          <w:rPr>
            <w:szCs w:val="24"/>
          </w:rPr>
          <w:instrText xml:space="preserve">PAGE   \* MERGEFORMAT</w:instrText>
        </w:r>
        <w:r>
          <w:rPr>
            <w:szCs w:val="24"/>
          </w:rPr>
          <w:fldChar w:fldCharType="separate"/>
        </w:r>
        <w:r>
          <w:rPr>
            <w:szCs w:val="24"/>
            <w:lang w:val="zh-CN"/>
          </w:rPr>
          <w:t>2</w:t>
        </w:r>
        <w:r>
          <w:rPr>
            <w:szCs w:val="24"/>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trackRevisions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Intl Rev Financial Anal&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sp590vf10f9wqe9dr7vt0zxzsptdff2pdwf&quot;&gt;QCJ1T4X5&lt;record-ids&gt;&lt;item&gt;1&lt;/item&gt;&lt;item&gt;3&lt;/item&gt;&lt;item&gt;4&lt;/item&gt;&lt;item&gt;9&lt;/item&gt;&lt;item&gt;12&lt;/item&gt;&lt;item&gt;13&lt;/item&gt;&lt;item&gt;14&lt;/item&gt;&lt;item&gt;16&lt;/item&gt;&lt;item&gt;17&lt;/item&gt;&lt;item&gt;18&lt;/item&gt;&lt;item&gt;20&lt;/item&gt;&lt;item&gt;21&lt;/item&gt;&lt;item&gt;22&lt;/item&gt;&lt;item&gt;23&lt;/item&gt;&lt;item&gt;24&lt;/item&gt;&lt;/record-ids&gt;&lt;/item&gt;&lt;/Libraries&gt;"/>
    <w:docVar w:name="MachineID" w:val="207|207|197|185|203|197|199|187|197|187|185|197|204|207|197|207|189|"/>
    <w:docVar w:name="Username" w:val="Editor"/>
  </w:docVars>
  <w:rsids>
    <w:rsidRoot w:val="00287C80"/>
    <w:rsid w:val="0000061D"/>
    <w:rsid w:val="000009EE"/>
    <w:rsid w:val="00001196"/>
    <w:rsid w:val="0000251B"/>
    <w:rsid w:val="00002632"/>
    <w:rsid w:val="0000278F"/>
    <w:rsid w:val="00003FB8"/>
    <w:rsid w:val="0000417F"/>
    <w:rsid w:val="000041DF"/>
    <w:rsid w:val="00004251"/>
    <w:rsid w:val="0000432F"/>
    <w:rsid w:val="00005B00"/>
    <w:rsid w:val="0000611C"/>
    <w:rsid w:val="00006419"/>
    <w:rsid w:val="00006D25"/>
    <w:rsid w:val="00007C22"/>
    <w:rsid w:val="0001095B"/>
    <w:rsid w:val="00010ABF"/>
    <w:rsid w:val="00010B22"/>
    <w:rsid w:val="000117E8"/>
    <w:rsid w:val="0001184C"/>
    <w:rsid w:val="00011D99"/>
    <w:rsid w:val="00012381"/>
    <w:rsid w:val="000130F9"/>
    <w:rsid w:val="000135A7"/>
    <w:rsid w:val="00013D06"/>
    <w:rsid w:val="00013E60"/>
    <w:rsid w:val="00014222"/>
    <w:rsid w:val="00014978"/>
    <w:rsid w:val="00015AF1"/>
    <w:rsid w:val="000167BB"/>
    <w:rsid w:val="00017233"/>
    <w:rsid w:val="0001735F"/>
    <w:rsid w:val="000175B3"/>
    <w:rsid w:val="0001781C"/>
    <w:rsid w:val="00017B7D"/>
    <w:rsid w:val="00017CF2"/>
    <w:rsid w:val="00020869"/>
    <w:rsid w:val="000210ED"/>
    <w:rsid w:val="00021890"/>
    <w:rsid w:val="00022162"/>
    <w:rsid w:val="0002299A"/>
    <w:rsid w:val="00024232"/>
    <w:rsid w:val="0002461E"/>
    <w:rsid w:val="000251FC"/>
    <w:rsid w:val="0002573A"/>
    <w:rsid w:val="00027A0D"/>
    <w:rsid w:val="00027DEA"/>
    <w:rsid w:val="00030328"/>
    <w:rsid w:val="00030802"/>
    <w:rsid w:val="00030EDE"/>
    <w:rsid w:val="000310F6"/>
    <w:rsid w:val="00032036"/>
    <w:rsid w:val="000325C7"/>
    <w:rsid w:val="00032D74"/>
    <w:rsid w:val="00032FA6"/>
    <w:rsid w:val="00033794"/>
    <w:rsid w:val="000338CD"/>
    <w:rsid w:val="00033C38"/>
    <w:rsid w:val="00034404"/>
    <w:rsid w:val="00035890"/>
    <w:rsid w:val="00035A73"/>
    <w:rsid w:val="00036CE8"/>
    <w:rsid w:val="00036E52"/>
    <w:rsid w:val="00040EA3"/>
    <w:rsid w:val="000418B3"/>
    <w:rsid w:val="00041E7F"/>
    <w:rsid w:val="00042160"/>
    <w:rsid w:val="0004274E"/>
    <w:rsid w:val="00042971"/>
    <w:rsid w:val="00042C96"/>
    <w:rsid w:val="00043A6A"/>
    <w:rsid w:val="00043D30"/>
    <w:rsid w:val="00044877"/>
    <w:rsid w:val="000448DA"/>
    <w:rsid w:val="00044DCB"/>
    <w:rsid w:val="00044DE5"/>
    <w:rsid w:val="000456E0"/>
    <w:rsid w:val="00045C34"/>
    <w:rsid w:val="00046960"/>
    <w:rsid w:val="00050783"/>
    <w:rsid w:val="00050B41"/>
    <w:rsid w:val="0005106C"/>
    <w:rsid w:val="00051E16"/>
    <w:rsid w:val="00052962"/>
    <w:rsid w:val="00052DE2"/>
    <w:rsid w:val="00052EA6"/>
    <w:rsid w:val="00053759"/>
    <w:rsid w:val="00053B5A"/>
    <w:rsid w:val="000540D5"/>
    <w:rsid w:val="0005483B"/>
    <w:rsid w:val="00054C25"/>
    <w:rsid w:val="00055746"/>
    <w:rsid w:val="000609AE"/>
    <w:rsid w:val="00061352"/>
    <w:rsid w:val="00061469"/>
    <w:rsid w:val="00062099"/>
    <w:rsid w:val="00063272"/>
    <w:rsid w:val="00063459"/>
    <w:rsid w:val="00063980"/>
    <w:rsid w:val="00063C5B"/>
    <w:rsid w:val="00064306"/>
    <w:rsid w:val="00064458"/>
    <w:rsid w:val="000645E2"/>
    <w:rsid w:val="000647DD"/>
    <w:rsid w:val="00065A14"/>
    <w:rsid w:val="0006631D"/>
    <w:rsid w:val="0006696E"/>
    <w:rsid w:val="00066B50"/>
    <w:rsid w:val="00067023"/>
    <w:rsid w:val="00067037"/>
    <w:rsid w:val="00067631"/>
    <w:rsid w:val="000677AD"/>
    <w:rsid w:val="0006797B"/>
    <w:rsid w:val="00067D5A"/>
    <w:rsid w:val="000707FB"/>
    <w:rsid w:val="00072371"/>
    <w:rsid w:val="00074016"/>
    <w:rsid w:val="000740E8"/>
    <w:rsid w:val="000751E8"/>
    <w:rsid w:val="000754D6"/>
    <w:rsid w:val="000758C0"/>
    <w:rsid w:val="00080607"/>
    <w:rsid w:val="000807A5"/>
    <w:rsid w:val="00080B21"/>
    <w:rsid w:val="00080BB2"/>
    <w:rsid w:val="000822B3"/>
    <w:rsid w:val="00083129"/>
    <w:rsid w:val="000832D4"/>
    <w:rsid w:val="00083602"/>
    <w:rsid w:val="00083787"/>
    <w:rsid w:val="00084AF0"/>
    <w:rsid w:val="00085BB4"/>
    <w:rsid w:val="0008669F"/>
    <w:rsid w:val="00091AB1"/>
    <w:rsid w:val="00094169"/>
    <w:rsid w:val="00094410"/>
    <w:rsid w:val="000949C4"/>
    <w:rsid w:val="000949D0"/>
    <w:rsid w:val="00095AC1"/>
    <w:rsid w:val="00096CD3"/>
    <w:rsid w:val="000A0434"/>
    <w:rsid w:val="000A1B61"/>
    <w:rsid w:val="000A27D2"/>
    <w:rsid w:val="000A32F0"/>
    <w:rsid w:val="000A331D"/>
    <w:rsid w:val="000A3911"/>
    <w:rsid w:val="000A40B6"/>
    <w:rsid w:val="000A6030"/>
    <w:rsid w:val="000A695F"/>
    <w:rsid w:val="000A77D6"/>
    <w:rsid w:val="000B11D3"/>
    <w:rsid w:val="000B11E1"/>
    <w:rsid w:val="000B1245"/>
    <w:rsid w:val="000B258B"/>
    <w:rsid w:val="000B26AF"/>
    <w:rsid w:val="000B3E1E"/>
    <w:rsid w:val="000B404F"/>
    <w:rsid w:val="000B4EED"/>
    <w:rsid w:val="000B62F9"/>
    <w:rsid w:val="000C203A"/>
    <w:rsid w:val="000C4224"/>
    <w:rsid w:val="000C59AA"/>
    <w:rsid w:val="000C628F"/>
    <w:rsid w:val="000C6437"/>
    <w:rsid w:val="000C6561"/>
    <w:rsid w:val="000C7A5F"/>
    <w:rsid w:val="000C7DBE"/>
    <w:rsid w:val="000D02E3"/>
    <w:rsid w:val="000D051A"/>
    <w:rsid w:val="000D066E"/>
    <w:rsid w:val="000D0BC6"/>
    <w:rsid w:val="000D29CC"/>
    <w:rsid w:val="000D2F3F"/>
    <w:rsid w:val="000D3E87"/>
    <w:rsid w:val="000D522D"/>
    <w:rsid w:val="000D5E56"/>
    <w:rsid w:val="000D6ED8"/>
    <w:rsid w:val="000E09B1"/>
    <w:rsid w:val="000E0A50"/>
    <w:rsid w:val="000E1227"/>
    <w:rsid w:val="000E1430"/>
    <w:rsid w:val="000E1AC3"/>
    <w:rsid w:val="000E1F50"/>
    <w:rsid w:val="000E23ED"/>
    <w:rsid w:val="000E2867"/>
    <w:rsid w:val="000E48F9"/>
    <w:rsid w:val="000E4ED6"/>
    <w:rsid w:val="000E504F"/>
    <w:rsid w:val="000E54F9"/>
    <w:rsid w:val="000E5FDC"/>
    <w:rsid w:val="000E6C49"/>
    <w:rsid w:val="000E7B59"/>
    <w:rsid w:val="000E7BB3"/>
    <w:rsid w:val="000F0738"/>
    <w:rsid w:val="000F0AC3"/>
    <w:rsid w:val="000F0ECF"/>
    <w:rsid w:val="000F1286"/>
    <w:rsid w:val="000F288F"/>
    <w:rsid w:val="000F28AC"/>
    <w:rsid w:val="000F2D89"/>
    <w:rsid w:val="000F3903"/>
    <w:rsid w:val="000F3FA0"/>
    <w:rsid w:val="000F3FE2"/>
    <w:rsid w:val="000F48C9"/>
    <w:rsid w:val="000F519B"/>
    <w:rsid w:val="000F5643"/>
    <w:rsid w:val="000F6729"/>
    <w:rsid w:val="000F772A"/>
    <w:rsid w:val="000F7892"/>
    <w:rsid w:val="00100668"/>
    <w:rsid w:val="001006CA"/>
    <w:rsid w:val="0010157A"/>
    <w:rsid w:val="001017D9"/>
    <w:rsid w:val="00101950"/>
    <w:rsid w:val="001019E7"/>
    <w:rsid w:val="0010225D"/>
    <w:rsid w:val="00102A6A"/>
    <w:rsid w:val="00102F74"/>
    <w:rsid w:val="001061E8"/>
    <w:rsid w:val="001071C8"/>
    <w:rsid w:val="001072F5"/>
    <w:rsid w:val="00107954"/>
    <w:rsid w:val="00107ECC"/>
    <w:rsid w:val="00110466"/>
    <w:rsid w:val="00110B9A"/>
    <w:rsid w:val="0011121E"/>
    <w:rsid w:val="00111ED8"/>
    <w:rsid w:val="001121FC"/>
    <w:rsid w:val="001129BE"/>
    <w:rsid w:val="00115AE7"/>
    <w:rsid w:val="0011630B"/>
    <w:rsid w:val="00116A7A"/>
    <w:rsid w:val="00116EBA"/>
    <w:rsid w:val="001174D7"/>
    <w:rsid w:val="0011768A"/>
    <w:rsid w:val="00117F7C"/>
    <w:rsid w:val="001202D7"/>
    <w:rsid w:val="001203CD"/>
    <w:rsid w:val="001205DF"/>
    <w:rsid w:val="00120D58"/>
    <w:rsid w:val="00121832"/>
    <w:rsid w:val="00121D38"/>
    <w:rsid w:val="00122B28"/>
    <w:rsid w:val="0012398A"/>
    <w:rsid w:val="00125B35"/>
    <w:rsid w:val="00126629"/>
    <w:rsid w:val="00126650"/>
    <w:rsid w:val="001301BC"/>
    <w:rsid w:val="00131878"/>
    <w:rsid w:val="00132203"/>
    <w:rsid w:val="00132519"/>
    <w:rsid w:val="00132526"/>
    <w:rsid w:val="0013308D"/>
    <w:rsid w:val="00134B70"/>
    <w:rsid w:val="00135989"/>
    <w:rsid w:val="00135EF8"/>
    <w:rsid w:val="001372B0"/>
    <w:rsid w:val="00137578"/>
    <w:rsid w:val="001375D1"/>
    <w:rsid w:val="00137A2A"/>
    <w:rsid w:val="0014076E"/>
    <w:rsid w:val="00142723"/>
    <w:rsid w:val="0014304A"/>
    <w:rsid w:val="00143113"/>
    <w:rsid w:val="00143678"/>
    <w:rsid w:val="00143AAC"/>
    <w:rsid w:val="00143E07"/>
    <w:rsid w:val="00143E50"/>
    <w:rsid w:val="00145052"/>
    <w:rsid w:val="00145653"/>
    <w:rsid w:val="00145D15"/>
    <w:rsid w:val="00146381"/>
    <w:rsid w:val="00146427"/>
    <w:rsid w:val="001472B1"/>
    <w:rsid w:val="00147BA2"/>
    <w:rsid w:val="00150071"/>
    <w:rsid w:val="00150281"/>
    <w:rsid w:val="00150358"/>
    <w:rsid w:val="00150519"/>
    <w:rsid w:val="0015170C"/>
    <w:rsid w:val="0015185A"/>
    <w:rsid w:val="00152F59"/>
    <w:rsid w:val="0015308B"/>
    <w:rsid w:val="00155007"/>
    <w:rsid w:val="00155C33"/>
    <w:rsid w:val="00157509"/>
    <w:rsid w:val="001576A5"/>
    <w:rsid w:val="0015789C"/>
    <w:rsid w:val="0016117D"/>
    <w:rsid w:val="001635B7"/>
    <w:rsid w:val="00164524"/>
    <w:rsid w:val="00164F39"/>
    <w:rsid w:val="00166083"/>
    <w:rsid w:val="001679A5"/>
    <w:rsid w:val="00171528"/>
    <w:rsid w:val="001717F3"/>
    <w:rsid w:val="001719BE"/>
    <w:rsid w:val="00173010"/>
    <w:rsid w:val="001735FF"/>
    <w:rsid w:val="00173CA8"/>
    <w:rsid w:val="00174102"/>
    <w:rsid w:val="00174911"/>
    <w:rsid w:val="00174CD6"/>
    <w:rsid w:val="00175ACC"/>
    <w:rsid w:val="00175B8D"/>
    <w:rsid w:val="00175E65"/>
    <w:rsid w:val="001763BD"/>
    <w:rsid w:val="0017724F"/>
    <w:rsid w:val="00177852"/>
    <w:rsid w:val="00182277"/>
    <w:rsid w:val="001829DB"/>
    <w:rsid w:val="00182F05"/>
    <w:rsid w:val="001835F0"/>
    <w:rsid w:val="001841D9"/>
    <w:rsid w:val="001846FF"/>
    <w:rsid w:val="001853A6"/>
    <w:rsid w:val="0018701E"/>
    <w:rsid w:val="001914B8"/>
    <w:rsid w:val="0019239B"/>
    <w:rsid w:val="00192406"/>
    <w:rsid w:val="001925B3"/>
    <w:rsid w:val="00192B78"/>
    <w:rsid w:val="00192D2A"/>
    <w:rsid w:val="0019413D"/>
    <w:rsid w:val="0019506D"/>
    <w:rsid w:val="00195284"/>
    <w:rsid w:val="001956BD"/>
    <w:rsid w:val="00195A42"/>
    <w:rsid w:val="00196015"/>
    <w:rsid w:val="001964F4"/>
    <w:rsid w:val="00196531"/>
    <w:rsid w:val="001976CA"/>
    <w:rsid w:val="001978CF"/>
    <w:rsid w:val="00197F2C"/>
    <w:rsid w:val="001A02AB"/>
    <w:rsid w:val="001A073D"/>
    <w:rsid w:val="001A0A58"/>
    <w:rsid w:val="001A1279"/>
    <w:rsid w:val="001A1848"/>
    <w:rsid w:val="001A20FE"/>
    <w:rsid w:val="001A2170"/>
    <w:rsid w:val="001A37D1"/>
    <w:rsid w:val="001A46DF"/>
    <w:rsid w:val="001A4956"/>
    <w:rsid w:val="001A4DDD"/>
    <w:rsid w:val="001A641A"/>
    <w:rsid w:val="001A6754"/>
    <w:rsid w:val="001A6E15"/>
    <w:rsid w:val="001A6EA7"/>
    <w:rsid w:val="001A757C"/>
    <w:rsid w:val="001A7C86"/>
    <w:rsid w:val="001A7ECF"/>
    <w:rsid w:val="001B1552"/>
    <w:rsid w:val="001B3211"/>
    <w:rsid w:val="001B3767"/>
    <w:rsid w:val="001B4194"/>
    <w:rsid w:val="001B48FC"/>
    <w:rsid w:val="001B4CCB"/>
    <w:rsid w:val="001B4F71"/>
    <w:rsid w:val="001B51A5"/>
    <w:rsid w:val="001B5C71"/>
    <w:rsid w:val="001B6440"/>
    <w:rsid w:val="001B67BC"/>
    <w:rsid w:val="001B69EF"/>
    <w:rsid w:val="001B77A7"/>
    <w:rsid w:val="001B7DFE"/>
    <w:rsid w:val="001C0C73"/>
    <w:rsid w:val="001C1D61"/>
    <w:rsid w:val="001C1EE7"/>
    <w:rsid w:val="001C2D83"/>
    <w:rsid w:val="001C322D"/>
    <w:rsid w:val="001C4541"/>
    <w:rsid w:val="001C4E42"/>
    <w:rsid w:val="001C577A"/>
    <w:rsid w:val="001C5C4B"/>
    <w:rsid w:val="001C6187"/>
    <w:rsid w:val="001C7A63"/>
    <w:rsid w:val="001D0C33"/>
    <w:rsid w:val="001D104B"/>
    <w:rsid w:val="001D16A0"/>
    <w:rsid w:val="001D191C"/>
    <w:rsid w:val="001D1E39"/>
    <w:rsid w:val="001D2957"/>
    <w:rsid w:val="001D2B02"/>
    <w:rsid w:val="001D33D2"/>
    <w:rsid w:val="001D3F80"/>
    <w:rsid w:val="001D4D73"/>
    <w:rsid w:val="001D52EA"/>
    <w:rsid w:val="001D595F"/>
    <w:rsid w:val="001D66AB"/>
    <w:rsid w:val="001D74ED"/>
    <w:rsid w:val="001D7FDA"/>
    <w:rsid w:val="001E023E"/>
    <w:rsid w:val="001E0D57"/>
    <w:rsid w:val="001E1ABC"/>
    <w:rsid w:val="001E1AD2"/>
    <w:rsid w:val="001E207A"/>
    <w:rsid w:val="001E32C0"/>
    <w:rsid w:val="001E4EC8"/>
    <w:rsid w:val="001E57C7"/>
    <w:rsid w:val="001E6994"/>
    <w:rsid w:val="001E6B36"/>
    <w:rsid w:val="001E730A"/>
    <w:rsid w:val="001F0199"/>
    <w:rsid w:val="001F0E54"/>
    <w:rsid w:val="001F1F0A"/>
    <w:rsid w:val="001F2729"/>
    <w:rsid w:val="001F4156"/>
    <w:rsid w:val="001F420A"/>
    <w:rsid w:val="001F48B9"/>
    <w:rsid w:val="001F4BF2"/>
    <w:rsid w:val="001F4C8E"/>
    <w:rsid w:val="001F4E2B"/>
    <w:rsid w:val="001F5182"/>
    <w:rsid w:val="001F6496"/>
    <w:rsid w:val="001F66C2"/>
    <w:rsid w:val="001F77A0"/>
    <w:rsid w:val="001F787A"/>
    <w:rsid w:val="00200436"/>
    <w:rsid w:val="00200F08"/>
    <w:rsid w:val="00201EAE"/>
    <w:rsid w:val="0020221E"/>
    <w:rsid w:val="002031FB"/>
    <w:rsid w:val="00205745"/>
    <w:rsid w:val="00205877"/>
    <w:rsid w:val="00205887"/>
    <w:rsid w:val="00206675"/>
    <w:rsid w:val="00210371"/>
    <w:rsid w:val="0021092E"/>
    <w:rsid w:val="00212250"/>
    <w:rsid w:val="0021294F"/>
    <w:rsid w:val="00212A0D"/>
    <w:rsid w:val="00212BA5"/>
    <w:rsid w:val="0021317A"/>
    <w:rsid w:val="00213EA1"/>
    <w:rsid w:val="00214007"/>
    <w:rsid w:val="00214977"/>
    <w:rsid w:val="00216A11"/>
    <w:rsid w:val="002173C2"/>
    <w:rsid w:val="002175E7"/>
    <w:rsid w:val="0021792B"/>
    <w:rsid w:val="00220CD6"/>
    <w:rsid w:val="00220EEB"/>
    <w:rsid w:val="0022127A"/>
    <w:rsid w:val="00221B3F"/>
    <w:rsid w:val="00221D9A"/>
    <w:rsid w:val="002227D7"/>
    <w:rsid w:val="00223927"/>
    <w:rsid w:val="00224449"/>
    <w:rsid w:val="00225B5F"/>
    <w:rsid w:val="00225F0D"/>
    <w:rsid w:val="002268EB"/>
    <w:rsid w:val="002277AD"/>
    <w:rsid w:val="00230432"/>
    <w:rsid w:val="002305DF"/>
    <w:rsid w:val="00230ABE"/>
    <w:rsid w:val="00230DF0"/>
    <w:rsid w:val="002319CE"/>
    <w:rsid w:val="00232275"/>
    <w:rsid w:val="00232291"/>
    <w:rsid w:val="0023305D"/>
    <w:rsid w:val="0023342C"/>
    <w:rsid w:val="00233CBC"/>
    <w:rsid w:val="0023625E"/>
    <w:rsid w:val="00236D36"/>
    <w:rsid w:val="002378C1"/>
    <w:rsid w:val="0024057C"/>
    <w:rsid w:val="00240742"/>
    <w:rsid w:val="00240EF8"/>
    <w:rsid w:val="0024165D"/>
    <w:rsid w:val="00241C44"/>
    <w:rsid w:val="00241E9C"/>
    <w:rsid w:val="0024263C"/>
    <w:rsid w:val="00243769"/>
    <w:rsid w:val="00243D18"/>
    <w:rsid w:val="002444CC"/>
    <w:rsid w:val="00244D69"/>
    <w:rsid w:val="0024507A"/>
    <w:rsid w:val="00245B02"/>
    <w:rsid w:val="00246505"/>
    <w:rsid w:val="00250140"/>
    <w:rsid w:val="00251003"/>
    <w:rsid w:val="00251798"/>
    <w:rsid w:val="00251ED9"/>
    <w:rsid w:val="00252DCE"/>
    <w:rsid w:val="002530FD"/>
    <w:rsid w:val="00253F9D"/>
    <w:rsid w:val="002545C8"/>
    <w:rsid w:val="00254A7A"/>
    <w:rsid w:val="002552FD"/>
    <w:rsid w:val="0025592B"/>
    <w:rsid w:val="0025668A"/>
    <w:rsid w:val="002570C3"/>
    <w:rsid w:val="002571B2"/>
    <w:rsid w:val="00260864"/>
    <w:rsid w:val="002609B1"/>
    <w:rsid w:val="00261471"/>
    <w:rsid w:val="00262E72"/>
    <w:rsid w:val="00262EC1"/>
    <w:rsid w:val="0026345F"/>
    <w:rsid w:val="00263F4C"/>
    <w:rsid w:val="0026532B"/>
    <w:rsid w:val="00265B90"/>
    <w:rsid w:val="0026640E"/>
    <w:rsid w:val="00266A06"/>
    <w:rsid w:val="00266C90"/>
    <w:rsid w:val="0026706F"/>
    <w:rsid w:val="002675AE"/>
    <w:rsid w:val="002701E4"/>
    <w:rsid w:val="0027150D"/>
    <w:rsid w:val="0027162F"/>
    <w:rsid w:val="00272093"/>
    <w:rsid w:val="00272603"/>
    <w:rsid w:val="002726B6"/>
    <w:rsid w:val="00273028"/>
    <w:rsid w:val="00273039"/>
    <w:rsid w:val="00273327"/>
    <w:rsid w:val="0027458B"/>
    <w:rsid w:val="00274ED9"/>
    <w:rsid w:val="00277493"/>
    <w:rsid w:val="002774D1"/>
    <w:rsid w:val="00280176"/>
    <w:rsid w:val="00280CAB"/>
    <w:rsid w:val="00280F37"/>
    <w:rsid w:val="00281E41"/>
    <w:rsid w:val="0028291F"/>
    <w:rsid w:val="0028300B"/>
    <w:rsid w:val="002832FD"/>
    <w:rsid w:val="00283420"/>
    <w:rsid w:val="002838B8"/>
    <w:rsid w:val="00283ABA"/>
    <w:rsid w:val="00283DF4"/>
    <w:rsid w:val="0028483B"/>
    <w:rsid w:val="00284B06"/>
    <w:rsid w:val="00284C52"/>
    <w:rsid w:val="00285A88"/>
    <w:rsid w:val="0028642C"/>
    <w:rsid w:val="00286836"/>
    <w:rsid w:val="002870DE"/>
    <w:rsid w:val="002879DC"/>
    <w:rsid w:val="00287C80"/>
    <w:rsid w:val="00290AB4"/>
    <w:rsid w:val="00291657"/>
    <w:rsid w:val="00291902"/>
    <w:rsid w:val="0029264B"/>
    <w:rsid w:val="00292C48"/>
    <w:rsid w:val="0029305B"/>
    <w:rsid w:val="00293133"/>
    <w:rsid w:val="0029388C"/>
    <w:rsid w:val="00294610"/>
    <w:rsid w:val="0029497A"/>
    <w:rsid w:val="002971AA"/>
    <w:rsid w:val="0029729C"/>
    <w:rsid w:val="0029734E"/>
    <w:rsid w:val="00297CD9"/>
    <w:rsid w:val="002A045D"/>
    <w:rsid w:val="002A0846"/>
    <w:rsid w:val="002A0AF4"/>
    <w:rsid w:val="002A1F98"/>
    <w:rsid w:val="002A2613"/>
    <w:rsid w:val="002A2880"/>
    <w:rsid w:val="002A37AD"/>
    <w:rsid w:val="002A4F90"/>
    <w:rsid w:val="002A685E"/>
    <w:rsid w:val="002A7FD3"/>
    <w:rsid w:val="002B0080"/>
    <w:rsid w:val="002B19E3"/>
    <w:rsid w:val="002B288D"/>
    <w:rsid w:val="002B2E74"/>
    <w:rsid w:val="002B3136"/>
    <w:rsid w:val="002B3BBC"/>
    <w:rsid w:val="002B3D19"/>
    <w:rsid w:val="002B3F61"/>
    <w:rsid w:val="002B4C3F"/>
    <w:rsid w:val="002B4D88"/>
    <w:rsid w:val="002B5BBD"/>
    <w:rsid w:val="002B6360"/>
    <w:rsid w:val="002B67EB"/>
    <w:rsid w:val="002B685F"/>
    <w:rsid w:val="002B7851"/>
    <w:rsid w:val="002B7D22"/>
    <w:rsid w:val="002C2B6A"/>
    <w:rsid w:val="002C2F10"/>
    <w:rsid w:val="002C2F8F"/>
    <w:rsid w:val="002C3497"/>
    <w:rsid w:val="002C485A"/>
    <w:rsid w:val="002C56C7"/>
    <w:rsid w:val="002C574D"/>
    <w:rsid w:val="002C5B20"/>
    <w:rsid w:val="002D0E94"/>
    <w:rsid w:val="002D1077"/>
    <w:rsid w:val="002D1886"/>
    <w:rsid w:val="002D1ABC"/>
    <w:rsid w:val="002D2BA6"/>
    <w:rsid w:val="002D2FAE"/>
    <w:rsid w:val="002D38B1"/>
    <w:rsid w:val="002D3A8D"/>
    <w:rsid w:val="002D3E27"/>
    <w:rsid w:val="002D435E"/>
    <w:rsid w:val="002D43FB"/>
    <w:rsid w:val="002D4406"/>
    <w:rsid w:val="002D4564"/>
    <w:rsid w:val="002D57AA"/>
    <w:rsid w:val="002D6005"/>
    <w:rsid w:val="002D6FBF"/>
    <w:rsid w:val="002D7BA1"/>
    <w:rsid w:val="002E0CE5"/>
    <w:rsid w:val="002E13B4"/>
    <w:rsid w:val="002E25DC"/>
    <w:rsid w:val="002E36A5"/>
    <w:rsid w:val="002E39FE"/>
    <w:rsid w:val="002E3D14"/>
    <w:rsid w:val="002E3F41"/>
    <w:rsid w:val="002E4DA0"/>
    <w:rsid w:val="002E51F9"/>
    <w:rsid w:val="002E556D"/>
    <w:rsid w:val="002E5986"/>
    <w:rsid w:val="002E667A"/>
    <w:rsid w:val="002E7B0C"/>
    <w:rsid w:val="002E7CC9"/>
    <w:rsid w:val="002F0C2E"/>
    <w:rsid w:val="002F0EAD"/>
    <w:rsid w:val="002F1C93"/>
    <w:rsid w:val="002F1CFD"/>
    <w:rsid w:val="002F2331"/>
    <w:rsid w:val="002F2F45"/>
    <w:rsid w:val="002F3111"/>
    <w:rsid w:val="002F3B52"/>
    <w:rsid w:val="002F3FDA"/>
    <w:rsid w:val="002F52C0"/>
    <w:rsid w:val="002F64C8"/>
    <w:rsid w:val="002F71FE"/>
    <w:rsid w:val="002F72A1"/>
    <w:rsid w:val="002F7ACA"/>
    <w:rsid w:val="003001D3"/>
    <w:rsid w:val="0030216F"/>
    <w:rsid w:val="00302341"/>
    <w:rsid w:val="003030ED"/>
    <w:rsid w:val="003040C8"/>
    <w:rsid w:val="00304DF1"/>
    <w:rsid w:val="00305266"/>
    <w:rsid w:val="00305707"/>
    <w:rsid w:val="00305761"/>
    <w:rsid w:val="00305FBC"/>
    <w:rsid w:val="00306827"/>
    <w:rsid w:val="00307EF6"/>
    <w:rsid w:val="00310411"/>
    <w:rsid w:val="00310550"/>
    <w:rsid w:val="00310835"/>
    <w:rsid w:val="00310A42"/>
    <w:rsid w:val="00310BFC"/>
    <w:rsid w:val="00310FB5"/>
    <w:rsid w:val="0031128A"/>
    <w:rsid w:val="003113B2"/>
    <w:rsid w:val="003118B3"/>
    <w:rsid w:val="00312012"/>
    <w:rsid w:val="0031206A"/>
    <w:rsid w:val="0031277A"/>
    <w:rsid w:val="003133CE"/>
    <w:rsid w:val="00314385"/>
    <w:rsid w:val="00314751"/>
    <w:rsid w:val="00314DDB"/>
    <w:rsid w:val="00315386"/>
    <w:rsid w:val="00315640"/>
    <w:rsid w:val="00315743"/>
    <w:rsid w:val="00315E94"/>
    <w:rsid w:val="00316513"/>
    <w:rsid w:val="00320944"/>
    <w:rsid w:val="00322157"/>
    <w:rsid w:val="003225D3"/>
    <w:rsid w:val="0032286C"/>
    <w:rsid w:val="003232BE"/>
    <w:rsid w:val="00323BB8"/>
    <w:rsid w:val="00323C65"/>
    <w:rsid w:val="00324C29"/>
    <w:rsid w:val="00324EC9"/>
    <w:rsid w:val="00325900"/>
    <w:rsid w:val="00325E60"/>
    <w:rsid w:val="0032628A"/>
    <w:rsid w:val="00326650"/>
    <w:rsid w:val="003266BC"/>
    <w:rsid w:val="003267A5"/>
    <w:rsid w:val="00326927"/>
    <w:rsid w:val="00326E62"/>
    <w:rsid w:val="00330074"/>
    <w:rsid w:val="00330911"/>
    <w:rsid w:val="00331D5D"/>
    <w:rsid w:val="00331EF2"/>
    <w:rsid w:val="00332163"/>
    <w:rsid w:val="00332DE1"/>
    <w:rsid w:val="00332EA8"/>
    <w:rsid w:val="0033444D"/>
    <w:rsid w:val="00335B40"/>
    <w:rsid w:val="00335E93"/>
    <w:rsid w:val="0033628C"/>
    <w:rsid w:val="00337613"/>
    <w:rsid w:val="00337AA8"/>
    <w:rsid w:val="00337C91"/>
    <w:rsid w:val="00337E12"/>
    <w:rsid w:val="003414AC"/>
    <w:rsid w:val="00342100"/>
    <w:rsid w:val="0034312F"/>
    <w:rsid w:val="003437CC"/>
    <w:rsid w:val="003444D6"/>
    <w:rsid w:val="0034584C"/>
    <w:rsid w:val="003467C6"/>
    <w:rsid w:val="00346905"/>
    <w:rsid w:val="00346ED9"/>
    <w:rsid w:val="00347695"/>
    <w:rsid w:val="00351234"/>
    <w:rsid w:val="00351C44"/>
    <w:rsid w:val="003526D9"/>
    <w:rsid w:val="003534D9"/>
    <w:rsid w:val="003536D7"/>
    <w:rsid w:val="003547FA"/>
    <w:rsid w:val="0035525E"/>
    <w:rsid w:val="00355585"/>
    <w:rsid w:val="003557A6"/>
    <w:rsid w:val="00355E67"/>
    <w:rsid w:val="00355E94"/>
    <w:rsid w:val="0035607F"/>
    <w:rsid w:val="00356BE7"/>
    <w:rsid w:val="003579A3"/>
    <w:rsid w:val="00357F1B"/>
    <w:rsid w:val="003608DF"/>
    <w:rsid w:val="00361BBF"/>
    <w:rsid w:val="00362D3B"/>
    <w:rsid w:val="0036321B"/>
    <w:rsid w:val="0036380E"/>
    <w:rsid w:val="003648E3"/>
    <w:rsid w:val="00365739"/>
    <w:rsid w:val="00366000"/>
    <w:rsid w:val="00366106"/>
    <w:rsid w:val="00366A2B"/>
    <w:rsid w:val="00366E6E"/>
    <w:rsid w:val="00367C45"/>
    <w:rsid w:val="003703B6"/>
    <w:rsid w:val="00370637"/>
    <w:rsid w:val="0037167C"/>
    <w:rsid w:val="0037183C"/>
    <w:rsid w:val="00372C86"/>
    <w:rsid w:val="0037331B"/>
    <w:rsid w:val="00373368"/>
    <w:rsid w:val="003740B3"/>
    <w:rsid w:val="003753C4"/>
    <w:rsid w:val="003765A7"/>
    <w:rsid w:val="00376746"/>
    <w:rsid w:val="0038093A"/>
    <w:rsid w:val="00380A0C"/>
    <w:rsid w:val="00380E84"/>
    <w:rsid w:val="00382AB2"/>
    <w:rsid w:val="003836EB"/>
    <w:rsid w:val="003854A9"/>
    <w:rsid w:val="00386411"/>
    <w:rsid w:val="00386749"/>
    <w:rsid w:val="003871F9"/>
    <w:rsid w:val="003875EB"/>
    <w:rsid w:val="00387A8C"/>
    <w:rsid w:val="003905C6"/>
    <w:rsid w:val="00390E81"/>
    <w:rsid w:val="0039139C"/>
    <w:rsid w:val="00391805"/>
    <w:rsid w:val="00391F8C"/>
    <w:rsid w:val="003921CC"/>
    <w:rsid w:val="0039293B"/>
    <w:rsid w:val="0039378E"/>
    <w:rsid w:val="003937C9"/>
    <w:rsid w:val="00394298"/>
    <w:rsid w:val="00394AA8"/>
    <w:rsid w:val="00394BB2"/>
    <w:rsid w:val="00394ED1"/>
    <w:rsid w:val="00396AF7"/>
    <w:rsid w:val="00397924"/>
    <w:rsid w:val="003A0373"/>
    <w:rsid w:val="003A16ED"/>
    <w:rsid w:val="003A2A41"/>
    <w:rsid w:val="003A37E2"/>
    <w:rsid w:val="003A46A5"/>
    <w:rsid w:val="003A4D12"/>
    <w:rsid w:val="003A4F32"/>
    <w:rsid w:val="003A53D1"/>
    <w:rsid w:val="003A5CBA"/>
    <w:rsid w:val="003A61C9"/>
    <w:rsid w:val="003A63D0"/>
    <w:rsid w:val="003A6545"/>
    <w:rsid w:val="003A690D"/>
    <w:rsid w:val="003A7891"/>
    <w:rsid w:val="003A7D02"/>
    <w:rsid w:val="003B1FC3"/>
    <w:rsid w:val="003B2057"/>
    <w:rsid w:val="003B235D"/>
    <w:rsid w:val="003B2501"/>
    <w:rsid w:val="003B2859"/>
    <w:rsid w:val="003B29B8"/>
    <w:rsid w:val="003B2C62"/>
    <w:rsid w:val="003B2F1C"/>
    <w:rsid w:val="003B3E43"/>
    <w:rsid w:val="003B55A1"/>
    <w:rsid w:val="003B5620"/>
    <w:rsid w:val="003B5700"/>
    <w:rsid w:val="003B5A8B"/>
    <w:rsid w:val="003B623A"/>
    <w:rsid w:val="003B66E3"/>
    <w:rsid w:val="003B7385"/>
    <w:rsid w:val="003B7DB9"/>
    <w:rsid w:val="003B7FC5"/>
    <w:rsid w:val="003C02FC"/>
    <w:rsid w:val="003C066B"/>
    <w:rsid w:val="003C1395"/>
    <w:rsid w:val="003C142D"/>
    <w:rsid w:val="003C1FD1"/>
    <w:rsid w:val="003C298B"/>
    <w:rsid w:val="003C4B84"/>
    <w:rsid w:val="003C5174"/>
    <w:rsid w:val="003C57B9"/>
    <w:rsid w:val="003C5C7D"/>
    <w:rsid w:val="003C5EC6"/>
    <w:rsid w:val="003C60C4"/>
    <w:rsid w:val="003C6353"/>
    <w:rsid w:val="003C6AEC"/>
    <w:rsid w:val="003D13EE"/>
    <w:rsid w:val="003D18A6"/>
    <w:rsid w:val="003D225C"/>
    <w:rsid w:val="003D27EC"/>
    <w:rsid w:val="003D2D6B"/>
    <w:rsid w:val="003D3044"/>
    <w:rsid w:val="003D3538"/>
    <w:rsid w:val="003D359C"/>
    <w:rsid w:val="003D380E"/>
    <w:rsid w:val="003D3F43"/>
    <w:rsid w:val="003D482A"/>
    <w:rsid w:val="003D4EC9"/>
    <w:rsid w:val="003D529E"/>
    <w:rsid w:val="003D5D5A"/>
    <w:rsid w:val="003D5D9D"/>
    <w:rsid w:val="003D67A7"/>
    <w:rsid w:val="003D6C29"/>
    <w:rsid w:val="003D704F"/>
    <w:rsid w:val="003D7598"/>
    <w:rsid w:val="003D7C40"/>
    <w:rsid w:val="003D7FFC"/>
    <w:rsid w:val="003E0C25"/>
    <w:rsid w:val="003E1898"/>
    <w:rsid w:val="003E2A61"/>
    <w:rsid w:val="003E335E"/>
    <w:rsid w:val="003E3DD7"/>
    <w:rsid w:val="003E4A38"/>
    <w:rsid w:val="003E4BD8"/>
    <w:rsid w:val="003E4FF6"/>
    <w:rsid w:val="003E54F0"/>
    <w:rsid w:val="003E59C0"/>
    <w:rsid w:val="003E5FAF"/>
    <w:rsid w:val="003E6A22"/>
    <w:rsid w:val="003E75AB"/>
    <w:rsid w:val="003F01AB"/>
    <w:rsid w:val="003F217E"/>
    <w:rsid w:val="003F2B42"/>
    <w:rsid w:val="003F3175"/>
    <w:rsid w:val="003F4048"/>
    <w:rsid w:val="003F4263"/>
    <w:rsid w:val="003F460B"/>
    <w:rsid w:val="003F4682"/>
    <w:rsid w:val="003F4762"/>
    <w:rsid w:val="003F55B7"/>
    <w:rsid w:val="003F6384"/>
    <w:rsid w:val="003F704D"/>
    <w:rsid w:val="0040011D"/>
    <w:rsid w:val="004025CD"/>
    <w:rsid w:val="00403952"/>
    <w:rsid w:val="00403975"/>
    <w:rsid w:val="004039A3"/>
    <w:rsid w:val="00403BB2"/>
    <w:rsid w:val="00403EC7"/>
    <w:rsid w:val="00403FB5"/>
    <w:rsid w:val="0040441B"/>
    <w:rsid w:val="0040455F"/>
    <w:rsid w:val="00406604"/>
    <w:rsid w:val="00406E2D"/>
    <w:rsid w:val="004070F8"/>
    <w:rsid w:val="00407884"/>
    <w:rsid w:val="004078AF"/>
    <w:rsid w:val="00407D72"/>
    <w:rsid w:val="00410F76"/>
    <w:rsid w:val="00411588"/>
    <w:rsid w:val="00412B41"/>
    <w:rsid w:val="004136DA"/>
    <w:rsid w:val="004137AC"/>
    <w:rsid w:val="00415E24"/>
    <w:rsid w:val="00417078"/>
    <w:rsid w:val="00417D8B"/>
    <w:rsid w:val="0042132B"/>
    <w:rsid w:val="00421333"/>
    <w:rsid w:val="00421F86"/>
    <w:rsid w:val="004221B0"/>
    <w:rsid w:val="0042357E"/>
    <w:rsid w:val="00423EFD"/>
    <w:rsid w:val="00424F1D"/>
    <w:rsid w:val="00425086"/>
    <w:rsid w:val="00425364"/>
    <w:rsid w:val="004267C6"/>
    <w:rsid w:val="00430377"/>
    <w:rsid w:val="004308C5"/>
    <w:rsid w:val="0043116B"/>
    <w:rsid w:val="004317A3"/>
    <w:rsid w:val="0043190C"/>
    <w:rsid w:val="00431927"/>
    <w:rsid w:val="004323E7"/>
    <w:rsid w:val="004379DC"/>
    <w:rsid w:val="0044006F"/>
    <w:rsid w:val="00440580"/>
    <w:rsid w:val="004407D8"/>
    <w:rsid w:val="004414AB"/>
    <w:rsid w:val="004414C0"/>
    <w:rsid w:val="0044180C"/>
    <w:rsid w:val="00441963"/>
    <w:rsid w:val="00441968"/>
    <w:rsid w:val="004425EE"/>
    <w:rsid w:val="004430B0"/>
    <w:rsid w:val="00443196"/>
    <w:rsid w:val="00443725"/>
    <w:rsid w:val="004454F9"/>
    <w:rsid w:val="00445E03"/>
    <w:rsid w:val="00447166"/>
    <w:rsid w:val="00447312"/>
    <w:rsid w:val="0044740E"/>
    <w:rsid w:val="00447D91"/>
    <w:rsid w:val="00450A35"/>
    <w:rsid w:val="00451C8C"/>
    <w:rsid w:val="00452203"/>
    <w:rsid w:val="00452345"/>
    <w:rsid w:val="00453129"/>
    <w:rsid w:val="0045370C"/>
    <w:rsid w:val="004542C4"/>
    <w:rsid w:val="004542DA"/>
    <w:rsid w:val="00454AA2"/>
    <w:rsid w:val="00454D70"/>
    <w:rsid w:val="00454F17"/>
    <w:rsid w:val="0045557B"/>
    <w:rsid w:val="0045562D"/>
    <w:rsid w:val="00455636"/>
    <w:rsid w:val="00455E5D"/>
    <w:rsid w:val="00455F9D"/>
    <w:rsid w:val="004563DD"/>
    <w:rsid w:val="00456EF5"/>
    <w:rsid w:val="00460761"/>
    <w:rsid w:val="00460964"/>
    <w:rsid w:val="00460B79"/>
    <w:rsid w:val="004617CC"/>
    <w:rsid w:val="004619F0"/>
    <w:rsid w:val="00461B94"/>
    <w:rsid w:val="00461E58"/>
    <w:rsid w:val="00462417"/>
    <w:rsid w:val="004626B1"/>
    <w:rsid w:val="00462CB8"/>
    <w:rsid w:val="004639C0"/>
    <w:rsid w:val="00463DAD"/>
    <w:rsid w:val="00463FB1"/>
    <w:rsid w:val="004640F3"/>
    <w:rsid w:val="00464218"/>
    <w:rsid w:val="004646D1"/>
    <w:rsid w:val="004647B7"/>
    <w:rsid w:val="00464CFE"/>
    <w:rsid w:val="00465DF4"/>
    <w:rsid w:val="00465F5D"/>
    <w:rsid w:val="00466658"/>
    <w:rsid w:val="004671AF"/>
    <w:rsid w:val="004707C2"/>
    <w:rsid w:val="00470F06"/>
    <w:rsid w:val="00471258"/>
    <w:rsid w:val="00471433"/>
    <w:rsid w:val="004714D6"/>
    <w:rsid w:val="0047225C"/>
    <w:rsid w:val="004729B2"/>
    <w:rsid w:val="00472DC5"/>
    <w:rsid w:val="00473649"/>
    <w:rsid w:val="00473961"/>
    <w:rsid w:val="004748E1"/>
    <w:rsid w:val="00474D34"/>
    <w:rsid w:val="004752B1"/>
    <w:rsid w:val="004754DB"/>
    <w:rsid w:val="004760DB"/>
    <w:rsid w:val="00476465"/>
    <w:rsid w:val="00476B64"/>
    <w:rsid w:val="00480CEF"/>
    <w:rsid w:val="00481064"/>
    <w:rsid w:val="0048113E"/>
    <w:rsid w:val="0048172E"/>
    <w:rsid w:val="00481798"/>
    <w:rsid w:val="00481971"/>
    <w:rsid w:val="004819B8"/>
    <w:rsid w:val="004819C3"/>
    <w:rsid w:val="00481A35"/>
    <w:rsid w:val="00481BC0"/>
    <w:rsid w:val="00482234"/>
    <w:rsid w:val="00483202"/>
    <w:rsid w:val="00483A20"/>
    <w:rsid w:val="00483E89"/>
    <w:rsid w:val="00484282"/>
    <w:rsid w:val="00486112"/>
    <w:rsid w:val="00487DA4"/>
    <w:rsid w:val="00490560"/>
    <w:rsid w:val="00491A3F"/>
    <w:rsid w:val="00492A7E"/>
    <w:rsid w:val="00492B3F"/>
    <w:rsid w:val="00492B66"/>
    <w:rsid w:val="00492CEF"/>
    <w:rsid w:val="00492E80"/>
    <w:rsid w:val="0049310D"/>
    <w:rsid w:val="00493225"/>
    <w:rsid w:val="00494D05"/>
    <w:rsid w:val="00495DEE"/>
    <w:rsid w:val="004978A9"/>
    <w:rsid w:val="004A01AF"/>
    <w:rsid w:val="004A1197"/>
    <w:rsid w:val="004A124E"/>
    <w:rsid w:val="004A1A32"/>
    <w:rsid w:val="004A1D35"/>
    <w:rsid w:val="004A2475"/>
    <w:rsid w:val="004A272A"/>
    <w:rsid w:val="004A382C"/>
    <w:rsid w:val="004A3C42"/>
    <w:rsid w:val="004A45BD"/>
    <w:rsid w:val="004A45CB"/>
    <w:rsid w:val="004A4F16"/>
    <w:rsid w:val="004A645F"/>
    <w:rsid w:val="004A6E40"/>
    <w:rsid w:val="004B0090"/>
    <w:rsid w:val="004B0928"/>
    <w:rsid w:val="004B0AE0"/>
    <w:rsid w:val="004B18CD"/>
    <w:rsid w:val="004B28C4"/>
    <w:rsid w:val="004B2BEC"/>
    <w:rsid w:val="004B30F4"/>
    <w:rsid w:val="004B4001"/>
    <w:rsid w:val="004B472D"/>
    <w:rsid w:val="004B5DF1"/>
    <w:rsid w:val="004B6D15"/>
    <w:rsid w:val="004B7D69"/>
    <w:rsid w:val="004C0A4D"/>
    <w:rsid w:val="004C19BA"/>
    <w:rsid w:val="004C2502"/>
    <w:rsid w:val="004C3459"/>
    <w:rsid w:val="004C3F4E"/>
    <w:rsid w:val="004C47D7"/>
    <w:rsid w:val="004C5FE7"/>
    <w:rsid w:val="004C6340"/>
    <w:rsid w:val="004C7587"/>
    <w:rsid w:val="004C7A21"/>
    <w:rsid w:val="004D1410"/>
    <w:rsid w:val="004D1559"/>
    <w:rsid w:val="004D1D75"/>
    <w:rsid w:val="004D1ED2"/>
    <w:rsid w:val="004D2139"/>
    <w:rsid w:val="004D2905"/>
    <w:rsid w:val="004D2A69"/>
    <w:rsid w:val="004D2CD0"/>
    <w:rsid w:val="004D3635"/>
    <w:rsid w:val="004D37DA"/>
    <w:rsid w:val="004D3AAC"/>
    <w:rsid w:val="004D3D28"/>
    <w:rsid w:val="004D41BF"/>
    <w:rsid w:val="004D5258"/>
    <w:rsid w:val="004D5B58"/>
    <w:rsid w:val="004D6B59"/>
    <w:rsid w:val="004D6E95"/>
    <w:rsid w:val="004E19C8"/>
    <w:rsid w:val="004E2A9A"/>
    <w:rsid w:val="004E323A"/>
    <w:rsid w:val="004E4053"/>
    <w:rsid w:val="004E5221"/>
    <w:rsid w:val="004E53A3"/>
    <w:rsid w:val="004E55BB"/>
    <w:rsid w:val="004E5B7D"/>
    <w:rsid w:val="004E5F8D"/>
    <w:rsid w:val="004E63BE"/>
    <w:rsid w:val="004E6C2A"/>
    <w:rsid w:val="004E75F7"/>
    <w:rsid w:val="004F1609"/>
    <w:rsid w:val="004F3935"/>
    <w:rsid w:val="004F4328"/>
    <w:rsid w:val="004F5918"/>
    <w:rsid w:val="004F5B98"/>
    <w:rsid w:val="004F5FFA"/>
    <w:rsid w:val="004F6BE4"/>
    <w:rsid w:val="004F7E40"/>
    <w:rsid w:val="00500928"/>
    <w:rsid w:val="00500D53"/>
    <w:rsid w:val="00501E49"/>
    <w:rsid w:val="00502F2E"/>
    <w:rsid w:val="00503505"/>
    <w:rsid w:val="0050369B"/>
    <w:rsid w:val="00504FA6"/>
    <w:rsid w:val="005053EA"/>
    <w:rsid w:val="0050544D"/>
    <w:rsid w:val="005070AA"/>
    <w:rsid w:val="00507C5C"/>
    <w:rsid w:val="005100AA"/>
    <w:rsid w:val="005108BA"/>
    <w:rsid w:val="00510A65"/>
    <w:rsid w:val="00511736"/>
    <w:rsid w:val="00513D15"/>
    <w:rsid w:val="00513FEC"/>
    <w:rsid w:val="00514474"/>
    <w:rsid w:val="0051519D"/>
    <w:rsid w:val="005154ED"/>
    <w:rsid w:val="005160AC"/>
    <w:rsid w:val="0051629E"/>
    <w:rsid w:val="005169EC"/>
    <w:rsid w:val="00517C97"/>
    <w:rsid w:val="005203A8"/>
    <w:rsid w:val="00520658"/>
    <w:rsid w:val="00520D54"/>
    <w:rsid w:val="00521D5A"/>
    <w:rsid w:val="00521FCB"/>
    <w:rsid w:val="005225AE"/>
    <w:rsid w:val="00523CE8"/>
    <w:rsid w:val="00523EB2"/>
    <w:rsid w:val="00524292"/>
    <w:rsid w:val="0052502D"/>
    <w:rsid w:val="0052541E"/>
    <w:rsid w:val="00526732"/>
    <w:rsid w:val="005267BB"/>
    <w:rsid w:val="00527668"/>
    <w:rsid w:val="0052778B"/>
    <w:rsid w:val="005277D6"/>
    <w:rsid w:val="00530F84"/>
    <w:rsid w:val="005316E9"/>
    <w:rsid w:val="00531F09"/>
    <w:rsid w:val="0053245A"/>
    <w:rsid w:val="00532503"/>
    <w:rsid w:val="005329F6"/>
    <w:rsid w:val="00533689"/>
    <w:rsid w:val="00533AB0"/>
    <w:rsid w:val="00533F81"/>
    <w:rsid w:val="00534154"/>
    <w:rsid w:val="0053463A"/>
    <w:rsid w:val="0053489A"/>
    <w:rsid w:val="005348B8"/>
    <w:rsid w:val="00534F07"/>
    <w:rsid w:val="0053506E"/>
    <w:rsid w:val="00535996"/>
    <w:rsid w:val="00536678"/>
    <w:rsid w:val="00536FF6"/>
    <w:rsid w:val="00537142"/>
    <w:rsid w:val="00540253"/>
    <w:rsid w:val="005415AF"/>
    <w:rsid w:val="00541719"/>
    <w:rsid w:val="00541BAD"/>
    <w:rsid w:val="00541FB1"/>
    <w:rsid w:val="00542DB9"/>
    <w:rsid w:val="00542E06"/>
    <w:rsid w:val="005438CD"/>
    <w:rsid w:val="00543C59"/>
    <w:rsid w:val="00543DD3"/>
    <w:rsid w:val="00543ECE"/>
    <w:rsid w:val="00543F2D"/>
    <w:rsid w:val="00544B76"/>
    <w:rsid w:val="0054562B"/>
    <w:rsid w:val="00545BE8"/>
    <w:rsid w:val="00546351"/>
    <w:rsid w:val="00550E31"/>
    <w:rsid w:val="0055113C"/>
    <w:rsid w:val="00551261"/>
    <w:rsid w:val="00551BEC"/>
    <w:rsid w:val="00551DBE"/>
    <w:rsid w:val="005520F9"/>
    <w:rsid w:val="00552B97"/>
    <w:rsid w:val="00552BD5"/>
    <w:rsid w:val="00552CA2"/>
    <w:rsid w:val="00553827"/>
    <w:rsid w:val="00554ADF"/>
    <w:rsid w:val="00555211"/>
    <w:rsid w:val="005569D6"/>
    <w:rsid w:val="0056063A"/>
    <w:rsid w:val="005608DB"/>
    <w:rsid w:val="0056279B"/>
    <w:rsid w:val="00563210"/>
    <w:rsid w:val="0056453B"/>
    <w:rsid w:val="00564B41"/>
    <w:rsid w:val="00564CB2"/>
    <w:rsid w:val="005660DF"/>
    <w:rsid w:val="00566C4B"/>
    <w:rsid w:val="0057009C"/>
    <w:rsid w:val="00571236"/>
    <w:rsid w:val="005717DE"/>
    <w:rsid w:val="0057191B"/>
    <w:rsid w:val="00571AEB"/>
    <w:rsid w:val="00571D1D"/>
    <w:rsid w:val="00574CA0"/>
    <w:rsid w:val="00575791"/>
    <w:rsid w:val="0057663A"/>
    <w:rsid w:val="00576F9E"/>
    <w:rsid w:val="00580C5B"/>
    <w:rsid w:val="00581CC0"/>
    <w:rsid w:val="00581F17"/>
    <w:rsid w:val="005823C2"/>
    <w:rsid w:val="005828A9"/>
    <w:rsid w:val="0058429A"/>
    <w:rsid w:val="005849B3"/>
    <w:rsid w:val="005851A0"/>
    <w:rsid w:val="00585CAE"/>
    <w:rsid w:val="0058683D"/>
    <w:rsid w:val="00587733"/>
    <w:rsid w:val="0059012E"/>
    <w:rsid w:val="005916FB"/>
    <w:rsid w:val="00591ABB"/>
    <w:rsid w:val="005925D8"/>
    <w:rsid w:val="005927A3"/>
    <w:rsid w:val="00592E15"/>
    <w:rsid w:val="00593088"/>
    <w:rsid w:val="0059357E"/>
    <w:rsid w:val="0059460D"/>
    <w:rsid w:val="00594E8C"/>
    <w:rsid w:val="005950EF"/>
    <w:rsid w:val="0059546E"/>
    <w:rsid w:val="00597E1F"/>
    <w:rsid w:val="005A02A7"/>
    <w:rsid w:val="005A02DA"/>
    <w:rsid w:val="005A183E"/>
    <w:rsid w:val="005A1A3B"/>
    <w:rsid w:val="005A22EB"/>
    <w:rsid w:val="005A30A4"/>
    <w:rsid w:val="005A41AE"/>
    <w:rsid w:val="005A4C8D"/>
    <w:rsid w:val="005A4FAE"/>
    <w:rsid w:val="005A5D6F"/>
    <w:rsid w:val="005A5F0A"/>
    <w:rsid w:val="005A6420"/>
    <w:rsid w:val="005A6E35"/>
    <w:rsid w:val="005A75EA"/>
    <w:rsid w:val="005A7629"/>
    <w:rsid w:val="005A7AFF"/>
    <w:rsid w:val="005B0772"/>
    <w:rsid w:val="005B0AA3"/>
    <w:rsid w:val="005B1C64"/>
    <w:rsid w:val="005B1E26"/>
    <w:rsid w:val="005B22C6"/>
    <w:rsid w:val="005B24C6"/>
    <w:rsid w:val="005B39A7"/>
    <w:rsid w:val="005B594E"/>
    <w:rsid w:val="005B63A8"/>
    <w:rsid w:val="005B6495"/>
    <w:rsid w:val="005B6B13"/>
    <w:rsid w:val="005B79B4"/>
    <w:rsid w:val="005B7FE0"/>
    <w:rsid w:val="005C08E6"/>
    <w:rsid w:val="005C0A18"/>
    <w:rsid w:val="005C0D2E"/>
    <w:rsid w:val="005C199D"/>
    <w:rsid w:val="005C1E9E"/>
    <w:rsid w:val="005C2AA4"/>
    <w:rsid w:val="005C2D6B"/>
    <w:rsid w:val="005C370B"/>
    <w:rsid w:val="005C5428"/>
    <w:rsid w:val="005C5788"/>
    <w:rsid w:val="005C59C0"/>
    <w:rsid w:val="005C5F01"/>
    <w:rsid w:val="005C7AEE"/>
    <w:rsid w:val="005C7C8B"/>
    <w:rsid w:val="005D0958"/>
    <w:rsid w:val="005D0F47"/>
    <w:rsid w:val="005D217A"/>
    <w:rsid w:val="005D26FD"/>
    <w:rsid w:val="005D2889"/>
    <w:rsid w:val="005D2B70"/>
    <w:rsid w:val="005D2C9C"/>
    <w:rsid w:val="005D454C"/>
    <w:rsid w:val="005D4FDA"/>
    <w:rsid w:val="005D523D"/>
    <w:rsid w:val="005D58D2"/>
    <w:rsid w:val="005D698E"/>
    <w:rsid w:val="005D75C2"/>
    <w:rsid w:val="005D7751"/>
    <w:rsid w:val="005D7B97"/>
    <w:rsid w:val="005E0541"/>
    <w:rsid w:val="005E0E5B"/>
    <w:rsid w:val="005E12BB"/>
    <w:rsid w:val="005E1E04"/>
    <w:rsid w:val="005E30E7"/>
    <w:rsid w:val="005E3D5F"/>
    <w:rsid w:val="005E48D1"/>
    <w:rsid w:val="005E5A49"/>
    <w:rsid w:val="005E633B"/>
    <w:rsid w:val="005E7334"/>
    <w:rsid w:val="005F0506"/>
    <w:rsid w:val="005F05D6"/>
    <w:rsid w:val="005F1245"/>
    <w:rsid w:val="005F13AF"/>
    <w:rsid w:val="005F213E"/>
    <w:rsid w:val="005F228D"/>
    <w:rsid w:val="005F2FAA"/>
    <w:rsid w:val="005F33CD"/>
    <w:rsid w:val="005F3FC6"/>
    <w:rsid w:val="005F4543"/>
    <w:rsid w:val="005F50C6"/>
    <w:rsid w:val="005F6088"/>
    <w:rsid w:val="005F6862"/>
    <w:rsid w:val="005F6A36"/>
    <w:rsid w:val="005F6E02"/>
    <w:rsid w:val="005F7337"/>
    <w:rsid w:val="006018CE"/>
    <w:rsid w:val="00603974"/>
    <w:rsid w:val="00603C9A"/>
    <w:rsid w:val="006046C0"/>
    <w:rsid w:val="00605037"/>
    <w:rsid w:val="0060600E"/>
    <w:rsid w:val="00606857"/>
    <w:rsid w:val="00607F3E"/>
    <w:rsid w:val="006109BC"/>
    <w:rsid w:val="00610C5B"/>
    <w:rsid w:val="006112B6"/>
    <w:rsid w:val="006116E2"/>
    <w:rsid w:val="00611892"/>
    <w:rsid w:val="00611959"/>
    <w:rsid w:val="00611E08"/>
    <w:rsid w:val="00612251"/>
    <w:rsid w:val="00612399"/>
    <w:rsid w:val="0061266B"/>
    <w:rsid w:val="00612B52"/>
    <w:rsid w:val="00612D46"/>
    <w:rsid w:val="00613422"/>
    <w:rsid w:val="00613563"/>
    <w:rsid w:val="00613C43"/>
    <w:rsid w:val="00614786"/>
    <w:rsid w:val="00614EB7"/>
    <w:rsid w:val="00615DDA"/>
    <w:rsid w:val="00615F3A"/>
    <w:rsid w:val="006164B2"/>
    <w:rsid w:val="00617317"/>
    <w:rsid w:val="0061734E"/>
    <w:rsid w:val="00617516"/>
    <w:rsid w:val="00617F84"/>
    <w:rsid w:val="006201E4"/>
    <w:rsid w:val="00620DC2"/>
    <w:rsid w:val="00620E96"/>
    <w:rsid w:val="00624AB3"/>
    <w:rsid w:val="0062608E"/>
    <w:rsid w:val="0062725D"/>
    <w:rsid w:val="00627C2A"/>
    <w:rsid w:val="00627F3B"/>
    <w:rsid w:val="00630522"/>
    <w:rsid w:val="0063075F"/>
    <w:rsid w:val="006317CF"/>
    <w:rsid w:val="00632121"/>
    <w:rsid w:val="00632EE3"/>
    <w:rsid w:val="00633B36"/>
    <w:rsid w:val="00633CC3"/>
    <w:rsid w:val="0063408C"/>
    <w:rsid w:val="006340B9"/>
    <w:rsid w:val="00634528"/>
    <w:rsid w:val="00635E62"/>
    <w:rsid w:val="00636FD1"/>
    <w:rsid w:val="00637657"/>
    <w:rsid w:val="00640CD3"/>
    <w:rsid w:val="00641AC1"/>
    <w:rsid w:val="00641B50"/>
    <w:rsid w:val="00642833"/>
    <w:rsid w:val="00643F30"/>
    <w:rsid w:val="00644607"/>
    <w:rsid w:val="00644866"/>
    <w:rsid w:val="00644C3E"/>
    <w:rsid w:val="00646513"/>
    <w:rsid w:val="006467A8"/>
    <w:rsid w:val="00647243"/>
    <w:rsid w:val="006473A5"/>
    <w:rsid w:val="006475C9"/>
    <w:rsid w:val="0064773F"/>
    <w:rsid w:val="00650343"/>
    <w:rsid w:val="00650394"/>
    <w:rsid w:val="0065145F"/>
    <w:rsid w:val="00651FD5"/>
    <w:rsid w:val="0065219A"/>
    <w:rsid w:val="00653313"/>
    <w:rsid w:val="00653719"/>
    <w:rsid w:val="00653A6C"/>
    <w:rsid w:val="0065456B"/>
    <w:rsid w:val="0065499D"/>
    <w:rsid w:val="00654FCC"/>
    <w:rsid w:val="006555D1"/>
    <w:rsid w:val="00655915"/>
    <w:rsid w:val="00655A9C"/>
    <w:rsid w:val="00656165"/>
    <w:rsid w:val="0065714F"/>
    <w:rsid w:val="00660C34"/>
    <w:rsid w:val="006610F1"/>
    <w:rsid w:val="00661469"/>
    <w:rsid w:val="00661C7F"/>
    <w:rsid w:val="0066347F"/>
    <w:rsid w:val="006649E6"/>
    <w:rsid w:val="00665691"/>
    <w:rsid w:val="006672E5"/>
    <w:rsid w:val="006677EA"/>
    <w:rsid w:val="00667AFF"/>
    <w:rsid w:val="00670CB0"/>
    <w:rsid w:val="00671587"/>
    <w:rsid w:val="00671BE8"/>
    <w:rsid w:val="00671C50"/>
    <w:rsid w:val="00671E04"/>
    <w:rsid w:val="00673260"/>
    <w:rsid w:val="00673F32"/>
    <w:rsid w:val="006746E8"/>
    <w:rsid w:val="00674EE5"/>
    <w:rsid w:val="006756AE"/>
    <w:rsid w:val="0067574F"/>
    <w:rsid w:val="00675DBE"/>
    <w:rsid w:val="00677257"/>
    <w:rsid w:val="00677465"/>
    <w:rsid w:val="006775A3"/>
    <w:rsid w:val="00677E25"/>
    <w:rsid w:val="00680C36"/>
    <w:rsid w:val="00680E42"/>
    <w:rsid w:val="00681885"/>
    <w:rsid w:val="00681FAF"/>
    <w:rsid w:val="00682CE6"/>
    <w:rsid w:val="0068434A"/>
    <w:rsid w:val="0068523A"/>
    <w:rsid w:val="00685330"/>
    <w:rsid w:val="006854CF"/>
    <w:rsid w:val="00685723"/>
    <w:rsid w:val="006858F4"/>
    <w:rsid w:val="00685C83"/>
    <w:rsid w:val="0068630D"/>
    <w:rsid w:val="006869AE"/>
    <w:rsid w:val="00686C18"/>
    <w:rsid w:val="00687015"/>
    <w:rsid w:val="00687118"/>
    <w:rsid w:val="00690081"/>
    <w:rsid w:val="0069054F"/>
    <w:rsid w:val="006948E1"/>
    <w:rsid w:val="00695612"/>
    <w:rsid w:val="00695AE2"/>
    <w:rsid w:val="0069625B"/>
    <w:rsid w:val="00696365"/>
    <w:rsid w:val="006966A0"/>
    <w:rsid w:val="006976B1"/>
    <w:rsid w:val="006A0706"/>
    <w:rsid w:val="006A0795"/>
    <w:rsid w:val="006A12AF"/>
    <w:rsid w:val="006A1A7C"/>
    <w:rsid w:val="006A1D1B"/>
    <w:rsid w:val="006A3C2B"/>
    <w:rsid w:val="006A4410"/>
    <w:rsid w:val="006A5289"/>
    <w:rsid w:val="006A58BD"/>
    <w:rsid w:val="006A5A4E"/>
    <w:rsid w:val="006A5CA1"/>
    <w:rsid w:val="006A6248"/>
    <w:rsid w:val="006A68DB"/>
    <w:rsid w:val="006A69FE"/>
    <w:rsid w:val="006A6A25"/>
    <w:rsid w:val="006A7430"/>
    <w:rsid w:val="006B03E2"/>
    <w:rsid w:val="006B060D"/>
    <w:rsid w:val="006B0700"/>
    <w:rsid w:val="006B1265"/>
    <w:rsid w:val="006B164C"/>
    <w:rsid w:val="006B1967"/>
    <w:rsid w:val="006B201C"/>
    <w:rsid w:val="006B2457"/>
    <w:rsid w:val="006B289E"/>
    <w:rsid w:val="006B3DB9"/>
    <w:rsid w:val="006B49E3"/>
    <w:rsid w:val="006B4A3D"/>
    <w:rsid w:val="006B5189"/>
    <w:rsid w:val="006B59D8"/>
    <w:rsid w:val="006B6CB7"/>
    <w:rsid w:val="006B71DC"/>
    <w:rsid w:val="006C021F"/>
    <w:rsid w:val="006C091F"/>
    <w:rsid w:val="006C0AB8"/>
    <w:rsid w:val="006C14B8"/>
    <w:rsid w:val="006C1D19"/>
    <w:rsid w:val="006C3C0B"/>
    <w:rsid w:val="006C58EA"/>
    <w:rsid w:val="006C5953"/>
    <w:rsid w:val="006C7171"/>
    <w:rsid w:val="006C7E44"/>
    <w:rsid w:val="006D03E2"/>
    <w:rsid w:val="006D05DE"/>
    <w:rsid w:val="006D07D7"/>
    <w:rsid w:val="006D10C0"/>
    <w:rsid w:val="006D1496"/>
    <w:rsid w:val="006D15F3"/>
    <w:rsid w:val="006D1747"/>
    <w:rsid w:val="006D1E62"/>
    <w:rsid w:val="006D3645"/>
    <w:rsid w:val="006D3CE4"/>
    <w:rsid w:val="006D40A4"/>
    <w:rsid w:val="006D4C3A"/>
    <w:rsid w:val="006D7169"/>
    <w:rsid w:val="006D7418"/>
    <w:rsid w:val="006D751C"/>
    <w:rsid w:val="006D7609"/>
    <w:rsid w:val="006D7A4F"/>
    <w:rsid w:val="006E0854"/>
    <w:rsid w:val="006E096D"/>
    <w:rsid w:val="006E0F70"/>
    <w:rsid w:val="006E1043"/>
    <w:rsid w:val="006E1128"/>
    <w:rsid w:val="006E1622"/>
    <w:rsid w:val="006E35CA"/>
    <w:rsid w:val="006E35F2"/>
    <w:rsid w:val="006E37EF"/>
    <w:rsid w:val="006E385A"/>
    <w:rsid w:val="006E3EB5"/>
    <w:rsid w:val="006E4730"/>
    <w:rsid w:val="006E64DB"/>
    <w:rsid w:val="006E6584"/>
    <w:rsid w:val="006E6643"/>
    <w:rsid w:val="006E6C36"/>
    <w:rsid w:val="006E7153"/>
    <w:rsid w:val="006E7B46"/>
    <w:rsid w:val="006F0788"/>
    <w:rsid w:val="006F0B2E"/>
    <w:rsid w:val="006F0BB8"/>
    <w:rsid w:val="006F1317"/>
    <w:rsid w:val="006F1D35"/>
    <w:rsid w:val="006F20E4"/>
    <w:rsid w:val="006F2A93"/>
    <w:rsid w:val="006F3489"/>
    <w:rsid w:val="006F5250"/>
    <w:rsid w:val="006F672C"/>
    <w:rsid w:val="00700064"/>
    <w:rsid w:val="00701BD7"/>
    <w:rsid w:val="00701C0E"/>
    <w:rsid w:val="007022C1"/>
    <w:rsid w:val="00702D2F"/>
    <w:rsid w:val="00702F63"/>
    <w:rsid w:val="007044CC"/>
    <w:rsid w:val="00704FA6"/>
    <w:rsid w:val="00706743"/>
    <w:rsid w:val="00707EE4"/>
    <w:rsid w:val="0071031C"/>
    <w:rsid w:val="007124B4"/>
    <w:rsid w:val="00712AEA"/>
    <w:rsid w:val="00712D13"/>
    <w:rsid w:val="007135CB"/>
    <w:rsid w:val="00713B67"/>
    <w:rsid w:val="00714222"/>
    <w:rsid w:val="00714FC5"/>
    <w:rsid w:val="00715B10"/>
    <w:rsid w:val="00715E2D"/>
    <w:rsid w:val="0071797B"/>
    <w:rsid w:val="00720210"/>
    <w:rsid w:val="00721117"/>
    <w:rsid w:val="00721A63"/>
    <w:rsid w:val="00721A92"/>
    <w:rsid w:val="00721DEA"/>
    <w:rsid w:val="00722821"/>
    <w:rsid w:val="00722FF9"/>
    <w:rsid w:val="007235C5"/>
    <w:rsid w:val="00723AD4"/>
    <w:rsid w:val="007240FA"/>
    <w:rsid w:val="007245EA"/>
    <w:rsid w:val="00724D27"/>
    <w:rsid w:val="0072563E"/>
    <w:rsid w:val="0072575C"/>
    <w:rsid w:val="00725FFD"/>
    <w:rsid w:val="007260EF"/>
    <w:rsid w:val="007269A8"/>
    <w:rsid w:val="00727803"/>
    <w:rsid w:val="00727876"/>
    <w:rsid w:val="00731C47"/>
    <w:rsid w:val="007322BF"/>
    <w:rsid w:val="00732BC5"/>
    <w:rsid w:val="00733CA3"/>
    <w:rsid w:val="007340C0"/>
    <w:rsid w:val="007348EF"/>
    <w:rsid w:val="00734A19"/>
    <w:rsid w:val="00735233"/>
    <w:rsid w:val="0073545D"/>
    <w:rsid w:val="007357FD"/>
    <w:rsid w:val="0073595E"/>
    <w:rsid w:val="007364EF"/>
    <w:rsid w:val="007366A6"/>
    <w:rsid w:val="00736C78"/>
    <w:rsid w:val="00737605"/>
    <w:rsid w:val="0074037E"/>
    <w:rsid w:val="00740490"/>
    <w:rsid w:val="00741A36"/>
    <w:rsid w:val="00741C12"/>
    <w:rsid w:val="00742454"/>
    <w:rsid w:val="00743353"/>
    <w:rsid w:val="0074445B"/>
    <w:rsid w:val="0074450A"/>
    <w:rsid w:val="00744B50"/>
    <w:rsid w:val="00747236"/>
    <w:rsid w:val="00747A04"/>
    <w:rsid w:val="007511E0"/>
    <w:rsid w:val="00751486"/>
    <w:rsid w:val="00751955"/>
    <w:rsid w:val="00751D52"/>
    <w:rsid w:val="007522C5"/>
    <w:rsid w:val="00752BD4"/>
    <w:rsid w:val="00752EA6"/>
    <w:rsid w:val="00752FD9"/>
    <w:rsid w:val="00753ECB"/>
    <w:rsid w:val="00754763"/>
    <w:rsid w:val="0075494F"/>
    <w:rsid w:val="00754958"/>
    <w:rsid w:val="00754B05"/>
    <w:rsid w:val="00755AED"/>
    <w:rsid w:val="0075620A"/>
    <w:rsid w:val="00756E75"/>
    <w:rsid w:val="007621AC"/>
    <w:rsid w:val="0076225F"/>
    <w:rsid w:val="007633A5"/>
    <w:rsid w:val="0076442D"/>
    <w:rsid w:val="00764BA6"/>
    <w:rsid w:val="00766281"/>
    <w:rsid w:val="00766F0B"/>
    <w:rsid w:val="0076724C"/>
    <w:rsid w:val="00767FAD"/>
    <w:rsid w:val="0077069A"/>
    <w:rsid w:val="00770D83"/>
    <w:rsid w:val="00771EE8"/>
    <w:rsid w:val="0077311D"/>
    <w:rsid w:val="0077427F"/>
    <w:rsid w:val="00774FF7"/>
    <w:rsid w:val="00775922"/>
    <w:rsid w:val="00775C91"/>
    <w:rsid w:val="007765E4"/>
    <w:rsid w:val="00776977"/>
    <w:rsid w:val="00776C27"/>
    <w:rsid w:val="00777F76"/>
    <w:rsid w:val="00780716"/>
    <w:rsid w:val="00781199"/>
    <w:rsid w:val="0078153B"/>
    <w:rsid w:val="0078161D"/>
    <w:rsid w:val="00781AB7"/>
    <w:rsid w:val="00782516"/>
    <w:rsid w:val="00782C5D"/>
    <w:rsid w:val="007836B5"/>
    <w:rsid w:val="0078371E"/>
    <w:rsid w:val="0078479A"/>
    <w:rsid w:val="00786DDC"/>
    <w:rsid w:val="00790495"/>
    <w:rsid w:val="00790A3A"/>
    <w:rsid w:val="00792484"/>
    <w:rsid w:val="00792DA5"/>
    <w:rsid w:val="00793518"/>
    <w:rsid w:val="0079380E"/>
    <w:rsid w:val="007952F4"/>
    <w:rsid w:val="007953FF"/>
    <w:rsid w:val="0079642D"/>
    <w:rsid w:val="00796B77"/>
    <w:rsid w:val="00797660"/>
    <w:rsid w:val="00797BE1"/>
    <w:rsid w:val="00797E4D"/>
    <w:rsid w:val="007A0C18"/>
    <w:rsid w:val="007A1623"/>
    <w:rsid w:val="007A2096"/>
    <w:rsid w:val="007A2371"/>
    <w:rsid w:val="007A2A45"/>
    <w:rsid w:val="007A4511"/>
    <w:rsid w:val="007A4DA3"/>
    <w:rsid w:val="007A4E36"/>
    <w:rsid w:val="007A4FB5"/>
    <w:rsid w:val="007A5FCF"/>
    <w:rsid w:val="007A6086"/>
    <w:rsid w:val="007A6094"/>
    <w:rsid w:val="007A6245"/>
    <w:rsid w:val="007A6F82"/>
    <w:rsid w:val="007A7A59"/>
    <w:rsid w:val="007B0216"/>
    <w:rsid w:val="007B069F"/>
    <w:rsid w:val="007B0A69"/>
    <w:rsid w:val="007B1271"/>
    <w:rsid w:val="007B15FC"/>
    <w:rsid w:val="007B1C10"/>
    <w:rsid w:val="007B2081"/>
    <w:rsid w:val="007B2654"/>
    <w:rsid w:val="007B2DA4"/>
    <w:rsid w:val="007B2F5C"/>
    <w:rsid w:val="007B394F"/>
    <w:rsid w:val="007B3F21"/>
    <w:rsid w:val="007B4CA7"/>
    <w:rsid w:val="007B4F46"/>
    <w:rsid w:val="007B53BF"/>
    <w:rsid w:val="007B5550"/>
    <w:rsid w:val="007B593E"/>
    <w:rsid w:val="007B6602"/>
    <w:rsid w:val="007B6901"/>
    <w:rsid w:val="007B7B16"/>
    <w:rsid w:val="007B7CB4"/>
    <w:rsid w:val="007B7EBF"/>
    <w:rsid w:val="007C01F6"/>
    <w:rsid w:val="007C022C"/>
    <w:rsid w:val="007C04DC"/>
    <w:rsid w:val="007C0FB9"/>
    <w:rsid w:val="007C18ED"/>
    <w:rsid w:val="007C22F3"/>
    <w:rsid w:val="007C2622"/>
    <w:rsid w:val="007C42D2"/>
    <w:rsid w:val="007C5129"/>
    <w:rsid w:val="007C5B7B"/>
    <w:rsid w:val="007C5F4D"/>
    <w:rsid w:val="007C6324"/>
    <w:rsid w:val="007C7841"/>
    <w:rsid w:val="007C7B68"/>
    <w:rsid w:val="007C7CDC"/>
    <w:rsid w:val="007D0154"/>
    <w:rsid w:val="007D0C06"/>
    <w:rsid w:val="007D1CD9"/>
    <w:rsid w:val="007D39B3"/>
    <w:rsid w:val="007D3C0F"/>
    <w:rsid w:val="007D3D42"/>
    <w:rsid w:val="007D3FB9"/>
    <w:rsid w:val="007D424C"/>
    <w:rsid w:val="007D4348"/>
    <w:rsid w:val="007D4E06"/>
    <w:rsid w:val="007D4F56"/>
    <w:rsid w:val="007D5A68"/>
    <w:rsid w:val="007D60E8"/>
    <w:rsid w:val="007D644A"/>
    <w:rsid w:val="007D6573"/>
    <w:rsid w:val="007D660E"/>
    <w:rsid w:val="007D6BCE"/>
    <w:rsid w:val="007D7057"/>
    <w:rsid w:val="007D79D8"/>
    <w:rsid w:val="007E0691"/>
    <w:rsid w:val="007E0D9B"/>
    <w:rsid w:val="007E137F"/>
    <w:rsid w:val="007E1A74"/>
    <w:rsid w:val="007E213C"/>
    <w:rsid w:val="007E2B9F"/>
    <w:rsid w:val="007E2DC8"/>
    <w:rsid w:val="007E351A"/>
    <w:rsid w:val="007E39E3"/>
    <w:rsid w:val="007E3F83"/>
    <w:rsid w:val="007E4519"/>
    <w:rsid w:val="007E4D0B"/>
    <w:rsid w:val="007E7AF8"/>
    <w:rsid w:val="007F00D1"/>
    <w:rsid w:val="007F0310"/>
    <w:rsid w:val="007F103C"/>
    <w:rsid w:val="007F12BB"/>
    <w:rsid w:val="007F131D"/>
    <w:rsid w:val="007F13C4"/>
    <w:rsid w:val="007F217E"/>
    <w:rsid w:val="007F25CA"/>
    <w:rsid w:val="007F26C0"/>
    <w:rsid w:val="007F2909"/>
    <w:rsid w:val="007F2D1E"/>
    <w:rsid w:val="007F3FCD"/>
    <w:rsid w:val="007F70FC"/>
    <w:rsid w:val="007F7728"/>
    <w:rsid w:val="00800006"/>
    <w:rsid w:val="00800842"/>
    <w:rsid w:val="008013AF"/>
    <w:rsid w:val="0080162C"/>
    <w:rsid w:val="008043B3"/>
    <w:rsid w:val="00804A6D"/>
    <w:rsid w:val="00804B51"/>
    <w:rsid w:val="00804C1F"/>
    <w:rsid w:val="00804D3B"/>
    <w:rsid w:val="00804FE9"/>
    <w:rsid w:val="008051A9"/>
    <w:rsid w:val="00805A51"/>
    <w:rsid w:val="00805E0B"/>
    <w:rsid w:val="00806B4B"/>
    <w:rsid w:val="00810046"/>
    <w:rsid w:val="00810AF7"/>
    <w:rsid w:val="00811360"/>
    <w:rsid w:val="00811812"/>
    <w:rsid w:val="0081199F"/>
    <w:rsid w:val="00811C46"/>
    <w:rsid w:val="0081248D"/>
    <w:rsid w:val="00812E94"/>
    <w:rsid w:val="00814947"/>
    <w:rsid w:val="00815181"/>
    <w:rsid w:val="00815594"/>
    <w:rsid w:val="00815F98"/>
    <w:rsid w:val="0081605F"/>
    <w:rsid w:val="008160A3"/>
    <w:rsid w:val="0081635C"/>
    <w:rsid w:val="00816A4D"/>
    <w:rsid w:val="00816F15"/>
    <w:rsid w:val="00816F45"/>
    <w:rsid w:val="0081711A"/>
    <w:rsid w:val="00817740"/>
    <w:rsid w:val="00817B83"/>
    <w:rsid w:val="0082072C"/>
    <w:rsid w:val="00820764"/>
    <w:rsid w:val="00821552"/>
    <w:rsid w:val="008229C1"/>
    <w:rsid w:val="00822A82"/>
    <w:rsid w:val="00822B5A"/>
    <w:rsid w:val="00824ABC"/>
    <w:rsid w:val="00824AC2"/>
    <w:rsid w:val="00824B91"/>
    <w:rsid w:val="008250D9"/>
    <w:rsid w:val="008259BE"/>
    <w:rsid w:val="0082632F"/>
    <w:rsid w:val="00826385"/>
    <w:rsid w:val="0082665A"/>
    <w:rsid w:val="0082753A"/>
    <w:rsid w:val="008277C7"/>
    <w:rsid w:val="00831A74"/>
    <w:rsid w:val="00831DED"/>
    <w:rsid w:val="008321C7"/>
    <w:rsid w:val="00833146"/>
    <w:rsid w:val="00833385"/>
    <w:rsid w:val="0083352F"/>
    <w:rsid w:val="00834215"/>
    <w:rsid w:val="008355A0"/>
    <w:rsid w:val="00835E96"/>
    <w:rsid w:val="008368E5"/>
    <w:rsid w:val="00836E29"/>
    <w:rsid w:val="00836F38"/>
    <w:rsid w:val="00840026"/>
    <w:rsid w:val="008415DD"/>
    <w:rsid w:val="00841B75"/>
    <w:rsid w:val="00841CE4"/>
    <w:rsid w:val="00842E30"/>
    <w:rsid w:val="00843622"/>
    <w:rsid w:val="0084365A"/>
    <w:rsid w:val="00843AC0"/>
    <w:rsid w:val="00843F1C"/>
    <w:rsid w:val="0084446B"/>
    <w:rsid w:val="00844489"/>
    <w:rsid w:val="00844A8E"/>
    <w:rsid w:val="00846FCE"/>
    <w:rsid w:val="00850823"/>
    <w:rsid w:val="00851653"/>
    <w:rsid w:val="00851A14"/>
    <w:rsid w:val="00851E48"/>
    <w:rsid w:val="00853DAF"/>
    <w:rsid w:val="008548E4"/>
    <w:rsid w:val="00854CF4"/>
    <w:rsid w:val="00855FCF"/>
    <w:rsid w:val="00856A20"/>
    <w:rsid w:val="00857287"/>
    <w:rsid w:val="008578BB"/>
    <w:rsid w:val="008601EF"/>
    <w:rsid w:val="00860423"/>
    <w:rsid w:val="00860A38"/>
    <w:rsid w:val="00861433"/>
    <w:rsid w:val="00861B21"/>
    <w:rsid w:val="00862161"/>
    <w:rsid w:val="00862945"/>
    <w:rsid w:val="0086312C"/>
    <w:rsid w:val="008635B9"/>
    <w:rsid w:val="00864287"/>
    <w:rsid w:val="008647CD"/>
    <w:rsid w:val="00864E7B"/>
    <w:rsid w:val="00865D46"/>
    <w:rsid w:val="008661E2"/>
    <w:rsid w:val="008663D8"/>
    <w:rsid w:val="00867366"/>
    <w:rsid w:val="008677DF"/>
    <w:rsid w:val="00870082"/>
    <w:rsid w:val="00870D66"/>
    <w:rsid w:val="008719C6"/>
    <w:rsid w:val="00871E7B"/>
    <w:rsid w:val="00872B13"/>
    <w:rsid w:val="008730E6"/>
    <w:rsid w:val="00873678"/>
    <w:rsid w:val="00875025"/>
    <w:rsid w:val="008758E2"/>
    <w:rsid w:val="00875DAE"/>
    <w:rsid w:val="00876587"/>
    <w:rsid w:val="008778DE"/>
    <w:rsid w:val="00880672"/>
    <w:rsid w:val="00880D0F"/>
    <w:rsid w:val="008820B4"/>
    <w:rsid w:val="008823E2"/>
    <w:rsid w:val="00882A52"/>
    <w:rsid w:val="0088319E"/>
    <w:rsid w:val="00883AB4"/>
    <w:rsid w:val="00883B94"/>
    <w:rsid w:val="00883E80"/>
    <w:rsid w:val="008844B0"/>
    <w:rsid w:val="0088560E"/>
    <w:rsid w:val="00886AFA"/>
    <w:rsid w:val="00887429"/>
    <w:rsid w:val="00891433"/>
    <w:rsid w:val="00892176"/>
    <w:rsid w:val="00892ADA"/>
    <w:rsid w:val="00892BDF"/>
    <w:rsid w:val="008957E9"/>
    <w:rsid w:val="00896250"/>
    <w:rsid w:val="00896C93"/>
    <w:rsid w:val="00897594"/>
    <w:rsid w:val="008A02B9"/>
    <w:rsid w:val="008A2861"/>
    <w:rsid w:val="008A33A7"/>
    <w:rsid w:val="008A349B"/>
    <w:rsid w:val="008A43FD"/>
    <w:rsid w:val="008A5256"/>
    <w:rsid w:val="008A5AAC"/>
    <w:rsid w:val="008A60F2"/>
    <w:rsid w:val="008A67F8"/>
    <w:rsid w:val="008A6FF0"/>
    <w:rsid w:val="008A77FD"/>
    <w:rsid w:val="008B0840"/>
    <w:rsid w:val="008B0BBA"/>
    <w:rsid w:val="008B1E68"/>
    <w:rsid w:val="008B2151"/>
    <w:rsid w:val="008B2200"/>
    <w:rsid w:val="008B2927"/>
    <w:rsid w:val="008B4876"/>
    <w:rsid w:val="008B49FB"/>
    <w:rsid w:val="008B4CC4"/>
    <w:rsid w:val="008B52C4"/>
    <w:rsid w:val="008B5D89"/>
    <w:rsid w:val="008B5F5A"/>
    <w:rsid w:val="008B75A6"/>
    <w:rsid w:val="008B7A5E"/>
    <w:rsid w:val="008B7B34"/>
    <w:rsid w:val="008C2050"/>
    <w:rsid w:val="008C20DD"/>
    <w:rsid w:val="008C2204"/>
    <w:rsid w:val="008C2B7F"/>
    <w:rsid w:val="008C32B2"/>
    <w:rsid w:val="008C4076"/>
    <w:rsid w:val="008C45F2"/>
    <w:rsid w:val="008C6931"/>
    <w:rsid w:val="008C69B2"/>
    <w:rsid w:val="008C6DFD"/>
    <w:rsid w:val="008D00CB"/>
    <w:rsid w:val="008D0C06"/>
    <w:rsid w:val="008D0E8E"/>
    <w:rsid w:val="008D1775"/>
    <w:rsid w:val="008D3B20"/>
    <w:rsid w:val="008D4BCA"/>
    <w:rsid w:val="008D529A"/>
    <w:rsid w:val="008D5459"/>
    <w:rsid w:val="008D60FE"/>
    <w:rsid w:val="008D6B12"/>
    <w:rsid w:val="008D756A"/>
    <w:rsid w:val="008D7617"/>
    <w:rsid w:val="008D7CEE"/>
    <w:rsid w:val="008D7EE0"/>
    <w:rsid w:val="008E1790"/>
    <w:rsid w:val="008E1965"/>
    <w:rsid w:val="008E4290"/>
    <w:rsid w:val="008E444A"/>
    <w:rsid w:val="008E4BB4"/>
    <w:rsid w:val="008E4CB2"/>
    <w:rsid w:val="008E6980"/>
    <w:rsid w:val="008E6D70"/>
    <w:rsid w:val="008E6D8A"/>
    <w:rsid w:val="008E7A92"/>
    <w:rsid w:val="008E7D3F"/>
    <w:rsid w:val="008E7D9F"/>
    <w:rsid w:val="008F005C"/>
    <w:rsid w:val="008F03E1"/>
    <w:rsid w:val="008F0513"/>
    <w:rsid w:val="008F07C6"/>
    <w:rsid w:val="008F1F5F"/>
    <w:rsid w:val="008F22AE"/>
    <w:rsid w:val="008F2378"/>
    <w:rsid w:val="008F31EC"/>
    <w:rsid w:val="008F35AF"/>
    <w:rsid w:val="008F38B2"/>
    <w:rsid w:val="008F44D8"/>
    <w:rsid w:val="008F462E"/>
    <w:rsid w:val="008F47A2"/>
    <w:rsid w:val="008F487D"/>
    <w:rsid w:val="008F4A7B"/>
    <w:rsid w:val="008F4B82"/>
    <w:rsid w:val="008F58FF"/>
    <w:rsid w:val="008F6E86"/>
    <w:rsid w:val="00900408"/>
    <w:rsid w:val="00900E6A"/>
    <w:rsid w:val="00901604"/>
    <w:rsid w:val="0090174C"/>
    <w:rsid w:val="00902120"/>
    <w:rsid w:val="00903463"/>
    <w:rsid w:val="00903CD4"/>
    <w:rsid w:val="00904500"/>
    <w:rsid w:val="00904912"/>
    <w:rsid w:val="009051EE"/>
    <w:rsid w:val="00905DF6"/>
    <w:rsid w:val="00905E66"/>
    <w:rsid w:val="009067B1"/>
    <w:rsid w:val="00906EAA"/>
    <w:rsid w:val="0091013E"/>
    <w:rsid w:val="00910706"/>
    <w:rsid w:val="00912123"/>
    <w:rsid w:val="00912BEB"/>
    <w:rsid w:val="009130A1"/>
    <w:rsid w:val="00913765"/>
    <w:rsid w:val="00914BD9"/>
    <w:rsid w:val="009157BA"/>
    <w:rsid w:val="00915AB2"/>
    <w:rsid w:val="00916F51"/>
    <w:rsid w:val="00917896"/>
    <w:rsid w:val="0092054F"/>
    <w:rsid w:val="009205C3"/>
    <w:rsid w:val="00920C76"/>
    <w:rsid w:val="009211A6"/>
    <w:rsid w:val="00921361"/>
    <w:rsid w:val="009216DF"/>
    <w:rsid w:val="00922B4E"/>
    <w:rsid w:val="00923836"/>
    <w:rsid w:val="0092439C"/>
    <w:rsid w:val="00924B88"/>
    <w:rsid w:val="00924C07"/>
    <w:rsid w:val="00924D4E"/>
    <w:rsid w:val="00925F0E"/>
    <w:rsid w:val="0092623E"/>
    <w:rsid w:val="0092625F"/>
    <w:rsid w:val="0092630D"/>
    <w:rsid w:val="009271A1"/>
    <w:rsid w:val="00927432"/>
    <w:rsid w:val="0092751B"/>
    <w:rsid w:val="0093076A"/>
    <w:rsid w:val="00930898"/>
    <w:rsid w:val="00930B37"/>
    <w:rsid w:val="00931763"/>
    <w:rsid w:val="00931B4C"/>
    <w:rsid w:val="0093201B"/>
    <w:rsid w:val="00932585"/>
    <w:rsid w:val="009330ED"/>
    <w:rsid w:val="00933122"/>
    <w:rsid w:val="00933592"/>
    <w:rsid w:val="009355B5"/>
    <w:rsid w:val="00935914"/>
    <w:rsid w:val="00935BBE"/>
    <w:rsid w:val="009371F9"/>
    <w:rsid w:val="00937560"/>
    <w:rsid w:val="009377C1"/>
    <w:rsid w:val="00940D19"/>
    <w:rsid w:val="009438AD"/>
    <w:rsid w:val="00943E1F"/>
    <w:rsid w:val="00944844"/>
    <w:rsid w:val="00944EDA"/>
    <w:rsid w:val="00946755"/>
    <w:rsid w:val="00946809"/>
    <w:rsid w:val="00946C8C"/>
    <w:rsid w:val="009471D0"/>
    <w:rsid w:val="00947F59"/>
    <w:rsid w:val="00950B44"/>
    <w:rsid w:val="0095476F"/>
    <w:rsid w:val="00954BFB"/>
    <w:rsid w:val="00954D57"/>
    <w:rsid w:val="00954F5A"/>
    <w:rsid w:val="0095517C"/>
    <w:rsid w:val="0095567C"/>
    <w:rsid w:val="00957E2D"/>
    <w:rsid w:val="0096046B"/>
    <w:rsid w:val="0096081A"/>
    <w:rsid w:val="009614C9"/>
    <w:rsid w:val="00961E80"/>
    <w:rsid w:val="0096219E"/>
    <w:rsid w:val="00962FC5"/>
    <w:rsid w:val="00963134"/>
    <w:rsid w:val="00963713"/>
    <w:rsid w:val="00964118"/>
    <w:rsid w:val="00964ECF"/>
    <w:rsid w:val="009653D5"/>
    <w:rsid w:val="00966453"/>
    <w:rsid w:val="00966A58"/>
    <w:rsid w:val="00966B1F"/>
    <w:rsid w:val="009672E6"/>
    <w:rsid w:val="00967F0A"/>
    <w:rsid w:val="0097165C"/>
    <w:rsid w:val="009718E3"/>
    <w:rsid w:val="009734BC"/>
    <w:rsid w:val="00973EFB"/>
    <w:rsid w:val="0097410E"/>
    <w:rsid w:val="00974657"/>
    <w:rsid w:val="00974CBD"/>
    <w:rsid w:val="0097592C"/>
    <w:rsid w:val="00975D3A"/>
    <w:rsid w:val="009777F2"/>
    <w:rsid w:val="00980C9D"/>
    <w:rsid w:val="00981560"/>
    <w:rsid w:val="009816C7"/>
    <w:rsid w:val="00982275"/>
    <w:rsid w:val="00983507"/>
    <w:rsid w:val="00983D43"/>
    <w:rsid w:val="00983DC6"/>
    <w:rsid w:val="009843D7"/>
    <w:rsid w:val="00985ABA"/>
    <w:rsid w:val="00985DB4"/>
    <w:rsid w:val="009868B5"/>
    <w:rsid w:val="00986F30"/>
    <w:rsid w:val="0098766A"/>
    <w:rsid w:val="00990AEE"/>
    <w:rsid w:val="009910A2"/>
    <w:rsid w:val="009925EC"/>
    <w:rsid w:val="00992F00"/>
    <w:rsid w:val="00993119"/>
    <w:rsid w:val="00993F9E"/>
    <w:rsid w:val="00994C39"/>
    <w:rsid w:val="00994EA6"/>
    <w:rsid w:val="0099564F"/>
    <w:rsid w:val="00997E41"/>
    <w:rsid w:val="009A0613"/>
    <w:rsid w:val="009A0C53"/>
    <w:rsid w:val="009A1621"/>
    <w:rsid w:val="009A1C6B"/>
    <w:rsid w:val="009A2505"/>
    <w:rsid w:val="009A27E5"/>
    <w:rsid w:val="009A3921"/>
    <w:rsid w:val="009A4115"/>
    <w:rsid w:val="009A54EE"/>
    <w:rsid w:val="009A5707"/>
    <w:rsid w:val="009A59A0"/>
    <w:rsid w:val="009A5D77"/>
    <w:rsid w:val="009A6BFE"/>
    <w:rsid w:val="009B0688"/>
    <w:rsid w:val="009B08EE"/>
    <w:rsid w:val="009B1448"/>
    <w:rsid w:val="009B2A1F"/>
    <w:rsid w:val="009B2DF0"/>
    <w:rsid w:val="009B34A8"/>
    <w:rsid w:val="009B3595"/>
    <w:rsid w:val="009B4290"/>
    <w:rsid w:val="009B4744"/>
    <w:rsid w:val="009B615C"/>
    <w:rsid w:val="009B6560"/>
    <w:rsid w:val="009B68BD"/>
    <w:rsid w:val="009B6C0E"/>
    <w:rsid w:val="009B7855"/>
    <w:rsid w:val="009B7B4C"/>
    <w:rsid w:val="009C1438"/>
    <w:rsid w:val="009C1A0F"/>
    <w:rsid w:val="009C2343"/>
    <w:rsid w:val="009C2475"/>
    <w:rsid w:val="009C3228"/>
    <w:rsid w:val="009C4471"/>
    <w:rsid w:val="009C4D37"/>
    <w:rsid w:val="009C5403"/>
    <w:rsid w:val="009C5CC2"/>
    <w:rsid w:val="009C614A"/>
    <w:rsid w:val="009C6AA1"/>
    <w:rsid w:val="009C6D08"/>
    <w:rsid w:val="009D0F00"/>
    <w:rsid w:val="009D1D61"/>
    <w:rsid w:val="009D1DEA"/>
    <w:rsid w:val="009D2434"/>
    <w:rsid w:val="009D275D"/>
    <w:rsid w:val="009D2FEE"/>
    <w:rsid w:val="009D3299"/>
    <w:rsid w:val="009D35AE"/>
    <w:rsid w:val="009D41E7"/>
    <w:rsid w:val="009D423B"/>
    <w:rsid w:val="009D4E6C"/>
    <w:rsid w:val="009D5043"/>
    <w:rsid w:val="009D5870"/>
    <w:rsid w:val="009D599D"/>
    <w:rsid w:val="009D5AAF"/>
    <w:rsid w:val="009D5C24"/>
    <w:rsid w:val="009D6814"/>
    <w:rsid w:val="009D6C75"/>
    <w:rsid w:val="009D7352"/>
    <w:rsid w:val="009D7CC1"/>
    <w:rsid w:val="009D7F0F"/>
    <w:rsid w:val="009D7F43"/>
    <w:rsid w:val="009E0817"/>
    <w:rsid w:val="009E10FA"/>
    <w:rsid w:val="009E2885"/>
    <w:rsid w:val="009E34F2"/>
    <w:rsid w:val="009E362A"/>
    <w:rsid w:val="009E4176"/>
    <w:rsid w:val="009E4825"/>
    <w:rsid w:val="009E4D4D"/>
    <w:rsid w:val="009E5360"/>
    <w:rsid w:val="009E7716"/>
    <w:rsid w:val="009E7D1B"/>
    <w:rsid w:val="009E7F2B"/>
    <w:rsid w:val="009E7FA2"/>
    <w:rsid w:val="009F013D"/>
    <w:rsid w:val="009F3B5C"/>
    <w:rsid w:val="009F4CC2"/>
    <w:rsid w:val="009F576D"/>
    <w:rsid w:val="009F6407"/>
    <w:rsid w:val="00A0070A"/>
    <w:rsid w:val="00A0153D"/>
    <w:rsid w:val="00A017C6"/>
    <w:rsid w:val="00A05FDC"/>
    <w:rsid w:val="00A11DA8"/>
    <w:rsid w:val="00A12755"/>
    <w:rsid w:val="00A12C4F"/>
    <w:rsid w:val="00A12F79"/>
    <w:rsid w:val="00A1302D"/>
    <w:rsid w:val="00A13354"/>
    <w:rsid w:val="00A147FC"/>
    <w:rsid w:val="00A15244"/>
    <w:rsid w:val="00A15867"/>
    <w:rsid w:val="00A2031E"/>
    <w:rsid w:val="00A20884"/>
    <w:rsid w:val="00A20AAB"/>
    <w:rsid w:val="00A21A9E"/>
    <w:rsid w:val="00A22999"/>
    <w:rsid w:val="00A22ADC"/>
    <w:rsid w:val="00A23460"/>
    <w:rsid w:val="00A236E9"/>
    <w:rsid w:val="00A2396F"/>
    <w:rsid w:val="00A24CCB"/>
    <w:rsid w:val="00A24D65"/>
    <w:rsid w:val="00A254F2"/>
    <w:rsid w:val="00A26C31"/>
    <w:rsid w:val="00A272EC"/>
    <w:rsid w:val="00A278E0"/>
    <w:rsid w:val="00A27E4E"/>
    <w:rsid w:val="00A301C2"/>
    <w:rsid w:val="00A30646"/>
    <w:rsid w:val="00A30D93"/>
    <w:rsid w:val="00A3121D"/>
    <w:rsid w:val="00A31E61"/>
    <w:rsid w:val="00A32092"/>
    <w:rsid w:val="00A321DE"/>
    <w:rsid w:val="00A32E7A"/>
    <w:rsid w:val="00A33AD5"/>
    <w:rsid w:val="00A33D75"/>
    <w:rsid w:val="00A34256"/>
    <w:rsid w:val="00A34316"/>
    <w:rsid w:val="00A344F0"/>
    <w:rsid w:val="00A34D8D"/>
    <w:rsid w:val="00A35149"/>
    <w:rsid w:val="00A351D5"/>
    <w:rsid w:val="00A36062"/>
    <w:rsid w:val="00A36F07"/>
    <w:rsid w:val="00A371C9"/>
    <w:rsid w:val="00A3784E"/>
    <w:rsid w:val="00A4015C"/>
    <w:rsid w:val="00A402C4"/>
    <w:rsid w:val="00A40E67"/>
    <w:rsid w:val="00A4122A"/>
    <w:rsid w:val="00A41D35"/>
    <w:rsid w:val="00A420BD"/>
    <w:rsid w:val="00A427CA"/>
    <w:rsid w:val="00A42D5C"/>
    <w:rsid w:val="00A42D7D"/>
    <w:rsid w:val="00A443DA"/>
    <w:rsid w:val="00A445B7"/>
    <w:rsid w:val="00A4488A"/>
    <w:rsid w:val="00A4641B"/>
    <w:rsid w:val="00A47636"/>
    <w:rsid w:val="00A50263"/>
    <w:rsid w:val="00A50417"/>
    <w:rsid w:val="00A509C2"/>
    <w:rsid w:val="00A5118B"/>
    <w:rsid w:val="00A520AE"/>
    <w:rsid w:val="00A52A29"/>
    <w:rsid w:val="00A5345D"/>
    <w:rsid w:val="00A53946"/>
    <w:rsid w:val="00A53D04"/>
    <w:rsid w:val="00A54CB4"/>
    <w:rsid w:val="00A55726"/>
    <w:rsid w:val="00A5611C"/>
    <w:rsid w:val="00A56C20"/>
    <w:rsid w:val="00A56FD1"/>
    <w:rsid w:val="00A60120"/>
    <w:rsid w:val="00A60377"/>
    <w:rsid w:val="00A60584"/>
    <w:rsid w:val="00A60634"/>
    <w:rsid w:val="00A60782"/>
    <w:rsid w:val="00A61705"/>
    <w:rsid w:val="00A61EFC"/>
    <w:rsid w:val="00A61F96"/>
    <w:rsid w:val="00A62555"/>
    <w:rsid w:val="00A628D8"/>
    <w:rsid w:val="00A62C5D"/>
    <w:rsid w:val="00A62F59"/>
    <w:rsid w:val="00A64017"/>
    <w:rsid w:val="00A64BAF"/>
    <w:rsid w:val="00A64CB1"/>
    <w:rsid w:val="00A6513B"/>
    <w:rsid w:val="00A6609C"/>
    <w:rsid w:val="00A661EB"/>
    <w:rsid w:val="00A667AE"/>
    <w:rsid w:val="00A66AFF"/>
    <w:rsid w:val="00A67637"/>
    <w:rsid w:val="00A67A65"/>
    <w:rsid w:val="00A67A74"/>
    <w:rsid w:val="00A70263"/>
    <w:rsid w:val="00A7089A"/>
    <w:rsid w:val="00A70E27"/>
    <w:rsid w:val="00A71A30"/>
    <w:rsid w:val="00A729D9"/>
    <w:rsid w:val="00A737EC"/>
    <w:rsid w:val="00A73BB7"/>
    <w:rsid w:val="00A7405D"/>
    <w:rsid w:val="00A741A6"/>
    <w:rsid w:val="00A74590"/>
    <w:rsid w:val="00A74BF2"/>
    <w:rsid w:val="00A74F77"/>
    <w:rsid w:val="00A75553"/>
    <w:rsid w:val="00A75B9E"/>
    <w:rsid w:val="00A7657D"/>
    <w:rsid w:val="00A7674B"/>
    <w:rsid w:val="00A76830"/>
    <w:rsid w:val="00A77582"/>
    <w:rsid w:val="00A77BB1"/>
    <w:rsid w:val="00A77C7F"/>
    <w:rsid w:val="00A80144"/>
    <w:rsid w:val="00A804FD"/>
    <w:rsid w:val="00A81294"/>
    <w:rsid w:val="00A812D6"/>
    <w:rsid w:val="00A8183B"/>
    <w:rsid w:val="00A81DC3"/>
    <w:rsid w:val="00A826F8"/>
    <w:rsid w:val="00A82E35"/>
    <w:rsid w:val="00A8323E"/>
    <w:rsid w:val="00A836DF"/>
    <w:rsid w:val="00A836F4"/>
    <w:rsid w:val="00A841C2"/>
    <w:rsid w:val="00A842AD"/>
    <w:rsid w:val="00A85732"/>
    <w:rsid w:val="00A8782F"/>
    <w:rsid w:val="00A9129E"/>
    <w:rsid w:val="00A91AEA"/>
    <w:rsid w:val="00A9215E"/>
    <w:rsid w:val="00A9256F"/>
    <w:rsid w:val="00A927FA"/>
    <w:rsid w:val="00A93365"/>
    <w:rsid w:val="00A93B87"/>
    <w:rsid w:val="00A95E2B"/>
    <w:rsid w:val="00A95E91"/>
    <w:rsid w:val="00A96208"/>
    <w:rsid w:val="00A96840"/>
    <w:rsid w:val="00A9698E"/>
    <w:rsid w:val="00A96C4C"/>
    <w:rsid w:val="00A9735C"/>
    <w:rsid w:val="00AA018D"/>
    <w:rsid w:val="00AA03DC"/>
    <w:rsid w:val="00AA2CF5"/>
    <w:rsid w:val="00AA6462"/>
    <w:rsid w:val="00AA6531"/>
    <w:rsid w:val="00AA668A"/>
    <w:rsid w:val="00AB0A5C"/>
    <w:rsid w:val="00AB1491"/>
    <w:rsid w:val="00AB25FF"/>
    <w:rsid w:val="00AB32E4"/>
    <w:rsid w:val="00AB3631"/>
    <w:rsid w:val="00AB41EA"/>
    <w:rsid w:val="00AB4339"/>
    <w:rsid w:val="00AB45D0"/>
    <w:rsid w:val="00AB54A0"/>
    <w:rsid w:val="00AB60A2"/>
    <w:rsid w:val="00AB6A3A"/>
    <w:rsid w:val="00AB6DF6"/>
    <w:rsid w:val="00AB6E63"/>
    <w:rsid w:val="00AB6FD3"/>
    <w:rsid w:val="00AB77AA"/>
    <w:rsid w:val="00AC07C1"/>
    <w:rsid w:val="00AC1A51"/>
    <w:rsid w:val="00AC1B61"/>
    <w:rsid w:val="00AC1FD4"/>
    <w:rsid w:val="00AC27E7"/>
    <w:rsid w:val="00AC2B5D"/>
    <w:rsid w:val="00AC2D01"/>
    <w:rsid w:val="00AC34E1"/>
    <w:rsid w:val="00AC357D"/>
    <w:rsid w:val="00AC3CF4"/>
    <w:rsid w:val="00AC4499"/>
    <w:rsid w:val="00AC5E76"/>
    <w:rsid w:val="00AC6088"/>
    <w:rsid w:val="00AC613C"/>
    <w:rsid w:val="00AC6F1C"/>
    <w:rsid w:val="00AC7C52"/>
    <w:rsid w:val="00AD0709"/>
    <w:rsid w:val="00AD10C3"/>
    <w:rsid w:val="00AD23F8"/>
    <w:rsid w:val="00AD2926"/>
    <w:rsid w:val="00AD35AF"/>
    <w:rsid w:val="00AD35F4"/>
    <w:rsid w:val="00AD378B"/>
    <w:rsid w:val="00AD3D84"/>
    <w:rsid w:val="00AD49D8"/>
    <w:rsid w:val="00AD4CB2"/>
    <w:rsid w:val="00AD5074"/>
    <w:rsid w:val="00AD571F"/>
    <w:rsid w:val="00AD5761"/>
    <w:rsid w:val="00AD5788"/>
    <w:rsid w:val="00AD5D0D"/>
    <w:rsid w:val="00AD6A10"/>
    <w:rsid w:val="00AD6E34"/>
    <w:rsid w:val="00AD73F0"/>
    <w:rsid w:val="00AE0A52"/>
    <w:rsid w:val="00AE1ED1"/>
    <w:rsid w:val="00AE2487"/>
    <w:rsid w:val="00AE2766"/>
    <w:rsid w:val="00AE3091"/>
    <w:rsid w:val="00AE334D"/>
    <w:rsid w:val="00AE5771"/>
    <w:rsid w:val="00AE655C"/>
    <w:rsid w:val="00AE77DD"/>
    <w:rsid w:val="00AE7A96"/>
    <w:rsid w:val="00AF099C"/>
    <w:rsid w:val="00AF29F2"/>
    <w:rsid w:val="00AF2FB0"/>
    <w:rsid w:val="00AF3471"/>
    <w:rsid w:val="00AF3B3D"/>
    <w:rsid w:val="00AF40B8"/>
    <w:rsid w:val="00AF4936"/>
    <w:rsid w:val="00AF5827"/>
    <w:rsid w:val="00AF6A13"/>
    <w:rsid w:val="00AF7048"/>
    <w:rsid w:val="00AF7FF3"/>
    <w:rsid w:val="00B0045D"/>
    <w:rsid w:val="00B01549"/>
    <w:rsid w:val="00B01B37"/>
    <w:rsid w:val="00B02E76"/>
    <w:rsid w:val="00B0340D"/>
    <w:rsid w:val="00B044E2"/>
    <w:rsid w:val="00B0498F"/>
    <w:rsid w:val="00B0518A"/>
    <w:rsid w:val="00B05DE9"/>
    <w:rsid w:val="00B067A8"/>
    <w:rsid w:val="00B10262"/>
    <w:rsid w:val="00B10297"/>
    <w:rsid w:val="00B103E4"/>
    <w:rsid w:val="00B105FC"/>
    <w:rsid w:val="00B10B1E"/>
    <w:rsid w:val="00B10E48"/>
    <w:rsid w:val="00B110F0"/>
    <w:rsid w:val="00B11351"/>
    <w:rsid w:val="00B11606"/>
    <w:rsid w:val="00B11CB3"/>
    <w:rsid w:val="00B126F7"/>
    <w:rsid w:val="00B12F25"/>
    <w:rsid w:val="00B143AF"/>
    <w:rsid w:val="00B14404"/>
    <w:rsid w:val="00B14B33"/>
    <w:rsid w:val="00B14CB5"/>
    <w:rsid w:val="00B16B36"/>
    <w:rsid w:val="00B16CE4"/>
    <w:rsid w:val="00B17367"/>
    <w:rsid w:val="00B1767D"/>
    <w:rsid w:val="00B178A3"/>
    <w:rsid w:val="00B17E61"/>
    <w:rsid w:val="00B2023F"/>
    <w:rsid w:val="00B20A44"/>
    <w:rsid w:val="00B20DC8"/>
    <w:rsid w:val="00B2141D"/>
    <w:rsid w:val="00B2158A"/>
    <w:rsid w:val="00B21EE7"/>
    <w:rsid w:val="00B228E3"/>
    <w:rsid w:val="00B22C27"/>
    <w:rsid w:val="00B22F05"/>
    <w:rsid w:val="00B23FE7"/>
    <w:rsid w:val="00B24D39"/>
    <w:rsid w:val="00B25278"/>
    <w:rsid w:val="00B25FE3"/>
    <w:rsid w:val="00B26E17"/>
    <w:rsid w:val="00B275AA"/>
    <w:rsid w:val="00B30ADB"/>
    <w:rsid w:val="00B30C04"/>
    <w:rsid w:val="00B313A4"/>
    <w:rsid w:val="00B314FE"/>
    <w:rsid w:val="00B319CA"/>
    <w:rsid w:val="00B31CB0"/>
    <w:rsid w:val="00B31F82"/>
    <w:rsid w:val="00B3222F"/>
    <w:rsid w:val="00B32DC7"/>
    <w:rsid w:val="00B32F07"/>
    <w:rsid w:val="00B3343A"/>
    <w:rsid w:val="00B33A14"/>
    <w:rsid w:val="00B33A22"/>
    <w:rsid w:val="00B342E4"/>
    <w:rsid w:val="00B3627A"/>
    <w:rsid w:val="00B37338"/>
    <w:rsid w:val="00B40178"/>
    <w:rsid w:val="00B40599"/>
    <w:rsid w:val="00B4075B"/>
    <w:rsid w:val="00B430C8"/>
    <w:rsid w:val="00B43711"/>
    <w:rsid w:val="00B440EF"/>
    <w:rsid w:val="00B44428"/>
    <w:rsid w:val="00B45219"/>
    <w:rsid w:val="00B463A9"/>
    <w:rsid w:val="00B465C1"/>
    <w:rsid w:val="00B4690A"/>
    <w:rsid w:val="00B46D60"/>
    <w:rsid w:val="00B474E4"/>
    <w:rsid w:val="00B475E3"/>
    <w:rsid w:val="00B508B3"/>
    <w:rsid w:val="00B51336"/>
    <w:rsid w:val="00B51FC6"/>
    <w:rsid w:val="00B5235D"/>
    <w:rsid w:val="00B52FE2"/>
    <w:rsid w:val="00B53459"/>
    <w:rsid w:val="00B537B5"/>
    <w:rsid w:val="00B53A0F"/>
    <w:rsid w:val="00B540E5"/>
    <w:rsid w:val="00B55009"/>
    <w:rsid w:val="00B5665D"/>
    <w:rsid w:val="00B56A18"/>
    <w:rsid w:val="00B56BDF"/>
    <w:rsid w:val="00B56FDC"/>
    <w:rsid w:val="00B61B6A"/>
    <w:rsid w:val="00B62095"/>
    <w:rsid w:val="00B633C5"/>
    <w:rsid w:val="00B635AB"/>
    <w:rsid w:val="00B63DCC"/>
    <w:rsid w:val="00B64227"/>
    <w:rsid w:val="00B6486A"/>
    <w:rsid w:val="00B64D80"/>
    <w:rsid w:val="00B67CF2"/>
    <w:rsid w:val="00B67D69"/>
    <w:rsid w:val="00B70071"/>
    <w:rsid w:val="00B70B9C"/>
    <w:rsid w:val="00B719E1"/>
    <w:rsid w:val="00B71C0F"/>
    <w:rsid w:val="00B7249F"/>
    <w:rsid w:val="00B72D20"/>
    <w:rsid w:val="00B72E6E"/>
    <w:rsid w:val="00B74FE8"/>
    <w:rsid w:val="00B75A17"/>
    <w:rsid w:val="00B75DB0"/>
    <w:rsid w:val="00B76232"/>
    <w:rsid w:val="00B762FF"/>
    <w:rsid w:val="00B76E10"/>
    <w:rsid w:val="00B82231"/>
    <w:rsid w:val="00B8224D"/>
    <w:rsid w:val="00B845F9"/>
    <w:rsid w:val="00B855BE"/>
    <w:rsid w:val="00B861C8"/>
    <w:rsid w:val="00B87233"/>
    <w:rsid w:val="00B87923"/>
    <w:rsid w:val="00B9046F"/>
    <w:rsid w:val="00B914F5"/>
    <w:rsid w:val="00B92530"/>
    <w:rsid w:val="00B9257A"/>
    <w:rsid w:val="00B92C9C"/>
    <w:rsid w:val="00B92FB9"/>
    <w:rsid w:val="00B933A3"/>
    <w:rsid w:val="00B93723"/>
    <w:rsid w:val="00B938F8"/>
    <w:rsid w:val="00B951B5"/>
    <w:rsid w:val="00B95216"/>
    <w:rsid w:val="00B96586"/>
    <w:rsid w:val="00B97087"/>
    <w:rsid w:val="00B97929"/>
    <w:rsid w:val="00B97A61"/>
    <w:rsid w:val="00B97B0E"/>
    <w:rsid w:val="00B97E25"/>
    <w:rsid w:val="00BA0198"/>
    <w:rsid w:val="00BA0441"/>
    <w:rsid w:val="00BA08AE"/>
    <w:rsid w:val="00BA2D82"/>
    <w:rsid w:val="00BA3318"/>
    <w:rsid w:val="00BA3625"/>
    <w:rsid w:val="00BA3910"/>
    <w:rsid w:val="00BA3AB1"/>
    <w:rsid w:val="00BA3B06"/>
    <w:rsid w:val="00BA4812"/>
    <w:rsid w:val="00BA4F81"/>
    <w:rsid w:val="00BA5321"/>
    <w:rsid w:val="00BA5A6A"/>
    <w:rsid w:val="00BA63CF"/>
    <w:rsid w:val="00BA6D92"/>
    <w:rsid w:val="00BA757F"/>
    <w:rsid w:val="00BA7C58"/>
    <w:rsid w:val="00BB0198"/>
    <w:rsid w:val="00BB04DC"/>
    <w:rsid w:val="00BB0C7B"/>
    <w:rsid w:val="00BB174E"/>
    <w:rsid w:val="00BB1BD9"/>
    <w:rsid w:val="00BB3016"/>
    <w:rsid w:val="00BB31B7"/>
    <w:rsid w:val="00BB34B9"/>
    <w:rsid w:val="00BB410E"/>
    <w:rsid w:val="00BB41A8"/>
    <w:rsid w:val="00BB5CC8"/>
    <w:rsid w:val="00BB6EAB"/>
    <w:rsid w:val="00BB751D"/>
    <w:rsid w:val="00BB7F36"/>
    <w:rsid w:val="00BC1460"/>
    <w:rsid w:val="00BC22F9"/>
    <w:rsid w:val="00BC2B75"/>
    <w:rsid w:val="00BC38EA"/>
    <w:rsid w:val="00BC4480"/>
    <w:rsid w:val="00BC4930"/>
    <w:rsid w:val="00BC56A8"/>
    <w:rsid w:val="00BC7062"/>
    <w:rsid w:val="00BD088B"/>
    <w:rsid w:val="00BD19BA"/>
    <w:rsid w:val="00BD1D28"/>
    <w:rsid w:val="00BD1F5F"/>
    <w:rsid w:val="00BD230C"/>
    <w:rsid w:val="00BD293E"/>
    <w:rsid w:val="00BD33F8"/>
    <w:rsid w:val="00BD3CB2"/>
    <w:rsid w:val="00BD4426"/>
    <w:rsid w:val="00BD4447"/>
    <w:rsid w:val="00BD5CAE"/>
    <w:rsid w:val="00BD633E"/>
    <w:rsid w:val="00BD702E"/>
    <w:rsid w:val="00BD757E"/>
    <w:rsid w:val="00BD7815"/>
    <w:rsid w:val="00BE0231"/>
    <w:rsid w:val="00BE0669"/>
    <w:rsid w:val="00BE1526"/>
    <w:rsid w:val="00BE1DD3"/>
    <w:rsid w:val="00BE267C"/>
    <w:rsid w:val="00BE2BC0"/>
    <w:rsid w:val="00BE6B9C"/>
    <w:rsid w:val="00BE6EC3"/>
    <w:rsid w:val="00BE72D3"/>
    <w:rsid w:val="00BF14E2"/>
    <w:rsid w:val="00BF30F9"/>
    <w:rsid w:val="00BF42EC"/>
    <w:rsid w:val="00BF44B4"/>
    <w:rsid w:val="00BF4DCD"/>
    <w:rsid w:val="00BF5A28"/>
    <w:rsid w:val="00BF5CF4"/>
    <w:rsid w:val="00BF7EFE"/>
    <w:rsid w:val="00BF7F55"/>
    <w:rsid w:val="00BF7FAE"/>
    <w:rsid w:val="00C0023E"/>
    <w:rsid w:val="00C00612"/>
    <w:rsid w:val="00C00E6C"/>
    <w:rsid w:val="00C01332"/>
    <w:rsid w:val="00C01C4A"/>
    <w:rsid w:val="00C01CFB"/>
    <w:rsid w:val="00C02F9A"/>
    <w:rsid w:val="00C03298"/>
    <w:rsid w:val="00C034AE"/>
    <w:rsid w:val="00C0369D"/>
    <w:rsid w:val="00C03B38"/>
    <w:rsid w:val="00C04454"/>
    <w:rsid w:val="00C05085"/>
    <w:rsid w:val="00C06F37"/>
    <w:rsid w:val="00C07181"/>
    <w:rsid w:val="00C07798"/>
    <w:rsid w:val="00C07BCA"/>
    <w:rsid w:val="00C11716"/>
    <w:rsid w:val="00C11C36"/>
    <w:rsid w:val="00C1292F"/>
    <w:rsid w:val="00C138B5"/>
    <w:rsid w:val="00C140D0"/>
    <w:rsid w:val="00C14178"/>
    <w:rsid w:val="00C15C6E"/>
    <w:rsid w:val="00C15D40"/>
    <w:rsid w:val="00C16E39"/>
    <w:rsid w:val="00C17335"/>
    <w:rsid w:val="00C17D53"/>
    <w:rsid w:val="00C205AB"/>
    <w:rsid w:val="00C21246"/>
    <w:rsid w:val="00C2135A"/>
    <w:rsid w:val="00C214A2"/>
    <w:rsid w:val="00C216E5"/>
    <w:rsid w:val="00C2225B"/>
    <w:rsid w:val="00C2525A"/>
    <w:rsid w:val="00C252A1"/>
    <w:rsid w:val="00C25EF1"/>
    <w:rsid w:val="00C26C9C"/>
    <w:rsid w:val="00C27E8F"/>
    <w:rsid w:val="00C27EDF"/>
    <w:rsid w:val="00C30D6C"/>
    <w:rsid w:val="00C316DA"/>
    <w:rsid w:val="00C317F4"/>
    <w:rsid w:val="00C32E2E"/>
    <w:rsid w:val="00C336A4"/>
    <w:rsid w:val="00C33744"/>
    <w:rsid w:val="00C33A2A"/>
    <w:rsid w:val="00C34C1E"/>
    <w:rsid w:val="00C34F0A"/>
    <w:rsid w:val="00C35FA2"/>
    <w:rsid w:val="00C36345"/>
    <w:rsid w:val="00C370BA"/>
    <w:rsid w:val="00C41B7A"/>
    <w:rsid w:val="00C42152"/>
    <w:rsid w:val="00C4250C"/>
    <w:rsid w:val="00C42F29"/>
    <w:rsid w:val="00C440C2"/>
    <w:rsid w:val="00C4465F"/>
    <w:rsid w:val="00C447DD"/>
    <w:rsid w:val="00C4503C"/>
    <w:rsid w:val="00C45701"/>
    <w:rsid w:val="00C46D4F"/>
    <w:rsid w:val="00C47548"/>
    <w:rsid w:val="00C50CCA"/>
    <w:rsid w:val="00C51005"/>
    <w:rsid w:val="00C519CA"/>
    <w:rsid w:val="00C522D3"/>
    <w:rsid w:val="00C52A5E"/>
    <w:rsid w:val="00C52AE7"/>
    <w:rsid w:val="00C53D82"/>
    <w:rsid w:val="00C53E49"/>
    <w:rsid w:val="00C5459C"/>
    <w:rsid w:val="00C5539F"/>
    <w:rsid w:val="00C558CE"/>
    <w:rsid w:val="00C56F43"/>
    <w:rsid w:val="00C5711C"/>
    <w:rsid w:val="00C5735C"/>
    <w:rsid w:val="00C57C81"/>
    <w:rsid w:val="00C60029"/>
    <w:rsid w:val="00C6002D"/>
    <w:rsid w:val="00C603A3"/>
    <w:rsid w:val="00C604AE"/>
    <w:rsid w:val="00C60BE1"/>
    <w:rsid w:val="00C61217"/>
    <w:rsid w:val="00C61290"/>
    <w:rsid w:val="00C626C5"/>
    <w:rsid w:val="00C627FC"/>
    <w:rsid w:val="00C62C3A"/>
    <w:rsid w:val="00C62F2A"/>
    <w:rsid w:val="00C635E5"/>
    <w:rsid w:val="00C63DCC"/>
    <w:rsid w:val="00C647C3"/>
    <w:rsid w:val="00C65304"/>
    <w:rsid w:val="00C65C5E"/>
    <w:rsid w:val="00C65CE6"/>
    <w:rsid w:val="00C66404"/>
    <w:rsid w:val="00C66495"/>
    <w:rsid w:val="00C666B2"/>
    <w:rsid w:val="00C7005E"/>
    <w:rsid w:val="00C70C27"/>
    <w:rsid w:val="00C70CAF"/>
    <w:rsid w:val="00C7161D"/>
    <w:rsid w:val="00C723B8"/>
    <w:rsid w:val="00C72645"/>
    <w:rsid w:val="00C7272D"/>
    <w:rsid w:val="00C727CB"/>
    <w:rsid w:val="00C74CE7"/>
    <w:rsid w:val="00C75A04"/>
    <w:rsid w:val="00C75EFD"/>
    <w:rsid w:val="00C76061"/>
    <w:rsid w:val="00C762C5"/>
    <w:rsid w:val="00C77040"/>
    <w:rsid w:val="00C772EF"/>
    <w:rsid w:val="00C77A1A"/>
    <w:rsid w:val="00C80E29"/>
    <w:rsid w:val="00C810A9"/>
    <w:rsid w:val="00C81439"/>
    <w:rsid w:val="00C81C27"/>
    <w:rsid w:val="00C83742"/>
    <w:rsid w:val="00C83C05"/>
    <w:rsid w:val="00C84B95"/>
    <w:rsid w:val="00C86833"/>
    <w:rsid w:val="00C90815"/>
    <w:rsid w:val="00C90C73"/>
    <w:rsid w:val="00C910EF"/>
    <w:rsid w:val="00C91231"/>
    <w:rsid w:val="00C9169F"/>
    <w:rsid w:val="00C92146"/>
    <w:rsid w:val="00C93234"/>
    <w:rsid w:val="00C94ED0"/>
    <w:rsid w:val="00C9568F"/>
    <w:rsid w:val="00C9615C"/>
    <w:rsid w:val="00C971B0"/>
    <w:rsid w:val="00C97573"/>
    <w:rsid w:val="00C97E85"/>
    <w:rsid w:val="00CA03F9"/>
    <w:rsid w:val="00CA0633"/>
    <w:rsid w:val="00CA09AF"/>
    <w:rsid w:val="00CA3A71"/>
    <w:rsid w:val="00CA3AF2"/>
    <w:rsid w:val="00CA4732"/>
    <w:rsid w:val="00CA4E37"/>
    <w:rsid w:val="00CA58B1"/>
    <w:rsid w:val="00CA59F5"/>
    <w:rsid w:val="00CA6145"/>
    <w:rsid w:val="00CA6AC8"/>
    <w:rsid w:val="00CA76D2"/>
    <w:rsid w:val="00CA7A9F"/>
    <w:rsid w:val="00CA7AA8"/>
    <w:rsid w:val="00CA7FB6"/>
    <w:rsid w:val="00CB0440"/>
    <w:rsid w:val="00CB09AB"/>
    <w:rsid w:val="00CB151D"/>
    <w:rsid w:val="00CB17EE"/>
    <w:rsid w:val="00CB1D81"/>
    <w:rsid w:val="00CB23A3"/>
    <w:rsid w:val="00CB23FA"/>
    <w:rsid w:val="00CB2BD4"/>
    <w:rsid w:val="00CB2E3C"/>
    <w:rsid w:val="00CB319C"/>
    <w:rsid w:val="00CB41D5"/>
    <w:rsid w:val="00CB4296"/>
    <w:rsid w:val="00CB4361"/>
    <w:rsid w:val="00CB5B77"/>
    <w:rsid w:val="00CB6A6E"/>
    <w:rsid w:val="00CB6FCA"/>
    <w:rsid w:val="00CB7A88"/>
    <w:rsid w:val="00CC22D1"/>
    <w:rsid w:val="00CC2685"/>
    <w:rsid w:val="00CC28D0"/>
    <w:rsid w:val="00CC2FD1"/>
    <w:rsid w:val="00CC33BF"/>
    <w:rsid w:val="00CC3950"/>
    <w:rsid w:val="00CC3F45"/>
    <w:rsid w:val="00CC3F49"/>
    <w:rsid w:val="00CC52AB"/>
    <w:rsid w:val="00CC5651"/>
    <w:rsid w:val="00CC5984"/>
    <w:rsid w:val="00CC5F50"/>
    <w:rsid w:val="00CC624E"/>
    <w:rsid w:val="00CC6993"/>
    <w:rsid w:val="00CC6D65"/>
    <w:rsid w:val="00CD13CB"/>
    <w:rsid w:val="00CD290F"/>
    <w:rsid w:val="00CD2CA3"/>
    <w:rsid w:val="00CD322E"/>
    <w:rsid w:val="00CD3578"/>
    <w:rsid w:val="00CD3640"/>
    <w:rsid w:val="00CD37EE"/>
    <w:rsid w:val="00CD38A4"/>
    <w:rsid w:val="00CD3D05"/>
    <w:rsid w:val="00CD43EC"/>
    <w:rsid w:val="00CD4BCC"/>
    <w:rsid w:val="00CD5368"/>
    <w:rsid w:val="00CD6DC5"/>
    <w:rsid w:val="00CE028F"/>
    <w:rsid w:val="00CE044E"/>
    <w:rsid w:val="00CE0938"/>
    <w:rsid w:val="00CE0987"/>
    <w:rsid w:val="00CE140F"/>
    <w:rsid w:val="00CE22AE"/>
    <w:rsid w:val="00CE26B4"/>
    <w:rsid w:val="00CE2E82"/>
    <w:rsid w:val="00CE35CC"/>
    <w:rsid w:val="00CE36C7"/>
    <w:rsid w:val="00CE381C"/>
    <w:rsid w:val="00CE42C6"/>
    <w:rsid w:val="00CE5B85"/>
    <w:rsid w:val="00CE5B8E"/>
    <w:rsid w:val="00CE5D67"/>
    <w:rsid w:val="00CE6527"/>
    <w:rsid w:val="00CE65FB"/>
    <w:rsid w:val="00CE6BB0"/>
    <w:rsid w:val="00CE735C"/>
    <w:rsid w:val="00CF0614"/>
    <w:rsid w:val="00CF0D0E"/>
    <w:rsid w:val="00CF20D5"/>
    <w:rsid w:val="00CF26C8"/>
    <w:rsid w:val="00CF293B"/>
    <w:rsid w:val="00CF2AE5"/>
    <w:rsid w:val="00CF356B"/>
    <w:rsid w:val="00CF49CC"/>
    <w:rsid w:val="00CF4A86"/>
    <w:rsid w:val="00CF4C3B"/>
    <w:rsid w:val="00CF678E"/>
    <w:rsid w:val="00CF6FD6"/>
    <w:rsid w:val="00CF70BD"/>
    <w:rsid w:val="00CF73BD"/>
    <w:rsid w:val="00CF7570"/>
    <w:rsid w:val="00CF7B39"/>
    <w:rsid w:val="00D010A1"/>
    <w:rsid w:val="00D010BB"/>
    <w:rsid w:val="00D01BF9"/>
    <w:rsid w:val="00D020F2"/>
    <w:rsid w:val="00D02A2C"/>
    <w:rsid w:val="00D02F4A"/>
    <w:rsid w:val="00D04742"/>
    <w:rsid w:val="00D05185"/>
    <w:rsid w:val="00D0574E"/>
    <w:rsid w:val="00D06461"/>
    <w:rsid w:val="00D075DF"/>
    <w:rsid w:val="00D07C47"/>
    <w:rsid w:val="00D10386"/>
    <w:rsid w:val="00D10528"/>
    <w:rsid w:val="00D1059F"/>
    <w:rsid w:val="00D1062E"/>
    <w:rsid w:val="00D106AC"/>
    <w:rsid w:val="00D10783"/>
    <w:rsid w:val="00D121FD"/>
    <w:rsid w:val="00D12B65"/>
    <w:rsid w:val="00D12F1B"/>
    <w:rsid w:val="00D131E3"/>
    <w:rsid w:val="00D14675"/>
    <w:rsid w:val="00D14945"/>
    <w:rsid w:val="00D14FA1"/>
    <w:rsid w:val="00D151FA"/>
    <w:rsid w:val="00D16ABC"/>
    <w:rsid w:val="00D17245"/>
    <w:rsid w:val="00D1736C"/>
    <w:rsid w:val="00D17515"/>
    <w:rsid w:val="00D1768F"/>
    <w:rsid w:val="00D178CE"/>
    <w:rsid w:val="00D202A2"/>
    <w:rsid w:val="00D203CC"/>
    <w:rsid w:val="00D20ABC"/>
    <w:rsid w:val="00D211BC"/>
    <w:rsid w:val="00D2128E"/>
    <w:rsid w:val="00D21B2E"/>
    <w:rsid w:val="00D225DC"/>
    <w:rsid w:val="00D2297E"/>
    <w:rsid w:val="00D229EA"/>
    <w:rsid w:val="00D23503"/>
    <w:rsid w:val="00D23778"/>
    <w:rsid w:val="00D24298"/>
    <w:rsid w:val="00D24489"/>
    <w:rsid w:val="00D245E7"/>
    <w:rsid w:val="00D25A45"/>
    <w:rsid w:val="00D25AA3"/>
    <w:rsid w:val="00D260B8"/>
    <w:rsid w:val="00D2672D"/>
    <w:rsid w:val="00D269DB"/>
    <w:rsid w:val="00D27B77"/>
    <w:rsid w:val="00D27FF4"/>
    <w:rsid w:val="00D30266"/>
    <w:rsid w:val="00D30A9C"/>
    <w:rsid w:val="00D30D89"/>
    <w:rsid w:val="00D30DF3"/>
    <w:rsid w:val="00D30FC0"/>
    <w:rsid w:val="00D313CD"/>
    <w:rsid w:val="00D31EDD"/>
    <w:rsid w:val="00D32159"/>
    <w:rsid w:val="00D32514"/>
    <w:rsid w:val="00D326B4"/>
    <w:rsid w:val="00D332A7"/>
    <w:rsid w:val="00D33528"/>
    <w:rsid w:val="00D33AF5"/>
    <w:rsid w:val="00D33F7A"/>
    <w:rsid w:val="00D353DF"/>
    <w:rsid w:val="00D355E8"/>
    <w:rsid w:val="00D356A9"/>
    <w:rsid w:val="00D35B4B"/>
    <w:rsid w:val="00D35E28"/>
    <w:rsid w:val="00D36B98"/>
    <w:rsid w:val="00D407BF"/>
    <w:rsid w:val="00D40DBD"/>
    <w:rsid w:val="00D421F7"/>
    <w:rsid w:val="00D42282"/>
    <w:rsid w:val="00D4288C"/>
    <w:rsid w:val="00D4354A"/>
    <w:rsid w:val="00D43818"/>
    <w:rsid w:val="00D444FD"/>
    <w:rsid w:val="00D449A6"/>
    <w:rsid w:val="00D44D77"/>
    <w:rsid w:val="00D44E3F"/>
    <w:rsid w:val="00D45A56"/>
    <w:rsid w:val="00D46D5F"/>
    <w:rsid w:val="00D46FD5"/>
    <w:rsid w:val="00D47030"/>
    <w:rsid w:val="00D51155"/>
    <w:rsid w:val="00D514CA"/>
    <w:rsid w:val="00D51B87"/>
    <w:rsid w:val="00D544C8"/>
    <w:rsid w:val="00D545C5"/>
    <w:rsid w:val="00D55AD0"/>
    <w:rsid w:val="00D5602D"/>
    <w:rsid w:val="00D5628B"/>
    <w:rsid w:val="00D56818"/>
    <w:rsid w:val="00D56C6E"/>
    <w:rsid w:val="00D57482"/>
    <w:rsid w:val="00D574DE"/>
    <w:rsid w:val="00D57BD5"/>
    <w:rsid w:val="00D610A3"/>
    <w:rsid w:val="00D61183"/>
    <w:rsid w:val="00D611FC"/>
    <w:rsid w:val="00D6155D"/>
    <w:rsid w:val="00D619BB"/>
    <w:rsid w:val="00D62005"/>
    <w:rsid w:val="00D62256"/>
    <w:rsid w:val="00D628FA"/>
    <w:rsid w:val="00D62EDF"/>
    <w:rsid w:val="00D630F7"/>
    <w:rsid w:val="00D637D2"/>
    <w:rsid w:val="00D646CB"/>
    <w:rsid w:val="00D65F8A"/>
    <w:rsid w:val="00D664BA"/>
    <w:rsid w:val="00D66DF3"/>
    <w:rsid w:val="00D6704B"/>
    <w:rsid w:val="00D672B6"/>
    <w:rsid w:val="00D672FC"/>
    <w:rsid w:val="00D6796A"/>
    <w:rsid w:val="00D71A43"/>
    <w:rsid w:val="00D72D56"/>
    <w:rsid w:val="00D742F5"/>
    <w:rsid w:val="00D75D40"/>
    <w:rsid w:val="00D76155"/>
    <w:rsid w:val="00D7637F"/>
    <w:rsid w:val="00D7742C"/>
    <w:rsid w:val="00D77FFD"/>
    <w:rsid w:val="00D804EF"/>
    <w:rsid w:val="00D80CB7"/>
    <w:rsid w:val="00D80F15"/>
    <w:rsid w:val="00D81DFE"/>
    <w:rsid w:val="00D8295F"/>
    <w:rsid w:val="00D8369D"/>
    <w:rsid w:val="00D83AC8"/>
    <w:rsid w:val="00D83FEE"/>
    <w:rsid w:val="00D84F6B"/>
    <w:rsid w:val="00D867E5"/>
    <w:rsid w:val="00D86A3A"/>
    <w:rsid w:val="00D8741A"/>
    <w:rsid w:val="00D90175"/>
    <w:rsid w:val="00D90E6C"/>
    <w:rsid w:val="00D90F13"/>
    <w:rsid w:val="00D917E7"/>
    <w:rsid w:val="00D91E2B"/>
    <w:rsid w:val="00D92BDD"/>
    <w:rsid w:val="00D933FC"/>
    <w:rsid w:val="00D93FBD"/>
    <w:rsid w:val="00D94C08"/>
    <w:rsid w:val="00D9523A"/>
    <w:rsid w:val="00D95EC0"/>
    <w:rsid w:val="00D96507"/>
    <w:rsid w:val="00D974E2"/>
    <w:rsid w:val="00D978FD"/>
    <w:rsid w:val="00D97A9F"/>
    <w:rsid w:val="00D97EB4"/>
    <w:rsid w:val="00DA04C4"/>
    <w:rsid w:val="00DA0E51"/>
    <w:rsid w:val="00DA1596"/>
    <w:rsid w:val="00DA20A8"/>
    <w:rsid w:val="00DA2CD2"/>
    <w:rsid w:val="00DA3B58"/>
    <w:rsid w:val="00DA40F9"/>
    <w:rsid w:val="00DA4268"/>
    <w:rsid w:val="00DA6BEF"/>
    <w:rsid w:val="00DA6D14"/>
    <w:rsid w:val="00DB091D"/>
    <w:rsid w:val="00DB0C34"/>
    <w:rsid w:val="00DB311D"/>
    <w:rsid w:val="00DB38C8"/>
    <w:rsid w:val="00DB64AA"/>
    <w:rsid w:val="00DB65DE"/>
    <w:rsid w:val="00DB67EB"/>
    <w:rsid w:val="00DB6C61"/>
    <w:rsid w:val="00DB775A"/>
    <w:rsid w:val="00DB77EE"/>
    <w:rsid w:val="00DB7D12"/>
    <w:rsid w:val="00DB7E4A"/>
    <w:rsid w:val="00DC158F"/>
    <w:rsid w:val="00DC16D5"/>
    <w:rsid w:val="00DC3A37"/>
    <w:rsid w:val="00DC4808"/>
    <w:rsid w:val="00DC6404"/>
    <w:rsid w:val="00DC66EC"/>
    <w:rsid w:val="00DC7035"/>
    <w:rsid w:val="00DC7079"/>
    <w:rsid w:val="00DC7661"/>
    <w:rsid w:val="00DC76AA"/>
    <w:rsid w:val="00DC77A8"/>
    <w:rsid w:val="00DD12A0"/>
    <w:rsid w:val="00DD1925"/>
    <w:rsid w:val="00DD2C4B"/>
    <w:rsid w:val="00DD2CC0"/>
    <w:rsid w:val="00DD2DB4"/>
    <w:rsid w:val="00DD2DE8"/>
    <w:rsid w:val="00DD2E08"/>
    <w:rsid w:val="00DD3004"/>
    <w:rsid w:val="00DD6583"/>
    <w:rsid w:val="00DD669F"/>
    <w:rsid w:val="00DD6A3D"/>
    <w:rsid w:val="00DD6B9C"/>
    <w:rsid w:val="00DD6D33"/>
    <w:rsid w:val="00DD6DF5"/>
    <w:rsid w:val="00DD751E"/>
    <w:rsid w:val="00DE03DE"/>
    <w:rsid w:val="00DE08A9"/>
    <w:rsid w:val="00DE0BF5"/>
    <w:rsid w:val="00DE100C"/>
    <w:rsid w:val="00DE1034"/>
    <w:rsid w:val="00DE1E98"/>
    <w:rsid w:val="00DE33A3"/>
    <w:rsid w:val="00DE4328"/>
    <w:rsid w:val="00DE4342"/>
    <w:rsid w:val="00DE5315"/>
    <w:rsid w:val="00DE5F61"/>
    <w:rsid w:val="00DE63E0"/>
    <w:rsid w:val="00DE72F8"/>
    <w:rsid w:val="00DF08FE"/>
    <w:rsid w:val="00DF112E"/>
    <w:rsid w:val="00DF1287"/>
    <w:rsid w:val="00DF2CD1"/>
    <w:rsid w:val="00DF2E13"/>
    <w:rsid w:val="00DF3432"/>
    <w:rsid w:val="00DF3C54"/>
    <w:rsid w:val="00DF3F4D"/>
    <w:rsid w:val="00DF40F4"/>
    <w:rsid w:val="00DF46EC"/>
    <w:rsid w:val="00DF4A4C"/>
    <w:rsid w:val="00DF4B0E"/>
    <w:rsid w:val="00E00208"/>
    <w:rsid w:val="00E00338"/>
    <w:rsid w:val="00E004A2"/>
    <w:rsid w:val="00E026DF"/>
    <w:rsid w:val="00E028EF"/>
    <w:rsid w:val="00E02EDA"/>
    <w:rsid w:val="00E0311F"/>
    <w:rsid w:val="00E032A2"/>
    <w:rsid w:val="00E035A7"/>
    <w:rsid w:val="00E0365B"/>
    <w:rsid w:val="00E04533"/>
    <w:rsid w:val="00E057FF"/>
    <w:rsid w:val="00E06800"/>
    <w:rsid w:val="00E0681A"/>
    <w:rsid w:val="00E06AB8"/>
    <w:rsid w:val="00E0713B"/>
    <w:rsid w:val="00E07156"/>
    <w:rsid w:val="00E07D76"/>
    <w:rsid w:val="00E07EFE"/>
    <w:rsid w:val="00E103C5"/>
    <w:rsid w:val="00E105F2"/>
    <w:rsid w:val="00E109DC"/>
    <w:rsid w:val="00E11B1A"/>
    <w:rsid w:val="00E120DB"/>
    <w:rsid w:val="00E12AE7"/>
    <w:rsid w:val="00E1304E"/>
    <w:rsid w:val="00E132E9"/>
    <w:rsid w:val="00E1365A"/>
    <w:rsid w:val="00E137AE"/>
    <w:rsid w:val="00E146AC"/>
    <w:rsid w:val="00E15022"/>
    <w:rsid w:val="00E153AA"/>
    <w:rsid w:val="00E1602B"/>
    <w:rsid w:val="00E16031"/>
    <w:rsid w:val="00E17966"/>
    <w:rsid w:val="00E17E7D"/>
    <w:rsid w:val="00E2163B"/>
    <w:rsid w:val="00E22F94"/>
    <w:rsid w:val="00E232AC"/>
    <w:rsid w:val="00E2336A"/>
    <w:rsid w:val="00E241DD"/>
    <w:rsid w:val="00E253E6"/>
    <w:rsid w:val="00E255F4"/>
    <w:rsid w:val="00E25EA2"/>
    <w:rsid w:val="00E26B70"/>
    <w:rsid w:val="00E26DCC"/>
    <w:rsid w:val="00E270B6"/>
    <w:rsid w:val="00E2731D"/>
    <w:rsid w:val="00E27A06"/>
    <w:rsid w:val="00E3018E"/>
    <w:rsid w:val="00E304CC"/>
    <w:rsid w:val="00E30CFA"/>
    <w:rsid w:val="00E30D67"/>
    <w:rsid w:val="00E30DE0"/>
    <w:rsid w:val="00E31433"/>
    <w:rsid w:val="00E31A3B"/>
    <w:rsid w:val="00E33447"/>
    <w:rsid w:val="00E3379F"/>
    <w:rsid w:val="00E34CB8"/>
    <w:rsid w:val="00E353C4"/>
    <w:rsid w:val="00E35C04"/>
    <w:rsid w:val="00E35F2C"/>
    <w:rsid w:val="00E37AA7"/>
    <w:rsid w:val="00E37F3C"/>
    <w:rsid w:val="00E40994"/>
    <w:rsid w:val="00E40EC2"/>
    <w:rsid w:val="00E4109E"/>
    <w:rsid w:val="00E41182"/>
    <w:rsid w:val="00E41B4B"/>
    <w:rsid w:val="00E420A7"/>
    <w:rsid w:val="00E429D5"/>
    <w:rsid w:val="00E42B32"/>
    <w:rsid w:val="00E4512E"/>
    <w:rsid w:val="00E45A0A"/>
    <w:rsid w:val="00E46126"/>
    <w:rsid w:val="00E46390"/>
    <w:rsid w:val="00E46540"/>
    <w:rsid w:val="00E46E7A"/>
    <w:rsid w:val="00E474BE"/>
    <w:rsid w:val="00E50550"/>
    <w:rsid w:val="00E51246"/>
    <w:rsid w:val="00E514F2"/>
    <w:rsid w:val="00E52BEF"/>
    <w:rsid w:val="00E52C10"/>
    <w:rsid w:val="00E5391B"/>
    <w:rsid w:val="00E5455F"/>
    <w:rsid w:val="00E57511"/>
    <w:rsid w:val="00E578E7"/>
    <w:rsid w:val="00E57923"/>
    <w:rsid w:val="00E57B83"/>
    <w:rsid w:val="00E57EE9"/>
    <w:rsid w:val="00E60766"/>
    <w:rsid w:val="00E60932"/>
    <w:rsid w:val="00E6187D"/>
    <w:rsid w:val="00E62DEA"/>
    <w:rsid w:val="00E632F0"/>
    <w:rsid w:val="00E63677"/>
    <w:rsid w:val="00E64FAA"/>
    <w:rsid w:val="00E655FE"/>
    <w:rsid w:val="00E65B91"/>
    <w:rsid w:val="00E66AC1"/>
    <w:rsid w:val="00E66C2B"/>
    <w:rsid w:val="00E66CEF"/>
    <w:rsid w:val="00E6725A"/>
    <w:rsid w:val="00E67DA5"/>
    <w:rsid w:val="00E70216"/>
    <w:rsid w:val="00E70BCD"/>
    <w:rsid w:val="00E71346"/>
    <w:rsid w:val="00E71F43"/>
    <w:rsid w:val="00E7257E"/>
    <w:rsid w:val="00E72B12"/>
    <w:rsid w:val="00E733B6"/>
    <w:rsid w:val="00E741D1"/>
    <w:rsid w:val="00E74558"/>
    <w:rsid w:val="00E755F2"/>
    <w:rsid w:val="00E7670E"/>
    <w:rsid w:val="00E76873"/>
    <w:rsid w:val="00E76F68"/>
    <w:rsid w:val="00E76FF8"/>
    <w:rsid w:val="00E80D26"/>
    <w:rsid w:val="00E811A5"/>
    <w:rsid w:val="00E828EF"/>
    <w:rsid w:val="00E8359E"/>
    <w:rsid w:val="00E83742"/>
    <w:rsid w:val="00E83E44"/>
    <w:rsid w:val="00E85791"/>
    <w:rsid w:val="00E859D4"/>
    <w:rsid w:val="00E85D1C"/>
    <w:rsid w:val="00E86521"/>
    <w:rsid w:val="00E86FDC"/>
    <w:rsid w:val="00E87FAF"/>
    <w:rsid w:val="00E901D7"/>
    <w:rsid w:val="00E90393"/>
    <w:rsid w:val="00E904B5"/>
    <w:rsid w:val="00E93529"/>
    <w:rsid w:val="00E938B3"/>
    <w:rsid w:val="00E93D85"/>
    <w:rsid w:val="00E94DD3"/>
    <w:rsid w:val="00E94EB2"/>
    <w:rsid w:val="00E9519D"/>
    <w:rsid w:val="00E957FE"/>
    <w:rsid w:val="00E96329"/>
    <w:rsid w:val="00E96ABC"/>
    <w:rsid w:val="00E96AE2"/>
    <w:rsid w:val="00E97586"/>
    <w:rsid w:val="00EA002A"/>
    <w:rsid w:val="00EA0096"/>
    <w:rsid w:val="00EA07C3"/>
    <w:rsid w:val="00EA0EA4"/>
    <w:rsid w:val="00EA3CA6"/>
    <w:rsid w:val="00EA4620"/>
    <w:rsid w:val="00EA47B8"/>
    <w:rsid w:val="00EA54D7"/>
    <w:rsid w:val="00EA63D6"/>
    <w:rsid w:val="00EA66AA"/>
    <w:rsid w:val="00EA7992"/>
    <w:rsid w:val="00EB0529"/>
    <w:rsid w:val="00EB09D6"/>
    <w:rsid w:val="00EB1775"/>
    <w:rsid w:val="00EB2566"/>
    <w:rsid w:val="00EB2C6D"/>
    <w:rsid w:val="00EB2DBA"/>
    <w:rsid w:val="00EB35FF"/>
    <w:rsid w:val="00EB40F9"/>
    <w:rsid w:val="00EB477C"/>
    <w:rsid w:val="00EB4BA4"/>
    <w:rsid w:val="00EB4C54"/>
    <w:rsid w:val="00EC063C"/>
    <w:rsid w:val="00EC0CF1"/>
    <w:rsid w:val="00EC1202"/>
    <w:rsid w:val="00EC1FD3"/>
    <w:rsid w:val="00EC2712"/>
    <w:rsid w:val="00EC3155"/>
    <w:rsid w:val="00EC37BC"/>
    <w:rsid w:val="00EC3924"/>
    <w:rsid w:val="00EC3B16"/>
    <w:rsid w:val="00EC4138"/>
    <w:rsid w:val="00EC496B"/>
    <w:rsid w:val="00EC4B2E"/>
    <w:rsid w:val="00EC5455"/>
    <w:rsid w:val="00EC5EEE"/>
    <w:rsid w:val="00EC6BE4"/>
    <w:rsid w:val="00EC6D40"/>
    <w:rsid w:val="00EC7284"/>
    <w:rsid w:val="00EC7D70"/>
    <w:rsid w:val="00ED0869"/>
    <w:rsid w:val="00ED0F72"/>
    <w:rsid w:val="00ED10FF"/>
    <w:rsid w:val="00ED1C3D"/>
    <w:rsid w:val="00ED20DF"/>
    <w:rsid w:val="00ED2392"/>
    <w:rsid w:val="00ED25CF"/>
    <w:rsid w:val="00ED273C"/>
    <w:rsid w:val="00ED3159"/>
    <w:rsid w:val="00ED31F2"/>
    <w:rsid w:val="00ED3943"/>
    <w:rsid w:val="00ED4113"/>
    <w:rsid w:val="00ED4885"/>
    <w:rsid w:val="00ED4D79"/>
    <w:rsid w:val="00ED5AD4"/>
    <w:rsid w:val="00ED5EB5"/>
    <w:rsid w:val="00ED62E3"/>
    <w:rsid w:val="00ED6724"/>
    <w:rsid w:val="00ED6B60"/>
    <w:rsid w:val="00ED79A1"/>
    <w:rsid w:val="00ED7AA4"/>
    <w:rsid w:val="00ED7DD7"/>
    <w:rsid w:val="00EE030E"/>
    <w:rsid w:val="00EE1320"/>
    <w:rsid w:val="00EE19B1"/>
    <w:rsid w:val="00EE1C4B"/>
    <w:rsid w:val="00EE237C"/>
    <w:rsid w:val="00EE2ACD"/>
    <w:rsid w:val="00EE36C8"/>
    <w:rsid w:val="00EE3D03"/>
    <w:rsid w:val="00EE3EF1"/>
    <w:rsid w:val="00EE41BF"/>
    <w:rsid w:val="00EE4D73"/>
    <w:rsid w:val="00EE59DD"/>
    <w:rsid w:val="00EE5AB2"/>
    <w:rsid w:val="00EE69F2"/>
    <w:rsid w:val="00EE758F"/>
    <w:rsid w:val="00EE7B9C"/>
    <w:rsid w:val="00EF106F"/>
    <w:rsid w:val="00EF3277"/>
    <w:rsid w:val="00EF3AF1"/>
    <w:rsid w:val="00EF3F41"/>
    <w:rsid w:val="00EF691B"/>
    <w:rsid w:val="00EF6F03"/>
    <w:rsid w:val="00EF748E"/>
    <w:rsid w:val="00EF76E3"/>
    <w:rsid w:val="00F003A5"/>
    <w:rsid w:val="00F00CA7"/>
    <w:rsid w:val="00F00D1A"/>
    <w:rsid w:val="00F0239E"/>
    <w:rsid w:val="00F02489"/>
    <w:rsid w:val="00F024A0"/>
    <w:rsid w:val="00F03DD9"/>
    <w:rsid w:val="00F045F1"/>
    <w:rsid w:val="00F0640B"/>
    <w:rsid w:val="00F07209"/>
    <w:rsid w:val="00F0726E"/>
    <w:rsid w:val="00F0741D"/>
    <w:rsid w:val="00F07755"/>
    <w:rsid w:val="00F07DE1"/>
    <w:rsid w:val="00F1005C"/>
    <w:rsid w:val="00F106F4"/>
    <w:rsid w:val="00F11284"/>
    <w:rsid w:val="00F11D36"/>
    <w:rsid w:val="00F12F6D"/>
    <w:rsid w:val="00F133DF"/>
    <w:rsid w:val="00F139C1"/>
    <w:rsid w:val="00F1401B"/>
    <w:rsid w:val="00F15083"/>
    <w:rsid w:val="00F15695"/>
    <w:rsid w:val="00F16589"/>
    <w:rsid w:val="00F17A4E"/>
    <w:rsid w:val="00F17E1E"/>
    <w:rsid w:val="00F17EC7"/>
    <w:rsid w:val="00F2109A"/>
    <w:rsid w:val="00F2181E"/>
    <w:rsid w:val="00F21BAA"/>
    <w:rsid w:val="00F21F48"/>
    <w:rsid w:val="00F22577"/>
    <w:rsid w:val="00F2282A"/>
    <w:rsid w:val="00F22F46"/>
    <w:rsid w:val="00F22F90"/>
    <w:rsid w:val="00F239D8"/>
    <w:rsid w:val="00F24757"/>
    <w:rsid w:val="00F247AF"/>
    <w:rsid w:val="00F258EC"/>
    <w:rsid w:val="00F2605F"/>
    <w:rsid w:val="00F26590"/>
    <w:rsid w:val="00F26E82"/>
    <w:rsid w:val="00F309EC"/>
    <w:rsid w:val="00F31128"/>
    <w:rsid w:val="00F31D31"/>
    <w:rsid w:val="00F33BF3"/>
    <w:rsid w:val="00F34E66"/>
    <w:rsid w:val="00F35080"/>
    <w:rsid w:val="00F36EAA"/>
    <w:rsid w:val="00F37C4B"/>
    <w:rsid w:val="00F4017A"/>
    <w:rsid w:val="00F40242"/>
    <w:rsid w:val="00F411EB"/>
    <w:rsid w:val="00F415CD"/>
    <w:rsid w:val="00F41913"/>
    <w:rsid w:val="00F42562"/>
    <w:rsid w:val="00F43164"/>
    <w:rsid w:val="00F432BC"/>
    <w:rsid w:val="00F435E5"/>
    <w:rsid w:val="00F43801"/>
    <w:rsid w:val="00F4426B"/>
    <w:rsid w:val="00F44A83"/>
    <w:rsid w:val="00F45214"/>
    <w:rsid w:val="00F4546A"/>
    <w:rsid w:val="00F4610C"/>
    <w:rsid w:val="00F46137"/>
    <w:rsid w:val="00F46140"/>
    <w:rsid w:val="00F464E1"/>
    <w:rsid w:val="00F476D8"/>
    <w:rsid w:val="00F477C9"/>
    <w:rsid w:val="00F4794B"/>
    <w:rsid w:val="00F47A7D"/>
    <w:rsid w:val="00F50EF2"/>
    <w:rsid w:val="00F5101B"/>
    <w:rsid w:val="00F513B2"/>
    <w:rsid w:val="00F5173C"/>
    <w:rsid w:val="00F51BEC"/>
    <w:rsid w:val="00F52745"/>
    <w:rsid w:val="00F527B0"/>
    <w:rsid w:val="00F53B72"/>
    <w:rsid w:val="00F54226"/>
    <w:rsid w:val="00F543B4"/>
    <w:rsid w:val="00F549E3"/>
    <w:rsid w:val="00F54BBD"/>
    <w:rsid w:val="00F54F3C"/>
    <w:rsid w:val="00F54FFE"/>
    <w:rsid w:val="00F5563B"/>
    <w:rsid w:val="00F55F75"/>
    <w:rsid w:val="00F5658D"/>
    <w:rsid w:val="00F5686A"/>
    <w:rsid w:val="00F56E7A"/>
    <w:rsid w:val="00F57106"/>
    <w:rsid w:val="00F5752F"/>
    <w:rsid w:val="00F5754B"/>
    <w:rsid w:val="00F600D5"/>
    <w:rsid w:val="00F611C1"/>
    <w:rsid w:val="00F615A6"/>
    <w:rsid w:val="00F622D4"/>
    <w:rsid w:val="00F62E01"/>
    <w:rsid w:val="00F62ED8"/>
    <w:rsid w:val="00F6358C"/>
    <w:rsid w:val="00F6361E"/>
    <w:rsid w:val="00F65660"/>
    <w:rsid w:val="00F664F8"/>
    <w:rsid w:val="00F6664F"/>
    <w:rsid w:val="00F66A53"/>
    <w:rsid w:val="00F675FB"/>
    <w:rsid w:val="00F70014"/>
    <w:rsid w:val="00F704F3"/>
    <w:rsid w:val="00F708D9"/>
    <w:rsid w:val="00F7177C"/>
    <w:rsid w:val="00F718A3"/>
    <w:rsid w:val="00F71BA3"/>
    <w:rsid w:val="00F72047"/>
    <w:rsid w:val="00F7227C"/>
    <w:rsid w:val="00F72A9C"/>
    <w:rsid w:val="00F737E6"/>
    <w:rsid w:val="00F751BD"/>
    <w:rsid w:val="00F75241"/>
    <w:rsid w:val="00F75482"/>
    <w:rsid w:val="00F75B50"/>
    <w:rsid w:val="00F75DDC"/>
    <w:rsid w:val="00F7676C"/>
    <w:rsid w:val="00F769FD"/>
    <w:rsid w:val="00F76EF5"/>
    <w:rsid w:val="00F77132"/>
    <w:rsid w:val="00F776E7"/>
    <w:rsid w:val="00F777C6"/>
    <w:rsid w:val="00F802A0"/>
    <w:rsid w:val="00F80A14"/>
    <w:rsid w:val="00F81570"/>
    <w:rsid w:val="00F82173"/>
    <w:rsid w:val="00F8242C"/>
    <w:rsid w:val="00F82AAC"/>
    <w:rsid w:val="00F8327E"/>
    <w:rsid w:val="00F832AC"/>
    <w:rsid w:val="00F836D7"/>
    <w:rsid w:val="00F8389C"/>
    <w:rsid w:val="00F83996"/>
    <w:rsid w:val="00F83A95"/>
    <w:rsid w:val="00F8400B"/>
    <w:rsid w:val="00F84B72"/>
    <w:rsid w:val="00F84D31"/>
    <w:rsid w:val="00F85704"/>
    <w:rsid w:val="00F85F99"/>
    <w:rsid w:val="00F861A0"/>
    <w:rsid w:val="00F86C5A"/>
    <w:rsid w:val="00F90718"/>
    <w:rsid w:val="00F90CEF"/>
    <w:rsid w:val="00F92411"/>
    <w:rsid w:val="00F93723"/>
    <w:rsid w:val="00F94229"/>
    <w:rsid w:val="00F94824"/>
    <w:rsid w:val="00F94919"/>
    <w:rsid w:val="00F95730"/>
    <w:rsid w:val="00F958D0"/>
    <w:rsid w:val="00F968AF"/>
    <w:rsid w:val="00F97947"/>
    <w:rsid w:val="00FA0B5E"/>
    <w:rsid w:val="00FA0F1D"/>
    <w:rsid w:val="00FA1361"/>
    <w:rsid w:val="00FA18C8"/>
    <w:rsid w:val="00FA1B66"/>
    <w:rsid w:val="00FA2D6B"/>
    <w:rsid w:val="00FA32C7"/>
    <w:rsid w:val="00FA63CB"/>
    <w:rsid w:val="00FA75DA"/>
    <w:rsid w:val="00FA7F15"/>
    <w:rsid w:val="00FB0051"/>
    <w:rsid w:val="00FB0F40"/>
    <w:rsid w:val="00FB157D"/>
    <w:rsid w:val="00FB195F"/>
    <w:rsid w:val="00FB1B20"/>
    <w:rsid w:val="00FB1EC4"/>
    <w:rsid w:val="00FB34B9"/>
    <w:rsid w:val="00FB5B73"/>
    <w:rsid w:val="00FB6181"/>
    <w:rsid w:val="00FB6A8C"/>
    <w:rsid w:val="00FB6DBE"/>
    <w:rsid w:val="00FB7463"/>
    <w:rsid w:val="00FC0454"/>
    <w:rsid w:val="00FC0C34"/>
    <w:rsid w:val="00FC1F5A"/>
    <w:rsid w:val="00FC4D6F"/>
    <w:rsid w:val="00FC5D85"/>
    <w:rsid w:val="00FD0408"/>
    <w:rsid w:val="00FD0784"/>
    <w:rsid w:val="00FD17CB"/>
    <w:rsid w:val="00FD22DF"/>
    <w:rsid w:val="00FD2671"/>
    <w:rsid w:val="00FD2BC0"/>
    <w:rsid w:val="00FD2FBE"/>
    <w:rsid w:val="00FD45B5"/>
    <w:rsid w:val="00FD511B"/>
    <w:rsid w:val="00FD55BA"/>
    <w:rsid w:val="00FD5FB5"/>
    <w:rsid w:val="00FD67A7"/>
    <w:rsid w:val="00FD6C5C"/>
    <w:rsid w:val="00FD71E7"/>
    <w:rsid w:val="00FD7667"/>
    <w:rsid w:val="00FD7723"/>
    <w:rsid w:val="00FD77CC"/>
    <w:rsid w:val="00FE0179"/>
    <w:rsid w:val="00FE0288"/>
    <w:rsid w:val="00FE0DA4"/>
    <w:rsid w:val="00FE0E6C"/>
    <w:rsid w:val="00FE193F"/>
    <w:rsid w:val="00FE2801"/>
    <w:rsid w:val="00FE32D2"/>
    <w:rsid w:val="00FE35C4"/>
    <w:rsid w:val="00FE3AF7"/>
    <w:rsid w:val="00FE4C09"/>
    <w:rsid w:val="00FE51AF"/>
    <w:rsid w:val="00FE5454"/>
    <w:rsid w:val="00FE61AC"/>
    <w:rsid w:val="00FE69AE"/>
    <w:rsid w:val="00FE71CB"/>
    <w:rsid w:val="00FF09CB"/>
    <w:rsid w:val="00FF172A"/>
    <w:rsid w:val="00FF1908"/>
    <w:rsid w:val="00FF1AC6"/>
    <w:rsid w:val="00FF1CD7"/>
    <w:rsid w:val="00FF22FF"/>
    <w:rsid w:val="00FF3158"/>
    <w:rsid w:val="00FF3537"/>
    <w:rsid w:val="00FF3882"/>
    <w:rsid w:val="00FF453B"/>
    <w:rsid w:val="00FF4CD2"/>
    <w:rsid w:val="00FF5803"/>
    <w:rsid w:val="029B0BA7"/>
    <w:rsid w:val="04930FBE"/>
    <w:rsid w:val="05A548F1"/>
    <w:rsid w:val="06A52030"/>
    <w:rsid w:val="06DB37D6"/>
    <w:rsid w:val="08F8386E"/>
    <w:rsid w:val="09D66BE0"/>
    <w:rsid w:val="0BC351C1"/>
    <w:rsid w:val="0DF310F7"/>
    <w:rsid w:val="0EC84940"/>
    <w:rsid w:val="13B45E2A"/>
    <w:rsid w:val="16F04D04"/>
    <w:rsid w:val="1ADA418B"/>
    <w:rsid w:val="1CDC5FE6"/>
    <w:rsid w:val="23A90175"/>
    <w:rsid w:val="245813CF"/>
    <w:rsid w:val="24F3573E"/>
    <w:rsid w:val="25EE4047"/>
    <w:rsid w:val="260C0F85"/>
    <w:rsid w:val="267E6893"/>
    <w:rsid w:val="27B02B54"/>
    <w:rsid w:val="288F3F7F"/>
    <w:rsid w:val="28A37776"/>
    <w:rsid w:val="293F0350"/>
    <w:rsid w:val="2A9F11C9"/>
    <w:rsid w:val="2B6E238E"/>
    <w:rsid w:val="2DDF61AE"/>
    <w:rsid w:val="2E3035EB"/>
    <w:rsid w:val="2E685E30"/>
    <w:rsid w:val="2FDA06FB"/>
    <w:rsid w:val="309351A5"/>
    <w:rsid w:val="32CD344C"/>
    <w:rsid w:val="32F4478F"/>
    <w:rsid w:val="33362AB4"/>
    <w:rsid w:val="356F31E0"/>
    <w:rsid w:val="3594495B"/>
    <w:rsid w:val="35E41BC6"/>
    <w:rsid w:val="36874C38"/>
    <w:rsid w:val="390A7BB5"/>
    <w:rsid w:val="3B161737"/>
    <w:rsid w:val="3BFB21EC"/>
    <w:rsid w:val="3DAD28DD"/>
    <w:rsid w:val="3F89579C"/>
    <w:rsid w:val="419D03E2"/>
    <w:rsid w:val="43283DE7"/>
    <w:rsid w:val="43984B3C"/>
    <w:rsid w:val="46065DE4"/>
    <w:rsid w:val="46C91BF8"/>
    <w:rsid w:val="46E57414"/>
    <w:rsid w:val="482F359B"/>
    <w:rsid w:val="48F44AD8"/>
    <w:rsid w:val="49D45ABB"/>
    <w:rsid w:val="4BE505FC"/>
    <w:rsid w:val="4C587D74"/>
    <w:rsid w:val="4C7F5AD1"/>
    <w:rsid w:val="4F337640"/>
    <w:rsid w:val="4FC4483D"/>
    <w:rsid w:val="50290E47"/>
    <w:rsid w:val="50CA6BED"/>
    <w:rsid w:val="535E60EA"/>
    <w:rsid w:val="53744A06"/>
    <w:rsid w:val="5474231B"/>
    <w:rsid w:val="550C27A8"/>
    <w:rsid w:val="57257471"/>
    <w:rsid w:val="57E94442"/>
    <w:rsid w:val="58D7583A"/>
    <w:rsid w:val="59D96441"/>
    <w:rsid w:val="5C677198"/>
    <w:rsid w:val="5C991BFE"/>
    <w:rsid w:val="5D30370F"/>
    <w:rsid w:val="5E4A26A9"/>
    <w:rsid w:val="5E8223EE"/>
    <w:rsid w:val="603F77A6"/>
    <w:rsid w:val="605F5CEE"/>
    <w:rsid w:val="6069348F"/>
    <w:rsid w:val="61EC722C"/>
    <w:rsid w:val="61F73A62"/>
    <w:rsid w:val="620E296A"/>
    <w:rsid w:val="658A623F"/>
    <w:rsid w:val="669C6BE5"/>
    <w:rsid w:val="66BA3C04"/>
    <w:rsid w:val="670C17B7"/>
    <w:rsid w:val="6B473136"/>
    <w:rsid w:val="6D0F5FCE"/>
    <w:rsid w:val="6EA543DA"/>
    <w:rsid w:val="6F0810EB"/>
    <w:rsid w:val="6F2C662E"/>
    <w:rsid w:val="70E82282"/>
    <w:rsid w:val="72A1139E"/>
    <w:rsid w:val="72CE519A"/>
    <w:rsid w:val="76DD4BA2"/>
    <w:rsid w:val="77155E03"/>
    <w:rsid w:val="783D3931"/>
    <w:rsid w:val="787709EB"/>
    <w:rsid w:val="79010F63"/>
    <w:rsid w:val="793834E8"/>
    <w:rsid w:val="7D94614A"/>
    <w:rsid w:val="7DB80117"/>
    <w:rsid w:val="7F316F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Calibri"/>
      <w:sz w:val="24"/>
      <w:szCs w:val="24"/>
      <w:lang w:val="en-US" w:eastAsia="zh-CN" w:bidi="ar-SA"/>
    </w:rPr>
  </w:style>
  <w:style w:type="paragraph" w:styleId="2">
    <w:name w:val="heading 1"/>
    <w:basedOn w:val="1"/>
    <w:next w:val="1"/>
    <w:link w:val="20"/>
    <w:qFormat/>
    <w:uiPriority w:val="9"/>
    <w:pPr>
      <w:spacing w:before="340" w:after="330" w:line="578" w:lineRule="auto"/>
      <w:jc w:val="center"/>
      <w:outlineLvl w:val="0"/>
    </w:pPr>
    <w:rPr>
      <w:rFonts w:eastAsia="黑体"/>
      <w:bCs/>
      <w:kern w:val="44"/>
      <w:sz w:val="32"/>
      <w:szCs w:val="44"/>
    </w:rPr>
  </w:style>
  <w:style w:type="paragraph" w:styleId="3">
    <w:name w:val="heading 2"/>
    <w:basedOn w:val="1"/>
    <w:next w:val="1"/>
    <w:link w:val="21"/>
    <w:unhideWhenUsed/>
    <w:qFormat/>
    <w:uiPriority w:val="9"/>
    <w:pPr>
      <w:spacing w:before="260" w:after="260" w:line="415" w:lineRule="auto"/>
      <w:outlineLvl w:val="1"/>
    </w:pPr>
    <w:rPr>
      <w:rFonts w:eastAsia="黑体" w:cstheme="majorBidi"/>
      <w:bCs/>
      <w:sz w:val="28"/>
      <w:szCs w:val="32"/>
    </w:rPr>
  </w:style>
  <w:style w:type="paragraph" w:styleId="4">
    <w:name w:val="heading 3"/>
    <w:basedOn w:val="1"/>
    <w:next w:val="1"/>
    <w:link w:val="22"/>
    <w:unhideWhenUsed/>
    <w:qFormat/>
    <w:uiPriority w:val="9"/>
    <w:pPr>
      <w:spacing w:before="260" w:after="260" w:line="415" w:lineRule="auto"/>
      <w:outlineLvl w:val="2"/>
    </w:pPr>
    <w:rPr>
      <w:rFonts w:eastAsia="黑体"/>
      <w:bCs/>
      <w:szCs w:val="32"/>
    </w:rPr>
  </w:style>
  <w:style w:type="character" w:default="1" w:styleId="16">
    <w:name w:val="Default Paragraph Font"/>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8"/>
    <w:semiHidden/>
    <w:unhideWhenUsed/>
    <w:qFormat/>
    <w:uiPriority w:val="99"/>
    <w:pPr>
      <w:jc w:val="left"/>
    </w:pPr>
    <w:rPr>
      <w:rFonts w:ascii="Tahoma" w:hAnsi="Tahoma" w:cs="Tahoma"/>
      <w:sz w:val="16"/>
    </w:rPr>
  </w:style>
  <w:style w:type="paragraph" w:styleId="6">
    <w:name w:val="toc 3"/>
    <w:basedOn w:val="1"/>
    <w:next w:val="1"/>
    <w:unhideWhenUsed/>
    <w:qFormat/>
    <w:uiPriority w:val="39"/>
    <w:pPr>
      <w:ind w:left="840" w:leftChars="400"/>
    </w:pPr>
  </w:style>
  <w:style w:type="paragraph" w:styleId="7">
    <w:name w:val="Balloon Text"/>
    <w:basedOn w:val="1"/>
    <w:link w:val="25"/>
    <w:semiHidden/>
    <w:unhideWhenUsed/>
    <w:qFormat/>
    <w:uiPriority w:val="99"/>
    <w:rPr>
      <w:sz w:val="18"/>
      <w:szCs w:val="18"/>
    </w:rPr>
  </w:style>
  <w:style w:type="paragraph" w:styleId="8">
    <w:name w:val="footer"/>
    <w:basedOn w:val="1"/>
    <w:link w:val="24"/>
    <w:unhideWhenUsed/>
    <w:qFormat/>
    <w:uiPriority w:val="99"/>
    <w:pPr>
      <w:tabs>
        <w:tab w:val="center" w:pos="4153"/>
        <w:tab w:val="right" w:pos="8306"/>
      </w:tabs>
      <w:snapToGrid w:val="0"/>
      <w:jc w:val="left"/>
    </w:pPr>
    <w:rPr>
      <w:szCs w:val="18"/>
    </w:rPr>
  </w:style>
  <w:style w:type="paragraph" w:styleId="9">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pPr>
      <w:tabs>
        <w:tab w:val="right" w:leader="dot" w:pos="9736"/>
      </w:tabs>
      <w:spacing w:line="360" w:lineRule="auto"/>
    </w:pPr>
    <w:rPr>
      <w:rFonts w:ascii="黑体" w:hAnsi="黑体" w:eastAsia="黑体"/>
    </w:rPr>
  </w:style>
  <w:style w:type="paragraph" w:styleId="11">
    <w:name w:val="toc 2"/>
    <w:basedOn w:val="1"/>
    <w:next w:val="1"/>
    <w:unhideWhenUsed/>
    <w:qFormat/>
    <w:uiPriority w:val="39"/>
    <w:pPr>
      <w:ind w:left="420" w:leftChars="200"/>
    </w:pPr>
  </w:style>
  <w:style w:type="paragraph" w:styleId="12">
    <w:name w:val="Normal (Web)"/>
    <w:basedOn w:val="1"/>
    <w:link w:val="33"/>
    <w:unhideWhenUsed/>
    <w:qFormat/>
    <w:uiPriority w:val="99"/>
    <w:pPr>
      <w:widowControl/>
      <w:spacing w:before="100" w:beforeAutospacing="1" w:after="100" w:afterAutospacing="1"/>
      <w:jc w:val="left"/>
    </w:pPr>
    <w:rPr>
      <w:rFonts w:ascii="宋体" w:hAnsi="宋体" w:cs="宋体"/>
    </w:rPr>
  </w:style>
  <w:style w:type="paragraph" w:styleId="13">
    <w:name w:val="annotation subject"/>
    <w:basedOn w:val="5"/>
    <w:next w:val="5"/>
    <w:link w:val="29"/>
    <w:semiHidden/>
    <w:unhideWhenUsed/>
    <w:qFormat/>
    <w:uiPriority w:val="99"/>
    <w:rPr>
      <w:b/>
      <w:bCs/>
    </w:rPr>
  </w:style>
  <w:style w:type="table" w:styleId="15">
    <w:name w:val="Table Grid"/>
    <w:basedOn w:val="1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Emphasis"/>
    <w:basedOn w:val="16"/>
    <w:qFormat/>
    <w:uiPriority w:val="20"/>
    <w:rPr>
      <w:i/>
      <w:iCs/>
    </w:rPr>
  </w:style>
  <w:style w:type="character" w:styleId="18">
    <w:name w:val="Hyperlink"/>
    <w:basedOn w:val="16"/>
    <w:unhideWhenUsed/>
    <w:qFormat/>
    <w:uiPriority w:val="99"/>
    <w:rPr>
      <w:color w:val="0563C1" w:themeColor="hyperlink"/>
      <w:u w:val="single"/>
      <w14:textFill>
        <w14:solidFill>
          <w14:schemeClr w14:val="hlink"/>
        </w14:solidFill>
      </w14:textFill>
    </w:rPr>
  </w:style>
  <w:style w:type="character" w:styleId="19">
    <w:name w:val="annotation reference"/>
    <w:basedOn w:val="16"/>
    <w:semiHidden/>
    <w:unhideWhenUsed/>
    <w:qFormat/>
    <w:uiPriority w:val="99"/>
    <w:rPr>
      <w:rFonts w:ascii="Tahoma" w:hAnsi="Tahoma" w:cs="Tahoma"/>
      <w:sz w:val="16"/>
      <w:szCs w:val="21"/>
      <w:u w:val="none"/>
    </w:rPr>
  </w:style>
  <w:style w:type="character" w:customStyle="1" w:styleId="20">
    <w:name w:val="Heading 1 Char"/>
    <w:basedOn w:val="16"/>
    <w:link w:val="2"/>
    <w:qFormat/>
    <w:uiPriority w:val="9"/>
    <w:rPr>
      <w:rFonts w:eastAsia="黑体"/>
      <w:bCs/>
      <w:kern w:val="44"/>
      <w:sz w:val="32"/>
      <w:szCs w:val="44"/>
    </w:rPr>
  </w:style>
  <w:style w:type="character" w:customStyle="1" w:styleId="21">
    <w:name w:val="Heading 2 Char"/>
    <w:basedOn w:val="16"/>
    <w:link w:val="3"/>
    <w:qFormat/>
    <w:uiPriority w:val="9"/>
    <w:rPr>
      <w:rFonts w:eastAsia="黑体" w:cstheme="majorBidi"/>
      <w:bCs/>
      <w:sz w:val="28"/>
      <w:szCs w:val="32"/>
    </w:rPr>
  </w:style>
  <w:style w:type="character" w:customStyle="1" w:styleId="22">
    <w:name w:val="Heading 3 Char"/>
    <w:basedOn w:val="16"/>
    <w:link w:val="4"/>
    <w:qFormat/>
    <w:uiPriority w:val="9"/>
    <w:rPr>
      <w:rFonts w:eastAsia="黑体"/>
      <w:bCs/>
      <w:szCs w:val="32"/>
    </w:rPr>
  </w:style>
  <w:style w:type="character" w:customStyle="1" w:styleId="23">
    <w:name w:val="Header Char"/>
    <w:basedOn w:val="16"/>
    <w:link w:val="9"/>
    <w:qFormat/>
    <w:uiPriority w:val="99"/>
    <w:rPr>
      <w:sz w:val="18"/>
      <w:szCs w:val="18"/>
    </w:rPr>
  </w:style>
  <w:style w:type="character" w:customStyle="1" w:styleId="24">
    <w:name w:val="Footer Char"/>
    <w:basedOn w:val="16"/>
    <w:link w:val="8"/>
    <w:qFormat/>
    <w:uiPriority w:val="99"/>
    <w:rPr>
      <w:szCs w:val="18"/>
    </w:rPr>
  </w:style>
  <w:style w:type="character" w:customStyle="1" w:styleId="25">
    <w:name w:val="Balloon Text Char"/>
    <w:basedOn w:val="16"/>
    <w:link w:val="7"/>
    <w:semiHidden/>
    <w:qFormat/>
    <w:uiPriority w:val="99"/>
    <w:rPr>
      <w:sz w:val="18"/>
      <w:szCs w:val="18"/>
    </w:rPr>
  </w:style>
  <w:style w:type="paragraph" w:styleId="26">
    <w:name w:val="List Paragraph"/>
    <w:basedOn w:val="1"/>
    <w:qFormat/>
    <w:uiPriority w:val="34"/>
    <w:pPr>
      <w:ind w:firstLine="420" w:firstLineChars="200"/>
    </w:pPr>
  </w:style>
  <w:style w:type="character" w:styleId="27">
    <w:name w:val="Placeholder Text"/>
    <w:basedOn w:val="16"/>
    <w:semiHidden/>
    <w:qFormat/>
    <w:uiPriority w:val="99"/>
    <w:rPr>
      <w:color w:val="808080"/>
    </w:rPr>
  </w:style>
  <w:style w:type="character" w:customStyle="1" w:styleId="28">
    <w:name w:val="Comment Text Char"/>
    <w:basedOn w:val="16"/>
    <w:link w:val="5"/>
    <w:semiHidden/>
    <w:qFormat/>
    <w:uiPriority w:val="99"/>
    <w:rPr>
      <w:rFonts w:ascii="Tahoma" w:hAnsi="Tahoma" w:cs="Tahoma"/>
      <w:sz w:val="16"/>
    </w:rPr>
  </w:style>
  <w:style w:type="character" w:customStyle="1" w:styleId="29">
    <w:name w:val="Comment Subject Char"/>
    <w:basedOn w:val="28"/>
    <w:link w:val="13"/>
    <w:semiHidden/>
    <w:qFormat/>
    <w:uiPriority w:val="99"/>
    <w:rPr>
      <w:rFonts w:ascii="Tahoma" w:hAnsi="Tahoma" w:cs="Tahoma"/>
      <w:b/>
      <w:bCs/>
      <w:sz w:val="16"/>
    </w:rPr>
  </w:style>
  <w:style w:type="paragraph" w:styleId="30">
    <w:name w:val="No Spacing"/>
    <w:qFormat/>
    <w:uiPriority w:val="1"/>
    <w:pPr>
      <w:widowControl w:val="0"/>
      <w:jc w:val="both"/>
    </w:pPr>
    <w:rPr>
      <w:rFonts w:ascii="Times New Roman" w:hAnsi="Times New Roman" w:eastAsia="宋体" w:cs="Calibri"/>
      <w:sz w:val="24"/>
      <w:szCs w:val="24"/>
      <w:lang w:val="en-US" w:eastAsia="zh-CN" w:bidi="ar-SA"/>
    </w:rPr>
  </w:style>
  <w:style w:type="paragraph" w:customStyle="1" w:styleId="31">
    <w:name w:val="Default"/>
    <w:qFormat/>
    <w:uiPriority w:val="0"/>
    <w:pPr>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32">
    <w:name w:val="EndNote Bibliography Title"/>
    <w:basedOn w:val="1"/>
    <w:link w:val="34"/>
    <w:qFormat/>
    <w:uiPriority w:val="0"/>
    <w:pPr>
      <w:jc w:val="center"/>
    </w:pPr>
    <w:rPr>
      <w:rFonts w:cs="Times New Roman"/>
    </w:rPr>
  </w:style>
  <w:style w:type="character" w:customStyle="1" w:styleId="33">
    <w:name w:val="Normal (Web) Char"/>
    <w:basedOn w:val="16"/>
    <w:link w:val="12"/>
    <w:qFormat/>
    <w:uiPriority w:val="99"/>
    <w:rPr>
      <w:rFonts w:ascii="宋体" w:hAnsi="宋体" w:cs="宋体"/>
    </w:rPr>
  </w:style>
  <w:style w:type="character" w:customStyle="1" w:styleId="34">
    <w:name w:val="EndNote Bibliography Title Char"/>
    <w:basedOn w:val="33"/>
    <w:link w:val="32"/>
    <w:qFormat/>
    <w:uiPriority w:val="0"/>
    <w:rPr>
      <w:rFonts w:ascii="宋体" w:hAnsi="宋体" w:cs="Times New Roman"/>
    </w:rPr>
  </w:style>
  <w:style w:type="paragraph" w:customStyle="1" w:styleId="35">
    <w:name w:val="EndNote Bibliography"/>
    <w:basedOn w:val="1"/>
    <w:link w:val="36"/>
    <w:qFormat/>
    <w:uiPriority w:val="0"/>
    <w:pPr>
      <w:jc w:val="left"/>
    </w:pPr>
    <w:rPr>
      <w:rFonts w:cs="Times New Roman"/>
    </w:rPr>
  </w:style>
  <w:style w:type="character" w:customStyle="1" w:styleId="36">
    <w:name w:val="EndNote Bibliography Char"/>
    <w:basedOn w:val="33"/>
    <w:link w:val="35"/>
    <w:qFormat/>
    <w:uiPriority w:val="0"/>
    <w:rPr>
      <w:rFonts w:ascii="宋体" w:hAnsi="宋体" w:cs="Times New Roman"/>
    </w:rPr>
  </w:style>
</w:styles>
</file>

<file path=word/_rels/document.xml.rels><?xml version="1.0" encoding="UTF-8" standalone="yes"?>
<Relationships xmlns="http://schemas.openxmlformats.org/package/2006/relationships"><Relationship Id="rId9" Type="http://schemas.openxmlformats.org/officeDocument/2006/relationships/chart" Target="charts/chart5.xml"/><Relationship Id="rId8" Type="http://schemas.openxmlformats.org/officeDocument/2006/relationships/chart" Target="charts/chart4.xml"/><Relationship Id="rId7" Type="http://schemas.openxmlformats.org/officeDocument/2006/relationships/chart" Target="charts/chart3.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chart" Target="charts/chart8.xml"/><Relationship Id="rId11" Type="http://schemas.openxmlformats.org/officeDocument/2006/relationships/chart" Target="charts/chart7.xml"/><Relationship Id="rId10" Type="http://schemas.openxmlformats.org/officeDocument/2006/relationships/chart" Target="charts/chart6.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D:\&#27605;&#19994;&#35774;&#35745;2\&#31908;&#28207;&#28595;&#22823;&#28286;&#21306;&#38750;&#37329;&#34701;&#20225;&#19994;&#26464;&#26438;&#29575;&#24433;&#21709;&#22240;&#32032;&#30740;&#31350;\&#31908;&#28207;&#28595;&#25968;&#25454;\&#36164;&#20135;&#36127;&#20538;&#29575;%20&#31532;&#19977;&#31456;\&#29616;&#29366;&#21450;&#36235;&#21183;\&#26087;&#25968;&#25454;\&#20225;&#19994;&#25152;&#26377;&#2104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27605;&#19994;&#35774;&#35745;2\&#31908;&#28207;&#28595;&#22823;&#28286;&#21306;&#38750;&#37329;&#34701;&#20225;&#19994;&#26464;&#26438;&#29575;&#24433;&#21709;&#22240;&#32032;&#30740;&#31350;\&#31908;&#28207;&#28595;&#25968;&#25454;\&#36164;&#20135;&#36127;&#20538;&#29575;%20&#31532;&#19977;&#31456;\&#29616;&#29366;&#21450;&#36235;&#21183;\&#26087;&#25968;&#25454;\&#21435;&#26497;&#20540;&#36164;&#20135;&#36127;&#20538;&#29575;.xls"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D:\&#27605;&#19994;&#35774;&#35745;2\&#31908;&#28207;&#28595;&#22823;&#28286;&#21306;&#38750;&#37329;&#34701;&#20225;&#19994;&#26464;&#26438;&#29575;&#24433;&#21709;&#22240;&#32032;&#30740;&#31350;\&#31908;&#28207;&#28595;&#25968;&#25454;\&#36164;&#20135;&#36127;&#20538;&#29575;%20&#31532;&#19977;&#31456;\&#29616;&#29366;&#21450;&#36235;&#21183;\&#26087;&#25968;&#25454;\&#34892;&#19994;.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D:\&#27605;&#19994;&#35774;&#35745;2\&#31908;&#28207;&#28595;&#22823;&#28286;&#21306;&#38750;&#37329;&#34701;&#20225;&#19994;&#26464;&#26438;&#29575;&#24433;&#21709;&#22240;&#32032;&#30740;&#31350;\&#31908;&#28207;&#28595;&#25968;&#25454;\&#36164;&#20135;&#36127;&#20538;&#29575;%20&#31532;&#19977;&#31456;\&#29616;&#29366;&#21450;&#36235;&#21183;\&#26087;&#25968;&#25454;\&#34892;&#19994;.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D:\&#27605;&#19994;&#35774;&#35745;2\&#31908;&#28207;&#28595;&#22823;&#28286;&#21306;&#38750;&#37329;&#34701;&#20225;&#19994;&#26464;&#26438;&#29575;&#24433;&#21709;&#22240;&#32032;&#30740;&#31350;\&#31908;&#28207;&#28595;&#25968;&#25454;\&#36164;&#20135;&#36127;&#20538;&#29575;%20&#31532;&#19977;&#31456;\&#29616;&#29366;&#21450;&#36235;&#21183;\&#26087;&#25968;&#25454;\&#22320;&#21306;.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D:\&#27605;&#19994;&#35774;&#35745;2\&#31908;&#28207;&#28595;&#22823;&#28286;&#21306;&#38750;&#37329;&#34701;&#20225;&#19994;&#26464;&#26438;&#29575;&#24433;&#21709;&#22240;&#32032;&#30740;&#31350;\&#31908;&#28207;&#28595;&#25968;&#25454;\&#36164;&#20135;&#36127;&#20538;&#29575;%20&#31532;&#19977;&#31456;\&#22269;&#20869;&#19982;&#22269;&#38469;&#27604;&#36739;\1.A&#32929;%20&#36164;&#20135;&#36127;&#20538;&#29575;.xlsx" TargetMode="External"/></Relationships>
</file>

<file path=word/charts/_rels/chart8.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D:\&#27605;&#19994;&#35774;&#35745;2\&#31908;&#28207;&#28595;&#22823;&#28286;&#21306;&#38750;&#37329;&#34701;&#20225;&#19994;&#26464;&#26438;&#29575;&#24433;&#21709;&#22240;&#32032;&#30740;&#31350;\&#31908;&#28207;&#28595;&#25968;&#25454;\&#36164;&#20135;&#36127;&#20538;&#29575;%20&#31532;&#19977;&#31456;\&#22269;&#20869;&#19982;&#22269;&#38469;&#27604;&#36739;\&#22269;&#38469;&#27604;&#3673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State-owned enterprises</c:f>
              <c:strCache>
                <c:ptCount val="1"/>
                <c:pt idx="0">
                  <c:v>State-owned enterprises</c:v>
                </c:pt>
              </c:strCache>
            </c:strRef>
          </c:tx>
          <c:spPr>
            <a:ln w="28575" cap="rnd">
              <a:solidFill>
                <a:schemeClr val="accent2"/>
              </a:solidFill>
              <a:round/>
            </a:ln>
            <a:effectLst/>
          </c:spPr>
          <c:marker>
            <c:symbol val="none"/>
          </c:marker>
          <c:dLbls>
            <c:delete val="1"/>
          </c:dLbls>
          <c:cat>
            <c:numRef>
              <c:f>国企非国企!$A$6:$A$24</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国企非国企!$D$6:$D$24</c:f>
              <c:numCache>
                <c:formatCode>General</c:formatCode>
                <c:ptCount val="19"/>
                <c:pt idx="0">
                  <c:v>44.55483</c:v>
                </c:pt>
                <c:pt idx="1">
                  <c:v>47.45659</c:v>
                </c:pt>
                <c:pt idx="2">
                  <c:v>44.95393</c:v>
                </c:pt>
                <c:pt idx="3">
                  <c:v>43.2219</c:v>
                </c:pt>
                <c:pt idx="4">
                  <c:v>45.86933</c:v>
                </c:pt>
                <c:pt idx="5">
                  <c:v>49.97778</c:v>
                </c:pt>
                <c:pt idx="6">
                  <c:v>54.55089</c:v>
                </c:pt>
                <c:pt idx="7">
                  <c:v>47.73892</c:v>
                </c:pt>
                <c:pt idx="8">
                  <c:v>50.27407</c:v>
                </c:pt>
                <c:pt idx="9">
                  <c:v>52.32485</c:v>
                </c:pt>
                <c:pt idx="10">
                  <c:v>51.10634</c:v>
                </c:pt>
                <c:pt idx="11">
                  <c:v>49.50463</c:v>
                </c:pt>
                <c:pt idx="12">
                  <c:v>49.53811</c:v>
                </c:pt>
                <c:pt idx="13">
                  <c:v>48.83825</c:v>
                </c:pt>
                <c:pt idx="14">
                  <c:v>49.11769</c:v>
                </c:pt>
                <c:pt idx="15">
                  <c:v>49.26361</c:v>
                </c:pt>
                <c:pt idx="16">
                  <c:v>49.25701</c:v>
                </c:pt>
                <c:pt idx="17">
                  <c:v>48.83901</c:v>
                </c:pt>
                <c:pt idx="18">
                  <c:v>50.30456</c:v>
                </c:pt>
              </c:numCache>
            </c:numRef>
          </c:val>
          <c:smooth val="0"/>
        </c:ser>
        <c:ser>
          <c:idx val="0"/>
          <c:order val="1"/>
          <c:tx>
            <c:strRef>
              <c:f>Non state-owned enterprises</c:f>
              <c:strCache>
                <c:ptCount val="1"/>
                <c:pt idx="0">
                  <c:v>Non state-owned enterprises</c:v>
                </c:pt>
              </c:strCache>
            </c:strRef>
          </c:tx>
          <c:spPr>
            <a:ln w="28575" cap="rnd">
              <a:solidFill>
                <a:schemeClr val="accent1"/>
              </a:solidFill>
              <a:round/>
            </a:ln>
            <a:effectLst/>
          </c:spPr>
          <c:marker>
            <c:symbol val="none"/>
          </c:marker>
          <c:dLbls>
            <c:delete val="1"/>
          </c:dLbls>
          <c:cat>
            <c:numRef>
              <c:f>国企非国企!$A$6:$A$24</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国企非国企!$K$6:$K$24</c:f>
              <c:numCache>
                <c:formatCode>General</c:formatCode>
                <c:ptCount val="19"/>
                <c:pt idx="0">
                  <c:v>47.60935</c:v>
                </c:pt>
                <c:pt idx="1">
                  <c:v>45.86237</c:v>
                </c:pt>
                <c:pt idx="2">
                  <c:v>44.22918</c:v>
                </c:pt>
                <c:pt idx="3">
                  <c:v>47.77817</c:v>
                </c:pt>
                <c:pt idx="4">
                  <c:v>47.60581</c:v>
                </c:pt>
                <c:pt idx="5">
                  <c:v>53.07325</c:v>
                </c:pt>
                <c:pt idx="6">
                  <c:v>54.19352</c:v>
                </c:pt>
                <c:pt idx="7">
                  <c:v>47.6918</c:v>
                </c:pt>
                <c:pt idx="8">
                  <c:v>54.037</c:v>
                </c:pt>
                <c:pt idx="9">
                  <c:v>52.98887</c:v>
                </c:pt>
                <c:pt idx="10">
                  <c:v>46.57103</c:v>
                </c:pt>
                <c:pt idx="11">
                  <c:v>42.82384</c:v>
                </c:pt>
                <c:pt idx="12">
                  <c:v>43.49452</c:v>
                </c:pt>
                <c:pt idx="13">
                  <c:v>43.72631</c:v>
                </c:pt>
                <c:pt idx="14">
                  <c:v>43.50992</c:v>
                </c:pt>
                <c:pt idx="15">
                  <c:v>42.44342</c:v>
                </c:pt>
                <c:pt idx="16">
                  <c:v>41.13024</c:v>
                </c:pt>
                <c:pt idx="17">
                  <c:v>40.67234</c:v>
                </c:pt>
                <c:pt idx="18">
                  <c:v>41.57106</c:v>
                </c:pt>
              </c:numCache>
            </c:numRef>
          </c:val>
          <c:smooth val="0"/>
        </c:ser>
        <c:dLbls>
          <c:showLegendKey val="0"/>
          <c:showVal val="0"/>
          <c:showCatName val="0"/>
          <c:showSerName val="0"/>
          <c:showPercent val="0"/>
          <c:showBubbleSize val="0"/>
        </c:dLbls>
        <c:marker val="0"/>
        <c:smooth val="0"/>
        <c:axId val="938511704"/>
        <c:axId val="938507112"/>
      </c:lineChart>
      <c:catAx>
        <c:axId val="938511704"/>
        <c:scaling>
          <c:orientation val="minMax"/>
        </c:scaling>
        <c:delete val="0"/>
        <c:axPos val="b"/>
        <c:numFmt formatCode="General" sourceLinked="0"/>
        <c:majorTickMark val="out"/>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38507112"/>
        <c:crosses val="autoZero"/>
        <c:auto val="1"/>
        <c:lblAlgn val="ctr"/>
        <c:lblOffset val="100"/>
        <c:noMultiLvlLbl val="0"/>
      </c:catAx>
      <c:valAx>
        <c:axId val="938507112"/>
        <c:scaling>
          <c:orientation val="minMax"/>
        </c:scaling>
        <c:delete val="0"/>
        <c:axPos val="l"/>
        <c:numFmt formatCode="#,##0_);\(#,##0\)" sourceLinked="0"/>
        <c:majorTickMark val="out"/>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385117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a:solidFill>
        <a:schemeClr val="tx1"/>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2"/>
          <c:order val="0"/>
          <c:tx>
            <c:strRef>
              <c:f>Local state-owned enterprises</c:f>
              <c:strCache>
                <c:ptCount val="1"/>
                <c:pt idx="0">
                  <c:v>Local state-owned enterprises</c:v>
                </c:pt>
              </c:strCache>
            </c:strRef>
          </c:tx>
          <c:spPr>
            <a:ln w="19050" cap="rnd">
              <a:solidFill>
                <a:schemeClr val="accent3"/>
              </a:solidFill>
              <a:round/>
            </a:ln>
            <a:effectLst/>
          </c:spPr>
          <c:marker>
            <c:symbol val="none"/>
          </c:marker>
          <c:dLbls>
            <c:delete val="1"/>
          </c:dLbls>
          <c:cat>
            <c:numRef>
              <c:f>细分!$A$4:$A$22</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细分!$R$4:$R$22</c:f>
              <c:numCache>
                <c:formatCode>General</c:formatCode>
                <c:ptCount val="19"/>
                <c:pt idx="0">
                  <c:v>46.26935</c:v>
                </c:pt>
                <c:pt idx="1">
                  <c:v>47.80663</c:v>
                </c:pt>
                <c:pt idx="2">
                  <c:v>46.91811</c:v>
                </c:pt>
                <c:pt idx="3">
                  <c:v>45.43144</c:v>
                </c:pt>
                <c:pt idx="4">
                  <c:v>46.73197</c:v>
                </c:pt>
                <c:pt idx="5">
                  <c:v>49.2751</c:v>
                </c:pt>
                <c:pt idx="6">
                  <c:v>54.58382</c:v>
                </c:pt>
                <c:pt idx="7">
                  <c:v>49.92563</c:v>
                </c:pt>
                <c:pt idx="8">
                  <c:v>46.81527</c:v>
                </c:pt>
                <c:pt idx="9">
                  <c:v>47.17396</c:v>
                </c:pt>
                <c:pt idx="10">
                  <c:v>45.1658</c:v>
                </c:pt>
                <c:pt idx="11">
                  <c:v>44.88438</c:v>
                </c:pt>
                <c:pt idx="12">
                  <c:v>44.35932</c:v>
                </c:pt>
                <c:pt idx="13">
                  <c:v>45.44966</c:v>
                </c:pt>
                <c:pt idx="14">
                  <c:v>45.80294</c:v>
                </c:pt>
                <c:pt idx="15">
                  <c:v>45.67241</c:v>
                </c:pt>
                <c:pt idx="16">
                  <c:v>45.57242</c:v>
                </c:pt>
                <c:pt idx="17">
                  <c:v>46.04896</c:v>
                </c:pt>
                <c:pt idx="18">
                  <c:v>49.83384</c:v>
                </c:pt>
              </c:numCache>
            </c:numRef>
          </c:val>
          <c:smooth val="0"/>
        </c:ser>
        <c:ser>
          <c:idx val="3"/>
          <c:order val="1"/>
          <c:tx>
            <c:strRef>
              <c:f>Central state-owned enterprises</c:f>
              <c:strCache>
                <c:ptCount val="1"/>
                <c:pt idx="0">
                  <c:v>Central state-owned enterprises</c:v>
                </c:pt>
              </c:strCache>
            </c:strRef>
          </c:tx>
          <c:spPr>
            <a:ln w="19050" cap="rnd">
              <a:solidFill>
                <a:schemeClr val="accent4"/>
              </a:solidFill>
              <a:round/>
            </a:ln>
            <a:effectLst/>
          </c:spPr>
          <c:marker>
            <c:symbol val="none"/>
          </c:marker>
          <c:dLbls>
            <c:delete val="1"/>
          </c:dLbls>
          <c:cat>
            <c:numRef>
              <c:f>细分!$A$4:$A$22</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细分!$K$4:$K$22</c:f>
              <c:numCache>
                <c:formatCode>General</c:formatCode>
                <c:ptCount val="19"/>
                <c:pt idx="0">
                  <c:v>42.22307</c:v>
                </c:pt>
                <c:pt idx="1">
                  <c:v>46.98373</c:v>
                </c:pt>
                <c:pt idx="2">
                  <c:v>42.45117</c:v>
                </c:pt>
                <c:pt idx="3">
                  <c:v>40.48472</c:v>
                </c:pt>
                <c:pt idx="4">
                  <c:v>44.80014</c:v>
                </c:pt>
                <c:pt idx="5">
                  <c:v>50.89518</c:v>
                </c:pt>
                <c:pt idx="6">
                  <c:v>54.50862</c:v>
                </c:pt>
                <c:pt idx="7">
                  <c:v>44.89905</c:v>
                </c:pt>
                <c:pt idx="8">
                  <c:v>54.96166</c:v>
                </c:pt>
                <c:pt idx="9">
                  <c:v>59.28189</c:v>
                </c:pt>
                <c:pt idx="10">
                  <c:v>59.43853</c:v>
                </c:pt>
                <c:pt idx="11">
                  <c:v>55.60996</c:v>
                </c:pt>
                <c:pt idx="12">
                  <c:v>56.65113</c:v>
                </c:pt>
                <c:pt idx="13">
                  <c:v>53.62215</c:v>
                </c:pt>
                <c:pt idx="14">
                  <c:v>53.72785</c:v>
                </c:pt>
                <c:pt idx="15">
                  <c:v>54.2015</c:v>
                </c:pt>
                <c:pt idx="16">
                  <c:v>54.44114</c:v>
                </c:pt>
                <c:pt idx="17">
                  <c:v>52.71943</c:v>
                </c:pt>
                <c:pt idx="18">
                  <c:v>50.76908</c:v>
                </c:pt>
              </c:numCache>
            </c:numRef>
          </c:val>
          <c:smooth val="0"/>
        </c:ser>
        <c:ser>
          <c:idx val="0"/>
          <c:order val="2"/>
          <c:tx>
            <c:strRef>
              <c:f>Overseas-funded enterprises</c:f>
              <c:strCache>
                <c:ptCount val="1"/>
                <c:pt idx="0">
                  <c:v>Overseas-funded enterprises</c:v>
                </c:pt>
              </c:strCache>
            </c:strRef>
          </c:tx>
          <c:spPr>
            <a:ln w="19050" cap="rnd">
              <a:solidFill>
                <a:schemeClr val="accent1"/>
              </a:solidFill>
              <a:round/>
            </a:ln>
            <a:effectLst/>
          </c:spPr>
          <c:marker>
            <c:symbol val="none"/>
          </c:marker>
          <c:dLbls>
            <c:delete val="1"/>
          </c:dLbls>
          <c:cat>
            <c:numRef>
              <c:f>细分!$A$4:$A$22</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细分!$AT$4:$AT$22</c:f>
              <c:numCache>
                <c:formatCode>General</c:formatCode>
                <c:ptCount val="19"/>
                <c:pt idx="0">
                  <c:v>44.91487</c:v>
                </c:pt>
                <c:pt idx="1">
                  <c:v>44.4191</c:v>
                </c:pt>
                <c:pt idx="2">
                  <c:v>42.70216</c:v>
                </c:pt>
                <c:pt idx="3">
                  <c:v>46.70015</c:v>
                </c:pt>
                <c:pt idx="4">
                  <c:v>43.72136</c:v>
                </c:pt>
                <c:pt idx="5">
                  <c:v>47.30421</c:v>
                </c:pt>
                <c:pt idx="6">
                  <c:v>45.32672</c:v>
                </c:pt>
                <c:pt idx="7">
                  <c:v>42.28311</c:v>
                </c:pt>
                <c:pt idx="8">
                  <c:v>41.54723</c:v>
                </c:pt>
                <c:pt idx="9">
                  <c:v>40.16993</c:v>
                </c:pt>
                <c:pt idx="10">
                  <c:v>39.75447</c:v>
                </c:pt>
                <c:pt idx="11">
                  <c:v>40.61554</c:v>
                </c:pt>
                <c:pt idx="12">
                  <c:v>41.4758</c:v>
                </c:pt>
                <c:pt idx="13">
                  <c:v>41.71313</c:v>
                </c:pt>
                <c:pt idx="14">
                  <c:v>41.88416</c:v>
                </c:pt>
                <c:pt idx="15">
                  <c:v>41.5667</c:v>
                </c:pt>
                <c:pt idx="16">
                  <c:v>40.00952</c:v>
                </c:pt>
                <c:pt idx="17">
                  <c:v>38.519</c:v>
                </c:pt>
                <c:pt idx="18">
                  <c:v>39.6103</c:v>
                </c:pt>
              </c:numCache>
            </c:numRef>
          </c:val>
          <c:smooth val="0"/>
        </c:ser>
        <c:ser>
          <c:idx val="4"/>
          <c:order val="3"/>
          <c:tx>
            <c:strRef>
              <c:f>Public enterprises</c:f>
              <c:strCache>
                <c:ptCount val="1"/>
                <c:pt idx="0">
                  <c:v>Public enterprises</c:v>
                </c:pt>
              </c:strCache>
            </c:strRef>
          </c:tx>
          <c:spPr>
            <a:ln w="19050" cap="rnd">
              <a:solidFill>
                <a:schemeClr val="accent5"/>
              </a:solidFill>
              <a:round/>
            </a:ln>
            <a:effectLst/>
          </c:spPr>
          <c:marker>
            <c:symbol val="none"/>
          </c:marker>
          <c:dLbls>
            <c:delete val="1"/>
          </c:dLbls>
          <c:cat>
            <c:numRef>
              <c:f>细分!$A$4:$A$22</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细分!$Y$4:$Y$22</c:f>
              <c:numCache>
                <c:formatCode>General</c:formatCode>
                <c:ptCount val="19"/>
                <c:pt idx="0">
                  <c:v>51.9813</c:v>
                </c:pt>
                <c:pt idx="1">
                  <c:v>48.5546</c:v>
                </c:pt>
                <c:pt idx="2">
                  <c:v>45.37085</c:v>
                </c:pt>
                <c:pt idx="3">
                  <c:v>51.1922</c:v>
                </c:pt>
                <c:pt idx="4">
                  <c:v>50.1168</c:v>
                </c:pt>
                <c:pt idx="5">
                  <c:v>56.76638</c:v>
                </c:pt>
                <c:pt idx="6">
                  <c:v>62.17775</c:v>
                </c:pt>
                <c:pt idx="7">
                  <c:v>50.67519</c:v>
                </c:pt>
                <c:pt idx="8">
                  <c:v>63.7517</c:v>
                </c:pt>
                <c:pt idx="9">
                  <c:v>61.03002</c:v>
                </c:pt>
                <c:pt idx="10">
                  <c:v>53.16292</c:v>
                </c:pt>
                <c:pt idx="11">
                  <c:v>44.5673</c:v>
                </c:pt>
                <c:pt idx="12">
                  <c:v>46.0979</c:v>
                </c:pt>
                <c:pt idx="13">
                  <c:v>45.21027</c:v>
                </c:pt>
                <c:pt idx="14">
                  <c:v>42.4382</c:v>
                </c:pt>
                <c:pt idx="15">
                  <c:v>40.31302</c:v>
                </c:pt>
                <c:pt idx="16">
                  <c:v>41.04274</c:v>
                </c:pt>
                <c:pt idx="17">
                  <c:v>41.84373</c:v>
                </c:pt>
                <c:pt idx="18">
                  <c:v>41.76011</c:v>
                </c:pt>
              </c:numCache>
            </c:numRef>
          </c:val>
          <c:smooth val="0"/>
        </c:ser>
        <c:ser>
          <c:idx val="5"/>
          <c:order val="4"/>
          <c:tx>
            <c:strRef>
              <c:f>Private enterprises </c:f>
              <c:strCache>
                <c:ptCount val="1"/>
                <c:pt idx="0">
                  <c:v>Private enterprises </c:v>
                </c:pt>
              </c:strCache>
            </c:strRef>
          </c:tx>
          <c:spPr>
            <a:ln w="19050" cap="rnd">
              <a:solidFill>
                <a:schemeClr val="accent6"/>
              </a:solidFill>
              <a:round/>
            </a:ln>
            <a:effectLst/>
          </c:spPr>
          <c:marker>
            <c:symbol val="none"/>
          </c:marker>
          <c:dLbls>
            <c:delete val="1"/>
          </c:dLbls>
          <c:cat>
            <c:numRef>
              <c:f>细分!$A$4:$A$22</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细分!$AF$4:$AF$22</c:f>
              <c:numCache>
                <c:formatCode>General</c:formatCode>
                <c:ptCount val="19"/>
                <c:pt idx="0">
                  <c:v>46.28394</c:v>
                </c:pt>
                <c:pt idx="1">
                  <c:v>43.73297</c:v>
                </c:pt>
                <c:pt idx="2">
                  <c:v>45.13198</c:v>
                </c:pt>
                <c:pt idx="3">
                  <c:v>45.66284</c:v>
                </c:pt>
                <c:pt idx="4">
                  <c:v>49.99077</c:v>
                </c:pt>
                <c:pt idx="5">
                  <c:v>56.33219</c:v>
                </c:pt>
                <c:pt idx="6">
                  <c:v>56.30055</c:v>
                </c:pt>
                <c:pt idx="7">
                  <c:v>50.04805</c:v>
                </c:pt>
                <c:pt idx="8">
                  <c:v>56.92817</c:v>
                </c:pt>
                <c:pt idx="9">
                  <c:v>57.04739</c:v>
                </c:pt>
                <c:pt idx="10">
                  <c:v>47.29196</c:v>
                </c:pt>
                <c:pt idx="11">
                  <c:v>43.20061</c:v>
                </c:pt>
                <c:pt idx="12">
                  <c:v>43.2735</c:v>
                </c:pt>
                <c:pt idx="13">
                  <c:v>44.07409</c:v>
                </c:pt>
                <c:pt idx="14">
                  <c:v>44.84495</c:v>
                </c:pt>
                <c:pt idx="15">
                  <c:v>43.86288</c:v>
                </c:pt>
                <c:pt idx="16">
                  <c:v>41.79539</c:v>
                </c:pt>
                <c:pt idx="17">
                  <c:v>41.44545</c:v>
                </c:pt>
                <c:pt idx="18">
                  <c:v>42.85679</c:v>
                </c:pt>
              </c:numCache>
            </c:numRef>
          </c:val>
          <c:smooth val="0"/>
        </c:ser>
        <c:ser>
          <c:idx val="6"/>
          <c:order val="5"/>
          <c:tx>
            <c:strRef>
              <c:f>Other enterprises</c:f>
              <c:strCache>
                <c:ptCount val="1"/>
                <c:pt idx="0">
                  <c:v>Other enterprises</c:v>
                </c:pt>
              </c:strCache>
            </c:strRef>
          </c:tx>
          <c:spPr>
            <a:ln w="19050" cap="rnd">
              <a:solidFill>
                <a:schemeClr val="accent1">
                  <a:lumMod val="60000"/>
                </a:schemeClr>
              </a:solidFill>
              <a:round/>
            </a:ln>
            <a:effectLst/>
          </c:spPr>
          <c:marker>
            <c:symbol val="none"/>
          </c:marker>
          <c:dLbls>
            <c:delete val="1"/>
          </c:dLbls>
          <c:cat>
            <c:numRef>
              <c:f>细分!$A$4:$A$22</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细分!$AM$4:$AM$22</c:f>
              <c:numCache>
                <c:formatCode>General</c:formatCode>
                <c:ptCount val="19"/>
                <c:pt idx="0">
                  <c:v>44.49613</c:v>
                </c:pt>
                <c:pt idx="1">
                  <c:v>49.90517</c:v>
                </c:pt>
                <c:pt idx="2">
                  <c:v>41.02142</c:v>
                </c:pt>
                <c:pt idx="3">
                  <c:v>39.92927</c:v>
                </c:pt>
                <c:pt idx="4">
                  <c:v>39.94615</c:v>
                </c:pt>
                <c:pt idx="5">
                  <c:v>45.32294</c:v>
                </c:pt>
                <c:pt idx="6">
                  <c:v>44.73453</c:v>
                </c:pt>
                <c:pt idx="7">
                  <c:v>44.35179</c:v>
                </c:pt>
                <c:pt idx="8">
                  <c:v>47.95625</c:v>
                </c:pt>
                <c:pt idx="9">
                  <c:v>46.34745</c:v>
                </c:pt>
                <c:pt idx="10">
                  <c:v>44.6984</c:v>
                </c:pt>
                <c:pt idx="11">
                  <c:v>45.59366</c:v>
                </c:pt>
                <c:pt idx="12">
                  <c:v>46.8677</c:v>
                </c:pt>
                <c:pt idx="13">
                  <c:v>48.62093</c:v>
                </c:pt>
                <c:pt idx="14">
                  <c:v>48.0453</c:v>
                </c:pt>
                <c:pt idx="15">
                  <c:v>47.42008</c:v>
                </c:pt>
                <c:pt idx="16">
                  <c:v>45.65607</c:v>
                </c:pt>
                <c:pt idx="17">
                  <c:v>45.83194</c:v>
                </c:pt>
                <c:pt idx="18">
                  <c:v>47.27934</c:v>
                </c:pt>
              </c:numCache>
            </c:numRef>
          </c:val>
          <c:smooth val="0"/>
        </c:ser>
        <c:dLbls>
          <c:showLegendKey val="0"/>
          <c:showVal val="0"/>
          <c:showCatName val="0"/>
          <c:showSerName val="0"/>
          <c:showPercent val="0"/>
          <c:showBubbleSize val="0"/>
        </c:dLbls>
        <c:marker val="0"/>
        <c:smooth val="0"/>
        <c:axId val="512842848"/>
        <c:axId val="512841864"/>
      </c:lineChart>
      <c:catAx>
        <c:axId val="512842848"/>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12841864"/>
        <c:crosses val="autoZero"/>
        <c:auto val="1"/>
        <c:lblAlgn val="ctr"/>
        <c:lblOffset val="100"/>
        <c:noMultiLvlLbl val="0"/>
      </c:catAx>
      <c:valAx>
        <c:axId val="51284186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12842848"/>
        <c:crosses val="autoZero"/>
        <c:crossBetween val="between"/>
      </c:valAx>
      <c:spPr>
        <a:noFill/>
        <a:ln>
          <a:noFill/>
        </a:ln>
        <a:effectLst/>
      </c:spPr>
    </c:plotArea>
    <c:legend>
      <c:legendPos val="b"/>
      <c:layout>
        <c:manualLayout>
          <c:xMode val="edge"/>
          <c:yMode val="edge"/>
          <c:x val="0.0103256175723384"/>
          <c:y val="0.776607493955729"/>
          <c:w val="0.979348764855323"/>
          <c:h val="0.200755228177123"/>
        </c:manualLayou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a:solidFill>
        <a:schemeClr val="tx1"/>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国企对比!$A$2</c:f>
              <c:strCache>
                <c:ptCount val="1"/>
                <c:pt idx="0">
                  <c:v>Local state-owned enterprises 25%</c:v>
                </c:pt>
              </c:strCache>
            </c:strRef>
          </c:tx>
          <c:spPr>
            <a:ln w="19050" cap="rnd" cmpd="sng" algn="ctr">
              <a:solidFill>
                <a:schemeClr val="accent1"/>
              </a:solidFill>
              <a:prstDash val="solid"/>
              <a:round/>
            </a:ln>
            <a:effectLst/>
          </c:spPr>
          <c:marker>
            <c:symbol val="none"/>
          </c:marker>
          <c:dLbls>
            <c:delete val="1"/>
          </c:dLbls>
          <c:cat>
            <c:numRef>
              <c:f>国企对比!$B$1:$T$1</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国企对比!$B$2:$T$2</c:f>
              <c:numCache>
                <c:formatCode>General</c:formatCode>
                <c:ptCount val="19"/>
                <c:pt idx="0">
                  <c:v>28.8375248908997</c:v>
                </c:pt>
                <c:pt idx="1">
                  <c:v>22.3372993469238</c:v>
                </c:pt>
                <c:pt idx="2">
                  <c:v>23.746600151062</c:v>
                </c:pt>
                <c:pt idx="3">
                  <c:v>22.2301998138428</c:v>
                </c:pt>
                <c:pt idx="4">
                  <c:v>25.2453246116638</c:v>
                </c:pt>
                <c:pt idx="5">
                  <c:v>28.8262753486633</c:v>
                </c:pt>
                <c:pt idx="6">
                  <c:v>34.1934490203857</c:v>
                </c:pt>
                <c:pt idx="7">
                  <c:v>34.8652000427246</c:v>
                </c:pt>
                <c:pt idx="8">
                  <c:v>28.6302003860474</c:v>
                </c:pt>
                <c:pt idx="9">
                  <c:v>28.9015746116638</c:v>
                </c:pt>
                <c:pt idx="10">
                  <c:v>26.787700176239</c:v>
                </c:pt>
                <c:pt idx="11">
                  <c:v>27.5689496994019</c:v>
                </c:pt>
                <c:pt idx="12">
                  <c:v>26.9057006835938</c:v>
                </c:pt>
                <c:pt idx="13">
                  <c:v>29.4318494796753</c:v>
                </c:pt>
                <c:pt idx="14">
                  <c:v>29.7203006744385</c:v>
                </c:pt>
                <c:pt idx="15">
                  <c:v>28.7339992523193</c:v>
                </c:pt>
                <c:pt idx="16">
                  <c:v>29.9792995452881</c:v>
                </c:pt>
                <c:pt idx="17">
                  <c:v>29.3008003234863</c:v>
                </c:pt>
                <c:pt idx="18">
                  <c:v>35.5032482147217</c:v>
                </c:pt>
              </c:numCache>
            </c:numRef>
          </c:val>
          <c:smooth val="0"/>
        </c:ser>
        <c:ser>
          <c:idx val="1"/>
          <c:order val="1"/>
          <c:tx>
            <c:strRef>
              <c:f>国企对比!$A$3</c:f>
              <c:strCache>
                <c:ptCount val="1"/>
                <c:pt idx="0">
                  <c:v>Local state-owned enterprises 50%</c:v>
                </c:pt>
              </c:strCache>
            </c:strRef>
          </c:tx>
          <c:spPr>
            <a:ln w="19050" cap="rnd" cmpd="sng" algn="ctr">
              <a:solidFill>
                <a:schemeClr val="accent2"/>
              </a:solidFill>
              <a:prstDash val="solid"/>
              <a:round/>
            </a:ln>
            <a:effectLst/>
          </c:spPr>
          <c:marker>
            <c:symbol val="none"/>
          </c:marker>
          <c:dLbls>
            <c:delete val="1"/>
          </c:dLbls>
          <c:cat>
            <c:numRef>
              <c:f>国企对比!$B$1:$T$1</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国企对比!$B$3:$T$3</c:f>
              <c:numCache>
                <c:formatCode>General</c:formatCode>
                <c:ptCount val="19"/>
                <c:pt idx="0">
                  <c:v>42.2223491668701</c:v>
                </c:pt>
                <c:pt idx="1">
                  <c:v>38.9959983825684</c:v>
                </c:pt>
                <c:pt idx="2">
                  <c:v>40.9827995300293</c:v>
                </c:pt>
                <c:pt idx="3">
                  <c:v>44.8124008178711</c:v>
                </c:pt>
                <c:pt idx="4">
                  <c:v>47.3628005981445</c:v>
                </c:pt>
                <c:pt idx="5">
                  <c:v>47.9823513031006</c:v>
                </c:pt>
                <c:pt idx="6">
                  <c:v>50.0730018615723</c:v>
                </c:pt>
                <c:pt idx="7">
                  <c:v>49.1307010650635</c:v>
                </c:pt>
                <c:pt idx="8">
                  <c:v>43.8522987365723</c:v>
                </c:pt>
                <c:pt idx="9">
                  <c:v>43.9232997894287</c:v>
                </c:pt>
                <c:pt idx="10">
                  <c:v>45.5081005096436</c:v>
                </c:pt>
                <c:pt idx="11">
                  <c:v>43.2843017578125</c:v>
                </c:pt>
                <c:pt idx="12">
                  <c:v>45.8752498626709</c:v>
                </c:pt>
                <c:pt idx="13">
                  <c:v>43.7604484558105</c:v>
                </c:pt>
                <c:pt idx="14">
                  <c:v>43.9934005737305</c:v>
                </c:pt>
                <c:pt idx="15">
                  <c:v>46.9954986572266</c:v>
                </c:pt>
                <c:pt idx="16">
                  <c:v>45.9453010559082</c:v>
                </c:pt>
                <c:pt idx="17">
                  <c:v>45.7706985473633</c:v>
                </c:pt>
                <c:pt idx="18">
                  <c:v>50.7994995117188</c:v>
                </c:pt>
              </c:numCache>
            </c:numRef>
          </c:val>
          <c:smooth val="0"/>
        </c:ser>
        <c:ser>
          <c:idx val="2"/>
          <c:order val="2"/>
          <c:tx>
            <c:strRef>
              <c:f>国企对比!$A$4</c:f>
              <c:strCache>
                <c:ptCount val="1"/>
                <c:pt idx="0">
                  <c:v>Local state-owned enterprises 75%</c:v>
                </c:pt>
              </c:strCache>
            </c:strRef>
          </c:tx>
          <c:spPr>
            <a:ln w="19050" cap="rnd" cmpd="sng" algn="ctr">
              <a:solidFill>
                <a:schemeClr val="accent3"/>
              </a:solidFill>
              <a:prstDash val="solid"/>
              <a:round/>
            </a:ln>
            <a:effectLst/>
          </c:spPr>
          <c:marker>
            <c:symbol val="none"/>
          </c:marker>
          <c:dLbls>
            <c:delete val="1"/>
          </c:dLbls>
          <c:cat>
            <c:numRef>
              <c:f>国企对比!$B$1:$T$1</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国企对比!$B$4:$T$4</c:f>
              <c:numCache>
                <c:formatCode>General</c:formatCode>
                <c:ptCount val="19"/>
                <c:pt idx="0">
                  <c:v>59.6837749481201</c:v>
                </c:pt>
                <c:pt idx="1">
                  <c:v>60.0759010314941</c:v>
                </c:pt>
                <c:pt idx="2">
                  <c:v>63.2140998840332</c:v>
                </c:pt>
                <c:pt idx="3">
                  <c:v>65.5025520324707</c:v>
                </c:pt>
                <c:pt idx="4">
                  <c:v>62.7083253860474</c:v>
                </c:pt>
                <c:pt idx="5">
                  <c:v>64.7671222686768</c:v>
                </c:pt>
                <c:pt idx="6">
                  <c:v>60.0774993896484</c:v>
                </c:pt>
                <c:pt idx="7">
                  <c:v>63.367974281311</c:v>
                </c:pt>
                <c:pt idx="8">
                  <c:v>63.8865509033203</c:v>
                </c:pt>
                <c:pt idx="9">
                  <c:v>62.2590007781982</c:v>
                </c:pt>
                <c:pt idx="10">
                  <c:v>61.5835237503052</c:v>
                </c:pt>
                <c:pt idx="11">
                  <c:v>60.2889003753662</c:v>
                </c:pt>
                <c:pt idx="12">
                  <c:v>60.2135744094849</c:v>
                </c:pt>
                <c:pt idx="13">
                  <c:v>60.8299989700317</c:v>
                </c:pt>
                <c:pt idx="14">
                  <c:v>59.8419990539551</c:v>
                </c:pt>
                <c:pt idx="15">
                  <c:v>59.6627006530762</c:v>
                </c:pt>
                <c:pt idx="16">
                  <c:v>59.2067985534668</c:v>
                </c:pt>
                <c:pt idx="17">
                  <c:v>62.8849983215332</c:v>
                </c:pt>
                <c:pt idx="18">
                  <c:v>63.8563003540039</c:v>
                </c:pt>
              </c:numCache>
            </c:numRef>
          </c:val>
          <c:smooth val="0"/>
        </c:ser>
        <c:ser>
          <c:idx val="3"/>
          <c:order val="3"/>
          <c:tx>
            <c:strRef>
              <c:f>国企对比!$A$5</c:f>
              <c:strCache>
                <c:ptCount val="1"/>
                <c:pt idx="0">
                  <c:v>Central state-owned enterprises 25%</c:v>
                </c:pt>
              </c:strCache>
            </c:strRef>
          </c:tx>
          <c:spPr>
            <a:ln w="19050" cap="rnd" cmpd="sng" algn="ctr">
              <a:solidFill>
                <a:schemeClr val="accent4"/>
              </a:solidFill>
              <a:prstDash val="solid"/>
              <a:round/>
            </a:ln>
            <a:effectLst/>
          </c:spPr>
          <c:marker>
            <c:symbol val="none"/>
          </c:marker>
          <c:dLbls>
            <c:delete val="1"/>
          </c:dLbls>
          <c:cat>
            <c:numRef>
              <c:f>国企对比!$B$1:$T$1</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国企对比!$B$5:$T$5</c:f>
              <c:numCache>
                <c:formatCode>General</c:formatCode>
                <c:ptCount val="19"/>
                <c:pt idx="0">
                  <c:v>24.7270755767822</c:v>
                </c:pt>
                <c:pt idx="1">
                  <c:v>28.221399307251</c:v>
                </c:pt>
                <c:pt idx="2">
                  <c:v>26.4382495880127</c:v>
                </c:pt>
                <c:pt idx="3">
                  <c:v>25.3235502243042</c:v>
                </c:pt>
                <c:pt idx="4">
                  <c:v>30.1072998046875</c:v>
                </c:pt>
                <c:pt idx="5">
                  <c:v>29.7109498977661</c:v>
                </c:pt>
                <c:pt idx="6">
                  <c:v>31.5550999641418</c:v>
                </c:pt>
                <c:pt idx="7">
                  <c:v>31.8731002807617</c:v>
                </c:pt>
                <c:pt idx="8">
                  <c:v>31.4777755737305</c:v>
                </c:pt>
                <c:pt idx="9">
                  <c:v>31.0265007019043</c:v>
                </c:pt>
                <c:pt idx="10">
                  <c:v>34.0396995544434</c:v>
                </c:pt>
                <c:pt idx="11">
                  <c:v>36.8965492248535</c:v>
                </c:pt>
                <c:pt idx="12">
                  <c:v>36.883150100708</c:v>
                </c:pt>
                <c:pt idx="13">
                  <c:v>36.013801574707</c:v>
                </c:pt>
                <c:pt idx="14">
                  <c:v>35.5277996063232</c:v>
                </c:pt>
                <c:pt idx="15">
                  <c:v>38.085675239563</c:v>
                </c:pt>
                <c:pt idx="16">
                  <c:v>38.742449760437</c:v>
                </c:pt>
                <c:pt idx="17">
                  <c:v>37.3999996185303</c:v>
                </c:pt>
                <c:pt idx="18">
                  <c:v>33.5554504394531</c:v>
                </c:pt>
              </c:numCache>
            </c:numRef>
          </c:val>
          <c:smooth val="0"/>
        </c:ser>
        <c:ser>
          <c:idx val="4"/>
          <c:order val="4"/>
          <c:tx>
            <c:strRef>
              <c:f>国企对比!$A$6</c:f>
              <c:strCache>
                <c:ptCount val="1"/>
                <c:pt idx="0">
                  <c:v>Central state-owned enterprises 50%</c:v>
                </c:pt>
              </c:strCache>
            </c:strRef>
          </c:tx>
          <c:spPr>
            <a:ln w="19050" cap="rnd" cmpd="sng" algn="ctr">
              <a:solidFill>
                <a:schemeClr val="accent5"/>
              </a:solidFill>
              <a:prstDash val="solid"/>
              <a:round/>
            </a:ln>
            <a:effectLst/>
          </c:spPr>
          <c:marker>
            <c:symbol val="none"/>
          </c:marker>
          <c:dLbls>
            <c:delete val="1"/>
          </c:dLbls>
          <c:cat>
            <c:numRef>
              <c:f>国企对比!$B$1:$T$1</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国企对比!$B$6:$T$6</c:f>
              <c:numCache>
                <c:formatCode>General</c:formatCode>
                <c:ptCount val="19"/>
                <c:pt idx="0">
                  <c:v>37.4298496246337</c:v>
                </c:pt>
                <c:pt idx="1">
                  <c:v>43.3588981628418</c:v>
                </c:pt>
                <c:pt idx="2">
                  <c:v>42.2189998626709</c:v>
                </c:pt>
                <c:pt idx="3">
                  <c:v>38.5311012268066</c:v>
                </c:pt>
                <c:pt idx="4">
                  <c:v>42.2700004577637</c:v>
                </c:pt>
                <c:pt idx="5">
                  <c:v>41.0944499969482</c:v>
                </c:pt>
                <c:pt idx="6">
                  <c:v>43.9320507049561</c:v>
                </c:pt>
                <c:pt idx="7">
                  <c:v>40.2757987976074</c:v>
                </c:pt>
                <c:pt idx="8">
                  <c:v>49.8950500488281</c:v>
                </c:pt>
                <c:pt idx="9">
                  <c:v>47.4367980957031</c:v>
                </c:pt>
                <c:pt idx="10">
                  <c:v>52.467700958252</c:v>
                </c:pt>
                <c:pt idx="11">
                  <c:v>54.5436496734619</c:v>
                </c:pt>
                <c:pt idx="12">
                  <c:v>56.1509017944336</c:v>
                </c:pt>
                <c:pt idx="13">
                  <c:v>57.2092018127441</c:v>
                </c:pt>
                <c:pt idx="14">
                  <c:v>58.5847015380859</c:v>
                </c:pt>
                <c:pt idx="15">
                  <c:v>57.6620502471924</c:v>
                </c:pt>
                <c:pt idx="16">
                  <c:v>58.5547008514404</c:v>
                </c:pt>
                <c:pt idx="17">
                  <c:v>55.5690002441406</c:v>
                </c:pt>
                <c:pt idx="18">
                  <c:v>55.0266513824463</c:v>
                </c:pt>
              </c:numCache>
            </c:numRef>
          </c:val>
          <c:smooth val="0"/>
        </c:ser>
        <c:ser>
          <c:idx val="5"/>
          <c:order val="5"/>
          <c:tx>
            <c:strRef>
              <c:f>国企对比!$A$7</c:f>
              <c:strCache>
                <c:ptCount val="1"/>
                <c:pt idx="0">
                  <c:v>Central state-owned enterprises 75%</c:v>
                </c:pt>
              </c:strCache>
            </c:strRef>
          </c:tx>
          <c:spPr>
            <a:ln w="19050" cap="rnd" cmpd="sng" algn="ctr">
              <a:solidFill>
                <a:schemeClr val="accent6"/>
              </a:solidFill>
              <a:prstDash val="solid"/>
              <a:round/>
            </a:ln>
            <a:effectLst/>
          </c:spPr>
          <c:marker>
            <c:symbol val="none"/>
          </c:marker>
          <c:dLbls>
            <c:delete val="1"/>
          </c:dLbls>
          <c:cat>
            <c:numRef>
              <c:f>国企对比!$B$1:$T$1</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国企对比!$B$7:$T$7</c:f>
              <c:numCache>
                <c:formatCode>General</c:formatCode>
                <c:ptCount val="19"/>
                <c:pt idx="0">
                  <c:v>60.6814012527466</c:v>
                </c:pt>
                <c:pt idx="1">
                  <c:v>60.380298614502</c:v>
                </c:pt>
                <c:pt idx="2">
                  <c:v>57.9983263015747</c:v>
                </c:pt>
                <c:pt idx="3">
                  <c:v>56.4216499328613</c:v>
                </c:pt>
                <c:pt idx="4">
                  <c:v>56.7212505340576</c:v>
                </c:pt>
                <c:pt idx="5">
                  <c:v>62.2494249343872</c:v>
                </c:pt>
                <c:pt idx="6">
                  <c:v>63.4835748672485</c:v>
                </c:pt>
                <c:pt idx="7">
                  <c:v>60.6958999633789</c:v>
                </c:pt>
                <c:pt idx="8">
                  <c:v>66.2786731719971</c:v>
                </c:pt>
                <c:pt idx="9">
                  <c:v>67.28759765625</c:v>
                </c:pt>
                <c:pt idx="10">
                  <c:v>67.4114990234375</c:v>
                </c:pt>
                <c:pt idx="11">
                  <c:v>65.9887752532959</c:v>
                </c:pt>
                <c:pt idx="12">
                  <c:v>71.5915985107422</c:v>
                </c:pt>
                <c:pt idx="13">
                  <c:v>68.5297012329102</c:v>
                </c:pt>
                <c:pt idx="14">
                  <c:v>68.2942504882812</c:v>
                </c:pt>
                <c:pt idx="15">
                  <c:v>70.0810470581055</c:v>
                </c:pt>
                <c:pt idx="16">
                  <c:v>70.7122020721436</c:v>
                </c:pt>
                <c:pt idx="17">
                  <c:v>68.7189979553223</c:v>
                </c:pt>
                <c:pt idx="18">
                  <c:v>68.2336769104004</c:v>
                </c:pt>
              </c:numCache>
            </c:numRef>
          </c:val>
          <c:smooth val="0"/>
        </c:ser>
        <c:dLbls>
          <c:showLegendKey val="0"/>
          <c:showVal val="0"/>
          <c:showCatName val="0"/>
          <c:showSerName val="0"/>
          <c:showPercent val="0"/>
          <c:showBubbleSize val="0"/>
        </c:dLbls>
        <c:marker val="0"/>
        <c:smooth val="0"/>
        <c:axId val="718355584"/>
        <c:axId val="1"/>
      </c:lineChart>
      <c:catAx>
        <c:axId val="718355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
        <c:crosses val="autoZero"/>
        <c:auto val="1"/>
        <c:lblAlgn val="ctr"/>
        <c:lblOffset val="100"/>
        <c:noMultiLvlLbl val="0"/>
      </c:catAx>
      <c:valAx>
        <c:axId val="1"/>
        <c:scaling>
          <c:orientation val="minMax"/>
        </c:scaling>
        <c:delete val="0"/>
        <c:axPos val="l"/>
        <c:numFmt formatCode="General" sourceLinked="1"/>
        <c:majorTickMark val="none"/>
        <c:minorTickMark val="none"/>
        <c:tickLblPos val="nextTo"/>
        <c:spPr>
          <a:ln w="6350" cap="flat" cmpd="sng" algn="ctr">
            <a:noFill/>
            <a:prstDash val="solid"/>
            <a:round/>
          </a:ln>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18355584"/>
        <c:crosses val="autoZero"/>
        <c:crossBetween val="between"/>
      </c:valAx>
      <c:spPr>
        <a:noFill/>
        <a:ln w="25400">
          <a:noFill/>
        </a:ln>
      </c:spPr>
    </c:plotArea>
    <c:legend>
      <c:legendPos val="b"/>
      <c:layout/>
      <c:overlay val="0"/>
      <c:spPr>
        <a:noFill/>
        <a:ln w="25400">
          <a:noFill/>
        </a:ln>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elete val="1"/>
          </c:dLbls>
          <c:cat>
            <c:strRef>
              <c:f>主要行业!$B$2:$B$11</c:f>
              <c:strCache>
                <c:ptCount val="10"/>
                <c:pt idx="0">
                  <c:v>Real estate management and development</c:v>
                </c:pt>
                <c:pt idx="1">
                  <c:v>Electronic equipment, instruments and components</c:v>
                </c:pt>
                <c:pt idx="2">
                  <c:v>Architecture and engineering Ⅲ </c:v>
                </c:pt>
                <c:pt idx="3">
                  <c:v>Textiles, clothing and luxury goods</c:v>
                </c:pt>
                <c:pt idx="4">
                  <c:v>Hotels, restaurants and leisure Ⅲ</c:v>
                </c:pt>
                <c:pt idx="5">
                  <c:v>Household durable consumer goods</c:v>
                </c:pt>
                <c:pt idx="6">
                  <c:v>Media industry Ⅲ</c:v>
                </c:pt>
                <c:pt idx="7">
                  <c:v>Business services and supplies</c:v>
                </c:pt>
                <c:pt idx="8">
                  <c:v>Machinery industry </c:v>
                </c:pt>
                <c:pt idx="9">
                  <c:v>Specialized retail industry</c:v>
                </c:pt>
              </c:strCache>
            </c:strRef>
          </c:cat>
          <c:val>
            <c:numRef>
              <c:f>主要行业!$C$2:$C$11</c:f>
              <c:numCache>
                <c:formatCode>General</c:formatCode>
                <c:ptCount val="10"/>
                <c:pt idx="0">
                  <c:v>197</c:v>
                </c:pt>
                <c:pt idx="1">
                  <c:v>144</c:v>
                </c:pt>
                <c:pt idx="2">
                  <c:v>118</c:v>
                </c:pt>
                <c:pt idx="3">
                  <c:v>101</c:v>
                </c:pt>
                <c:pt idx="4">
                  <c:v>98</c:v>
                </c:pt>
                <c:pt idx="5">
                  <c:v>84</c:v>
                </c:pt>
                <c:pt idx="6">
                  <c:v>67</c:v>
                </c:pt>
                <c:pt idx="7">
                  <c:v>58</c:v>
                </c:pt>
                <c:pt idx="8">
                  <c:v>56</c:v>
                </c:pt>
                <c:pt idx="9">
                  <c:v>52</c:v>
                </c:pt>
              </c:numCache>
            </c:numRef>
          </c:val>
        </c:ser>
        <c:dLbls>
          <c:showLegendKey val="0"/>
          <c:showVal val="0"/>
          <c:showCatName val="0"/>
          <c:showSerName val="0"/>
          <c:showPercent val="0"/>
          <c:showBubbleSize val="0"/>
        </c:dLbls>
        <c:gapWidth val="219"/>
        <c:overlap val="-27"/>
        <c:axId val="767039032"/>
        <c:axId val="767041328"/>
      </c:barChart>
      <c:catAx>
        <c:axId val="767039032"/>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7041328"/>
        <c:crosses val="autoZero"/>
        <c:auto val="1"/>
        <c:lblAlgn val="ctr"/>
        <c:lblOffset val="100"/>
        <c:noMultiLvlLbl val="0"/>
      </c:catAx>
      <c:valAx>
        <c:axId val="76704132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7039032"/>
        <c:crosses val="autoZero"/>
        <c:crossBetween val="between"/>
      </c:valAx>
      <c:spPr>
        <a:noFill/>
        <a:ln>
          <a:noFill/>
        </a:ln>
        <a:effectLst/>
      </c:spPr>
    </c:plotArea>
    <c:plotVisOnly val="1"/>
    <c:dispBlanksAs val="gap"/>
    <c:showDLblsOverMax val="0"/>
  </c:chart>
  <c:spPr>
    <a:solidFill>
      <a:schemeClr val="bg1"/>
    </a:solidFill>
    <a:ln w="9525">
      <a:solidFill>
        <a:schemeClr val="tx1"/>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前十大行业均值排名!$C$2</c:f>
              <c:strCache>
                <c:ptCount val="1"/>
                <c:pt idx="0">
                  <c:v>Architecture and engineering Ⅲ </c:v>
                </c:pt>
              </c:strCache>
            </c:strRef>
          </c:tx>
          <c:spPr>
            <a:ln w="19050" cap="rnd">
              <a:solidFill>
                <a:schemeClr val="accent1"/>
              </a:solidFill>
              <a:round/>
            </a:ln>
            <a:effectLst/>
          </c:spPr>
          <c:marker>
            <c:symbol val="none"/>
          </c:marker>
          <c:dLbls>
            <c:delete val="1"/>
          </c:dLbls>
          <c:cat>
            <c:numRef>
              <c:f>前十大行业均值排名!$D$1:$V$1</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前十大行业均值排名!$D$2:$V$2</c:f>
              <c:numCache>
                <c:formatCode>General</c:formatCode>
                <c:ptCount val="19"/>
                <c:pt idx="0">
                  <c:v>45.4983907179399</c:v>
                </c:pt>
                <c:pt idx="1">
                  <c:v>65.1554886313046</c:v>
                </c:pt>
                <c:pt idx="2">
                  <c:v>74.7915438546075</c:v>
                </c:pt>
                <c:pt idx="3">
                  <c:v>84.9737662315369</c:v>
                </c:pt>
                <c:pt idx="4">
                  <c:v>56.9028143655686</c:v>
                </c:pt>
                <c:pt idx="5">
                  <c:v>60.1759912656701</c:v>
                </c:pt>
                <c:pt idx="6">
                  <c:v>59.4882544676463</c:v>
                </c:pt>
                <c:pt idx="7">
                  <c:v>55.6606072319878</c:v>
                </c:pt>
                <c:pt idx="8">
                  <c:v>56.0200063643917</c:v>
                </c:pt>
                <c:pt idx="9">
                  <c:v>52.905514977195</c:v>
                </c:pt>
                <c:pt idx="10">
                  <c:v>50.853597190645</c:v>
                </c:pt>
                <c:pt idx="11">
                  <c:v>53.9939378301303</c:v>
                </c:pt>
                <c:pt idx="12">
                  <c:v>57.4453538519437</c:v>
                </c:pt>
                <c:pt idx="13">
                  <c:v>60.4102556364877</c:v>
                </c:pt>
                <c:pt idx="14">
                  <c:v>57.7682184771957</c:v>
                </c:pt>
                <c:pt idx="15">
                  <c:v>55.2456407711424</c:v>
                </c:pt>
                <c:pt idx="16">
                  <c:v>50.0931755367078</c:v>
                </c:pt>
                <c:pt idx="17">
                  <c:v>48.8000463298243</c:v>
                </c:pt>
                <c:pt idx="18">
                  <c:v>47.4106122255325</c:v>
                </c:pt>
              </c:numCache>
            </c:numRef>
          </c:val>
          <c:smooth val="0"/>
        </c:ser>
        <c:ser>
          <c:idx val="1"/>
          <c:order val="1"/>
          <c:tx>
            <c:strRef>
              <c:f>前十大行业均值排名!$C$3</c:f>
              <c:strCache>
                <c:ptCount val="1"/>
                <c:pt idx="0">
                  <c:v>Household durable consumer goods</c:v>
                </c:pt>
              </c:strCache>
            </c:strRef>
          </c:tx>
          <c:spPr>
            <a:ln w="19050" cap="rnd">
              <a:solidFill>
                <a:schemeClr val="accent2"/>
              </a:solidFill>
              <a:round/>
            </a:ln>
            <a:effectLst/>
          </c:spPr>
          <c:marker>
            <c:symbol val="none"/>
          </c:marker>
          <c:dLbls>
            <c:delete val="1"/>
          </c:dLbls>
          <c:cat>
            <c:numRef>
              <c:f>前十大行业均值排名!$D$1:$V$1</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前十大行业均值排名!$D$3:$V$3</c:f>
              <c:numCache>
                <c:formatCode>General</c:formatCode>
                <c:ptCount val="19"/>
                <c:pt idx="0">
                  <c:v>55.060417589934</c:v>
                </c:pt>
                <c:pt idx="1">
                  <c:v>48.1097292900085</c:v>
                </c:pt>
                <c:pt idx="2">
                  <c:v>46.3229654312134</c:v>
                </c:pt>
                <c:pt idx="3">
                  <c:v>52.0618224143982</c:v>
                </c:pt>
                <c:pt idx="4">
                  <c:v>54.6835262900905</c:v>
                </c:pt>
                <c:pt idx="5">
                  <c:v>57.4453545331955</c:v>
                </c:pt>
                <c:pt idx="6">
                  <c:v>55.2388067472549</c:v>
                </c:pt>
                <c:pt idx="7">
                  <c:v>56.3418105045954</c:v>
                </c:pt>
                <c:pt idx="8">
                  <c:v>53.4793291733815</c:v>
                </c:pt>
                <c:pt idx="9">
                  <c:v>51.6919723895558</c:v>
                </c:pt>
                <c:pt idx="10">
                  <c:v>48.4984305106987</c:v>
                </c:pt>
                <c:pt idx="11">
                  <c:v>49.5665134885418</c:v>
                </c:pt>
                <c:pt idx="12">
                  <c:v>49.2946622570356</c:v>
                </c:pt>
                <c:pt idx="13">
                  <c:v>46.6870080184936</c:v>
                </c:pt>
                <c:pt idx="14">
                  <c:v>42.4272112001347</c:v>
                </c:pt>
                <c:pt idx="15">
                  <c:v>41.071445075477</c:v>
                </c:pt>
                <c:pt idx="16">
                  <c:v>41.814708281131</c:v>
                </c:pt>
                <c:pt idx="17">
                  <c:v>41.519260366279</c:v>
                </c:pt>
                <c:pt idx="18">
                  <c:v>43.1982629503523</c:v>
                </c:pt>
              </c:numCache>
            </c:numRef>
          </c:val>
          <c:smooth val="0"/>
        </c:ser>
        <c:ser>
          <c:idx val="2"/>
          <c:order val="2"/>
          <c:tx>
            <c:strRef>
              <c:f>前十大行业均值排名!$C$4</c:f>
              <c:strCache>
                <c:ptCount val="1"/>
                <c:pt idx="0">
                  <c:v>Machinery industry </c:v>
                </c:pt>
              </c:strCache>
            </c:strRef>
          </c:tx>
          <c:spPr>
            <a:ln w="19050" cap="rnd">
              <a:solidFill>
                <a:schemeClr val="accent3"/>
              </a:solidFill>
              <a:round/>
            </a:ln>
            <a:effectLst/>
          </c:spPr>
          <c:marker>
            <c:symbol val="none"/>
          </c:marker>
          <c:dLbls>
            <c:delete val="1"/>
          </c:dLbls>
          <c:cat>
            <c:numRef>
              <c:f>前十大行业均值排名!$D$1:$V$1</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前十大行业均值排名!$D$4:$V$4</c:f>
              <c:numCache>
                <c:formatCode>General</c:formatCode>
                <c:ptCount val="19"/>
                <c:pt idx="0">
                  <c:v>51.4417365681041</c:v>
                </c:pt>
                <c:pt idx="1">
                  <c:v>50.7852532704671</c:v>
                </c:pt>
                <c:pt idx="2">
                  <c:v>57.7315330505371</c:v>
                </c:pt>
                <c:pt idx="3">
                  <c:v>53.3803004096536</c:v>
                </c:pt>
                <c:pt idx="4">
                  <c:v>57.5203000118858</c:v>
                </c:pt>
                <c:pt idx="5">
                  <c:v>56.8601580168072</c:v>
                </c:pt>
                <c:pt idx="6">
                  <c:v>55.7899806976318</c:v>
                </c:pt>
                <c:pt idx="7">
                  <c:v>50.6199885881864</c:v>
                </c:pt>
                <c:pt idx="8">
                  <c:v>51.5406637191772</c:v>
                </c:pt>
                <c:pt idx="9">
                  <c:v>46.904603322347</c:v>
                </c:pt>
                <c:pt idx="10">
                  <c:v>47.0580405768226</c:v>
                </c:pt>
                <c:pt idx="11">
                  <c:v>46.5815192659696</c:v>
                </c:pt>
                <c:pt idx="12">
                  <c:v>44.132119013713</c:v>
                </c:pt>
                <c:pt idx="13">
                  <c:v>43.781094568426</c:v>
                </c:pt>
                <c:pt idx="14">
                  <c:v>42.0984345002608</c:v>
                </c:pt>
                <c:pt idx="15">
                  <c:v>40.0698090110506</c:v>
                </c:pt>
                <c:pt idx="16">
                  <c:v>37.9114544781772</c:v>
                </c:pt>
                <c:pt idx="17">
                  <c:v>36.9565466472081</c:v>
                </c:pt>
                <c:pt idx="18">
                  <c:v>42.7061328887939</c:v>
                </c:pt>
              </c:numCache>
            </c:numRef>
          </c:val>
          <c:smooth val="0"/>
        </c:ser>
        <c:ser>
          <c:idx val="3"/>
          <c:order val="3"/>
          <c:tx>
            <c:strRef>
              <c:f>前十大行业均值排名!$C$5</c:f>
              <c:strCache>
                <c:ptCount val="1"/>
                <c:pt idx="0">
                  <c:v>Electronic equipment, instruments and components</c:v>
                </c:pt>
              </c:strCache>
            </c:strRef>
          </c:tx>
          <c:spPr>
            <a:ln w="19050" cap="rnd">
              <a:solidFill>
                <a:schemeClr val="accent4"/>
              </a:solidFill>
              <a:round/>
            </a:ln>
            <a:effectLst/>
          </c:spPr>
          <c:marker>
            <c:symbol val="none"/>
          </c:marker>
          <c:dLbls>
            <c:delete val="1"/>
          </c:dLbls>
          <c:cat>
            <c:numRef>
              <c:f>前十大行业均值排名!$D$1:$V$1</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前十大行业均值排名!$D$5:$V$5</c:f>
              <c:numCache>
                <c:formatCode>General</c:formatCode>
                <c:ptCount val="19"/>
                <c:pt idx="0">
                  <c:v>49.9940182367961</c:v>
                </c:pt>
                <c:pt idx="1">
                  <c:v>43.0977763313996</c:v>
                </c:pt>
                <c:pt idx="2">
                  <c:v>49.1551250761205</c:v>
                </c:pt>
                <c:pt idx="3">
                  <c:v>50.4138320350647</c:v>
                </c:pt>
                <c:pt idx="4">
                  <c:v>51.1740607193538</c:v>
                </c:pt>
                <c:pt idx="5">
                  <c:v>48.6003298341182</c:v>
                </c:pt>
                <c:pt idx="6">
                  <c:v>55.1919794839526</c:v>
                </c:pt>
                <c:pt idx="7">
                  <c:v>48.4590323188088</c:v>
                </c:pt>
                <c:pt idx="8">
                  <c:v>58.8762183133294</c:v>
                </c:pt>
                <c:pt idx="9">
                  <c:v>62.2608308954672</c:v>
                </c:pt>
                <c:pt idx="10">
                  <c:v>46.9541674049004</c:v>
                </c:pt>
                <c:pt idx="11">
                  <c:v>43.3640287738663</c:v>
                </c:pt>
                <c:pt idx="12">
                  <c:v>42.1683627387225</c:v>
                </c:pt>
                <c:pt idx="13">
                  <c:v>42.9791977223549</c:v>
                </c:pt>
                <c:pt idx="14">
                  <c:v>42.8152136751216</c:v>
                </c:pt>
                <c:pt idx="15">
                  <c:v>43.1636743777328</c:v>
                </c:pt>
                <c:pt idx="16">
                  <c:v>42.7396103143692</c:v>
                </c:pt>
                <c:pt idx="17">
                  <c:v>41.6125591657531</c:v>
                </c:pt>
                <c:pt idx="18">
                  <c:v>44.1323769956395</c:v>
                </c:pt>
              </c:numCache>
            </c:numRef>
          </c:val>
          <c:smooth val="0"/>
        </c:ser>
        <c:ser>
          <c:idx val="4"/>
          <c:order val="4"/>
          <c:tx>
            <c:strRef>
              <c:f>前十大行业均值排名!$C$6</c:f>
              <c:strCache>
                <c:ptCount val="1"/>
                <c:pt idx="0">
                  <c:v>Hotels, restaurants and leisure Ⅲ</c:v>
                </c:pt>
              </c:strCache>
            </c:strRef>
          </c:tx>
          <c:spPr>
            <a:ln w="19050" cap="rnd">
              <a:solidFill>
                <a:schemeClr val="accent5"/>
              </a:solidFill>
              <a:round/>
            </a:ln>
            <a:effectLst/>
          </c:spPr>
          <c:marker>
            <c:symbol val="none"/>
          </c:marker>
          <c:dLbls>
            <c:delete val="1"/>
          </c:dLbls>
          <c:cat>
            <c:numRef>
              <c:f>前十大行业均值排名!$D$1:$V$1</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前十大行业均值排名!$D$6:$V$6</c:f>
              <c:numCache>
                <c:formatCode>General</c:formatCode>
                <c:ptCount val="19"/>
                <c:pt idx="0">
                  <c:v>42.9156171321869</c:v>
                </c:pt>
                <c:pt idx="1">
                  <c:v>50.5618900473301</c:v>
                </c:pt>
                <c:pt idx="2">
                  <c:v>43.4284073600063</c:v>
                </c:pt>
                <c:pt idx="3">
                  <c:v>42.1898669192665</c:v>
                </c:pt>
                <c:pt idx="4">
                  <c:v>38.6157154790286</c:v>
                </c:pt>
                <c:pt idx="5">
                  <c:v>44.480191113656</c:v>
                </c:pt>
                <c:pt idx="6">
                  <c:v>48.0473267436028</c:v>
                </c:pt>
                <c:pt idx="7">
                  <c:v>33.7540337270306</c:v>
                </c:pt>
                <c:pt idx="8">
                  <c:v>69.9883292299328</c:v>
                </c:pt>
                <c:pt idx="9">
                  <c:v>80.1773027356933</c:v>
                </c:pt>
                <c:pt idx="10">
                  <c:v>57.0221227424245</c:v>
                </c:pt>
                <c:pt idx="11">
                  <c:v>47.574564469488</c:v>
                </c:pt>
                <c:pt idx="12">
                  <c:v>41.7485011986324</c:v>
                </c:pt>
                <c:pt idx="13">
                  <c:v>39.1695488512516</c:v>
                </c:pt>
                <c:pt idx="14">
                  <c:v>36.6120149168101</c:v>
                </c:pt>
                <c:pt idx="15">
                  <c:v>40.4202651608851</c:v>
                </c:pt>
                <c:pt idx="16">
                  <c:v>40.5578030007226</c:v>
                </c:pt>
                <c:pt idx="17">
                  <c:v>41.5701427435388</c:v>
                </c:pt>
                <c:pt idx="18">
                  <c:v>41.9773086945216</c:v>
                </c:pt>
              </c:numCache>
            </c:numRef>
          </c:val>
          <c:smooth val="0"/>
        </c:ser>
        <c:ser>
          <c:idx val="5"/>
          <c:order val="5"/>
          <c:tx>
            <c:strRef>
              <c:f>前十大行业均值排名!$C$7</c:f>
              <c:strCache>
                <c:ptCount val="1"/>
                <c:pt idx="0">
                  <c:v>Real estate management and development</c:v>
                </c:pt>
              </c:strCache>
            </c:strRef>
          </c:tx>
          <c:spPr>
            <a:ln w="19050" cap="rnd">
              <a:solidFill>
                <a:schemeClr val="accent6"/>
              </a:solidFill>
              <a:round/>
            </a:ln>
            <a:effectLst/>
          </c:spPr>
          <c:marker>
            <c:symbol val="none"/>
          </c:marker>
          <c:dLbls>
            <c:delete val="1"/>
          </c:dLbls>
          <c:cat>
            <c:numRef>
              <c:f>前十大行业均值排名!$D$1:$V$1</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前十大行业均值排名!$D$7:$V$7</c:f>
              <c:numCache>
                <c:formatCode>General</c:formatCode>
                <c:ptCount val="19"/>
                <c:pt idx="0">
                  <c:v>44.8617142672391</c:v>
                </c:pt>
                <c:pt idx="1">
                  <c:v>42.9433901910182</c:v>
                </c:pt>
                <c:pt idx="2">
                  <c:v>39.4083527488093</c:v>
                </c:pt>
                <c:pt idx="3">
                  <c:v>43.0402033074097</c:v>
                </c:pt>
                <c:pt idx="4">
                  <c:v>40.7352377220436</c:v>
                </c:pt>
                <c:pt idx="5">
                  <c:v>43.5394597862974</c:v>
                </c:pt>
                <c:pt idx="6">
                  <c:v>49.2415089917606</c:v>
                </c:pt>
                <c:pt idx="7">
                  <c:v>45.1196123842607</c:v>
                </c:pt>
                <c:pt idx="8">
                  <c:v>47.1652568329212</c:v>
                </c:pt>
                <c:pt idx="9">
                  <c:v>48.2220908694489</c:v>
                </c:pt>
                <c:pt idx="10">
                  <c:v>48.2420938995149</c:v>
                </c:pt>
                <c:pt idx="11">
                  <c:v>46.2050138257485</c:v>
                </c:pt>
                <c:pt idx="12">
                  <c:v>47.2626472279832</c:v>
                </c:pt>
                <c:pt idx="13">
                  <c:v>43.9878625270517</c:v>
                </c:pt>
                <c:pt idx="14">
                  <c:v>44.8960305004524</c:v>
                </c:pt>
                <c:pt idx="15">
                  <c:v>44.6478925533784</c:v>
                </c:pt>
                <c:pt idx="16">
                  <c:v>45.5266852415153</c:v>
                </c:pt>
                <c:pt idx="17">
                  <c:v>46.7626387622892</c:v>
                </c:pt>
                <c:pt idx="18">
                  <c:v>48.1923803391347</c:v>
                </c:pt>
              </c:numCache>
            </c:numRef>
          </c:val>
          <c:smooth val="0"/>
        </c:ser>
        <c:ser>
          <c:idx val="6"/>
          <c:order val="6"/>
          <c:tx>
            <c:strRef>
              <c:f>前十大行业均值排名!$C$8</c:f>
              <c:strCache>
                <c:ptCount val="1"/>
                <c:pt idx="0">
                  <c:v>Media industry Ⅲ</c:v>
                </c:pt>
              </c:strCache>
            </c:strRef>
          </c:tx>
          <c:spPr>
            <a:ln w="19050" cap="rnd">
              <a:solidFill>
                <a:schemeClr val="accent1">
                  <a:lumMod val="60000"/>
                </a:schemeClr>
              </a:solidFill>
              <a:round/>
            </a:ln>
            <a:effectLst/>
          </c:spPr>
          <c:marker>
            <c:symbol val="none"/>
          </c:marker>
          <c:dLbls>
            <c:delete val="1"/>
          </c:dLbls>
          <c:cat>
            <c:numRef>
              <c:f>前十大行业均值排名!$D$1:$V$1</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前十大行业均值排名!$D$8:$V$8</c:f>
              <c:numCache>
                <c:formatCode>General</c:formatCode>
                <c:ptCount val="19"/>
                <c:pt idx="0">
                  <c:v>42.6520411639378</c:v>
                </c:pt>
                <c:pt idx="1">
                  <c:v>39.5314192705684</c:v>
                </c:pt>
                <c:pt idx="2">
                  <c:v>42.2828341939233</c:v>
                </c:pt>
                <c:pt idx="3">
                  <c:v>40.4390911080621</c:v>
                </c:pt>
                <c:pt idx="4">
                  <c:v>52.8136046347411</c:v>
                </c:pt>
                <c:pt idx="5">
                  <c:v>65.6731660763423</c:v>
                </c:pt>
                <c:pt idx="6">
                  <c:v>61.5949364973574</c:v>
                </c:pt>
                <c:pt idx="7">
                  <c:v>47.3585648022446</c:v>
                </c:pt>
                <c:pt idx="8">
                  <c:v>52.0363621981639</c:v>
                </c:pt>
                <c:pt idx="9">
                  <c:v>40.1616573731105</c:v>
                </c:pt>
                <c:pt idx="10">
                  <c:v>38.148192974559</c:v>
                </c:pt>
                <c:pt idx="11">
                  <c:v>32.53197231786</c:v>
                </c:pt>
                <c:pt idx="12">
                  <c:v>34.9308716773987</c:v>
                </c:pt>
                <c:pt idx="13">
                  <c:v>36.7596229007167</c:v>
                </c:pt>
                <c:pt idx="14">
                  <c:v>35.8550718575716</c:v>
                </c:pt>
                <c:pt idx="15">
                  <c:v>33.9257552303485</c:v>
                </c:pt>
                <c:pt idx="16">
                  <c:v>36.4886446426164</c:v>
                </c:pt>
                <c:pt idx="17">
                  <c:v>34.2037207083916</c:v>
                </c:pt>
                <c:pt idx="18">
                  <c:v>42.0903594300554</c:v>
                </c:pt>
              </c:numCache>
            </c:numRef>
          </c:val>
          <c:smooth val="0"/>
        </c:ser>
        <c:ser>
          <c:idx val="7"/>
          <c:order val="7"/>
          <c:tx>
            <c:strRef>
              <c:f>前十大行业均值排名!$C$9</c:f>
              <c:strCache>
                <c:ptCount val="1"/>
                <c:pt idx="0">
                  <c:v>Business services and supplies</c:v>
                </c:pt>
              </c:strCache>
            </c:strRef>
          </c:tx>
          <c:spPr>
            <a:ln w="19050" cap="rnd">
              <a:solidFill>
                <a:schemeClr val="accent2">
                  <a:lumMod val="60000"/>
                </a:schemeClr>
              </a:solidFill>
              <a:round/>
            </a:ln>
            <a:effectLst/>
          </c:spPr>
          <c:marker>
            <c:symbol val="none"/>
          </c:marker>
          <c:dLbls>
            <c:delete val="1"/>
          </c:dLbls>
          <c:cat>
            <c:numRef>
              <c:f>前十大行业均值排名!$D$1:$V$1</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前十大行业均值排名!$D$9:$V$9</c:f>
              <c:numCache>
                <c:formatCode>General</c:formatCode>
                <c:ptCount val="19"/>
                <c:pt idx="0">
                  <c:v>38.718699822059</c:v>
                </c:pt>
                <c:pt idx="1">
                  <c:v>30.8200563341379</c:v>
                </c:pt>
                <c:pt idx="2">
                  <c:v>29.5070374011993</c:v>
                </c:pt>
                <c:pt idx="3">
                  <c:v>55.6054181912366</c:v>
                </c:pt>
                <c:pt idx="4">
                  <c:v>42.4423108233346</c:v>
                </c:pt>
                <c:pt idx="5">
                  <c:v>47.3506814752306</c:v>
                </c:pt>
                <c:pt idx="6">
                  <c:v>47.927062223355</c:v>
                </c:pt>
                <c:pt idx="7">
                  <c:v>38.031371007363</c:v>
                </c:pt>
                <c:pt idx="8">
                  <c:v>35.0602072609795</c:v>
                </c:pt>
                <c:pt idx="9">
                  <c:v>35.4207136795439</c:v>
                </c:pt>
                <c:pt idx="10">
                  <c:v>49.132312890022</c:v>
                </c:pt>
                <c:pt idx="11">
                  <c:v>40.2657365610725</c:v>
                </c:pt>
                <c:pt idx="12">
                  <c:v>43.6808800458908</c:v>
                </c:pt>
                <c:pt idx="13">
                  <c:v>39.7145578473113</c:v>
                </c:pt>
                <c:pt idx="14">
                  <c:v>45.4905039796642</c:v>
                </c:pt>
                <c:pt idx="15">
                  <c:v>43.1466404345998</c:v>
                </c:pt>
                <c:pt idx="16">
                  <c:v>41.6852084502839</c:v>
                </c:pt>
                <c:pt idx="17">
                  <c:v>40.5404122084902</c:v>
                </c:pt>
                <c:pt idx="18">
                  <c:v>46.7358849749846</c:v>
                </c:pt>
              </c:numCache>
            </c:numRef>
          </c:val>
          <c:smooth val="0"/>
        </c:ser>
        <c:ser>
          <c:idx val="8"/>
          <c:order val="8"/>
          <c:tx>
            <c:strRef>
              <c:f>前十大行业均值排名!$C$10</c:f>
              <c:strCache>
                <c:ptCount val="1"/>
                <c:pt idx="0">
                  <c:v>Specialized retail industry</c:v>
                </c:pt>
              </c:strCache>
            </c:strRef>
          </c:tx>
          <c:spPr>
            <a:ln w="19050" cap="rnd">
              <a:solidFill>
                <a:schemeClr val="accent3">
                  <a:lumMod val="60000"/>
                </a:schemeClr>
              </a:solidFill>
              <a:round/>
            </a:ln>
            <a:effectLst/>
          </c:spPr>
          <c:marker>
            <c:symbol val="none"/>
          </c:marker>
          <c:dLbls>
            <c:delete val="1"/>
          </c:dLbls>
          <c:cat>
            <c:numRef>
              <c:f>前十大行业均值排名!$D$1:$V$1</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前十大行业均值排名!$D$10:$V$10</c:f>
              <c:numCache>
                <c:formatCode>General</c:formatCode>
                <c:ptCount val="19"/>
                <c:pt idx="0">
                  <c:v>44.9868765438304</c:v>
                </c:pt>
                <c:pt idx="1">
                  <c:v>34.2463482397574</c:v>
                </c:pt>
                <c:pt idx="2">
                  <c:v>43.3526072331837</c:v>
                </c:pt>
                <c:pt idx="3">
                  <c:v>56.6686999551181</c:v>
                </c:pt>
                <c:pt idx="4">
                  <c:v>48.5009514709999</c:v>
                </c:pt>
                <c:pt idx="5">
                  <c:v>44.1185932467061</c:v>
                </c:pt>
                <c:pt idx="6">
                  <c:v>44.9950057864189</c:v>
                </c:pt>
                <c:pt idx="7">
                  <c:v>43.9150636340633</c:v>
                </c:pt>
                <c:pt idx="8">
                  <c:v>42.9094529284371</c:v>
                </c:pt>
                <c:pt idx="9">
                  <c:v>41.7880469693078</c:v>
                </c:pt>
                <c:pt idx="10">
                  <c:v>41.2650998677963</c:v>
                </c:pt>
                <c:pt idx="11">
                  <c:v>41.9849351763725</c:v>
                </c:pt>
                <c:pt idx="12">
                  <c:v>39.4136974090754</c:v>
                </c:pt>
                <c:pt idx="13">
                  <c:v>39.7048393515653</c:v>
                </c:pt>
                <c:pt idx="14">
                  <c:v>39.8355541133881</c:v>
                </c:pt>
                <c:pt idx="15">
                  <c:v>36.3547551070943</c:v>
                </c:pt>
                <c:pt idx="16">
                  <c:v>36.3580481914374</c:v>
                </c:pt>
                <c:pt idx="17">
                  <c:v>34.0663077968818</c:v>
                </c:pt>
                <c:pt idx="18">
                  <c:v>33.2918756871388</c:v>
                </c:pt>
              </c:numCache>
            </c:numRef>
          </c:val>
          <c:smooth val="0"/>
        </c:ser>
        <c:ser>
          <c:idx val="9"/>
          <c:order val="9"/>
          <c:tx>
            <c:strRef>
              <c:f>前十大行业均值排名!$C$11</c:f>
              <c:strCache>
                <c:ptCount val="1"/>
                <c:pt idx="0">
                  <c:v>Textiles, clothing and luxury goods</c:v>
                </c:pt>
              </c:strCache>
            </c:strRef>
          </c:tx>
          <c:spPr>
            <a:ln w="19050" cap="rnd">
              <a:solidFill>
                <a:schemeClr val="accent4">
                  <a:lumMod val="60000"/>
                </a:schemeClr>
              </a:solidFill>
              <a:round/>
            </a:ln>
            <a:effectLst/>
          </c:spPr>
          <c:marker>
            <c:symbol val="none"/>
          </c:marker>
          <c:dLbls>
            <c:delete val="1"/>
          </c:dLbls>
          <c:cat>
            <c:numRef>
              <c:f>前十大行业均值排名!$D$1:$V$1</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前十大行业均值排名!$D$11:$V$11</c:f>
              <c:numCache>
                <c:formatCode>General</c:formatCode>
                <c:ptCount val="19"/>
                <c:pt idx="0">
                  <c:v>39.3479882049561</c:v>
                </c:pt>
                <c:pt idx="1">
                  <c:v>39.2349489830636</c:v>
                </c:pt>
                <c:pt idx="2">
                  <c:v>40.4859025239944</c:v>
                </c:pt>
                <c:pt idx="3">
                  <c:v>43.3842718497567</c:v>
                </c:pt>
                <c:pt idx="4">
                  <c:v>41.5352124583964</c:v>
                </c:pt>
                <c:pt idx="5">
                  <c:v>45.2230841255188</c:v>
                </c:pt>
                <c:pt idx="6">
                  <c:v>49.8945501400874</c:v>
                </c:pt>
                <c:pt idx="7">
                  <c:v>44.5896360570734</c:v>
                </c:pt>
                <c:pt idx="8">
                  <c:v>36.3085655343944</c:v>
                </c:pt>
                <c:pt idx="9">
                  <c:v>33.8128867546717</c:v>
                </c:pt>
                <c:pt idx="10">
                  <c:v>34.7634347961062</c:v>
                </c:pt>
                <c:pt idx="11">
                  <c:v>36.9828511384817</c:v>
                </c:pt>
                <c:pt idx="12">
                  <c:v>40.0745210647583</c:v>
                </c:pt>
                <c:pt idx="13">
                  <c:v>40.5015871004127</c:v>
                </c:pt>
                <c:pt idx="14">
                  <c:v>39.0834396068866</c:v>
                </c:pt>
                <c:pt idx="15">
                  <c:v>37.5088325811892</c:v>
                </c:pt>
                <c:pt idx="16">
                  <c:v>36.4079848861694</c:v>
                </c:pt>
                <c:pt idx="17">
                  <c:v>38.1873941040039</c:v>
                </c:pt>
                <c:pt idx="18">
                  <c:v>38.6957532483704</c:v>
                </c:pt>
              </c:numCache>
            </c:numRef>
          </c:val>
          <c:smooth val="0"/>
        </c:ser>
        <c:dLbls>
          <c:showLegendKey val="0"/>
          <c:showVal val="0"/>
          <c:showCatName val="0"/>
          <c:showSerName val="0"/>
          <c:showPercent val="0"/>
          <c:showBubbleSize val="0"/>
        </c:dLbls>
        <c:marker val="0"/>
        <c:smooth val="0"/>
        <c:axId val="772229832"/>
        <c:axId val="772226552"/>
      </c:lineChart>
      <c:catAx>
        <c:axId val="772229832"/>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2226552"/>
        <c:crosses val="autoZero"/>
        <c:auto val="1"/>
        <c:lblAlgn val="ctr"/>
        <c:lblOffset val="100"/>
        <c:noMultiLvlLbl val="0"/>
      </c:catAx>
      <c:valAx>
        <c:axId val="77222655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2229832"/>
        <c:crosses val="autoZero"/>
        <c:crossBetween val="between"/>
      </c:valAx>
      <c:spPr>
        <a:noFill/>
        <a:ln>
          <a:noFill/>
        </a:ln>
        <a:effectLst/>
      </c:spPr>
    </c:plotArea>
    <c:legend>
      <c:legendPos val="b"/>
      <c:layout>
        <c:manualLayout>
          <c:xMode val="edge"/>
          <c:yMode val="edge"/>
          <c:x val="0"/>
          <c:y val="0.556849958471911"/>
          <c:w val="1"/>
          <c:h val="0.320318780972277"/>
        </c:manualLayou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Greater bay area </c:f>
              <c:strCache>
                <c:ptCount val="1"/>
                <c:pt idx="0">
                  <c:v>Greater bay area </c:v>
                </c:pt>
              </c:strCache>
            </c:strRef>
          </c:tx>
          <c:spPr>
            <a:ln w="19050" cap="rnd">
              <a:solidFill>
                <a:schemeClr val="accent1"/>
              </a:solidFill>
              <a:round/>
            </a:ln>
            <a:effectLst/>
          </c:spPr>
          <c:marker>
            <c:symbol val="none"/>
          </c:marker>
          <c:dLbls>
            <c:delete val="1"/>
          </c:dLbls>
          <c:cat>
            <c:numRef>
              <c:f>[1]地区!$C$4:$C$22</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[1]地区!$F$4:$F$22</c:f>
              <c:numCache>
                <c:formatCode>General</c:formatCode>
                <c:ptCount val="19"/>
                <c:pt idx="0">
                  <c:v>46.96189</c:v>
                </c:pt>
                <c:pt idx="1">
                  <c:v>46.1524</c:v>
                </c:pt>
                <c:pt idx="2">
                  <c:v>44.3711</c:v>
                </c:pt>
                <c:pt idx="3">
                  <c:v>47.03957</c:v>
                </c:pt>
                <c:pt idx="4">
                  <c:v>47.32265</c:v>
                </c:pt>
                <c:pt idx="5">
                  <c:v>52.53878</c:v>
                </c:pt>
                <c:pt idx="6">
                  <c:v>54.21748</c:v>
                </c:pt>
                <c:pt idx="7">
                  <c:v>47.66249</c:v>
                </c:pt>
                <c:pt idx="8">
                  <c:v>53.45887</c:v>
                </c:pt>
                <c:pt idx="9">
                  <c:v>52.86591</c:v>
                </c:pt>
                <c:pt idx="10">
                  <c:v>47.17399</c:v>
                </c:pt>
                <c:pt idx="11">
                  <c:v>43.67607</c:v>
                </c:pt>
                <c:pt idx="12">
                  <c:v>44.22472</c:v>
                </c:pt>
                <c:pt idx="13">
                  <c:v>44.32536</c:v>
                </c:pt>
                <c:pt idx="14">
                  <c:v>44.14228</c:v>
                </c:pt>
                <c:pt idx="15">
                  <c:v>43.1801</c:v>
                </c:pt>
                <c:pt idx="16">
                  <c:v>42.00975</c:v>
                </c:pt>
                <c:pt idx="17">
                  <c:v>41.55914</c:v>
                </c:pt>
                <c:pt idx="18">
                  <c:v>42.89246</c:v>
                </c:pt>
              </c:numCache>
            </c:numRef>
          </c:val>
          <c:smooth val="0"/>
        </c:ser>
        <c:ser>
          <c:idx val="1"/>
          <c:order val="1"/>
          <c:tx>
            <c:strRef>
              <c:f>Hong Kong</c:f>
              <c:strCache>
                <c:ptCount val="1"/>
                <c:pt idx="0">
                  <c:v>Hong Kong</c:v>
                </c:pt>
              </c:strCache>
            </c:strRef>
          </c:tx>
          <c:spPr>
            <a:ln w="19050" cap="rnd">
              <a:solidFill>
                <a:schemeClr val="accent2"/>
              </a:solidFill>
              <a:round/>
            </a:ln>
            <a:effectLst/>
          </c:spPr>
          <c:marker>
            <c:symbol val="none"/>
          </c:marker>
          <c:dLbls>
            <c:delete val="1"/>
          </c:dLbls>
          <c:val>
            <c:numRef>
              <c:f>[1]地区!$N$4:$N$22</c:f>
              <c:numCache>
                <c:formatCode>General</c:formatCode>
                <c:ptCount val="19"/>
                <c:pt idx="0">
                  <c:v>47.58807</c:v>
                </c:pt>
                <c:pt idx="1">
                  <c:v>46.48292</c:v>
                </c:pt>
                <c:pt idx="2">
                  <c:v>44.05674</c:v>
                </c:pt>
                <c:pt idx="3">
                  <c:v>46.65937</c:v>
                </c:pt>
                <c:pt idx="4">
                  <c:v>46.16544</c:v>
                </c:pt>
                <c:pt idx="5">
                  <c:v>51.92029</c:v>
                </c:pt>
                <c:pt idx="6">
                  <c:v>52.81136</c:v>
                </c:pt>
                <c:pt idx="7">
                  <c:v>44.59941</c:v>
                </c:pt>
                <c:pt idx="8">
                  <c:v>54.05743</c:v>
                </c:pt>
                <c:pt idx="9">
                  <c:v>54.40618</c:v>
                </c:pt>
                <c:pt idx="10">
                  <c:v>49.40587</c:v>
                </c:pt>
                <c:pt idx="11">
                  <c:v>44.73812</c:v>
                </c:pt>
                <c:pt idx="12">
                  <c:v>44.94034</c:v>
                </c:pt>
                <c:pt idx="13">
                  <c:v>44.47068</c:v>
                </c:pt>
                <c:pt idx="14">
                  <c:v>43.8246</c:v>
                </c:pt>
                <c:pt idx="15">
                  <c:v>42.64872</c:v>
                </c:pt>
                <c:pt idx="16">
                  <c:v>41.51255</c:v>
                </c:pt>
                <c:pt idx="17">
                  <c:v>41.03932</c:v>
                </c:pt>
                <c:pt idx="18">
                  <c:v>41.51593</c:v>
                </c:pt>
              </c:numCache>
            </c:numRef>
          </c:val>
          <c:smooth val="0"/>
        </c:ser>
        <c:ser>
          <c:idx val="2"/>
          <c:order val="2"/>
          <c:tx>
            <c:strRef>
              <c:f>Guangdong</c:f>
              <c:strCache>
                <c:ptCount val="1"/>
                <c:pt idx="0">
                  <c:v>Guangdong</c:v>
                </c:pt>
              </c:strCache>
            </c:strRef>
          </c:tx>
          <c:spPr>
            <a:ln w="19050" cap="rnd">
              <a:solidFill>
                <a:schemeClr val="accent3"/>
              </a:solidFill>
              <a:round/>
            </a:ln>
            <a:effectLst/>
          </c:spPr>
          <c:marker>
            <c:symbol val="none"/>
          </c:marker>
          <c:dLbls>
            <c:delete val="1"/>
          </c:dLbls>
          <c:val>
            <c:numRef>
              <c:f>[1]地区!$U$4:$U$22</c:f>
              <c:numCache>
                <c:formatCode>General</c:formatCode>
                <c:ptCount val="19"/>
                <c:pt idx="0">
                  <c:v>45.80713</c:v>
                </c:pt>
                <c:pt idx="1">
                  <c:v>45.64186</c:v>
                </c:pt>
                <c:pt idx="2">
                  <c:v>46.65436</c:v>
                </c:pt>
                <c:pt idx="3">
                  <c:v>49.18532</c:v>
                </c:pt>
                <c:pt idx="4">
                  <c:v>51.69153</c:v>
                </c:pt>
                <c:pt idx="5">
                  <c:v>55.14752</c:v>
                </c:pt>
                <c:pt idx="6">
                  <c:v>58.18227</c:v>
                </c:pt>
                <c:pt idx="7">
                  <c:v>54.48394</c:v>
                </c:pt>
                <c:pt idx="8">
                  <c:v>52.6875</c:v>
                </c:pt>
                <c:pt idx="9">
                  <c:v>50.36953</c:v>
                </c:pt>
                <c:pt idx="10">
                  <c:v>43.16903</c:v>
                </c:pt>
                <c:pt idx="11">
                  <c:v>42.18845</c:v>
                </c:pt>
                <c:pt idx="12">
                  <c:v>43.4563</c:v>
                </c:pt>
                <c:pt idx="13">
                  <c:v>44.28724</c:v>
                </c:pt>
                <c:pt idx="14">
                  <c:v>44.60069</c:v>
                </c:pt>
                <c:pt idx="15">
                  <c:v>43.97807</c:v>
                </c:pt>
                <c:pt idx="16">
                  <c:v>42.72273</c:v>
                </c:pt>
                <c:pt idx="17">
                  <c:v>42.28634</c:v>
                </c:pt>
                <c:pt idx="18">
                  <c:v>46.22781</c:v>
                </c:pt>
              </c:numCache>
            </c:numRef>
          </c:val>
          <c:smooth val="0"/>
        </c:ser>
        <c:ser>
          <c:idx val="3"/>
          <c:order val="3"/>
          <c:tx>
            <c:strRef>
              <c:f>Macao</c:f>
              <c:strCache>
                <c:ptCount val="1"/>
                <c:pt idx="0">
                  <c:v>Macao</c:v>
                </c:pt>
              </c:strCache>
            </c:strRef>
          </c:tx>
          <c:spPr>
            <a:ln w="19050" cap="rnd">
              <a:solidFill>
                <a:schemeClr val="accent4"/>
              </a:solidFill>
              <a:round/>
            </a:ln>
            <a:effectLst/>
          </c:spPr>
          <c:marker>
            <c:symbol val="none"/>
          </c:marker>
          <c:dLbls>
            <c:delete val="1"/>
          </c:dLbls>
          <c:val>
            <c:numRef>
              <c:f>[1]地区!$AB$4:$AB$22</c:f>
              <c:numCache>
                <c:formatCode>General</c:formatCode>
                <c:ptCount val="19"/>
                <c:pt idx="0">
                  <c:v>30.84209</c:v>
                </c:pt>
                <c:pt idx="1">
                  <c:v>29.72219</c:v>
                </c:pt>
                <c:pt idx="2">
                  <c:v>27.44384</c:v>
                </c:pt>
                <c:pt idx="3">
                  <c:v>34.14826</c:v>
                </c:pt>
                <c:pt idx="4">
                  <c:v>34.47706</c:v>
                </c:pt>
                <c:pt idx="5">
                  <c:v>35.07342</c:v>
                </c:pt>
                <c:pt idx="6">
                  <c:v>45.39902</c:v>
                </c:pt>
                <c:pt idx="7">
                  <c:v>32.1418</c:v>
                </c:pt>
                <c:pt idx="8">
                  <c:v>42.01375</c:v>
                </c:pt>
                <c:pt idx="9">
                  <c:v>45.33139</c:v>
                </c:pt>
                <c:pt idx="10">
                  <c:v>50.41473</c:v>
                </c:pt>
                <c:pt idx="11">
                  <c:v>39.52022</c:v>
                </c:pt>
                <c:pt idx="12">
                  <c:v>32.77619</c:v>
                </c:pt>
                <c:pt idx="13">
                  <c:v>36.57591</c:v>
                </c:pt>
                <c:pt idx="14">
                  <c:v>44.54546</c:v>
                </c:pt>
                <c:pt idx="15">
                  <c:v>43.48956</c:v>
                </c:pt>
                <c:pt idx="16">
                  <c:v>43.63269</c:v>
                </c:pt>
                <c:pt idx="17">
                  <c:v>43.70276</c:v>
                </c:pt>
                <c:pt idx="18">
                  <c:v>39.04389</c:v>
                </c:pt>
              </c:numCache>
            </c:numRef>
          </c:val>
          <c:smooth val="0"/>
        </c:ser>
        <c:dLbls>
          <c:showLegendKey val="0"/>
          <c:showVal val="0"/>
          <c:showCatName val="0"/>
          <c:showSerName val="0"/>
          <c:showPercent val="0"/>
          <c:showBubbleSize val="0"/>
        </c:dLbls>
        <c:marker val="0"/>
        <c:smooth val="0"/>
        <c:axId val="769055856"/>
        <c:axId val="769053232"/>
      </c:lineChart>
      <c:catAx>
        <c:axId val="769055856"/>
        <c:scaling>
          <c:orientation val="minMax"/>
        </c:scaling>
        <c:delete val="0"/>
        <c:axPos val="b"/>
        <c:numFmt formatCode="General" sourceLinked="0"/>
        <c:majorTickMark val="out"/>
        <c:minorTickMark val="none"/>
        <c:tickLblPos val="low"/>
        <c:spPr>
          <a:noFill/>
          <a:ln w="9525">
            <a:solidFill>
              <a:schemeClr val="tx2">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2"/>
                </a:solidFill>
                <a:latin typeface="+mn-lt"/>
                <a:ea typeface="+mn-ea"/>
                <a:cs typeface="+mn-cs"/>
              </a:defRPr>
            </a:pPr>
          </a:p>
        </c:txPr>
        <c:crossAx val="769053232"/>
        <c:crosses val="autoZero"/>
        <c:auto val="1"/>
        <c:lblAlgn val="ctr"/>
        <c:lblOffset val="100"/>
        <c:noMultiLvlLbl val="0"/>
      </c:catAx>
      <c:valAx>
        <c:axId val="769053232"/>
        <c:scaling>
          <c:orientation val="minMax"/>
        </c:scaling>
        <c:delete val="0"/>
        <c:axPos val="l"/>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2"/>
                </a:solidFill>
                <a:latin typeface="+mn-lt"/>
                <a:ea typeface="+mn-ea"/>
                <a:cs typeface="+mn-cs"/>
              </a:defRPr>
            </a:pPr>
          </a:p>
        </c:txPr>
        <c:crossAx val="769055856"/>
        <c:crossesAt val="1"/>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2"/>
              </a:solidFill>
              <a:latin typeface="+mn-lt"/>
              <a:ea typeface="+mn-ea"/>
              <a:cs typeface="+mn-cs"/>
            </a:defRPr>
          </a:pPr>
        </a:p>
      </c:txPr>
    </c:legend>
    <c:plotVisOnly val="1"/>
    <c:dispBlanksAs val="gap"/>
    <c:showDLblsOverMax val="0"/>
  </c:chart>
  <c:spPr>
    <a:solidFill>
      <a:schemeClr val="bg1"/>
    </a:solidFill>
    <a:ln w="9525">
      <a:solidFill>
        <a:schemeClr val="tx1"/>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61593280839895"/>
          <c:y val="0.054917623564653"/>
          <c:w val="0.909073385826772"/>
          <c:h val="0.612196665631474"/>
        </c:manualLayout>
      </c:layout>
      <c:lineChart>
        <c:grouping val="standard"/>
        <c:varyColors val="0"/>
        <c:ser>
          <c:idx val="0"/>
          <c:order val="0"/>
          <c:tx>
            <c:strRef>
              <c:f>Other areas of China</c:f>
              <c:strCache>
                <c:ptCount val="1"/>
                <c:pt idx="0">
                  <c:v>Other areas of China</c:v>
                </c:pt>
              </c:strCache>
            </c:strRef>
          </c:tx>
          <c:spPr>
            <a:ln w="19050" cap="rnd">
              <a:solidFill>
                <a:schemeClr val="accent1"/>
              </a:solidFill>
              <a:round/>
            </a:ln>
            <a:effectLst/>
          </c:spPr>
          <c:marker>
            <c:symbol val="none"/>
          </c:marker>
          <c:dLbls>
            <c:delete val="1"/>
          </c:dLbls>
          <c:cat>
            <c:numRef>
              <c:f>Sheet3!$D$5:$D$23</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Sheet3!$G$5:$G$23</c:f>
              <c:numCache>
                <c:formatCode>General</c:formatCode>
                <c:ptCount val="19"/>
                <c:pt idx="0">
                  <c:v>44.65386</c:v>
                </c:pt>
                <c:pt idx="1">
                  <c:v>45.65467</c:v>
                </c:pt>
                <c:pt idx="2">
                  <c:v>47.14788</c:v>
                </c:pt>
                <c:pt idx="3">
                  <c:v>49.39256</c:v>
                </c:pt>
                <c:pt idx="4">
                  <c:v>51.62073</c:v>
                </c:pt>
                <c:pt idx="5">
                  <c:v>55.9368</c:v>
                </c:pt>
                <c:pt idx="6">
                  <c:v>56.58742</c:v>
                </c:pt>
                <c:pt idx="7">
                  <c:v>53.66778</c:v>
                </c:pt>
                <c:pt idx="8">
                  <c:v>52.02862</c:v>
                </c:pt>
                <c:pt idx="9">
                  <c:v>50.42592</c:v>
                </c:pt>
                <c:pt idx="10">
                  <c:v>46.58456</c:v>
                </c:pt>
                <c:pt idx="11">
                  <c:v>44.33221</c:v>
                </c:pt>
                <c:pt idx="12">
                  <c:v>44.16678</c:v>
                </c:pt>
                <c:pt idx="13">
                  <c:v>44.73404</c:v>
                </c:pt>
                <c:pt idx="14">
                  <c:v>44.34884</c:v>
                </c:pt>
                <c:pt idx="15">
                  <c:v>42.59865</c:v>
                </c:pt>
                <c:pt idx="16">
                  <c:v>41.03844</c:v>
                </c:pt>
                <c:pt idx="17">
                  <c:v>40.50863</c:v>
                </c:pt>
                <c:pt idx="18">
                  <c:v>41.83927</c:v>
                </c:pt>
              </c:numCache>
            </c:numRef>
          </c:val>
          <c:smooth val="0"/>
        </c:ser>
        <c:ser>
          <c:idx val="1"/>
          <c:order val="1"/>
          <c:tx>
            <c:strRef>
              <c:f> Guangdong-Hong Kong-Macao greater bay area</c:f>
              <c:strCache>
                <c:ptCount val="1"/>
                <c:pt idx="0">
                  <c:v> Guangdong-Hong Kong-Macao greater bay area</c:v>
                </c:pt>
              </c:strCache>
            </c:strRef>
          </c:tx>
          <c:spPr>
            <a:ln w="19050" cap="rnd">
              <a:solidFill>
                <a:schemeClr val="accent2"/>
              </a:solidFill>
              <a:round/>
            </a:ln>
            <a:effectLst/>
          </c:spPr>
          <c:marker>
            <c:symbol val="none"/>
          </c:marker>
          <c:dLbls>
            <c:delete val="1"/>
          </c:dLbls>
          <c:val>
            <c:numRef>
              <c:f>Sheet3!$L$5:$L$23</c:f>
              <c:numCache>
                <c:formatCode>General</c:formatCode>
                <c:ptCount val="19"/>
                <c:pt idx="0">
                  <c:v>46.96189</c:v>
                </c:pt>
                <c:pt idx="1">
                  <c:v>46.1524</c:v>
                </c:pt>
                <c:pt idx="2">
                  <c:v>44.3711</c:v>
                </c:pt>
                <c:pt idx="3">
                  <c:v>47.03957</c:v>
                </c:pt>
                <c:pt idx="4">
                  <c:v>47.32265</c:v>
                </c:pt>
                <c:pt idx="5">
                  <c:v>52.53878</c:v>
                </c:pt>
                <c:pt idx="6">
                  <c:v>54.21748</c:v>
                </c:pt>
                <c:pt idx="7">
                  <c:v>47.66249</c:v>
                </c:pt>
                <c:pt idx="8">
                  <c:v>53.45887</c:v>
                </c:pt>
                <c:pt idx="9">
                  <c:v>52.86591</c:v>
                </c:pt>
                <c:pt idx="10">
                  <c:v>47.17399</c:v>
                </c:pt>
                <c:pt idx="11">
                  <c:v>43.67607</c:v>
                </c:pt>
                <c:pt idx="12">
                  <c:v>44.22472</c:v>
                </c:pt>
                <c:pt idx="13">
                  <c:v>44.32536</c:v>
                </c:pt>
                <c:pt idx="14">
                  <c:v>44.14228</c:v>
                </c:pt>
                <c:pt idx="15">
                  <c:v>43.1801</c:v>
                </c:pt>
                <c:pt idx="16">
                  <c:v>42.00975</c:v>
                </c:pt>
                <c:pt idx="17">
                  <c:v>41.55914</c:v>
                </c:pt>
                <c:pt idx="18">
                  <c:v>42.89246</c:v>
                </c:pt>
              </c:numCache>
            </c:numRef>
          </c:val>
          <c:smooth val="0"/>
        </c:ser>
        <c:dLbls>
          <c:showLegendKey val="0"/>
          <c:showVal val="0"/>
          <c:showCatName val="0"/>
          <c:showSerName val="0"/>
          <c:showPercent val="0"/>
          <c:showBubbleSize val="0"/>
        </c:dLbls>
        <c:marker val="0"/>
        <c:smooth val="0"/>
        <c:axId val="1050577144"/>
        <c:axId val="1050567632"/>
      </c:lineChart>
      <c:catAx>
        <c:axId val="1050577144"/>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50567632"/>
        <c:crosses val="autoZero"/>
        <c:auto val="1"/>
        <c:lblAlgn val="ctr"/>
        <c:lblOffset val="100"/>
        <c:noMultiLvlLbl val="0"/>
      </c:catAx>
      <c:valAx>
        <c:axId val="105056763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505771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a:solidFill>
        <a:schemeClr val="tx1"/>
      </a:solidFill>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Sheet3!$B$1</c:f>
              <c:strCache>
                <c:ptCount val="1"/>
                <c:pt idx="0">
                  <c:v>Germany</c:v>
                </c:pt>
              </c:strCache>
            </c:strRef>
          </c:tx>
          <c:spPr>
            <a:ln w="19050" cap="rnd">
              <a:solidFill>
                <a:schemeClr val="accent1"/>
              </a:solidFill>
              <a:round/>
            </a:ln>
            <a:effectLst/>
          </c:spPr>
          <c:marker>
            <c:symbol val="none"/>
          </c:marker>
          <c:dLbls>
            <c:delete val="1"/>
          </c:dLbls>
          <c:cat>
            <c:numRef>
              <c:f>Sheet3!$A$2:$A$14</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Sheet3!$B$2:$B$14</c:f>
              <c:numCache>
                <c:formatCode>General</c:formatCode>
                <c:ptCount val="13"/>
                <c:pt idx="0">
                  <c:v>52.8626</c:v>
                </c:pt>
                <c:pt idx="1">
                  <c:v>53.09704</c:v>
                </c:pt>
                <c:pt idx="2">
                  <c:v>55.59162</c:v>
                </c:pt>
                <c:pt idx="3">
                  <c:v>54.2792</c:v>
                </c:pt>
                <c:pt idx="4">
                  <c:v>53.67488</c:v>
                </c:pt>
                <c:pt idx="5">
                  <c:v>55.06428</c:v>
                </c:pt>
                <c:pt idx="6">
                  <c:v>56.02394</c:v>
                </c:pt>
                <c:pt idx="7">
                  <c:v>55.5347</c:v>
                </c:pt>
                <c:pt idx="8">
                  <c:v>56.82134</c:v>
                </c:pt>
                <c:pt idx="9">
                  <c:v>58.07557</c:v>
                </c:pt>
                <c:pt idx="10">
                  <c:v>56.19392</c:v>
                </c:pt>
                <c:pt idx="11">
                  <c:v>55.66519</c:v>
                </c:pt>
                <c:pt idx="12">
                  <c:v>58.53863</c:v>
                </c:pt>
              </c:numCache>
            </c:numRef>
          </c:val>
          <c:smooth val="0"/>
        </c:ser>
        <c:ser>
          <c:idx val="1"/>
          <c:order val="1"/>
          <c:tx>
            <c:strRef>
              <c:f>Sheet3!$C$1</c:f>
              <c:strCache>
                <c:ptCount val="1"/>
                <c:pt idx="0">
                  <c:v>America</c:v>
                </c:pt>
              </c:strCache>
            </c:strRef>
          </c:tx>
          <c:spPr>
            <a:ln w="19050" cap="rnd">
              <a:solidFill>
                <a:schemeClr val="accent2"/>
              </a:solidFill>
              <a:round/>
            </a:ln>
            <a:effectLst/>
          </c:spPr>
          <c:marker>
            <c:symbol val="none"/>
          </c:marker>
          <c:dLbls>
            <c:delete val="1"/>
          </c:dLbls>
          <c:cat>
            <c:numRef>
              <c:f>Sheet3!$A$2:$A$14</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Sheet3!$C$2:$C$14</c:f>
              <c:numCache>
                <c:formatCode>General</c:formatCode>
                <c:ptCount val="13"/>
                <c:pt idx="0">
                  <c:v>49.75728</c:v>
                </c:pt>
                <c:pt idx="1">
                  <c:v>50.46056</c:v>
                </c:pt>
                <c:pt idx="2">
                  <c:v>54.15992</c:v>
                </c:pt>
                <c:pt idx="3">
                  <c:v>52.99708</c:v>
                </c:pt>
                <c:pt idx="4">
                  <c:v>53.0813</c:v>
                </c:pt>
                <c:pt idx="5">
                  <c:v>55.90677</c:v>
                </c:pt>
                <c:pt idx="6">
                  <c:v>59.05205</c:v>
                </c:pt>
                <c:pt idx="7">
                  <c:v>56.80615</c:v>
                </c:pt>
                <c:pt idx="8">
                  <c:v>52.97332</c:v>
                </c:pt>
                <c:pt idx="9">
                  <c:v>53.45286</c:v>
                </c:pt>
                <c:pt idx="10">
                  <c:v>55.37092</c:v>
                </c:pt>
                <c:pt idx="11">
                  <c:v>54.77527</c:v>
                </c:pt>
                <c:pt idx="12">
                  <c:v>53.78941</c:v>
                </c:pt>
              </c:numCache>
            </c:numRef>
          </c:val>
          <c:smooth val="0"/>
        </c:ser>
        <c:ser>
          <c:idx val="2"/>
          <c:order val="2"/>
          <c:tx>
            <c:strRef>
              <c:f>Sheet3!$D$1</c:f>
              <c:strCache>
                <c:ptCount val="1"/>
                <c:pt idx="0">
                  <c:v>France </c:v>
                </c:pt>
              </c:strCache>
            </c:strRef>
          </c:tx>
          <c:spPr>
            <a:ln w="19050" cap="rnd">
              <a:solidFill>
                <a:schemeClr val="accent3"/>
              </a:solidFill>
              <a:round/>
            </a:ln>
            <a:effectLst/>
          </c:spPr>
          <c:marker>
            <c:symbol val="none"/>
          </c:marker>
          <c:dLbls>
            <c:delete val="1"/>
          </c:dLbls>
          <c:cat>
            <c:numRef>
              <c:f>Sheet3!$A$2:$A$14</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Sheet3!$D$2:$D$14</c:f>
              <c:numCache>
                <c:formatCode>General</c:formatCode>
                <c:ptCount val="13"/>
                <c:pt idx="0">
                  <c:v>57.79681</c:v>
                </c:pt>
                <c:pt idx="1">
                  <c:v>56.04765</c:v>
                </c:pt>
                <c:pt idx="2">
                  <c:v>57.51002</c:v>
                </c:pt>
                <c:pt idx="3">
                  <c:v>57.77883</c:v>
                </c:pt>
                <c:pt idx="4">
                  <c:v>58.22537</c:v>
                </c:pt>
                <c:pt idx="5">
                  <c:v>58.88501</c:v>
                </c:pt>
                <c:pt idx="6">
                  <c:v>59.84167</c:v>
                </c:pt>
                <c:pt idx="7">
                  <c:v>61.87226</c:v>
                </c:pt>
                <c:pt idx="8">
                  <c:v>60.3134</c:v>
                </c:pt>
                <c:pt idx="9">
                  <c:v>58.72679</c:v>
                </c:pt>
                <c:pt idx="10">
                  <c:v>58.07847</c:v>
                </c:pt>
                <c:pt idx="11">
                  <c:v>57.73889</c:v>
                </c:pt>
                <c:pt idx="12">
                  <c:v>57.87311</c:v>
                </c:pt>
              </c:numCache>
            </c:numRef>
          </c:val>
          <c:smooth val="0"/>
        </c:ser>
        <c:ser>
          <c:idx val="3"/>
          <c:order val="3"/>
          <c:tx>
            <c:strRef>
              <c:f>Sheet3!$E$1</c:f>
              <c:strCache>
                <c:ptCount val="1"/>
                <c:pt idx="0">
                  <c:v>England</c:v>
                </c:pt>
              </c:strCache>
            </c:strRef>
          </c:tx>
          <c:spPr>
            <a:ln w="19050" cap="rnd">
              <a:solidFill>
                <a:schemeClr val="accent4"/>
              </a:solidFill>
              <a:round/>
            </a:ln>
            <a:effectLst/>
          </c:spPr>
          <c:marker>
            <c:symbol val="none"/>
          </c:marker>
          <c:dLbls>
            <c:delete val="1"/>
          </c:dLbls>
          <c:cat>
            <c:numRef>
              <c:f>Sheet3!$A$2:$A$14</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Sheet3!$E$2:$E$14</c:f>
              <c:numCache>
                <c:formatCode>General</c:formatCode>
                <c:ptCount val="13"/>
                <c:pt idx="0">
                  <c:v>49.97235</c:v>
                </c:pt>
                <c:pt idx="1">
                  <c:v>48.42154</c:v>
                </c:pt>
                <c:pt idx="2">
                  <c:v>51.52511</c:v>
                </c:pt>
                <c:pt idx="3">
                  <c:v>52.26785</c:v>
                </c:pt>
                <c:pt idx="4">
                  <c:v>50.41539</c:v>
                </c:pt>
                <c:pt idx="5">
                  <c:v>50.32832</c:v>
                </c:pt>
                <c:pt idx="6">
                  <c:v>51.01751</c:v>
                </c:pt>
                <c:pt idx="7">
                  <c:v>52.29703</c:v>
                </c:pt>
                <c:pt idx="8">
                  <c:v>52.37546</c:v>
                </c:pt>
                <c:pt idx="9">
                  <c:v>49.917</c:v>
                </c:pt>
                <c:pt idx="10">
                  <c:v>50.29535</c:v>
                </c:pt>
                <c:pt idx="11">
                  <c:v>47.85618</c:v>
                </c:pt>
                <c:pt idx="12">
                  <c:v>48.15542</c:v>
                </c:pt>
              </c:numCache>
            </c:numRef>
          </c:val>
          <c:smooth val="0"/>
        </c:ser>
        <c:ser>
          <c:idx val="4"/>
          <c:order val="4"/>
          <c:tx>
            <c:strRef>
              <c:f>Sheet3!$F$1</c:f>
              <c:strCache>
                <c:ptCount val="1"/>
                <c:pt idx="0">
                  <c:v>Japan</c:v>
                </c:pt>
              </c:strCache>
            </c:strRef>
          </c:tx>
          <c:spPr>
            <a:ln w="19050" cap="rnd">
              <a:solidFill>
                <a:schemeClr val="accent5"/>
              </a:solidFill>
              <a:round/>
            </a:ln>
            <a:effectLst/>
          </c:spPr>
          <c:marker>
            <c:symbol val="none"/>
          </c:marker>
          <c:dLbls>
            <c:delete val="1"/>
          </c:dLbls>
          <c:cat>
            <c:numRef>
              <c:f>Sheet3!$A$2:$A$14</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Sheet3!$F$2:$F$14</c:f>
              <c:numCache>
                <c:formatCode>General</c:formatCode>
                <c:ptCount val="13"/>
                <c:pt idx="0">
                  <c:v>50.47494</c:v>
                </c:pt>
                <c:pt idx="1">
                  <c:v>49.88171</c:v>
                </c:pt>
                <c:pt idx="2">
                  <c:v>49.96274</c:v>
                </c:pt>
                <c:pt idx="3">
                  <c:v>49.77539</c:v>
                </c:pt>
                <c:pt idx="4">
                  <c:v>49.73153</c:v>
                </c:pt>
                <c:pt idx="5">
                  <c:v>49.77777</c:v>
                </c:pt>
                <c:pt idx="6">
                  <c:v>48.79206</c:v>
                </c:pt>
                <c:pt idx="7">
                  <c:v>48.27102</c:v>
                </c:pt>
                <c:pt idx="8">
                  <c:v>47.69851</c:v>
                </c:pt>
                <c:pt idx="9">
                  <c:v>46.87437</c:v>
                </c:pt>
                <c:pt idx="10">
                  <c:v>46.16562</c:v>
                </c:pt>
                <c:pt idx="11">
                  <c:v>45.66667</c:v>
                </c:pt>
                <c:pt idx="12">
                  <c:v>43.32269</c:v>
                </c:pt>
              </c:numCache>
            </c:numRef>
          </c:val>
          <c:smooth val="0"/>
        </c:ser>
        <c:ser>
          <c:idx val="5"/>
          <c:order val="5"/>
          <c:tx>
            <c:strRef>
              <c:f>Sheet3!$G$1</c:f>
              <c:strCache>
                <c:ptCount val="1"/>
                <c:pt idx="0">
                  <c:v>Greater bay area </c:v>
                </c:pt>
              </c:strCache>
            </c:strRef>
          </c:tx>
          <c:spPr>
            <a:ln w="19050" cap="rnd">
              <a:solidFill>
                <a:schemeClr val="accent6"/>
              </a:solidFill>
              <a:round/>
            </a:ln>
            <a:effectLst/>
          </c:spPr>
          <c:marker>
            <c:symbol val="none"/>
          </c:marker>
          <c:dLbls>
            <c:delete val="1"/>
          </c:dLbls>
          <c:cat>
            <c:numRef>
              <c:f>Sheet3!$A$2:$A$14</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Sheet3!$G$2:$G$14</c:f>
              <c:numCache>
                <c:formatCode>General</c:formatCode>
                <c:ptCount val="13"/>
                <c:pt idx="0">
                  <c:v>54.21748</c:v>
                </c:pt>
                <c:pt idx="1">
                  <c:v>47.66249</c:v>
                </c:pt>
                <c:pt idx="2">
                  <c:v>53.45887</c:v>
                </c:pt>
                <c:pt idx="3">
                  <c:v>52.86591</c:v>
                </c:pt>
                <c:pt idx="4">
                  <c:v>47.17399</c:v>
                </c:pt>
                <c:pt idx="5">
                  <c:v>43.67607</c:v>
                </c:pt>
                <c:pt idx="6">
                  <c:v>44.22472</c:v>
                </c:pt>
                <c:pt idx="7">
                  <c:v>44.32536</c:v>
                </c:pt>
                <c:pt idx="8">
                  <c:v>44.14228</c:v>
                </c:pt>
                <c:pt idx="9">
                  <c:v>43.1801</c:v>
                </c:pt>
                <c:pt idx="10">
                  <c:v>42.00975</c:v>
                </c:pt>
                <c:pt idx="11">
                  <c:v>41.55914</c:v>
                </c:pt>
                <c:pt idx="12">
                  <c:v>42.89246</c:v>
                </c:pt>
              </c:numCache>
            </c:numRef>
          </c:val>
          <c:smooth val="0"/>
        </c:ser>
        <c:dLbls>
          <c:showLegendKey val="0"/>
          <c:showVal val="0"/>
          <c:showCatName val="0"/>
          <c:showSerName val="0"/>
          <c:showPercent val="0"/>
          <c:showBubbleSize val="0"/>
        </c:dLbls>
        <c:marker val="0"/>
        <c:smooth val="0"/>
        <c:axId val="715733032"/>
        <c:axId val="715738280"/>
      </c:lineChart>
      <c:catAx>
        <c:axId val="715733032"/>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15738280"/>
        <c:crosses val="autoZero"/>
        <c:auto val="1"/>
        <c:lblAlgn val="ctr"/>
        <c:lblOffset val="100"/>
        <c:noMultiLvlLbl val="0"/>
      </c:catAx>
      <c:valAx>
        <c:axId val="71573828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157330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a:solidFill>
        <a:schemeClr val="tx1"/>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B5F45C-FD1E-4152-A12C-D20252EDA64C}">
  <ds:schemaRefs/>
</ds:datastoreItem>
</file>

<file path=docProps/app.xml><?xml version="1.0" encoding="utf-8"?>
<Properties xmlns="http://schemas.openxmlformats.org/officeDocument/2006/extended-properties" xmlns:vt="http://schemas.openxmlformats.org/officeDocument/2006/docPropsVTypes">
  <Template>Normal</Template>
  <Pages>41</Pages>
  <Words>10274</Words>
  <Characters>58566</Characters>
  <Lines>488</Lines>
  <Paragraphs>137</Paragraphs>
  <TotalTime>2</TotalTime>
  <ScaleCrop>false</ScaleCrop>
  <LinksUpToDate>false</LinksUpToDate>
  <CharactersWithSpaces>68703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2019-10-16T09:39:00Z</dcterms:created>
  <dc:creator>740325330@qq.com</dc:creator>
  <cp:lastModifiedBy>A  Shihong  Zeng</cp:lastModifiedBy>
  <dcterms:modified xsi:type="dcterms:W3CDTF">2021-09-19T10:10:33Z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LastTick">
    <vt:r8>43749.2808912037</vt:r8>
  </property>
  <property fmtid="{D5CDD505-2E9C-101B-9397-08002B2CF9AE}" pid="4" name="EditTimer">
    <vt:i4>9905</vt:i4>
  </property>
  <property fmtid="{D5CDD505-2E9C-101B-9397-08002B2CF9AE}" pid="5" name="KSOProductBuildVer">
    <vt:lpwstr>2052-11.1.0.10938</vt:lpwstr>
  </property>
  <property fmtid="{D5CDD505-2E9C-101B-9397-08002B2CF9AE}" pid="6" name="ICV">
    <vt:lpwstr>9A7926F8AE514719BE4DD87CFC56E3C9</vt:lpwstr>
  </property>
</Properties>
</file>