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contextualSpacing/>
        <w:outlineLvl w:val="0"/>
        <w:rPr>
          <w:rFonts w:cs="Times New Roman"/>
          <w:b/>
          <w:sz w:val="21"/>
          <w:szCs w:val="21"/>
        </w:rPr>
      </w:pPr>
    </w:p>
    <w:p>
      <w:pPr>
        <w:spacing w:line="480" w:lineRule="auto"/>
        <w:contextualSpacing/>
        <w:jc w:val="center"/>
        <w:rPr>
          <w:rFonts w:cs="Times New Roman"/>
          <w:sz w:val="21"/>
          <w:szCs w:val="21"/>
        </w:rPr>
      </w:pPr>
      <w:r>
        <w:rPr>
          <w:rFonts w:cs="Times New Roman"/>
          <w:b/>
          <w:sz w:val="21"/>
          <w:szCs w:val="21"/>
        </w:rPr>
        <w:t>Research on provincial forestry investment efficiency in China</w:t>
      </w:r>
    </w:p>
    <w:p>
      <w:pPr>
        <w:pStyle w:val="25"/>
        <w:spacing w:before="0" w:line="480" w:lineRule="auto"/>
        <w:ind w:left="0"/>
        <w:contextualSpacing/>
        <w:jc w:val="center"/>
        <w:rPr>
          <w:rFonts w:ascii="Times New Roman" w:hAnsi="Times New Roman" w:eastAsia="宋体"/>
          <w:color w:val="000000" w:themeColor="text1"/>
          <w:sz w:val="21"/>
          <w:szCs w:val="21"/>
          <w:lang w:eastAsia="zh-CN"/>
          <w14:textFill>
            <w14:solidFill>
              <w14:schemeClr w14:val="tx1"/>
            </w14:solidFill>
          </w14:textFill>
        </w:rPr>
      </w:pPr>
      <w:r>
        <w:rPr>
          <w:rFonts w:ascii="Times New Roman" w:hAnsi="Times New Roman"/>
          <w:sz w:val="21"/>
          <w:szCs w:val="21"/>
        </w:rPr>
        <w:t>Shihong Zeng</w:t>
      </w:r>
      <w:r>
        <w:rPr>
          <w:rFonts w:hint="eastAsia" w:ascii="Times New Roman" w:hAnsi="Times New Roman" w:eastAsia="宋体"/>
          <w:sz w:val="21"/>
          <w:szCs w:val="21"/>
          <w:lang w:val="en-US" w:eastAsia="zh-CN"/>
        </w:rPr>
        <w:t>,</w:t>
      </w:r>
      <w:r>
        <w:rPr>
          <w:rFonts w:hint="eastAsia" w:ascii="Times New Roman" w:hAnsi="Times New Roman" w:eastAsia="宋体"/>
          <w:sz w:val="21"/>
          <w:szCs w:val="21"/>
          <w:lang w:eastAsia="zh-CN"/>
        </w:rPr>
        <w:t xml:space="preserve"> </w:t>
      </w:r>
      <w:r>
        <w:rPr>
          <w:rFonts w:ascii="Times New Roman" w:hAnsi="Times New Roman"/>
          <w:sz w:val="21"/>
          <w:szCs w:val="21"/>
        </w:rPr>
        <w:t>Runtong Liu</w:t>
      </w:r>
      <w:r>
        <w:rPr>
          <w:rFonts w:hint="eastAsia" w:ascii="Times New Roman" w:hAnsi="Times New Roman" w:eastAsia="宋体"/>
          <w:sz w:val="21"/>
          <w:szCs w:val="21"/>
          <w:lang w:val="en-US" w:eastAsia="zh-CN"/>
        </w:rPr>
        <w:t xml:space="preserve"> and</w:t>
      </w:r>
      <w:r>
        <w:rPr>
          <w:rFonts w:hint="eastAsia" w:ascii="Times New Roman" w:hAnsi="Times New Roman" w:eastAsia="宋体"/>
          <w:sz w:val="21"/>
          <w:szCs w:val="21"/>
          <w:lang w:eastAsia="zh-CN"/>
        </w:rPr>
        <w:t xml:space="preserve"> Ya Zhou</w:t>
      </w:r>
    </w:p>
    <w:p>
      <w:pPr>
        <w:pStyle w:val="26"/>
        <w:spacing w:line="480" w:lineRule="auto"/>
        <w:ind w:left="0" w:firstLine="0"/>
        <w:contextualSpacing/>
        <w:rPr>
          <w:rFonts w:ascii="Times New Roman" w:hAnsi="Times New Roman" w:eastAsiaTheme="minorEastAsia"/>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College</w:t>
      </w:r>
      <w:r>
        <w:rPr>
          <w:rFonts w:ascii="Times New Roman" w:hAnsi="Times New Roman" w:eastAsiaTheme="minorEastAsia"/>
          <w:color w:val="000000" w:themeColor="text1"/>
          <w:sz w:val="21"/>
          <w:szCs w:val="21"/>
          <w:lang w:eastAsia="zh-CN"/>
          <w14:textFill>
            <w14:solidFill>
              <w14:schemeClr w14:val="tx1"/>
            </w14:solidFill>
          </w14:textFill>
        </w:rPr>
        <w:t xml:space="preserve"> of</w:t>
      </w:r>
      <w:r>
        <w:rPr>
          <w:rFonts w:ascii="Times New Roman" w:hAnsi="Times New Roman"/>
          <w:color w:val="000000" w:themeColor="text1"/>
          <w:sz w:val="21"/>
          <w:szCs w:val="21"/>
          <w14:textFill>
            <w14:solidFill>
              <w14:schemeClr w14:val="tx1"/>
            </w14:solidFill>
          </w14:textFill>
        </w:rPr>
        <w:t xml:space="preserve"> Economics &amp; Management, </w:t>
      </w:r>
      <w:bookmarkStart w:id="0" w:name="OLE_LINK30"/>
      <w:bookmarkStart w:id="1" w:name="OLE_LINK31"/>
      <w:r>
        <w:rPr>
          <w:rFonts w:ascii="Times New Roman" w:hAnsi="Times New Roman"/>
          <w:color w:val="000000" w:themeColor="text1"/>
          <w:sz w:val="21"/>
          <w:szCs w:val="21"/>
          <w14:textFill>
            <w14:solidFill>
              <w14:schemeClr w14:val="tx1"/>
            </w14:solidFill>
          </w14:textFill>
        </w:rPr>
        <w:t>Beijing</w:t>
      </w:r>
      <w:bookmarkEnd w:id="0"/>
      <w:bookmarkEnd w:id="1"/>
      <w:r>
        <w:rPr>
          <w:rFonts w:ascii="Times New Roman" w:hAnsi="Times New Roman"/>
          <w:color w:val="000000" w:themeColor="text1"/>
          <w:sz w:val="21"/>
          <w:szCs w:val="21"/>
          <w14:textFill>
            <w14:solidFill>
              <w14:schemeClr w14:val="tx1"/>
            </w14:solidFill>
          </w14:textFill>
        </w:rPr>
        <w:t xml:space="preserve"> University of Technology</w:t>
      </w:r>
      <w:r>
        <w:rPr>
          <w:rFonts w:ascii="Times New Roman" w:hAnsi="Times New Roman" w:eastAsiaTheme="minorEastAsia"/>
          <w:color w:val="000000" w:themeColor="text1"/>
          <w:sz w:val="21"/>
          <w:szCs w:val="21"/>
          <w:lang w:eastAsia="zh-CN"/>
          <w14:textFill>
            <w14:solidFill>
              <w14:schemeClr w14:val="tx1"/>
            </w14:solidFill>
          </w14:textFill>
        </w:rPr>
        <w:t>,</w:t>
      </w:r>
      <w:r>
        <w:rPr>
          <w:rFonts w:ascii="Times New Roman" w:hAnsi="Times New Roman"/>
          <w:color w:val="000000" w:themeColor="text1"/>
          <w:sz w:val="21"/>
          <w:szCs w:val="21"/>
          <w14:textFill>
            <w14:solidFill>
              <w14:schemeClr w14:val="tx1"/>
            </w14:solidFill>
          </w14:textFill>
        </w:rPr>
        <w:t xml:space="preserve"> Beijing</w:t>
      </w:r>
      <w:r>
        <w:rPr>
          <w:rFonts w:ascii="Times New Roman" w:hAnsi="Times New Roman" w:eastAsiaTheme="minorEastAsia"/>
          <w:color w:val="000000" w:themeColor="text1"/>
          <w:sz w:val="21"/>
          <w:szCs w:val="21"/>
          <w:lang w:eastAsia="zh-CN"/>
          <w14:textFill>
            <w14:solidFill>
              <w14:schemeClr w14:val="tx1"/>
            </w14:solidFill>
          </w14:textFill>
        </w:rPr>
        <w:t xml:space="preserve"> 100124,</w:t>
      </w:r>
      <w:r>
        <w:rPr>
          <w:rFonts w:ascii="Times New Roman" w:hAnsi="Times New Roman"/>
          <w:color w:val="000000" w:themeColor="text1"/>
          <w:sz w:val="21"/>
          <w:szCs w:val="21"/>
          <w14:textFill>
            <w14:solidFill>
              <w14:schemeClr w14:val="tx1"/>
            </w14:solidFill>
          </w14:textFill>
        </w:rPr>
        <w:t xml:space="preserve"> China</w:t>
      </w:r>
    </w:p>
    <w:p>
      <w:pPr>
        <w:pStyle w:val="26"/>
        <w:spacing w:line="480" w:lineRule="auto"/>
        <w:ind w:left="0" w:firstLine="0"/>
        <w:contextualSpacing/>
        <w:rPr>
          <w:rFonts w:ascii="Times New Roman" w:hAnsi="Times New Roman" w:eastAsiaTheme="minorEastAsia"/>
          <w:color w:val="000000" w:themeColor="text1"/>
          <w:sz w:val="21"/>
          <w:szCs w:val="21"/>
          <w:lang w:eastAsia="zh-CN"/>
          <w14:textFill>
            <w14:solidFill>
              <w14:schemeClr w14:val="tx1"/>
            </w14:solidFill>
          </w14:textFill>
        </w:rPr>
      </w:pPr>
    </w:p>
    <w:p>
      <w:pPr>
        <w:pStyle w:val="27"/>
        <w:kinsoku/>
        <w:spacing w:line="480" w:lineRule="auto"/>
        <w:ind w:left="0" w:firstLine="0"/>
        <w:contextualSpacing/>
        <w:rPr>
          <w:rFonts w:ascii="Times New Roman" w:hAnsi="Times New Roman" w:eastAsiaTheme="minorEastAsia"/>
          <w:b/>
          <w:sz w:val="21"/>
          <w:szCs w:val="21"/>
          <w:lang w:eastAsia="zh-CN"/>
        </w:rPr>
      </w:pPr>
      <w:r>
        <w:rPr>
          <w:rFonts w:ascii="Times New Roman" w:hAnsi="Times New Roman"/>
          <w:b/>
          <w:sz w:val="21"/>
          <w:szCs w:val="21"/>
        </w:rPr>
        <w:t>Corresponding author</w:t>
      </w:r>
    </w:p>
    <w:p>
      <w:pPr>
        <w:spacing w:line="480" w:lineRule="auto"/>
        <w:contextualSpacing/>
        <w:jc w:val="left"/>
        <w:rPr>
          <w:rFonts w:hint="eastAsia" w:eastAsia="宋体" w:cs="Times New Roman"/>
          <w:b/>
          <w:sz w:val="21"/>
          <w:szCs w:val="21"/>
          <w:lang w:val="en-US" w:eastAsia="zh-CN"/>
        </w:rPr>
      </w:pPr>
      <w:r>
        <w:rPr>
          <w:rFonts w:cs="Times New Roman"/>
          <w:sz w:val="21"/>
          <w:szCs w:val="21"/>
        </w:rPr>
        <w:t>zengshihong@bjut.edu.cn (S. Zeng)</w:t>
      </w:r>
      <w:r>
        <w:rPr>
          <w:rFonts w:hint="eastAsia" w:eastAsia="宋体" w:cs="Times New Roman"/>
          <w:sz w:val="21"/>
          <w:szCs w:val="21"/>
          <w:lang w:val="en-US" w:eastAsia="zh-CN"/>
        </w:rPr>
        <w:t xml:space="preserve">  </w:t>
      </w:r>
      <w:r>
        <w:rPr>
          <w:rFonts w:hint="eastAsia" w:eastAsia="宋体" w:cs="Times New Roman"/>
          <w:sz w:val="21"/>
          <w:szCs w:val="21"/>
        </w:rPr>
        <w:t>zhouya0929jingguan@163.com</w:t>
      </w:r>
      <w:r>
        <w:rPr>
          <w:rFonts w:cs="Times New Roman"/>
          <w:sz w:val="21"/>
          <w:szCs w:val="21"/>
        </w:rPr>
        <w:t xml:space="preserve"> (</w:t>
      </w:r>
      <w:r>
        <w:rPr>
          <w:rFonts w:hint="eastAsia" w:eastAsia="宋体" w:cs="Times New Roman"/>
          <w:sz w:val="21"/>
          <w:szCs w:val="21"/>
          <w:lang w:val="en-US" w:eastAsia="zh-CN"/>
        </w:rPr>
        <w:t>Y</w:t>
      </w:r>
      <w:r>
        <w:rPr>
          <w:rFonts w:cs="Times New Roman"/>
          <w:sz w:val="21"/>
          <w:szCs w:val="21"/>
        </w:rPr>
        <w:t>. Z</w:t>
      </w:r>
      <w:r>
        <w:rPr>
          <w:rFonts w:hint="eastAsia" w:eastAsia="宋体" w:cs="Times New Roman"/>
          <w:sz w:val="21"/>
          <w:szCs w:val="21"/>
          <w:lang w:val="en-US" w:eastAsia="zh-CN"/>
        </w:rPr>
        <w:t>hou</w:t>
      </w:r>
      <w:r>
        <w:rPr>
          <w:rFonts w:cs="Times New Roman"/>
          <w:sz w:val="21"/>
          <w:szCs w:val="21"/>
        </w:rPr>
        <w:t>)</w:t>
      </w:r>
    </w:p>
    <w:p>
      <w:pPr>
        <w:spacing w:line="480" w:lineRule="auto"/>
        <w:contextualSpacing/>
        <w:outlineLvl w:val="0"/>
        <w:rPr>
          <w:rFonts w:cs="Times New Roman"/>
          <w:b/>
          <w:sz w:val="21"/>
          <w:szCs w:val="21"/>
        </w:rPr>
      </w:pPr>
      <w:bookmarkStart w:id="53" w:name="_GoBack"/>
      <w:bookmarkEnd w:id="53"/>
    </w:p>
    <w:p>
      <w:pPr>
        <w:rPr>
          <w:rFonts w:cs="Times New Roman"/>
          <w:b/>
          <w:sz w:val="21"/>
          <w:szCs w:val="21"/>
        </w:rPr>
      </w:pPr>
      <w:bookmarkStart w:id="2" w:name="_SAM_Abstract"/>
      <w:bookmarkStart w:id="3" w:name="_SAMAbstract"/>
      <w:r>
        <w:rPr>
          <w:rFonts w:cs="Times New Roman"/>
          <w:b/>
          <w:sz w:val="21"/>
          <w:szCs w:val="21"/>
        </w:rPr>
        <w:t>Abstract</w:t>
      </w:r>
      <w:bookmarkEnd w:id="2"/>
    </w:p>
    <w:bookmarkEnd w:id="3"/>
    <w:p>
      <w:pPr>
        <w:rPr>
          <w:rFonts w:cs="Times New Roman"/>
          <w:b/>
          <w:sz w:val="21"/>
          <w:szCs w:val="21"/>
        </w:rPr>
      </w:pPr>
      <w:bookmarkStart w:id="4" w:name="_SAMMR_Abstract"/>
    </w:p>
    <w:p>
      <w:pPr>
        <w:spacing w:line="480" w:lineRule="auto"/>
        <w:ind w:firstLine="420" w:firstLineChars="200"/>
        <w:contextualSpacing/>
        <w:rPr>
          <w:rFonts w:cs="Times New Roman"/>
          <w:sz w:val="21"/>
          <w:szCs w:val="21"/>
        </w:rPr>
      </w:pPr>
      <w:r>
        <w:rPr>
          <w:rFonts w:cs="Times New Roman"/>
          <w:sz w:val="21"/>
          <w:szCs w:val="21"/>
        </w:rPr>
        <w:t xml:space="preserve">With increasingly serious air pollution, the development of the green economy has attracted extensive attention </w:t>
      </w:r>
      <w:r>
        <w:rPr>
          <w:rFonts w:eastAsia="宋体" w:cs="Times New Roman"/>
          <w:sz w:val="21"/>
          <w:szCs w:val="21"/>
        </w:rPr>
        <w:t>worldwide</w:t>
      </w:r>
      <w:r>
        <w:rPr>
          <w:rFonts w:cs="Times New Roman"/>
          <w:sz w:val="21"/>
          <w:szCs w:val="21"/>
        </w:rPr>
        <w:t>. One of the most effective ways to alleviate air pollution is to increase green investment, which has become the inevitable choice for all countries to realize ecological civilization. Forestry is the largest carrier of</w:t>
      </w:r>
      <w:r>
        <w:rPr>
          <w:rFonts w:eastAsia="宋体" w:cs="Times New Roman"/>
          <w:sz w:val="21"/>
          <w:szCs w:val="21"/>
        </w:rPr>
        <w:t xml:space="preserve"> the</w:t>
      </w:r>
      <w:r>
        <w:rPr>
          <w:rFonts w:cs="Times New Roman"/>
          <w:sz w:val="21"/>
          <w:szCs w:val="21"/>
        </w:rPr>
        <w:t xml:space="preserve"> green economy. Its strong ecological effect makes it the object of green investment. </w:t>
      </w:r>
      <w:r>
        <w:rPr>
          <w:rFonts w:eastAsia="宋体" w:cs="Times New Roman"/>
          <w:sz w:val="21"/>
          <w:szCs w:val="21"/>
        </w:rPr>
        <w:t xml:space="preserve">To </w:t>
      </w:r>
      <w:r>
        <w:rPr>
          <w:rFonts w:cs="Times New Roman"/>
          <w:sz w:val="21"/>
          <w:szCs w:val="21"/>
        </w:rPr>
        <w:t xml:space="preserve">explore whether </w:t>
      </w:r>
      <w:r>
        <w:rPr>
          <w:rFonts w:eastAsia="DengXian" w:cs="Times New Roman"/>
          <w:sz w:val="21"/>
          <w:szCs w:val="21"/>
        </w:rPr>
        <w:t>Chinese</w:t>
      </w:r>
      <w:r>
        <w:rPr>
          <w:rFonts w:cs="Times New Roman"/>
          <w:sz w:val="21"/>
          <w:szCs w:val="21"/>
        </w:rPr>
        <w:t xml:space="preserve"> forestry investment is effectively utilized, we measured the input-output efficiency of forestry investment in 31 provinces in China through the </w:t>
      </w:r>
      <w:r>
        <w:rPr>
          <w:rFonts w:eastAsia="DengXian" w:cs="Times New Roman"/>
          <w:sz w:val="21"/>
          <w:szCs w:val="21"/>
        </w:rPr>
        <w:t>super-slack-based measure</w:t>
      </w:r>
      <w:r>
        <w:rPr>
          <w:rFonts w:cs="Times New Roman"/>
          <w:sz w:val="21"/>
          <w:szCs w:val="21"/>
        </w:rPr>
        <w:t xml:space="preserve"> model and the Malmquist index in</w:t>
      </w:r>
      <w:r>
        <w:rPr>
          <w:rFonts w:eastAsia="DengXian" w:cs="Times New Roman"/>
          <w:sz w:val="21"/>
          <w:szCs w:val="21"/>
        </w:rPr>
        <w:t xml:space="preserve"> the data envelopment analysis</w:t>
      </w:r>
      <w:r>
        <w:rPr>
          <w:rFonts w:hint="eastAsia" w:cs="Times New Roman"/>
          <w:sz w:val="21"/>
          <w:szCs w:val="21"/>
        </w:rPr>
        <w:t xml:space="preserve"> </w:t>
      </w:r>
      <w:r>
        <w:rPr>
          <w:rFonts w:cs="Times New Roman"/>
          <w:sz w:val="21"/>
          <w:szCs w:val="21"/>
        </w:rPr>
        <w:t xml:space="preserve">model. Based on this, we further analyze the redundant (insufficient) situation of input (output) in inefficient regions and changes in the efficiency of China’s forestry investment. The results show that the comprehensive efficiency of forestry investment in most provinces of China is low, among which the developed </w:t>
      </w:r>
      <w:bookmarkStart w:id="5" w:name="OLE_LINK23"/>
      <w:bookmarkStart w:id="6" w:name="OLE_LINK22"/>
      <w:r>
        <w:rPr>
          <w:rFonts w:cs="Times New Roman"/>
          <w:sz w:val="21"/>
          <w:szCs w:val="21"/>
        </w:rPr>
        <w:t>provinces</w:t>
      </w:r>
      <w:bookmarkEnd w:id="5"/>
      <w:bookmarkEnd w:id="6"/>
      <w:r>
        <w:rPr>
          <w:rFonts w:cs="Times New Roman"/>
          <w:sz w:val="21"/>
          <w:szCs w:val="21"/>
        </w:rPr>
        <w:t xml:space="preserve"> are limited by input factors, while the less developed provinces are affected by low</w:t>
      </w:r>
      <w:r>
        <w:rPr>
          <w:rFonts w:eastAsia="宋体" w:cs="Times New Roman"/>
          <w:sz w:val="21"/>
          <w:szCs w:val="21"/>
        </w:rPr>
        <w:t>-</w:t>
      </w:r>
      <w:r>
        <w:rPr>
          <w:rFonts w:cs="Times New Roman"/>
          <w:sz w:val="21"/>
          <w:szCs w:val="21"/>
        </w:rPr>
        <w:t>scale efficiency.</w:t>
      </w:r>
      <w:r>
        <w:rPr>
          <w:rFonts w:eastAsia="宋体" w:cs="Times New Roman"/>
          <w:sz w:val="21"/>
          <w:szCs w:val="21"/>
        </w:rPr>
        <w:t xml:space="preserve"> Second</w:t>
      </w:r>
      <w:r>
        <w:rPr>
          <w:rFonts w:cs="Times New Roman"/>
          <w:sz w:val="21"/>
          <w:szCs w:val="21"/>
        </w:rPr>
        <w:t>, the environmental benefit of forestry investment in the sample area is not obvious, and the output of forest carbon sequestration is low. Third, the efficiency of forestry investment in most provinces of China is improving, but the application technology of forestry investment has become the main factor hindering the improvement of forestry investment efficiency. Finally, according to the experimental results, we propose some suggestions for forestry investors.</w:t>
      </w:r>
    </w:p>
    <w:p>
      <w:pPr>
        <w:rPr>
          <w:rFonts w:cs="Times New Roman"/>
          <w:sz w:val="21"/>
          <w:szCs w:val="21"/>
        </w:rPr>
      </w:pPr>
    </w:p>
    <w:p>
      <w:pPr>
        <w:rPr>
          <w:rFonts w:cs="Times New Roman"/>
          <w:b/>
          <w:i/>
          <w:sz w:val="21"/>
          <w:szCs w:val="21"/>
        </w:rPr>
      </w:pPr>
      <w:r>
        <w:rPr>
          <w:rFonts w:cs="Times New Roman"/>
          <w:b/>
          <w:i/>
          <w:sz w:val="21"/>
          <w:szCs w:val="21"/>
        </w:rPr>
        <w:t>Keywords</w:t>
      </w:r>
    </w:p>
    <w:p>
      <w:pPr>
        <w:widowControl/>
        <w:spacing w:line="480" w:lineRule="auto"/>
        <w:contextualSpacing/>
        <w:rPr>
          <w:rFonts w:cs="Times New Roman"/>
          <w:sz w:val="21"/>
          <w:szCs w:val="21"/>
        </w:rPr>
      </w:pPr>
      <w:r>
        <w:rPr>
          <w:rFonts w:cs="Times New Roman"/>
          <w:sz w:val="21"/>
          <w:szCs w:val="21"/>
        </w:rPr>
        <w:t>Forestry, investment efficiency, China</w:t>
      </w:r>
    </w:p>
    <w:p>
      <w:pPr>
        <w:widowControl/>
        <w:spacing w:line="480" w:lineRule="auto"/>
        <w:contextualSpacing/>
        <w:outlineLvl w:val="0"/>
        <w:rPr>
          <w:rFonts w:cs="Times New Roman"/>
          <w:b/>
          <w:sz w:val="21"/>
          <w:szCs w:val="21"/>
        </w:rPr>
      </w:pPr>
    </w:p>
    <w:p>
      <w:pPr>
        <w:rPr>
          <w:rFonts w:cs="Times New Roman"/>
          <w:b/>
          <w:i/>
          <w:sz w:val="21"/>
          <w:szCs w:val="21"/>
        </w:rPr>
      </w:pPr>
      <w:r>
        <w:rPr>
          <w:rFonts w:cs="Times New Roman"/>
          <w:b/>
          <w:i/>
          <w:sz w:val="21"/>
          <w:szCs w:val="21"/>
        </w:rPr>
        <w:t>Classification codes</w:t>
      </w:r>
    </w:p>
    <w:p>
      <w:pPr>
        <w:widowControl/>
        <w:spacing w:line="480" w:lineRule="auto"/>
        <w:contextualSpacing/>
        <w:rPr>
          <w:rFonts w:cs="Times New Roman"/>
          <w:sz w:val="21"/>
          <w:szCs w:val="21"/>
        </w:rPr>
      </w:pPr>
      <w:r>
        <w:rPr>
          <w:rFonts w:cs="Times New Roman"/>
          <w:sz w:val="21"/>
          <w:szCs w:val="21"/>
        </w:rPr>
        <w:t>E22, Q23, Q54</w:t>
      </w:r>
    </w:p>
    <w:p>
      <w:pPr>
        <w:rPr>
          <w:rFonts w:cs="Times New Roman"/>
          <w:sz w:val="21"/>
          <w:szCs w:val="21"/>
        </w:rPr>
      </w:pPr>
    </w:p>
    <w:bookmarkEnd w:id="4"/>
    <w:p>
      <w:pPr>
        <w:spacing w:line="480" w:lineRule="auto"/>
        <w:contextualSpacing/>
        <w:outlineLvl w:val="0"/>
        <w:rPr>
          <w:rFonts w:cs="Times New Roman"/>
          <w:b/>
          <w:sz w:val="21"/>
          <w:szCs w:val="21"/>
        </w:rPr>
      </w:pPr>
      <w:bookmarkStart w:id="7" w:name="_SAM_Introduction"/>
      <w:r>
        <w:rPr>
          <w:rFonts w:cs="Times New Roman"/>
          <w:b/>
          <w:sz w:val="21"/>
          <w:szCs w:val="21"/>
        </w:rPr>
        <w:t>1. Introduction</w:t>
      </w:r>
      <w:bookmarkEnd w:id="7"/>
    </w:p>
    <w:p>
      <w:pPr>
        <w:spacing w:line="480" w:lineRule="auto"/>
        <w:ind w:firstLine="720"/>
        <w:contextualSpacing/>
        <w:rPr>
          <w:rFonts w:cs="Times New Roman"/>
          <w:sz w:val="21"/>
          <w:szCs w:val="21"/>
        </w:rPr>
      </w:pPr>
      <w:bookmarkStart w:id="8" w:name="_SAM_I_001"/>
      <w:r>
        <w:rPr>
          <w:rFonts w:cs="Times New Roman"/>
          <w:sz w:val="21"/>
          <w:szCs w:val="21"/>
        </w:rPr>
        <w:t>At present, global climate change has become the focus of attention of all countries in the world.</w:t>
      </w:r>
      <w:bookmarkEnd w:id="8"/>
      <w:r>
        <w:rPr>
          <w:rFonts w:cs="Times New Roman"/>
          <w:sz w:val="21"/>
          <w:szCs w:val="21"/>
        </w:rPr>
        <w:t xml:space="preserve"> </w:t>
      </w:r>
      <w:bookmarkStart w:id="9" w:name="_SAM_I_009"/>
      <w:r>
        <w:rPr>
          <w:rFonts w:cs="Times New Roman"/>
          <w:sz w:val="21"/>
          <w:szCs w:val="21"/>
        </w:rPr>
        <w:t xml:space="preserve">Vigorously developing a green economy and increasing green investment are considered by many scholars to be one of the most effective ways to mitigate climate change and achieve ecological balance </w:t>
      </w:r>
      <w:r>
        <w:rPr>
          <w:rFonts w:cs="Times New Roman"/>
          <w:color w:val="00B0F0"/>
          <w:sz w:val="21"/>
          <w:szCs w:val="21"/>
        </w:rPr>
        <w:t>(Sobrinho et al., 2020; Dmuchowski et al., 2021; Baniya et al., 2021)</w:t>
      </w:r>
      <w:r>
        <w:rPr>
          <w:rFonts w:cs="Times New Roman"/>
          <w:sz w:val="21"/>
          <w:szCs w:val="21"/>
        </w:rPr>
        <w:t>.</w:t>
      </w:r>
      <w:bookmarkEnd w:id="9"/>
      <w:r>
        <w:rPr>
          <w:rFonts w:cs="Times New Roman"/>
          <w:sz w:val="21"/>
          <w:szCs w:val="21"/>
        </w:rPr>
        <w:t xml:space="preserve"> Many scholars have conducted research on green investment. They found </w:t>
      </w:r>
      <w:r>
        <w:rPr>
          <w:rFonts w:eastAsia="DengXian" w:cs="Times New Roman"/>
          <w:sz w:val="21"/>
          <w:szCs w:val="21"/>
        </w:rPr>
        <w:t xml:space="preserve">that </w:t>
      </w:r>
      <w:r>
        <w:rPr>
          <w:rFonts w:cs="Times New Roman"/>
          <w:sz w:val="21"/>
          <w:szCs w:val="21"/>
        </w:rPr>
        <w:t xml:space="preserve">green investment can not only reduce the emission of greenhouse gases and air pollutants </w:t>
      </w:r>
      <w:r>
        <w:rPr>
          <w:rFonts w:cs="Times New Roman"/>
          <w:color w:val="00B0F0"/>
          <w:sz w:val="21"/>
          <w:szCs w:val="21"/>
        </w:rPr>
        <w:t>(</w:t>
      </w:r>
      <w:r>
        <w:rPr>
          <w:rStyle w:val="38"/>
          <w:rFonts w:cs="Times New Roman"/>
          <w:color w:val="00B0F0"/>
          <w:sz w:val="21"/>
          <w:szCs w:val="21"/>
        </w:rPr>
        <w:t>Khovanskaia and Ivanyi，2007)</w:t>
      </w:r>
      <w:r>
        <w:rPr>
          <w:rFonts w:cs="Times New Roman"/>
          <w:sz w:val="21"/>
          <w:szCs w:val="21"/>
        </w:rPr>
        <w:t xml:space="preserve"> but also create new employment opportunities </w:t>
      </w:r>
      <w:r>
        <w:rPr>
          <w:rFonts w:cs="Times New Roman"/>
          <w:color w:val="00B0F0"/>
          <w:sz w:val="21"/>
          <w:szCs w:val="21"/>
        </w:rPr>
        <w:t>(Banacloche et al., 2020)</w:t>
      </w:r>
      <w:r>
        <w:rPr>
          <w:rFonts w:cs="Times New Roman"/>
          <w:sz w:val="21"/>
          <w:szCs w:val="21"/>
        </w:rPr>
        <w:t xml:space="preserve">, effectively reduce the environmental burden in the process of economic growth </w:t>
      </w:r>
      <w:r>
        <w:rPr>
          <w:rFonts w:cs="Times New Roman"/>
          <w:color w:val="00B0F0"/>
          <w:sz w:val="21"/>
          <w:szCs w:val="21"/>
        </w:rPr>
        <w:t>(Ottelin et al., 2018)</w:t>
      </w:r>
      <w:r>
        <w:rPr>
          <w:rFonts w:cs="Times New Roman"/>
          <w:sz w:val="21"/>
          <w:szCs w:val="21"/>
        </w:rPr>
        <w:t xml:space="preserve">, and beautify the city </w:t>
      </w:r>
      <w:r>
        <w:rPr>
          <w:rFonts w:cs="Times New Roman"/>
          <w:color w:val="00B0F0"/>
          <w:sz w:val="21"/>
          <w:szCs w:val="21"/>
        </w:rPr>
        <w:t>(Mell et al., 2016)</w:t>
      </w:r>
      <w:r>
        <w:rPr>
          <w:rFonts w:cs="Times New Roman"/>
          <w:sz w:val="21"/>
          <w:szCs w:val="21"/>
        </w:rPr>
        <w:t>.</w:t>
      </w:r>
    </w:p>
    <w:p>
      <w:pPr>
        <w:spacing w:line="480" w:lineRule="auto"/>
        <w:ind w:firstLine="720"/>
        <w:contextualSpacing/>
        <w:rPr>
          <w:rFonts w:cs="Times New Roman"/>
          <w:sz w:val="21"/>
          <w:szCs w:val="21"/>
        </w:rPr>
      </w:pPr>
      <w:r>
        <w:rPr>
          <w:rFonts w:cs="Times New Roman"/>
          <w:sz w:val="21"/>
          <w:szCs w:val="21"/>
        </w:rPr>
        <w:t>Generally, green investment will flow to two channels in terms of reducing air pollution and greenhouse gas emissions: one is to control air pollution and greenhouse gas emissions from the source, and the other is to control the air pollution and greenhouse gases that have been generated.</w:t>
      </w:r>
      <w:r>
        <w:t xml:space="preserve"> </w:t>
      </w:r>
      <w:r>
        <w:rPr>
          <w:rFonts w:cs="Times New Roman"/>
          <w:sz w:val="21"/>
          <w:szCs w:val="21"/>
        </w:rPr>
        <w:t xml:space="preserve">In the first aspect, energy consumption is one of the main causes of air pollution and greenhouse gas emissions </w:t>
      </w:r>
      <w:r>
        <w:rPr>
          <w:rFonts w:cs="Times New Roman"/>
          <w:color w:val="00B0F0"/>
          <w:sz w:val="21"/>
          <w:szCs w:val="21"/>
        </w:rPr>
        <w:t>(Moriarty and Honnery, 2019)</w:t>
      </w:r>
      <w:r>
        <w:rPr>
          <w:rFonts w:cs="Times New Roman"/>
          <w:sz w:val="21"/>
          <w:szCs w:val="21"/>
        </w:rPr>
        <w:t xml:space="preserve">. Hence, many studies have been carried out </w:t>
      </w:r>
      <w:r>
        <w:rPr>
          <w:rFonts w:eastAsia="DengXian" w:cs="Times New Roman"/>
          <w:sz w:val="21"/>
          <w:szCs w:val="21"/>
        </w:rPr>
        <w:t>on</w:t>
      </w:r>
      <w:r>
        <w:rPr>
          <w:rFonts w:cs="Times New Roman"/>
          <w:sz w:val="21"/>
          <w:szCs w:val="21"/>
        </w:rPr>
        <w:t xml:space="preserve"> green energy investment </w:t>
      </w:r>
      <w:r>
        <w:rPr>
          <w:rFonts w:cs="Times New Roman"/>
          <w:color w:val="00B0F0"/>
          <w:sz w:val="21"/>
          <w:szCs w:val="21"/>
        </w:rPr>
        <w:t>(Bostian et al., 2016; Lundgren, et al., 2018; Ng and Zheng, 2018)</w:t>
      </w:r>
      <w:r>
        <w:rPr>
          <w:rFonts w:cs="Times New Roman"/>
          <w:sz w:val="21"/>
          <w:szCs w:val="21"/>
        </w:rPr>
        <w:t xml:space="preserve">. However, some scholars have considered environmental governance because the current environment has been under great pressure, </w:t>
      </w:r>
      <w:r>
        <w:rPr>
          <w:rFonts w:eastAsia="DengXian" w:cs="Times New Roman"/>
          <w:sz w:val="21"/>
          <w:szCs w:val="21"/>
        </w:rPr>
        <w:t xml:space="preserve">and </w:t>
      </w:r>
      <w:r>
        <w:rPr>
          <w:rFonts w:cs="Times New Roman"/>
          <w:sz w:val="21"/>
          <w:szCs w:val="21"/>
        </w:rPr>
        <w:t xml:space="preserve">reducing the environmental load is urgent. </w:t>
      </w:r>
      <w:bookmarkStart w:id="10" w:name="_SAM_I_007"/>
      <w:r>
        <w:rPr>
          <w:rFonts w:cs="Times New Roman"/>
          <w:sz w:val="21"/>
          <w:szCs w:val="21"/>
        </w:rPr>
        <w:t>Therefore, some scholars have begun to consider the second aspect.</w:t>
      </w:r>
      <w:bookmarkEnd w:id="10"/>
      <w:r>
        <w:rPr>
          <w:rFonts w:cs="Times New Roman"/>
          <w:sz w:val="21"/>
          <w:szCs w:val="21"/>
        </w:rPr>
        <w:t xml:space="preserve"> That is, how to control the air pollution and greenhouse gases that have been generated through environmental governance. </w:t>
      </w:r>
      <w:bookmarkStart w:id="11" w:name="_SAM_I_006"/>
      <w:r>
        <w:rPr>
          <w:rFonts w:cs="Times New Roman"/>
          <w:sz w:val="21"/>
          <w:szCs w:val="21"/>
        </w:rPr>
        <w:t xml:space="preserve">Some scholars found that forestry investment may be </w:t>
      </w:r>
      <w:r>
        <w:rPr>
          <w:rFonts w:eastAsia="DengXian" w:cs="Times New Roman"/>
          <w:sz w:val="21"/>
          <w:szCs w:val="21"/>
        </w:rPr>
        <w:t xml:space="preserve">an </w:t>
      </w:r>
      <w:r>
        <w:rPr>
          <w:rFonts w:cs="Times New Roman"/>
          <w:sz w:val="21"/>
          <w:szCs w:val="21"/>
        </w:rPr>
        <w:t xml:space="preserve">effective means to reduce air pollution and greenhouse gas emissions, so they began to study forestry and achieved certain research results </w:t>
      </w:r>
      <w:r>
        <w:rPr>
          <w:rFonts w:cs="Times New Roman"/>
          <w:color w:val="00B0F0"/>
          <w:sz w:val="21"/>
          <w:szCs w:val="21"/>
        </w:rPr>
        <w:t>(e.g., Kangas et al., 2011; Alix-Garcia et al., 2015; Li et al., 2017; Lin et al., 2019; Nery et al., 2019; Rode et al., 2019; Zhang et al., 2019)</w:t>
      </w:r>
      <w:r>
        <w:rPr>
          <w:rFonts w:cs="Times New Roman"/>
          <w:sz w:val="21"/>
          <w:szCs w:val="21"/>
        </w:rPr>
        <w:t>.</w:t>
      </w:r>
      <w:bookmarkEnd w:id="11"/>
      <w:r>
        <w:t xml:space="preserve"> </w:t>
      </w:r>
      <w:r>
        <w:rPr>
          <w:rFonts w:hint="eastAsia" w:cs="Times New Roman"/>
          <w:sz w:val="21"/>
          <w:szCs w:val="21"/>
        </w:rPr>
        <w:t>F</w:t>
      </w:r>
      <w:r>
        <w:rPr>
          <w:rFonts w:cs="Times New Roman"/>
          <w:sz w:val="21"/>
          <w:szCs w:val="21"/>
        </w:rPr>
        <w:t xml:space="preserve">or example, </w:t>
      </w:r>
      <w:r>
        <w:rPr>
          <w:rFonts w:cs="Times New Roman"/>
          <w:color w:val="00B0F0"/>
          <w:sz w:val="21"/>
          <w:szCs w:val="21"/>
        </w:rPr>
        <w:t>Alix-Garcia et al. (2015)</w:t>
      </w:r>
      <w:r>
        <w:rPr>
          <w:rFonts w:cs="Times New Roman"/>
          <w:sz w:val="21"/>
          <w:szCs w:val="21"/>
        </w:rPr>
        <w:t xml:space="preserve"> used several new datasets to assess the impact of ecological compensation schemes on the environment and wealth and found that forest maintenance compensation payments reduce land cover loss and have a small positive effect on poverty alleviation. </w:t>
      </w:r>
      <w:r>
        <w:rPr>
          <w:rFonts w:cs="Times New Roman"/>
          <w:color w:val="00B0F0"/>
          <w:sz w:val="21"/>
          <w:szCs w:val="21"/>
        </w:rPr>
        <w:t>Nery et al. (2019)</w:t>
      </w:r>
      <w:r>
        <w:rPr>
          <w:rFonts w:cs="Times New Roman"/>
          <w:sz w:val="21"/>
          <w:szCs w:val="21"/>
        </w:rPr>
        <w:t xml:space="preserve"> studied the spatial pattern of forestry investment in Western Australia and assessed the determinants of land change in plantations. They found that the factors influencing the changes in plantations include soil depth, proximity to urban centers, and use of surrounding soil. The study shows that there are many factors that affect the distribution of forestry investment and that forestry investment can indeed bring significant environmental and social benefits in many countries.</w:t>
      </w:r>
    </w:p>
    <w:p>
      <w:pPr>
        <w:spacing w:line="480" w:lineRule="auto"/>
        <w:ind w:firstLine="630" w:firstLineChars="300"/>
        <w:contextualSpacing/>
        <w:rPr>
          <w:rFonts w:cs="Times New Roman"/>
          <w:sz w:val="21"/>
          <w:szCs w:val="21"/>
        </w:rPr>
      </w:pPr>
      <w:r>
        <w:rPr>
          <w:rFonts w:cs="Times New Roman"/>
          <w:sz w:val="21"/>
          <w:szCs w:val="21"/>
        </w:rPr>
        <w:t xml:space="preserve">According to data released by the National Bureau of Statistics of </w:t>
      </w:r>
      <w:r>
        <w:rPr>
          <w:rFonts w:eastAsia="DengXian" w:cs="Times New Roman"/>
          <w:sz w:val="21"/>
          <w:szCs w:val="21"/>
        </w:rPr>
        <w:t>China (</w:t>
      </w:r>
      <w:r>
        <w:fldChar w:fldCharType="begin"/>
      </w:r>
      <w:r>
        <w:instrText xml:space="preserve"> HYPERLINK "http://www.stats.gov.cn/" </w:instrText>
      </w:r>
      <w:r>
        <w:fldChar w:fldCharType="separate"/>
      </w:r>
      <w:r>
        <w:rPr>
          <w:rStyle w:val="15"/>
          <w:rFonts w:cs="Times New Roman"/>
          <w:sz w:val="21"/>
          <w:szCs w:val="21"/>
        </w:rPr>
        <w:t>http://www.stats.gov.cn/</w:t>
      </w:r>
      <w:r>
        <w:rPr>
          <w:rStyle w:val="15"/>
          <w:rFonts w:cs="Times New Roman"/>
          <w:sz w:val="21"/>
          <w:szCs w:val="21"/>
        </w:rPr>
        <w:fldChar w:fldCharType="end"/>
      </w:r>
      <w:r>
        <w:rPr>
          <w:rFonts w:eastAsia="DengXian" w:cs="Times New Roman"/>
          <w:sz w:val="21"/>
          <w:szCs w:val="21"/>
        </w:rPr>
        <w:t>)</w:t>
      </w:r>
      <w:r>
        <w:rPr>
          <w:rFonts w:cs="Times New Roman"/>
          <w:sz w:val="21"/>
          <w:szCs w:val="21"/>
        </w:rPr>
        <w:t xml:space="preserve">, China's forestry investment reached 474.3 billion yuan in 2018, 12.3 times the 2004 forestry investment (38.3 billion yuan), with an average annual compound growth rate of 19.69%. </w:t>
      </w:r>
      <w:r>
        <w:rPr>
          <w:rFonts w:hint="eastAsia" w:cs="Times New Roman"/>
          <w:sz w:val="21"/>
          <w:szCs w:val="21"/>
        </w:rPr>
        <w:t>A</w:t>
      </w:r>
      <w:r>
        <w:rPr>
          <w:rFonts w:cs="Times New Roman"/>
          <w:sz w:val="21"/>
          <w:szCs w:val="21"/>
        </w:rPr>
        <w:t xml:space="preserve">t the same time, China contributed 25% of the world's net increase in leaf area, of which 42% came from forest resources </w:t>
      </w:r>
      <w:r>
        <w:rPr>
          <w:rFonts w:cs="Times New Roman"/>
          <w:color w:val="00B0F0"/>
          <w:sz w:val="21"/>
          <w:szCs w:val="21"/>
        </w:rPr>
        <w:t>(Chen et al., 2019)</w:t>
      </w:r>
      <w:r>
        <w:rPr>
          <w:rFonts w:cs="Times New Roman"/>
          <w:sz w:val="21"/>
          <w:szCs w:val="21"/>
        </w:rPr>
        <w:t xml:space="preserve">. China’s planted forest area accounts for </w:t>
      </w:r>
      <w:r>
        <w:rPr>
          <w:rFonts w:eastAsia="DengXian" w:cs="Times New Roman"/>
          <w:sz w:val="21"/>
          <w:szCs w:val="21"/>
        </w:rPr>
        <w:t>approximately</w:t>
      </w:r>
      <w:r>
        <w:rPr>
          <w:rFonts w:cs="Times New Roman"/>
          <w:sz w:val="21"/>
          <w:szCs w:val="21"/>
        </w:rPr>
        <w:t xml:space="preserve"> 27% of the world’s planted forest area, which makes China’s forest resources store a large amount of carbon </w:t>
      </w:r>
      <w:r>
        <w:rPr>
          <w:rFonts w:cs="Times New Roman"/>
          <w:color w:val="00B0F0"/>
          <w:sz w:val="21"/>
          <w:szCs w:val="21"/>
        </w:rPr>
        <w:t>(Schulze et al., 2000)</w:t>
      </w:r>
      <w:r>
        <w:rPr>
          <w:rFonts w:cs="Times New Roman"/>
          <w:sz w:val="21"/>
          <w:szCs w:val="21"/>
        </w:rPr>
        <w:t xml:space="preserve"> and contributes significantly to the world’s carbon storage </w:t>
      </w:r>
      <w:r>
        <w:rPr>
          <w:rFonts w:cs="Times New Roman"/>
          <w:color w:val="00B0F0"/>
          <w:sz w:val="21"/>
          <w:szCs w:val="21"/>
        </w:rPr>
        <w:t>(Zhang et al., 2020)</w:t>
      </w:r>
      <w:r>
        <w:rPr>
          <w:rFonts w:cs="Times New Roman"/>
          <w:sz w:val="21"/>
          <w:szCs w:val="21"/>
        </w:rPr>
        <w:t>. Therefore, these forest resources in China play a vital role in mitigating climate warming, especially in reducing the concentration of carbon dioxide in the atmosphere</w:t>
      </w:r>
      <w:r>
        <w:rPr>
          <w:rFonts w:cs="Times New Roman"/>
          <w:color w:val="00B0F0"/>
          <w:sz w:val="21"/>
          <w:szCs w:val="21"/>
        </w:rPr>
        <w:t xml:space="preserve"> (Fang et al., 2014; Griscom et al., 2017)</w:t>
      </w:r>
      <w:r>
        <w:rPr>
          <w:rFonts w:cs="Times New Roman"/>
          <w:sz w:val="21"/>
          <w:szCs w:val="21"/>
        </w:rPr>
        <w:t>.</w:t>
      </w:r>
    </w:p>
    <w:p>
      <w:pPr>
        <w:spacing w:line="480" w:lineRule="auto"/>
        <w:ind w:firstLine="630" w:firstLineChars="300"/>
        <w:contextualSpacing/>
        <w:rPr>
          <w:rFonts w:eastAsia="宋体" w:cs="Times New Roman"/>
          <w:sz w:val="21"/>
          <w:szCs w:val="21"/>
        </w:rPr>
      </w:pPr>
      <w:r>
        <w:rPr>
          <w:rFonts w:eastAsia="DengXian" w:cs="Times New Roman"/>
          <w:sz w:val="21"/>
          <w:szCs w:val="21"/>
        </w:rPr>
        <w:t>Therefore</w:t>
      </w:r>
      <w:r>
        <w:rPr>
          <w:rFonts w:cs="Times New Roman"/>
          <w:sz w:val="21"/>
          <w:szCs w:val="21"/>
        </w:rPr>
        <w:t xml:space="preserve">, is such a large-scale forestry investment worthwhile compared with the benefits generated? </w:t>
      </w:r>
      <w:r>
        <w:rPr>
          <w:rFonts w:eastAsia="宋体" w:cs="Times New Roman"/>
          <w:sz w:val="21"/>
          <w:szCs w:val="21"/>
        </w:rPr>
        <w:t>In other words, we are interested in assessing whether the efficiency of forestry green investment is efficient.</w:t>
      </w:r>
      <w:r>
        <w:rPr>
          <w:rFonts w:cs="Times New Roman"/>
          <w:sz w:val="21"/>
          <w:szCs w:val="21"/>
        </w:rPr>
        <w:t xml:space="preserve"> Investment efficiency refers to the input-output problem of the forestry industry </w:t>
      </w:r>
      <w:r>
        <w:rPr>
          <w:rFonts w:eastAsia="DengXian" w:cs="Times New Roman"/>
          <w:sz w:val="21"/>
          <w:szCs w:val="21"/>
        </w:rPr>
        <w:t>at</w:t>
      </w:r>
      <w:r>
        <w:rPr>
          <w:rFonts w:cs="Times New Roman"/>
          <w:sz w:val="21"/>
          <w:szCs w:val="21"/>
        </w:rPr>
        <w:t xml:space="preserve"> the macro level. </w:t>
      </w:r>
      <w:bookmarkStart w:id="12" w:name="_SAM_I_003"/>
      <w:r>
        <w:rPr>
          <w:rFonts w:cs="Times New Roman"/>
          <w:sz w:val="21"/>
          <w:szCs w:val="21"/>
        </w:rPr>
        <w:t xml:space="preserve">However, under the background of air pollution and greenhouse gas emissions, what role does the function of the forest absorbing carbon dioxide and sulfur dioxide play in the evaluation of forestry green investment </w:t>
      </w:r>
      <w:r>
        <w:rPr>
          <w:rFonts w:eastAsia="宋体" w:cs="Times New Roman"/>
          <w:sz w:val="21"/>
          <w:szCs w:val="21"/>
        </w:rPr>
        <w:t>projects</w:t>
      </w:r>
      <w:r>
        <w:rPr>
          <w:rFonts w:cs="Times New Roman"/>
          <w:sz w:val="21"/>
          <w:szCs w:val="21"/>
        </w:rPr>
        <w:t xml:space="preserve"> at the micro</w:t>
      </w:r>
      <w:r>
        <w:rPr>
          <w:rFonts w:eastAsia="宋体" w:cs="Times New Roman"/>
          <w:sz w:val="21"/>
          <w:szCs w:val="21"/>
        </w:rPr>
        <w:t xml:space="preserve"> level?</w:t>
      </w:r>
      <w:bookmarkEnd w:id="12"/>
      <w:r>
        <w:rPr>
          <w:rFonts w:eastAsia="宋体" w:cs="Times New Roman"/>
          <w:sz w:val="21"/>
          <w:szCs w:val="21"/>
        </w:rPr>
        <w:t xml:space="preserve"> </w:t>
      </w:r>
      <w:bookmarkStart w:id="13" w:name="_SAM_I_010"/>
      <w:r>
        <w:rPr>
          <w:rFonts w:cs="Times New Roman"/>
          <w:sz w:val="21"/>
          <w:szCs w:val="21"/>
        </w:rPr>
        <w:t>The detailed study of forestry investment in this paper answers these questions and is of practical significance and value.</w:t>
      </w:r>
      <w:bookmarkEnd w:id="13"/>
    </w:p>
    <w:p>
      <w:pPr>
        <w:spacing w:line="480" w:lineRule="auto"/>
        <w:ind w:firstLine="630" w:firstLineChars="300"/>
        <w:contextualSpacing/>
        <w:rPr>
          <w:rFonts w:cs="Times New Roman"/>
          <w:sz w:val="21"/>
          <w:szCs w:val="21"/>
        </w:rPr>
      </w:pPr>
      <w:r>
        <w:rPr>
          <w:rFonts w:eastAsia="宋体" w:cs="Times New Roman"/>
          <w:sz w:val="21"/>
          <w:szCs w:val="21"/>
        </w:rPr>
        <w:t xml:space="preserve">Total factor productivity (TFP) is an indicator of economic efficiency </w:t>
      </w:r>
      <w:r>
        <w:rPr>
          <w:rFonts w:eastAsia="宋体" w:cs="Times New Roman"/>
          <w:color w:val="00B0F0"/>
          <w:sz w:val="21"/>
          <w:szCs w:val="21"/>
        </w:rPr>
        <w:t xml:space="preserve">(Lin and Ge, 2019; </w:t>
      </w:r>
      <w:r>
        <w:rPr>
          <w:rFonts w:cs="Times New Roman"/>
          <w:color w:val="00B0F0"/>
          <w:sz w:val="21"/>
          <w:szCs w:val="21"/>
        </w:rPr>
        <w:t>Xiao et al., 2021</w:t>
      </w:r>
      <w:r>
        <w:rPr>
          <w:rFonts w:eastAsia="宋体" w:cs="Times New Roman"/>
          <w:color w:val="00B0F0"/>
          <w:sz w:val="21"/>
          <w:szCs w:val="21"/>
        </w:rPr>
        <w:t>)</w:t>
      </w:r>
      <w:r>
        <w:rPr>
          <w:rFonts w:eastAsia="宋体" w:cs="Times New Roman"/>
          <w:sz w:val="21"/>
          <w:szCs w:val="21"/>
        </w:rPr>
        <w:t>.</w:t>
      </w:r>
      <w:r>
        <w:rPr>
          <w:rFonts w:cs="Times New Roman"/>
          <w:sz w:val="21"/>
          <w:szCs w:val="21"/>
        </w:rPr>
        <w:t xml:space="preserve"> The essence of TFP reflects the utilization efficiency of all types of resources</w:t>
      </w:r>
      <w:r>
        <w:rPr>
          <w:rFonts w:cs="Times New Roman"/>
          <w:color w:val="00B0F0"/>
          <w:sz w:val="21"/>
          <w:szCs w:val="21"/>
        </w:rPr>
        <w:t xml:space="preserve"> (Cai et al., 2018)</w:t>
      </w:r>
      <w:r>
        <w:rPr>
          <w:rFonts w:cs="Times New Roman"/>
          <w:sz w:val="21"/>
          <w:szCs w:val="21"/>
        </w:rPr>
        <w:t xml:space="preserve">. Therefore, we believe that TFP is a good indicator of the efficiency of China's forestry investment. </w:t>
      </w:r>
      <w:bookmarkStart w:id="14" w:name="_SAM_I_008"/>
      <w:r>
        <w:rPr>
          <w:rFonts w:cs="Times New Roman"/>
          <w:sz w:val="21"/>
          <w:szCs w:val="21"/>
        </w:rPr>
        <w:t xml:space="preserve">In fact, many scholars have already applied TFP to green investment </w:t>
      </w:r>
      <w:r>
        <w:rPr>
          <w:rFonts w:cs="Times New Roman"/>
          <w:color w:val="00B0F0"/>
          <w:sz w:val="21"/>
          <w:szCs w:val="21"/>
        </w:rPr>
        <w:t>(</w:t>
      </w:r>
      <w:r>
        <w:rPr>
          <w:rStyle w:val="38"/>
          <w:rFonts w:cs="Times New Roman"/>
          <w:color w:val="00B0F0"/>
          <w:sz w:val="21"/>
          <w:szCs w:val="21"/>
        </w:rPr>
        <w:t>Allevi et al., 2019)</w:t>
      </w:r>
      <w:r>
        <w:rPr>
          <w:rFonts w:cs="Times New Roman"/>
          <w:color w:val="000000" w:themeColor="text1"/>
          <w:sz w:val="21"/>
          <w:szCs w:val="21"/>
          <w14:textFill>
            <w14:solidFill>
              <w14:schemeClr w14:val="tx1"/>
            </w14:solidFill>
          </w14:textFill>
        </w:rPr>
        <w:t xml:space="preserve">, </w:t>
      </w:r>
      <w:r>
        <w:rPr>
          <w:rFonts w:cs="Times New Roman"/>
          <w:sz w:val="21"/>
          <w:szCs w:val="21"/>
        </w:rPr>
        <w:t xml:space="preserve">forestry resources </w:t>
      </w:r>
      <w:r>
        <w:rPr>
          <w:rFonts w:cs="Times New Roman"/>
          <w:color w:val="00B0F0"/>
          <w:sz w:val="21"/>
          <w:szCs w:val="21"/>
        </w:rPr>
        <w:t>(Li et al., 2017)</w:t>
      </w:r>
      <w:r>
        <w:rPr>
          <w:rFonts w:cs="Times New Roman"/>
          <w:sz w:val="21"/>
          <w:szCs w:val="21"/>
        </w:rPr>
        <w:t xml:space="preserve">, environmental efficiency </w:t>
      </w:r>
      <w:r>
        <w:rPr>
          <w:rFonts w:cs="Times New Roman"/>
          <w:color w:val="00B0F0"/>
          <w:sz w:val="21"/>
          <w:szCs w:val="21"/>
        </w:rPr>
        <w:t>(Wen et al., 2018)</w:t>
      </w:r>
      <w:r>
        <w:rPr>
          <w:rFonts w:cs="Times New Roman"/>
          <w:sz w:val="21"/>
          <w:szCs w:val="21"/>
        </w:rPr>
        <w:t xml:space="preserve">, and renewable energy </w:t>
      </w:r>
      <w:r>
        <w:rPr>
          <w:rFonts w:cs="Times New Roman"/>
          <w:color w:val="00B0F0"/>
          <w:sz w:val="21"/>
          <w:szCs w:val="21"/>
        </w:rPr>
        <w:t>(Sohag et al., 2021)</w:t>
      </w:r>
      <w:r>
        <w:rPr>
          <w:rFonts w:cs="Times New Roman"/>
          <w:sz w:val="21"/>
          <w:szCs w:val="21"/>
        </w:rPr>
        <w:t>.</w:t>
      </w:r>
      <w:bookmarkEnd w:id="14"/>
      <w:r>
        <w:rPr>
          <w:rFonts w:cs="Times New Roman"/>
          <w:sz w:val="21"/>
          <w:szCs w:val="21"/>
        </w:rPr>
        <w:t xml:space="preserve"> Their research methods can provide us with a certain theoretical basis. In addition, we are also concerned that some scholars have carried out research on China's forestry. </w:t>
      </w:r>
      <w:r>
        <w:rPr>
          <w:rFonts w:cs="Times New Roman"/>
          <w:color w:val="00B0F0"/>
          <w:sz w:val="21"/>
          <w:szCs w:val="21"/>
        </w:rPr>
        <w:t>Li et al. (2017)</w:t>
      </w:r>
      <w:r>
        <w:rPr>
          <w:rFonts w:cs="Times New Roman"/>
          <w:sz w:val="21"/>
          <w:szCs w:val="21"/>
        </w:rPr>
        <w:t xml:space="preserve"> studied the utilization efficiency of forestry resources in China and found that technical factors are the key factors restricting the utilization efficiency of forestry resources. </w:t>
      </w:r>
      <w:r>
        <w:rPr>
          <w:rFonts w:cs="Times New Roman"/>
          <w:color w:val="00B0F0"/>
          <w:sz w:val="21"/>
          <w:szCs w:val="21"/>
        </w:rPr>
        <w:t>Zhang et al. (2019)</w:t>
      </w:r>
      <w:r>
        <w:rPr>
          <w:rFonts w:cs="Times New Roman"/>
          <w:sz w:val="21"/>
          <w:szCs w:val="21"/>
        </w:rPr>
        <w:t xml:space="preserve"> </w:t>
      </w:r>
      <w:r>
        <w:rPr>
          <w:rFonts w:eastAsia="DengXian" w:cs="Times New Roman"/>
          <w:sz w:val="21"/>
          <w:szCs w:val="21"/>
        </w:rPr>
        <w:t>analyzed</w:t>
      </w:r>
      <w:r>
        <w:rPr>
          <w:rFonts w:cs="Times New Roman"/>
          <w:sz w:val="21"/>
          <w:szCs w:val="21"/>
        </w:rPr>
        <w:t xml:space="preserve"> the investment return rate of China's plantation forests </w:t>
      </w:r>
      <w:r>
        <w:rPr>
          <w:rFonts w:eastAsia="DengXian" w:cs="Times New Roman"/>
          <w:sz w:val="21"/>
          <w:szCs w:val="21"/>
        </w:rPr>
        <w:t xml:space="preserve">and </w:t>
      </w:r>
      <w:r>
        <w:rPr>
          <w:rFonts w:cs="Times New Roman"/>
          <w:sz w:val="21"/>
          <w:szCs w:val="21"/>
        </w:rPr>
        <w:t xml:space="preserve">found that the return rates of different regions and different tree species </w:t>
      </w:r>
      <w:r>
        <w:rPr>
          <w:rFonts w:eastAsia="DengXian" w:cs="Times New Roman"/>
          <w:sz w:val="21"/>
          <w:szCs w:val="21"/>
        </w:rPr>
        <w:t>were</w:t>
      </w:r>
      <w:r>
        <w:rPr>
          <w:rFonts w:cs="Times New Roman"/>
          <w:sz w:val="21"/>
          <w:szCs w:val="21"/>
        </w:rPr>
        <w:t xml:space="preserve"> different. </w:t>
      </w:r>
      <w:r>
        <w:rPr>
          <w:rFonts w:cs="Times New Roman"/>
          <w:color w:val="00B0F0"/>
          <w:sz w:val="21"/>
          <w:szCs w:val="21"/>
        </w:rPr>
        <w:t>Lin and Ge (2019)</w:t>
      </w:r>
      <w:r>
        <w:rPr>
          <w:rFonts w:cs="Times New Roman"/>
          <w:sz w:val="21"/>
          <w:szCs w:val="21"/>
        </w:rPr>
        <w:t xml:space="preserve"> studied the output relationship of China's forestry sector and found that environmental factors are the main factors affecting forestry output. </w:t>
      </w:r>
      <w:r>
        <w:rPr>
          <w:rFonts w:cs="Times New Roman"/>
          <w:color w:val="00B0F0"/>
          <w:sz w:val="21"/>
          <w:szCs w:val="21"/>
        </w:rPr>
        <w:t>Wu and Zhang (2020)</w:t>
      </w:r>
      <w:r>
        <w:rPr>
          <w:rFonts w:cs="Times New Roman"/>
          <w:sz w:val="21"/>
          <w:szCs w:val="21"/>
        </w:rPr>
        <w:t xml:space="preserve"> found that there is a </w:t>
      </w:r>
      <w:r>
        <w:rPr>
          <w:rFonts w:eastAsia="DengXian" w:cs="Times New Roman"/>
          <w:sz w:val="21"/>
          <w:szCs w:val="21"/>
        </w:rPr>
        <w:t>nonlinear</w:t>
      </w:r>
      <w:r>
        <w:rPr>
          <w:rFonts w:cs="Times New Roman"/>
          <w:sz w:val="21"/>
          <w:szCs w:val="21"/>
        </w:rPr>
        <w:t xml:space="preserve"> relationship between Internet technology upgrades and forest TFP. </w:t>
      </w:r>
      <w:r>
        <w:rPr>
          <w:rFonts w:eastAsia="DengXian" w:cs="Times New Roman"/>
          <w:sz w:val="21"/>
          <w:szCs w:val="21"/>
        </w:rPr>
        <w:t>Their</w:t>
      </w:r>
      <w:r>
        <w:rPr>
          <w:rFonts w:cs="Times New Roman"/>
          <w:sz w:val="21"/>
          <w:szCs w:val="21"/>
        </w:rPr>
        <w:t xml:space="preserve"> research on China's forestry also provides a theoretical basis for our research.</w:t>
      </w:r>
    </w:p>
    <w:p>
      <w:pPr>
        <w:spacing w:line="480" w:lineRule="auto"/>
        <w:ind w:firstLine="630" w:firstLineChars="300"/>
        <w:contextualSpacing/>
        <w:rPr>
          <w:rFonts w:cs="Times New Roman"/>
          <w:sz w:val="21"/>
          <w:szCs w:val="21"/>
        </w:rPr>
      </w:pPr>
      <w:r>
        <w:rPr>
          <w:rFonts w:cs="Times New Roman"/>
          <w:sz w:val="21"/>
          <w:szCs w:val="21"/>
        </w:rPr>
        <w:t xml:space="preserve">In summary, green investment has attracted </w:t>
      </w:r>
      <w:r>
        <w:rPr>
          <w:rFonts w:eastAsia="DengXian" w:cs="Times New Roman"/>
          <w:sz w:val="21"/>
          <w:szCs w:val="21"/>
        </w:rPr>
        <w:t xml:space="preserve">increasing </w:t>
      </w:r>
      <w:r>
        <w:rPr>
          <w:rFonts w:cs="Times New Roman"/>
          <w:sz w:val="21"/>
          <w:szCs w:val="21"/>
        </w:rPr>
        <w:t xml:space="preserve">attention, but most scholars are more inclined to choose energy as the research object, and there is very little research on forestry investment. This may be due to difficulties in data collection. </w:t>
      </w:r>
      <w:bookmarkStart w:id="15" w:name="_SAM_I_005"/>
      <w:r>
        <w:rPr>
          <w:rFonts w:cs="Times New Roman"/>
          <w:sz w:val="21"/>
          <w:szCs w:val="21"/>
        </w:rPr>
        <w:t>In recent years, a few scholars</w:t>
      </w:r>
      <w:r>
        <w:rPr>
          <w:rFonts w:eastAsia="DengXian" w:cs="Times New Roman"/>
          <w:sz w:val="21"/>
          <w:szCs w:val="21"/>
        </w:rPr>
        <w:t xml:space="preserve"> have begun</w:t>
      </w:r>
      <w:r>
        <w:rPr>
          <w:rFonts w:cs="Times New Roman"/>
          <w:sz w:val="21"/>
          <w:szCs w:val="21"/>
        </w:rPr>
        <w:t xml:space="preserve"> to pay attention to the important role of forestry in mitigating global climate change and </w:t>
      </w:r>
      <w:r>
        <w:rPr>
          <w:rFonts w:eastAsia="DengXian" w:cs="Times New Roman"/>
          <w:sz w:val="21"/>
          <w:szCs w:val="21"/>
        </w:rPr>
        <w:t xml:space="preserve">have </w:t>
      </w:r>
      <w:r>
        <w:rPr>
          <w:rFonts w:cs="Times New Roman"/>
          <w:sz w:val="21"/>
          <w:szCs w:val="21"/>
        </w:rPr>
        <w:t>carried out research on forestry investment.</w:t>
      </w:r>
      <w:bookmarkEnd w:id="15"/>
      <w:r>
        <w:rPr>
          <w:rFonts w:cs="Times New Roman"/>
          <w:sz w:val="21"/>
          <w:szCs w:val="21"/>
        </w:rPr>
        <w:t xml:space="preserve"> Our research aims to explore the true level of China's forestry investment efficiency from the perspective of input and output through the total factor productivity index and to analyze the reasons for the formation of forestry investment efficiency and its temporal and spatial characteristics.</w:t>
      </w:r>
    </w:p>
    <w:p>
      <w:pPr>
        <w:spacing w:line="480" w:lineRule="auto"/>
        <w:ind w:firstLine="630" w:firstLineChars="300"/>
        <w:contextualSpacing/>
        <w:rPr>
          <w:rFonts w:cs="Times New Roman"/>
          <w:sz w:val="21"/>
          <w:szCs w:val="21"/>
        </w:rPr>
      </w:pPr>
      <w:r>
        <w:rPr>
          <w:rFonts w:cs="Times New Roman"/>
          <w:sz w:val="21"/>
          <w:szCs w:val="21"/>
        </w:rPr>
        <w:t xml:space="preserve">This research differs from previous scholars' research on China's forestry investment in the following aspects and may contribute as follows: (1) Our research not only considers economic performance (forestry output value) but also considers environmental performance, which includes forest carbon sinks (the ability of forests to reduce carbon emissions) and sulfur dioxide emissions (the ability of forests to purify air). (2) Our research attempts to use the Super-Slack-Based Measure (Super-SBM) model to statically measure the efficiency of forestry investment in various provinces and cities in China, compare it among different regions, and use slack variables to interpret the reasons for the difference in efficiency. (3) We will further adopt the Malmquist index in </w:t>
      </w:r>
      <w:r>
        <w:rPr>
          <w:rFonts w:eastAsia="DengXian" w:cs="Times New Roman"/>
          <w:sz w:val="21"/>
          <w:szCs w:val="21"/>
        </w:rPr>
        <w:t xml:space="preserve">the </w:t>
      </w:r>
      <w:r>
        <w:rPr>
          <w:rFonts w:cs="Times New Roman"/>
          <w:sz w:val="21"/>
          <w:szCs w:val="21"/>
        </w:rPr>
        <w:t>Data Envelopment Analysis (DEA-Malmquist) model to dynamically measure the changes in China's forestry investment efficiency.</w:t>
      </w:r>
    </w:p>
    <w:p>
      <w:pPr>
        <w:spacing w:line="480" w:lineRule="auto"/>
        <w:ind w:firstLine="630" w:firstLineChars="300"/>
        <w:contextualSpacing/>
        <w:rPr>
          <w:rFonts w:cs="Times New Roman"/>
          <w:sz w:val="21"/>
          <w:szCs w:val="21"/>
        </w:rPr>
      </w:pPr>
      <w:r>
        <w:rPr>
          <w:rFonts w:cs="Times New Roman"/>
          <w:sz w:val="21"/>
          <w:szCs w:val="21"/>
        </w:rPr>
        <w:t xml:space="preserve">The rest of this article is arranged as follows: The second part will introduce the model used in this article. </w:t>
      </w:r>
      <w:bookmarkStart w:id="16" w:name="_SAM_I_004"/>
      <w:r>
        <w:rPr>
          <w:rFonts w:cs="Times New Roman"/>
          <w:sz w:val="21"/>
          <w:szCs w:val="21"/>
        </w:rPr>
        <w:t>The third part will conduct an empirical study on the efficiency of China's forestry investment.</w:t>
      </w:r>
      <w:bookmarkEnd w:id="16"/>
      <w:r>
        <w:rPr>
          <w:rFonts w:cs="Times New Roman"/>
          <w:sz w:val="21"/>
          <w:szCs w:val="21"/>
        </w:rPr>
        <w:t xml:space="preserve"> </w:t>
      </w:r>
      <w:bookmarkStart w:id="17" w:name="_SAM_I_002"/>
      <w:r>
        <w:rPr>
          <w:rFonts w:eastAsia="DengXian" w:cs="Times New Roman"/>
          <w:sz w:val="21"/>
          <w:szCs w:val="21"/>
        </w:rPr>
        <w:t>Finally</w:t>
      </w:r>
      <w:r>
        <w:rPr>
          <w:rFonts w:cs="Times New Roman"/>
          <w:sz w:val="21"/>
          <w:szCs w:val="21"/>
        </w:rPr>
        <w:t>, in the fourth part, we put forward our conclusions and suggestions.</w:t>
      </w:r>
      <w:bookmarkEnd w:id="17"/>
    </w:p>
    <w:p>
      <w:pPr>
        <w:spacing w:line="480" w:lineRule="auto"/>
        <w:contextualSpacing/>
        <w:rPr>
          <w:rFonts w:cs="Times New Roman"/>
          <w:sz w:val="21"/>
          <w:szCs w:val="21"/>
        </w:rPr>
      </w:pPr>
    </w:p>
    <w:p>
      <w:pPr>
        <w:spacing w:line="480" w:lineRule="auto"/>
        <w:contextualSpacing/>
        <w:outlineLvl w:val="0"/>
        <w:rPr>
          <w:rFonts w:cs="Times New Roman"/>
          <w:b/>
          <w:sz w:val="21"/>
          <w:szCs w:val="21"/>
        </w:rPr>
      </w:pPr>
      <w:bookmarkStart w:id="18" w:name="_SAM_Methods"/>
      <w:r>
        <w:rPr>
          <w:rFonts w:cs="Times New Roman"/>
          <w:b/>
          <w:sz w:val="21"/>
          <w:szCs w:val="21"/>
        </w:rPr>
        <w:t>2. Methods and Data</w:t>
      </w:r>
      <w:bookmarkEnd w:id="18"/>
    </w:p>
    <w:p>
      <w:pPr>
        <w:spacing w:line="480" w:lineRule="auto"/>
        <w:contextualSpacing/>
        <w:outlineLvl w:val="0"/>
        <w:rPr>
          <w:rFonts w:cs="Times New Roman"/>
          <w:b/>
          <w:i/>
          <w:sz w:val="21"/>
          <w:szCs w:val="21"/>
        </w:rPr>
      </w:pPr>
      <w:bookmarkStart w:id="19" w:name="_SAM_M_011"/>
      <w:r>
        <w:rPr>
          <w:rFonts w:cs="Times New Roman"/>
          <w:b/>
          <w:i/>
          <w:sz w:val="21"/>
          <w:szCs w:val="21"/>
        </w:rPr>
        <w:t>2.1 Model</w:t>
      </w:r>
    </w:p>
    <w:p>
      <w:pPr>
        <w:spacing w:line="480" w:lineRule="auto"/>
        <w:ind w:firstLine="720"/>
        <w:contextualSpacing/>
        <w:rPr>
          <w:rFonts w:cs="Times New Roman"/>
          <w:sz w:val="21"/>
          <w:szCs w:val="21"/>
        </w:rPr>
      </w:pPr>
      <w:bookmarkStart w:id="20" w:name="OLE_LINK8"/>
      <w:bookmarkStart w:id="21" w:name="OLE_LINK7"/>
      <w:r>
        <w:rPr>
          <w:rFonts w:cs="Times New Roman"/>
          <w:sz w:val="21"/>
          <w:szCs w:val="21"/>
        </w:rPr>
        <w:t>Our paper includes three models:</w:t>
      </w:r>
      <w:r>
        <w:rPr>
          <w:rFonts w:eastAsia="宋体" w:cs="Times New Roman"/>
          <w:sz w:val="21"/>
          <w:szCs w:val="21"/>
        </w:rPr>
        <w:t xml:space="preserve"> the </w:t>
      </w:r>
      <w:r>
        <w:rPr>
          <w:rFonts w:cs="Times New Roman"/>
          <w:sz w:val="21"/>
          <w:szCs w:val="21"/>
        </w:rPr>
        <w:t>forest biomass conversion factor model,</w:t>
      </w:r>
      <w:r>
        <w:rPr>
          <w:rFonts w:eastAsia="宋体" w:cs="Times New Roman"/>
          <w:sz w:val="21"/>
          <w:szCs w:val="21"/>
        </w:rPr>
        <w:t xml:space="preserve"> the</w:t>
      </w:r>
      <w:r>
        <w:rPr>
          <w:rFonts w:cs="Times New Roman"/>
          <w:sz w:val="21"/>
          <w:szCs w:val="21"/>
        </w:rPr>
        <w:t xml:space="preserve"> Super-SBM model and the DEA-Malmquist model.</w:t>
      </w:r>
      <w:bookmarkEnd w:id="19"/>
      <w:r>
        <w:rPr>
          <w:rFonts w:cs="Times New Roman"/>
          <w:sz w:val="21"/>
          <w:szCs w:val="21"/>
        </w:rPr>
        <w:t xml:space="preserve"> We use the forest biomass conversion factor model to measure the forest carbon sinks at the provincial level in China, and we use the Super-SBM model and the DEA-Malmquist model to measure the static production efficiency and dynamic production efficiency of forest investment at the provincial level in China</w:t>
      </w:r>
      <w:r>
        <w:rPr>
          <w:rFonts w:eastAsia="DengXian" w:cs="Times New Roman"/>
          <w:sz w:val="21"/>
          <w:szCs w:val="21"/>
        </w:rPr>
        <w:t>, respectively</w:t>
      </w:r>
      <w:r>
        <w:rPr>
          <w:rFonts w:cs="Times New Roman"/>
          <w:sz w:val="21"/>
          <w:szCs w:val="21"/>
        </w:rPr>
        <w:t>.</w:t>
      </w:r>
    </w:p>
    <w:bookmarkEnd w:id="20"/>
    <w:bookmarkEnd w:id="21"/>
    <w:p>
      <w:pPr>
        <w:spacing w:line="480" w:lineRule="auto"/>
        <w:contextualSpacing/>
        <w:rPr>
          <w:rFonts w:cs="Times New Roman"/>
          <w:sz w:val="21"/>
          <w:szCs w:val="21"/>
        </w:rPr>
      </w:pPr>
    </w:p>
    <w:p>
      <w:pPr>
        <w:spacing w:line="480" w:lineRule="auto"/>
        <w:contextualSpacing/>
        <w:outlineLvl w:val="0"/>
        <w:rPr>
          <w:rFonts w:cs="Times New Roman"/>
          <w:i/>
          <w:sz w:val="21"/>
          <w:szCs w:val="21"/>
        </w:rPr>
      </w:pPr>
      <w:r>
        <w:rPr>
          <w:rFonts w:cs="Times New Roman"/>
          <w:i/>
          <w:sz w:val="21"/>
          <w:szCs w:val="21"/>
        </w:rPr>
        <w:t>2.1.1 Forest biomass conversion factor model</w:t>
      </w:r>
    </w:p>
    <w:p>
      <w:pPr>
        <w:spacing w:line="480" w:lineRule="auto"/>
        <w:ind w:firstLine="720"/>
        <w:contextualSpacing/>
        <w:rPr>
          <w:rFonts w:cs="Times New Roman"/>
          <w:sz w:val="21"/>
          <w:szCs w:val="21"/>
        </w:rPr>
      </w:pPr>
      <w:r>
        <w:rPr>
          <w:rFonts w:cs="Times New Roman"/>
          <w:sz w:val="21"/>
          <w:szCs w:val="21"/>
        </w:rPr>
        <w:t xml:space="preserve">Forest carbon </w:t>
      </w:r>
      <w:r>
        <w:rPr>
          <w:rFonts w:eastAsia="DengXian" w:cs="Times New Roman"/>
          <w:sz w:val="21"/>
          <w:szCs w:val="21"/>
        </w:rPr>
        <w:t>sinks mean</w:t>
      </w:r>
      <w:r>
        <w:rPr>
          <w:rFonts w:cs="Times New Roman"/>
          <w:sz w:val="21"/>
          <w:szCs w:val="21"/>
        </w:rPr>
        <w:t xml:space="preserve"> that forest plants absorb carbon dioxide in the atmosphere and fix it in vegetation or soil, thereby reducing the concentration of gas in the atmosphere. Forest carbon sinks are one of the most important</w:t>
      </w:r>
      <w:r>
        <w:rPr>
          <w:rFonts w:eastAsia="DengXian" w:cs="Times New Roman"/>
          <w:sz w:val="21"/>
          <w:szCs w:val="21"/>
        </w:rPr>
        <w:t xml:space="preserve"> </w:t>
      </w:r>
      <w:r>
        <w:rPr>
          <w:rFonts w:cs="Times New Roman"/>
          <w:sz w:val="21"/>
          <w:szCs w:val="21"/>
        </w:rPr>
        <w:t>carbon dioxide sequestration</w:t>
      </w:r>
      <w:r>
        <w:rPr>
          <w:rFonts w:eastAsia="DengXian" w:cs="Times New Roman"/>
          <w:sz w:val="21"/>
          <w:szCs w:val="21"/>
        </w:rPr>
        <w:t xml:space="preserve"> methods and</w:t>
      </w:r>
      <w:r>
        <w:rPr>
          <w:rFonts w:cs="Times New Roman"/>
          <w:sz w:val="21"/>
          <w:szCs w:val="21"/>
        </w:rPr>
        <w:t xml:space="preserve"> can effectively alleviate global warming </w:t>
      </w:r>
      <w:r>
        <w:rPr>
          <w:rFonts w:cs="Times New Roman"/>
          <w:color w:val="00B0F0"/>
          <w:sz w:val="21"/>
          <w:szCs w:val="21"/>
        </w:rPr>
        <w:t>(Qiu et al., 2020; Lin and Ge, 2019)</w:t>
      </w:r>
      <w:r>
        <w:rPr>
          <w:rFonts w:cs="Times New Roman"/>
          <w:sz w:val="21"/>
          <w:szCs w:val="21"/>
        </w:rPr>
        <w:t>. Therefore, we will calculate the forest carbon sink and use it as one of the output indicators of forestry investment.</w:t>
      </w:r>
    </w:p>
    <w:p>
      <w:pPr>
        <w:spacing w:line="480" w:lineRule="auto"/>
        <w:ind w:firstLine="720"/>
        <w:contextualSpacing/>
        <w:rPr>
          <w:rFonts w:cs="Times New Roman"/>
          <w:sz w:val="21"/>
          <w:szCs w:val="21"/>
        </w:rPr>
      </w:pPr>
      <w:r>
        <w:rPr>
          <w:rFonts w:cs="Times New Roman"/>
          <w:sz w:val="21"/>
          <w:szCs w:val="21"/>
        </w:rPr>
        <w:t>Current research shows that there is uncertainty in the measurement of forest carbon sinks, and no one method is absolute good. Thus, relatively appropriate measurement methods can be selected only according to the forest characteristics. Generally, the methods commonly used to study the carbon sequestration of forests include the biomass method, volumetric method and atmospheric flow method</w:t>
      </w:r>
      <w:r>
        <w:rPr>
          <w:rFonts w:cs="Times New Roman"/>
          <w:color w:val="00B0F0"/>
          <w:sz w:val="21"/>
          <w:szCs w:val="21"/>
        </w:rPr>
        <w:t xml:space="preserve"> (e.g., Winjum et al., 1998; Wang et al., 2001; Chhabra, 2002; Jalkanen et al., 2005; Fang et al., 2007; Somogyi et al., 2007; Deng et al., 2014)</w:t>
      </w:r>
      <w:r>
        <w:rPr>
          <w:rFonts w:cs="Times New Roman"/>
          <w:sz w:val="21"/>
          <w:szCs w:val="21"/>
        </w:rPr>
        <w:t>. Considering the limitation of forestry data at</w:t>
      </w:r>
      <w:r>
        <w:rPr>
          <w:rFonts w:eastAsia="宋体" w:cs="Times New Roman"/>
          <w:sz w:val="21"/>
          <w:szCs w:val="21"/>
        </w:rPr>
        <w:t xml:space="preserve"> the</w:t>
      </w:r>
      <w:r>
        <w:rPr>
          <w:rFonts w:cs="Times New Roman"/>
          <w:sz w:val="21"/>
          <w:szCs w:val="21"/>
        </w:rPr>
        <w:t xml:space="preserve"> provincial level in China, this paper uses the forest biomass conversion factor model to calculate forest carbon </w:t>
      </w:r>
      <w:r>
        <w:rPr>
          <w:rFonts w:eastAsia="宋体" w:cs="Times New Roman"/>
          <w:sz w:val="21"/>
          <w:szCs w:val="21"/>
        </w:rPr>
        <w:t>sinks</w:t>
      </w:r>
      <w:r>
        <w:rPr>
          <w:rFonts w:cs="Times New Roman"/>
          <w:sz w:val="21"/>
          <w:szCs w:val="21"/>
        </w:rPr>
        <w:t xml:space="preserve">. The carbon sink value measured in this paper is used only for economic measurement and does not need to reach the accuracy of natural science. </w:t>
      </w:r>
      <w:bookmarkStart w:id="22" w:name="_SAM_M_017"/>
      <w:r>
        <w:rPr>
          <w:rFonts w:cs="Times New Roman"/>
          <w:sz w:val="21"/>
          <w:szCs w:val="21"/>
        </w:rPr>
        <w:t>Therefore, to reduce the computational complexity, this method is more appropriate.</w:t>
      </w:r>
      <w:bookmarkEnd w:id="22"/>
    </w:p>
    <w:p>
      <w:pPr>
        <w:spacing w:line="480" w:lineRule="auto"/>
        <w:ind w:firstLine="720"/>
        <w:contextualSpacing/>
        <w:rPr>
          <w:rFonts w:cs="Times New Roman"/>
          <w:sz w:val="21"/>
          <w:szCs w:val="21"/>
        </w:rPr>
      </w:pPr>
      <w:r>
        <w:rPr>
          <w:rFonts w:cs="Times New Roman"/>
          <w:sz w:val="21"/>
          <w:szCs w:val="21"/>
        </w:rPr>
        <w:t>The calculation process of the forest biomass conversion factor model is as follows: first, forest growth volume is converted into growth volume density, and then the growth volume density and biomass expansion factor are used to calculate the aboveground biomass; finally, the carbon sink is calculated based on the conversion coefficient of carbon fixation.</w:t>
      </w:r>
    </w:p>
    <w:p>
      <w:pPr>
        <w:spacing w:line="480" w:lineRule="auto"/>
        <w:ind w:firstLine="720"/>
        <w:contextualSpacing/>
        <w:rPr>
          <w:rFonts w:cs="Times New Roman"/>
          <w:sz w:val="21"/>
          <w:szCs w:val="21"/>
        </w:rPr>
      </w:pPr>
      <w:r>
        <w:rPr>
          <w:rFonts w:cs="Times New Roman"/>
          <w:sz w:val="21"/>
          <w:szCs w:val="21"/>
        </w:rPr>
        <w:t xml:space="preserve">This paper defines the forest carbon sequestration equation (Equation 1) as </w:t>
      </w:r>
      <w:r>
        <w:rPr>
          <w:rFonts w:eastAsia="宋体" w:cs="Times New Roman"/>
          <w:sz w:val="21"/>
          <w:szCs w:val="21"/>
        </w:rPr>
        <w:t>follows</w:t>
      </w:r>
      <w:r>
        <w:rPr>
          <w:rFonts w:cs="Times New Roman"/>
          <w:sz w:val="21"/>
          <w:szCs w:val="21"/>
        </w:rPr>
        <w:t>:</w:t>
      </w:r>
    </w:p>
    <w:p>
      <w:pPr>
        <w:spacing w:line="480" w:lineRule="auto"/>
        <w:contextualSpacing/>
        <w:jc w:val="center"/>
        <w:rPr>
          <w:rFonts w:cs="Times New Roman"/>
          <w:i/>
          <w:sz w:val="21"/>
          <w:szCs w:val="21"/>
        </w:rPr>
      </w:pPr>
      <m:oMathPara>
        <m:oMath>
          <m:r>
            <m:rPr/>
            <w:rPr>
              <w:rFonts w:ascii="Cambria Math" w:hAnsi="Cambria Math" w:cs="Times New Roman"/>
              <w:sz w:val="21"/>
              <w:szCs w:val="21"/>
            </w:rPr>
            <m:t>Tℎe forest carbon sequestration=Forest biomass carbon sequestration     (1)</m:t>
          </m:r>
        </m:oMath>
      </m:oMathPara>
    </w:p>
    <w:p>
      <w:pPr>
        <w:spacing w:line="480" w:lineRule="auto"/>
        <w:ind w:firstLine="720"/>
        <w:contextualSpacing/>
        <w:rPr>
          <w:rFonts w:cs="Times New Roman"/>
          <w:sz w:val="21"/>
          <w:szCs w:val="21"/>
        </w:rPr>
      </w:pPr>
      <w:r>
        <w:rPr>
          <w:rFonts w:cs="Times New Roman"/>
          <w:sz w:val="21"/>
          <w:szCs w:val="21"/>
        </w:rPr>
        <w:t xml:space="preserve">The specific calculation equation of carbon sequestration using </w:t>
      </w:r>
      <w:r>
        <w:rPr>
          <w:rFonts w:eastAsia="宋体" w:cs="Times New Roman"/>
          <w:sz w:val="21"/>
          <w:szCs w:val="21"/>
        </w:rPr>
        <w:t xml:space="preserve">the </w:t>
      </w:r>
      <w:r>
        <w:rPr>
          <w:rFonts w:cs="Times New Roman"/>
          <w:sz w:val="21"/>
          <w:szCs w:val="21"/>
        </w:rPr>
        <w:t>forest biomass conversion factor method is as follows (Fang et al., 2007):</w:t>
      </w:r>
    </w:p>
    <w:p>
      <w:pPr>
        <w:spacing w:line="480" w:lineRule="auto"/>
        <w:contextualSpacing/>
        <w:jc w:val="center"/>
        <w:rPr>
          <w:rFonts w:cs="Times New Roman"/>
          <w:sz w:val="21"/>
          <w:szCs w:val="21"/>
        </w:rPr>
      </w:pPr>
      <m:oMathPara>
        <m:oMath>
          <m:sSub>
            <m:sSubPr>
              <m:ctrlPr>
                <w:rPr>
                  <w:rFonts w:ascii="Cambria Math" w:hAnsi="Cambria Math" w:cs="Times New Roman"/>
                  <w:i/>
                  <w:sz w:val="21"/>
                  <w:szCs w:val="21"/>
                </w:rPr>
              </m:ctrlPr>
            </m:sSubPr>
            <m:e>
              <m:r>
                <m:rPr/>
                <w:rPr>
                  <w:rFonts w:ascii="Cambria Math" w:hAnsi="Cambria Math" w:cs="Times New Roman"/>
                  <w:sz w:val="21"/>
                  <w:szCs w:val="21"/>
                </w:rPr>
                <m:t>Carb</m:t>
              </m:r>
              <m:ctrlPr>
                <w:rPr>
                  <w:rFonts w:ascii="Cambria Math" w:hAnsi="Cambria Math" w:cs="Times New Roman"/>
                  <w:i/>
                  <w:sz w:val="21"/>
                  <w:szCs w:val="21"/>
                </w:rPr>
              </m:ctrlPr>
            </m:e>
            <m:sub>
              <m:r>
                <m:rPr/>
                <w:rPr>
                  <w:rFonts w:ascii="Cambria Math" w:hAnsi="Cambria Math" w:cs="Times New Roman"/>
                  <w:sz w:val="21"/>
                  <w:szCs w:val="21"/>
                </w:rPr>
                <m:t>ij</m:t>
              </m:r>
              <m:ctrlPr>
                <w:rPr>
                  <w:rFonts w:ascii="Cambria Math" w:hAnsi="Cambria Math" w:cs="Times New Roman"/>
                  <w:i/>
                  <w:sz w:val="21"/>
                  <w:szCs w:val="21"/>
                </w:rPr>
              </m:ctrlPr>
            </m:sub>
          </m:sSub>
          <m:r>
            <m:rPr/>
            <w:rPr>
              <w:rFonts w:ascii="Cambria Math" w:hAnsi="Cambria Math" w:cs="Times New Roman"/>
              <w:sz w:val="21"/>
              <w:szCs w:val="21"/>
            </w:rPr>
            <m:t>=</m:t>
          </m:r>
          <m:sSub>
            <m:sSubPr>
              <m:ctrlPr>
                <w:rPr>
                  <w:rFonts w:ascii="Cambria Math" w:hAnsi="Cambria Math" w:cs="Times New Roman"/>
                  <w:i/>
                  <w:sz w:val="21"/>
                  <w:szCs w:val="21"/>
                </w:rPr>
              </m:ctrlPr>
            </m:sSubPr>
            <m:e>
              <m:r>
                <m:rPr/>
                <w:rPr>
                  <w:rFonts w:ascii="Cambria Math" w:hAnsi="Cambria Math" w:cs="Times New Roman"/>
                  <w:sz w:val="21"/>
                  <w:szCs w:val="21"/>
                </w:rPr>
                <m:t>A</m:t>
              </m:r>
              <m:ctrlPr>
                <w:rPr>
                  <w:rFonts w:ascii="Cambria Math" w:hAnsi="Cambria Math" w:cs="Times New Roman"/>
                  <w:i/>
                  <w:sz w:val="21"/>
                  <w:szCs w:val="21"/>
                </w:rPr>
              </m:ctrlPr>
            </m:e>
            <m:sub>
              <m:r>
                <m:rPr/>
                <w:rPr>
                  <w:rFonts w:ascii="Cambria Math" w:hAnsi="Cambria Math" w:cs="Times New Roman"/>
                  <w:sz w:val="21"/>
                  <w:szCs w:val="21"/>
                </w:rPr>
                <m:t>ij</m:t>
              </m:r>
              <m:ctrlPr>
                <w:rPr>
                  <w:rFonts w:ascii="Cambria Math" w:hAnsi="Cambria Math" w:cs="Times New Roman"/>
                  <w:i/>
                  <w:sz w:val="21"/>
                  <w:szCs w:val="21"/>
                </w:rPr>
              </m:ctrlPr>
            </m:sub>
          </m:sSub>
          <m:r>
            <m:rPr/>
            <w:rPr>
              <w:rFonts w:ascii="Cambria Math" w:hAnsi="Cambria Math" w:cs="Times New Roman"/>
              <w:sz w:val="21"/>
              <w:szCs w:val="21"/>
            </w:rPr>
            <m:t>×</m:t>
          </m:r>
          <m:sSub>
            <m:sSubPr>
              <m:ctrlPr>
                <w:rPr>
                  <w:rFonts w:ascii="Cambria Math" w:hAnsi="Cambria Math" w:cs="Times New Roman"/>
                  <w:i/>
                  <w:sz w:val="21"/>
                  <w:szCs w:val="21"/>
                </w:rPr>
              </m:ctrlPr>
            </m:sSubPr>
            <m:e>
              <m:r>
                <m:rPr/>
                <w:rPr>
                  <w:rFonts w:ascii="Cambria Math" w:hAnsi="Cambria Math" w:cs="Times New Roman"/>
                  <w:sz w:val="21"/>
                  <w:szCs w:val="21"/>
                </w:rPr>
                <m:t>BEF</m:t>
              </m:r>
              <m:ctrlPr>
                <w:rPr>
                  <w:rFonts w:ascii="Cambria Math" w:hAnsi="Cambria Math" w:cs="Times New Roman"/>
                  <w:i/>
                  <w:sz w:val="21"/>
                  <w:szCs w:val="21"/>
                </w:rPr>
              </m:ctrlPr>
            </m:e>
            <m:sub>
              <m:r>
                <m:rPr/>
                <w:rPr>
                  <w:rFonts w:ascii="Cambria Math" w:hAnsi="Cambria Math" w:cs="Times New Roman"/>
                  <w:sz w:val="21"/>
                  <w:szCs w:val="21"/>
                </w:rPr>
                <m:t>ij</m:t>
              </m:r>
              <m:ctrlPr>
                <w:rPr>
                  <w:rFonts w:ascii="Cambria Math" w:hAnsi="Cambria Math" w:cs="Times New Roman"/>
                  <w:i/>
                  <w:sz w:val="21"/>
                  <w:szCs w:val="21"/>
                </w:rPr>
              </m:ctrlPr>
            </m:sub>
          </m:sSub>
          <m:r>
            <m:rPr/>
            <w:rPr>
              <w:rFonts w:ascii="Cambria Math" w:hAnsi="Cambria Math" w:cs="Times New Roman"/>
              <w:sz w:val="21"/>
              <w:szCs w:val="21"/>
            </w:rPr>
            <m:t>×</m:t>
          </m:r>
          <m:sSub>
            <m:sSubPr>
              <m:ctrlPr>
                <w:rPr>
                  <w:rFonts w:ascii="Cambria Math" w:hAnsi="Cambria Math" w:cs="Times New Roman"/>
                  <w:i/>
                  <w:sz w:val="21"/>
                  <w:szCs w:val="21"/>
                </w:rPr>
              </m:ctrlPr>
            </m:sSubPr>
            <m:e>
              <m:r>
                <m:rPr/>
                <w:rPr>
                  <w:rFonts w:ascii="Cambria Math" w:hAnsi="Cambria Math" w:cs="Times New Roman"/>
                  <w:sz w:val="21"/>
                  <w:szCs w:val="21"/>
                </w:rPr>
                <m:t>Density</m:t>
              </m:r>
              <m:ctrlPr>
                <w:rPr>
                  <w:rFonts w:ascii="Cambria Math" w:hAnsi="Cambria Math" w:cs="Times New Roman"/>
                  <w:i/>
                  <w:sz w:val="21"/>
                  <w:szCs w:val="21"/>
                </w:rPr>
              </m:ctrlPr>
            </m:e>
            <m:sub>
              <m:r>
                <m:rPr/>
                <w:rPr>
                  <w:rFonts w:ascii="Cambria Math" w:hAnsi="Cambria Math" w:cs="Times New Roman"/>
                  <w:sz w:val="21"/>
                  <w:szCs w:val="21"/>
                </w:rPr>
                <m:t>ij</m:t>
              </m:r>
              <m:ctrlPr>
                <w:rPr>
                  <w:rFonts w:ascii="Cambria Math" w:hAnsi="Cambria Math" w:cs="Times New Roman"/>
                  <w:i/>
                  <w:sz w:val="21"/>
                  <w:szCs w:val="21"/>
                </w:rPr>
              </m:ctrlPr>
            </m:sub>
          </m:sSub>
          <m:r>
            <m:rPr/>
            <w:rPr>
              <w:rFonts w:ascii="Cambria Math" w:hAnsi="Cambria Math" w:cs="Times New Roman"/>
              <w:sz w:val="21"/>
              <w:szCs w:val="21"/>
            </w:rPr>
            <m:t>×</m:t>
          </m:r>
          <m:sSub>
            <m:sSubPr>
              <m:ctrlPr>
                <w:rPr>
                  <w:rFonts w:ascii="Cambria Math" w:hAnsi="Cambria Math" w:cs="Times New Roman"/>
                  <w:i/>
                  <w:sz w:val="21"/>
                  <w:szCs w:val="21"/>
                </w:rPr>
              </m:ctrlPr>
            </m:sSubPr>
            <m:e>
              <m:r>
                <m:rPr/>
                <w:rPr>
                  <w:rFonts w:ascii="Cambria Math" w:hAnsi="Cambria Math" w:cs="Times New Roman"/>
                  <w:sz w:val="21"/>
                  <w:szCs w:val="21"/>
                </w:rPr>
                <m:t>γ</m:t>
              </m:r>
              <m:ctrlPr>
                <w:rPr>
                  <w:rFonts w:ascii="Cambria Math" w:hAnsi="Cambria Math" w:cs="Times New Roman"/>
                  <w:i/>
                  <w:sz w:val="21"/>
                  <w:szCs w:val="21"/>
                </w:rPr>
              </m:ctrlPr>
            </m:e>
            <m:sub>
              <m:r>
                <m:rPr/>
                <w:rPr>
                  <w:rFonts w:ascii="Cambria Math" w:hAnsi="Cambria Math" w:cs="Times New Roman"/>
                  <w:sz w:val="21"/>
                  <w:szCs w:val="21"/>
                </w:rPr>
                <m:t>ij</m:t>
              </m:r>
              <m:ctrlPr>
                <w:rPr>
                  <w:rFonts w:ascii="Cambria Math" w:hAnsi="Cambria Math" w:cs="Times New Roman"/>
                  <w:i/>
                  <w:sz w:val="21"/>
                  <w:szCs w:val="21"/>
                </w:rPr>
              </m:ctrlPr>
            </m:sub>
          </m:sSub>
          <m:r>
            <m:rPr/>
            <w:rPr>
              <w:rFonts w:ascii="Cambria Math" w:hAnsi="Cambria Math" w:cs="Times New Roman"/>
              <w:sz w:val="21"/>
              <w:szCs w:val="21"/>
            </w:rPr>
            <m:t xml:space="preserve">                         (2)</m:t>
          </m:r>
        </m:oMath>
      </m:oMathPara>
    </w:p>
    <w:p>
      <w:pPr>
        <w:spacing w:line="480" w:lineRule="auto"/>
        <w:ind w:firstLine="630" w:firstLineChars="300"/>
        <w:contextualSpacing/>
        <w:rPr>
          <w:rFonts w:cs="Times New Roman"/>
          <w:sz w:val="21"/>
          <w:szCs w:val="21"/>
        </w:rPr>
      </w:pPr>
      <w:r>
        <w:rPr>
          <w:rFonts w:eastAsia="宋体" w:cs="Times New Roman"/>
          <w:sz w:val="21"/>
          <w:szCs w:val="21"/>
        </w:rPr>
        <w:t>where</w:t>
      </w:r>
      <m:oMath>
        <m:r>
          <m:rPr>
            <m:sty m:val="p"/>
          </m:rPr>
          <w:rPr>
            <w:rFonts w:ascii="Cambria Math" w:hAnsi="Cambria Math" w:eastAsia="宋体" w:cs="Times New Roman"/>
            <w:sz w:val="21"/>
            <w:szCs w:val="21"/>
          </w:rPr>
          <m:t xml:space="preserve">, </m:t>
        </m:r>
        <m:r>
          <m:rPr/>
          <w:rPr>
            <w:rFonts w:ascii="Cambria Math" w:hAnsi="Cambria Math" w:cs="Times New Roman"/>
            <w:sz w:val="21"/>
            <w:szCs w:val="21"/>
          </w:rPr>
          <m:t>Carb</m:t>
        </m:r>
      </m:oMath>
      <w:r>
        <w:rPr>
          <w:rFonts w:cs="Times New Roman"/>
          <w:sz w:val="21"/>
          <w:szCs w:val="21"/>
        </w:rPr>
        <w:t xml:space="preserve">refers to the amount of carbon sequestration in a forest. </w:t>
      </w:r>
      <m:oMath>
        <m:r>
          <m:rPr/>
          <w:rPr>
            <w:rFonts w:ascii="Cambria Math" w:hAnsi="Cambria Math" w:cs="Times New Roman"/>
            <w:sz w:val="21"/>
            <w:szCs w:val="21"/>
          </w:rPr>
          <m:t>A</m:t>
        </m:r>
      </m:oMath>
      <w:r>
        <w:rPr>
          <w:rFonts w:cs="Times New Roman"/>
          <w:sz w:val="21"/>
          <w:szCs w:val="21"/>
        </w:rPr>
        <w:t xml:space="preserve">, </w:t>
      </w:r>
      <m:oMath>
        <m:r>
          <m:rPr/>
          <w:rPr>
            <w:rFonts w:ascii="Cambria Math" w:hAnsi="Cambria Math" w:cs="Times New Roman"/>
            <w:sz w:val="21"/>
            <w:szCs w:val="21"/>
          </w:rPr>
          <m:t>BEF</m:t>
        </m:r>
      </m:oMath>
      <w:r>
        <w:rPr>
          <w:rFonts w:cs="Times New Roman"/>
          <w:sz w:val="21"/>
          <w:szCs w:val="21"/>
        </w:rPr>
        <w:t xml:space="preserve">, </w:t>
      </w:r>
      <m:oMath>
        <m:r>
          <m:rPr/>
          <w:rPr>
            <w:rFonts w:ascii="Cambria Math" w:hAnsi="Cambria Math" w:cs="Times New Roman"/>
            <w:sz w:val="21"/>
            <w:szCs w:val="21"/>
          </w:rPr>
          <m:t>Density</m:t>
        </m:r>
      </m:oMath>
      <w:r>
        <w:rPr>
          <w:rFonts w:cs="Times New Roman"/>
          <w:sz w:val="21"/>
          <w:szCs w:val="21"/>
        </w:rPr>
        <w:t xml:space="preserve"> and </w:t>
      </w:r>
      <m:oMath>
        <m:r>
          <m:rPr/>
          <w:rPr>
            <w:rFonts w:ascii="Cambria Math" w:hAnsi="Cambria Math" w:cs="Times New Roman"/>
            <w:sz w:val="21"/>
            <w:szCs w:val="21"/>
          </w:rPr>
          <m:t>γ</m:t>
        </m:r>
      </m:oMath>
      <w:r>
        <w:rPr>
          <w:rFonts w:eastAsia="宋体" w:cs="Times New Roman"/>
          <w:sz w:val="21"/>
          <w:szCs w:val="21"/>
        </w:rPr>
        <w:t xml:space="preserve"> represent the total</w:t>
      </w:r>
      <w:r>
        <w:rPr>
          <w:rFonts w:cs="Times New Roman"/>
          <w:sz w:val="21"/>
          <w:szCs w:val="21"/>
        </w:rPr>
        <w:t xml:space="preserve"> standing forest stock, biomass expansion factor, bulk density and carbon content rate, respectively. </w:t>
      </w:r>
      <m:oMath>
        <m:r>
          <m:rPr/>
          <w:rPr>
            <w:rFonts w:ascii="Cambria Math" w:hAnsi="Cambria Math" w:cs="Times New Roman"/>
            <w:sz w:val="21"/>
            <w:szCs w:val="21"/>
          </w:rPr>
          <m:t>i</m:t>
        </m:r>
      </m:oMath>
      <w:r>
        <w:rPr>
          <w:rFonts w:cs="Times New Roman"/>
          <w:sz w:val="21"/>
          <w:szCs w:val="21"/>
        </w:rPr>
        <w:t xml:space="preserve"> and </w:t>
      </w:r>
      <m:oMath>
        <m:r>
          <m:rPr/>
          <w:rPr>
            <w:rFonts w:ascii="Cambria Math" w:hAnsi="Cambria Math" w:cs="Times New Roman"/>
            <w:sz w:val="21"/>
            <w:szCs w:val="21"/>
          </w:rPr>
          <m:t>j</m:t>
        </m:r>
      </m:oMath>
      <w:r>
        <w:rPr>
          <w:rFonts w:cs="Times New Roman"/>
          <w:sz w:val="21"/>
          <w:szCs w:val="21"/>
        </w:rPr>
        <w:t xml:space="preserve"> refer to province </w:t>
      </w:r>
      <m:oMath>
        <m:r>
          <m:rPr/>
          <w:rPr>
            <w:rFonts w:ascii="Cambria Math" w:hAnsi="Cambria Math" w:cs="Times New Roman"/>
            <w:sz w:val="21"/>
            <w:szCs w:val="21"/>
          </w:rPr>
          <m:t>i</m:t>
        </m:r>
      </m:oMath>
      <w:r>
        <w:rPr>
          <w:rFonts w:cs="Times New Roman"/>
          <w:sz w:val="21"/>
          <w:szCs w:val="21"/>
        </w:rPr>
        <w:t xml:space="preserve"> and year </w:t>
      </w:r>
      <m:oMath>
        <m:r>
          <m:rPr/>
          <w:rPr>
            <w:rFonts w:ascii="Cambria Math" w:hAnsi="Cambria Math" w:cs="Times New Roman"/>
            <w:sz w:val="21"/>
            <w:szCs w:val="21"/>
          </w:rPr>
          <m:t>j</m:t>
        </m:r>
      </m:oMath>
      <w:r>
        <w:rPr>
          <w:rFonts w:eastAsia="宋体" w:cs="Times New Roman"/>
          <w:sz w:val="21"/>
          <w:szCs w:val="21"/>
        </w:rPr>
        <w:t>,</w:t>
      </w:r>
      <w:r>
        <w:rPr>
          <w:rFonts w:cs="Times New Roman"/>
          <w:sz w:val="21"/>
          <w:szCs w:val="21"/>
        </w:rPr>
        <w:t xml:space="preserve"> respectively. The coefficients in different regions and periods are uncertain. Combined with the current situation of China's forests and the requirements of the </w:t>
      </w:r>
      <w:bookmarkStart w:id="23" w:name="OLE_LINK3"/>
      <w:bookmarkStart w:id="24" w:name="OLE_LINK2"/>
      <w:r>
        <w:rPr>
          <w:rFonts w:cs="Times New Roman"/>
          <w:sz w:val="21"/>
          <w:szCs w:val="21"/>
        </w:rPr>
        <w:t>Intergovernmental Panel on Climate Change</w:t>
      </w:r>
      <w:bookmarkEnd w:id="23"/>
      <w:bookmarkEnd w:id="24"/>
      <w:r>
        <w:rPr>
          <w:rFonts w:cs="Times New Roman"/>
          <w:sz w:val="21"/>
          <w:szCs w:val="21"/>
        </w:rPr>
        <w:t xml:space="preserve"> (IPCC) 2000, this paper uniformly adopted a biomass expansion factor of 1.90, a bulk density of 0.50 and a carbon content rate of 0.5.</w:t>
      </w:r>
    </w:p>
    <w:p>
      <w:pPr>
        <w:spacing w:line="480" w:lineRule="auto"/>
        <w:contextualSpacing/>
        <w:rPr>
          <w:rFonts w:cs="Times New Roman"/>
          <w:sz w:val="21"/>
          <w:szCs w:val="21"/>
        </w:rPr>
      </w:pPr>
    </w:p>
    <w:p>
      <w:pPr>
        <w:spacing w:line="480" w:lineRule="auto"/>
        <w:contextualSpacing/>
        <w:outlineLvl w:val="0"/>
        <w:rPr>
          <w:rFonts w:cs="Times New Roman"/>
          <w:i/>
          <w:sz w:val="21"/>
          <w:szCs w:val="21"/>
        </w:rPr>
      </w:pPr>
      <w:r>
        <w:rPr>
          <w:rFonts w:cs="Times New Roman"/>
          <w:i/>
          <w:sz w:val="21"/>
          <w:szCs w:val="21"/>
        </w:rPr>
        <w:t>2.1.2 Super-SBM model</w:t>
      </w:r>
    </w:p>
    <w:p>
      <w:pPr>
        <w:spacing w:line="480" w:lineRule="auto"/>
        <w:ind w:firstLine="720"/>
        <w:contextualSpacing/>
        <w:rPr>
          <w:rFonts w:cs="Times New Roman"/>
          <w:sz w:val="21"/>
          <w:szCs w:val="21"/>
        </w:rPr>
      </w:pPr>
      <w:r>
        <w:rPr>
          <w:rFonts w:eastAsia="宋体" w:cs="Times New Roman"/>
          <w:sz w:val="21"/>
          <w:szCs w:val="21"/>
        </w:rPr>
        <w:t xml:space="preserve">The </w:t>
      </w:r>
      <w:r>
        <w:rPr>
          <w:rFonts w:eastAsia="DengXian" w:cs="Times New Roman"/>
          <w:sz w:val="21"/>
          <w:szCs w:val="21"/>
        </w:rPr>
        <w:t>data envelopment analysis</w:t>
      </w:r>
      <w:r>
        <w:rPr>
          <w:rFonts w:cs="Times New Roman"/>
          <w:sz w:val="21"/>
          <w:szCs w:val="21"/>
        </w:rPr>
        <w:t xml:space="preserve"> (DEA) model is an analytical method that uses linear programming to evaluate the relative nonparametric technical efficiency of decision objects with multi-index outputs and multi-index inputs. If the improvement of </w:t>
      </w:r>
      <w:r>
        <w:rPr>
          <w:rFonts w:eastAsia="DengXian" w:cs="Times New Roman"/>
          <w:sz w:val="21"/>
          <w:szCs w:val="21"/>
        </w:rPr>
        <w:t>decision-making units (DMUs</w:t>
      </w:r>
      <w:r>
        <w:rPr>
          <w:rFonts w:cs="Times New Roman"/>
          <w:sz w:val="21"/>
          <w:szCs w:val="21"/>
        </w:rPr>
        <w:t>) is that all inputs (outputs) are reduced (increased) in the same proportion, this kind of DEA model is called a radial model. Otherwise, it is a nonradial model.</w:t>
      </w:r>
    </w:p>
    <w:p>
      <w:pPr>
        <w:spacing w:line="480" w:lineRule="auto"/>
        <w:ind w:firstLine="720"/>
        <w:contextualSpacing/>
        <w:rPr>
          <w:rFonts w:cs="Times New Roman"/>
          <w:sz w:val="21"/>
          <w:szCs w:val="21"/>
        </w:rPr>
      </w:pPr>
      <w:r>
        <w:rPr>
          <w:rFonts w:cs="Times New Roman"/>
          <w:sz w:val="21"/>
          <w:szCs w:val="21"/>
        </w:rPr>
        <w:t xml:space="preserve">The </w:t>
      </w:r>
      <w:r>
        <w:rPr>
          <w:rFonts w:eastAsia="DengXian" w:cs="Times New Roman"/>
          <w:sz w:val="21"/>
          <w:szCs w:val="21"/>
        </w:rPr>
        <w:t>slack-based measure</w:t>
      </w:r>
      <w:r>
        <w:rPr>
          <w:rFonts w:cs="Times New Roman"/>
          <w:sz w:val="21"/>
          <w:szCs w:val="21"/>
        </w:rPr>
        <w:t xml:space="preserve"> (SBM) model adopted in this paper is a </w:t>
      </w:r>
      <w:r>
        <w:rPr>
          <w:rFonts w:eastAsia="DengXian" w:cs="Times New Roman"/>
          <w:sz w:val="21"/>
          <w:szCs w:val="21"/>
        </w:rPr>
        <w:t>nonradial</w:t>
      </w:r>
      <w:r>
        <w:rPr>
          <w:rFonts w:cs="Times New Roman"/>
          <w:sz w:val="21"/>
          <w:szCs w:val="21"/>
        </w:rPr>
        <w:t xml:space="preserve"> model with the longest distance to the front. The SBM model is based on the traditional DEA model proposed by </w:t>
      </w:r>
      <w:r>
        <w:rPr>
          <w:rFonts w:cs="Times New Roman"/>
          <w:color w:val="00B0F0"/>
          <w:sz w:val="21"/>
          <w:szCs w:val="21"/>
        </w:rPr>
        <w:t>Tone (2001)</w:t>
      </w:r>
      <w:r>
        <w:rPr>
          <w:rFonts w:cs="Times New Roman"/>
          <w:sz w:val="21"/>
          <w:szCs w:val="21"/>
        </w:rPr>
        <w:t xml:space="preserve">. </w:t>
      </w:r>
      <w:r>
        <w:rPr>
          <w:rFonts w:eastAsia="DengXian" w:cs="Times New Roman"/>
          <w:sz w:val="21"/>
          <w:szCs w:val="21"/>
        </w:rPr>
        <w:t xml:space="preserve">The </w:t>
      </w:r>
      <w:r>
        <w:rPr>
          <w:rFonts w:cs="Times New Roman"/>
          <w:sz w:val="21"/>
          <w:szCs w:val="21"/>
        </w:rPr>
        <w:t xml:space="preserve">SBM model mainly solves the radial problem in the traditional DEA model. When there is a gap between the DMU and the strongly effective target value, the DMU is invalid. What makes </w:t>
      </w:r>
      <w:r>
        <w:rPr>
          <w:rFonts w:eastAsia="宋体" w:cs="Times New Roman"/>
          <w:sz w:val="21"/>
          <w:szCs w:val="21"/>
        </w:rPr>
        <w:t xml:space="preserve">the </w:t>
      </w:r>
      <w:r>
        <w:rPr>
          <w:rFonts w:cs="Times New Roman"/>
          <w:sz w:val="21"/>
          <w:szCs w:val="21"/>
        </w:rPr>
        <w:t xml:space="preserve">SBM model superior to </w:t>
      </w:r>
      <w:r>
        <w:rPr>
          <w:rFonts w:eastAsia="宋体" w:cs="Times New Roman"/>
          <w:sz w:val="21"/>
          <w:szCs w:val="21"/>
        </w:rPr>
        <w:t xml:space="preserve">the </w:t>
      </w:r>
      <w:r>
        <w:rPr>
          <w:rFonts w:cs="Times New Roman"/>
          <w:sz w:val="21"/>
          <w:szCs w:val="21"/>
        </w:rPr>
        <w:t xml:space="preserve">radial model is that it considers both the geometric ratio improvement of the input (output) and </w:t>
      </w:r>
      <w:r>
        <w:rPr>
          <w:rFonts w:eastAsia="宋体" w:cs="Times New Roman"/>
          <w:sz w:val="21"/>
          <w:szCs w:val="21"/>
        </w:rPr>
        <w:t>the improvements</w:t>
      </w:r>
      <w:r>
        <w:rPr>
          <w:rFonts w:cs="Times New Roman"/>
          <w:sz w:val="21"/>
          <w:szCs w:val="21"/>
        </w:rPr>
        <w:t xml:space="preserve"> of the slack variables. In addition, to solve the problem of multiple DMU efficiency values being 1 in DEA model analysis,</w:t>
      </w:r>
      <w:r>
        <w:rPr>
          <w:rFonts w:eastAsia="宋体" w:cs="Times New Roman"/>
          <w:sz w:val="21"/>
          <w:szCs w:val="21"/>
        </w:rPr>
        <w:t xml:space="preserve"> the </w:t>
      </w:r>
      <w:r>
        <w:rPr>
          <w:rFonts w:cs="Times New Roman"/>
          <w:sz w:val="21"/>
          <w:szCs w:val="21"/>
        </w:rPr>
        <w:t xml:space="preserve">Super-SBM model is adopted in this paper. The </w:t>
      </w:r>
      <w:r>
        <w:rPr>
          <w:rFonts w:hint="eastAsia" w:cs="Times New Roman"/>
          <w:sz w:val="21"/>
          <w:szCs w:val="21"/>
        </w:rPr>
        <w:t>S</w:t>
      </w:r>
      <w:r>
        <w:rPr>
          <w:rFonts w:cs="Times New Roman"/>
          <w:sz w:val="21"/>
          <w:szCs w:val="21"/>
        </w:rPr>
        <w:t xml:space="preserve">uper-SBM model was proposed by </w:t>
      </w:r>
      <w:r>
        <w:rPr>
          <w:rFonts w:cs="Times New Roman"/>
          <w:color w:val="00B0F0"/>
          <w:sz w:val="21"/>
          <w:szCs w:val="21"/>
        </w:rPr>
        <w:t>Tone (2002)</w:t>
      </w:r>
      <w:r>
        <w:rPr>
          <w:rFonts w:cs="Times New Roman"/>
          <w:sz w:val="21"/>
          <w:szCs w:val="21"/>
        </w:rPr>
        <w:t xml:space="preserve">, who combined </w:t>
      </w:r>
      <w:r>
        <w:rPr>
          <w:rFonts w:eastAsia="DengXian" w:cs="Times New Roman"/>
          <w:sz w:val="21"/>
          <w:szCs w:val="21"/>
        </w:rPr>
        <w:t>superefficiency</w:t>
      </w:r>
      <w:r>
        <w:rPr>
          <w:rFonts w:cs="Times New Roman"/>
          <w:sz w:val="21"/>
          <w:szCs w:val="21"/>
        </w:rPr>
        <w:t xml:space="preserve"> with </w:t>
      </w:r>
      <w:r>
        <w:rPr>
          <w:rFonts w:eastAsia="DengXian" w:cs="Times New Roman"/>
          <w:sz w:val="21"/>
          <w:szCs w:val="21"/>
        </w:rPr>
        <w:t xml:space="preserve">the </w:t>
      </w:r>
      <w:r>
        <w:rPr>
          <w:rFonts w:cs="Times New Roman"/>
          <w:sz w:val="21"/>
          <w:szCs w:val="21"/>
        </w:rPr>
        <w:t>SBM model. Its advantage is that effective DMU groups can be compared</w:t>
      </w:r>
      <w:r>
        <w:rPr>
          <w:rFonts w:eastAsia="DengXian" w:cs="Times New Roman"/>
          <w:sz w:val="21"/>
          <w:szCs w:val="21"/>
        </w:rPr>
        <w:t>,</w:t>
      </w:r>
      <w:r>
        <w:rPr>
          <w:rFonts w:cs="Times New Roman"/>
          <w:sz w:val="21"/>
          <w:szCs w:val="21"/>
        </w:rPr>
        <w:t xml:space="preserve"> and the efficiency value can exceed 1. The </w:t>
      </w:r>
      <w:r>
        <w:rPr>
          <w:rFonts w:eastAsia="DengXian" w:cs="Times New Roman"/>
          <w:sz w:val="21"/>
          <w:szCs w:val="21"/>
        </w:rPr>
        <w:t>nonradial</w:t>
      </w:r>
      <w:r>
        <w:rPr>
          <w:rFonts w:cs="Times New Roman"/>
          <w:sz w:val="21"/>
          <w:szCs w:val="21"/>
        </w:rPr>
        <w:t xml:space="preserve"> Super-SBM model used in this paper is shown in Equation 3:</w:t>
      </w:r>
    </w:p>
    <w:p>
      <w:pPr>
        <w:wordWrap w:val="0"/>
        <w:spacing w:line="480" w:lineRule="auto"/>
        <w:contextualSpacing/>
        <w:jc w:val="right"/>
        <w:rPr>
          <w:rFonts w:cs="Times New Roman"/>
          <w:sz w:val="21"/>
          <w:szCs w:val="21"/>
        </w:rPr>
      </w:pPr>
      <m:oMathPara>
        <m:oMath>
          <m:func>
            <m:funcPr>
              <m:ctrlPr>
                <w:rPr>
                  <w:rFonts w:ascii="Cambria Math" w:hAnsi="Cambria Math" w:cs="Times New Roman"/>
                  <w:i/>
                  <w:sz w:val="21"/>
                  <w:szCs w:val="21"/>
                </w:rPr>
              </m:ctrlPr>
            </m:funcPr>
            <m:fName>
              <m:r>
                <m:rPr/>
                <w:rPr>
                  <w:rFonts w:ascii="Cambria Math" w:hAnsi="Cambria Math" w:cs="Times New Roman"/>
                  <w:sz w:val="21"/>
                  <w:szCs w:val="21"/>
                </w:rPr>
                <m:t>min</m:t>
              </m:r>
              <m:ctrlPr>
                <w:rPr>
                  <w:rFonts w:ascii="Cambria Math" w:hAnsi="Cambria Math" w:cs="Times New Roman"/>
                  <w:i/>
                  <w:sz w:val="21"/>
                  <w:szCs w:val="21"/>
                </w:rPr>
              </m:ctrlPr>
            </m:fName>
            <m:e>
              <m:sSub>
                <m:sSubPr>
                  <m:ctrlPr>
                    <w:rPr>
                      <w:rFonts w:ascii="Cambria Math" w:hAnsi="Cambria Math" w:cs="Times New Roman"/>
                      <w:i/>
                      <w:sz w:val="21"/>
                      <w:szCs w:val="21"/>
                    </w:rPr>
                  </m:ctrlPr>
                </m:sSubPr>
                <m:e>
                  <m:r>
                    <m:rPr/>
                    <w:rPr>
                      <w:rFonts w:ascii="Cambria Math" w:hAnsi="Cambria Math" w:cs="Times New Roman"/>
                      <w:sz w:val="21"/>
                      <w:szCs w:val="21"/>
                    </w:rPr>
                    <m:t>ρ</m:t>
                  </m:r>
                  <m:ctrlPr>
                    <w:rPr>
                      <w:rFonts w:ascii="Cambria Math" w:hAnsi="Cambria Math" w:cs="Times New Roman"/>
                      <w:i/>
                      <w:sz w:val="21"/>
                      <w:szCs w:val="21"/>
                    </w:rPr>
                  </m:ctrlPr>
                </m:e>
                <m:sub>
                  <m:r>
                    <m:rPr/>
                    <w:rPr>
                      <w:rFonts w:ascii="Cambria Math" w:hAnsi="Cambria Math" w:cs="Times New Roman"/>
                      <w:sz w:val="21"/>
                      <w:szCs w:val="21"/>
                    </w:rPr>
                    <m:t>SE</m:t>
                  </m:r>
                  <m:ctrlPr>
                    <w:rPr>
                      <w:rFonts w:ascii="Cambria Math" w:hAnsi="Cambria Math" w:cs="Times New Roman"/>
                      <w:i/>
                      <w:sz w:val="21"/>
                      <w:szCs w:val="21"/>
                    </w:rPr>
                  </m:ctrlPr>
                </m:sub>
              </m:sSub>
              <m:ctrlPr>
                <w:rPr>
                  <w:rFonts w:ascii="Cambria Math" w:hAnsi="Cambria Math" w:cs="Times New Roman"/>
                  <w:i/>
                  <w:sz w:val="21"/>
                  <w:szCs w:val="21"/>
                </w:rPr>
              </m:ctrlPr>
            </m:e>
          </m:func>
          <m:r>
            <m:rPr/>
            <w:rPr>
              <w:rFonts w:ascii="Cambria Math" w:hAnsi="Cambria Math" w:cs="Times New Roman"/>
              <w:sz w:val="21"/>
              <w:szCs w:val="21"/>
            </w:rPr>
            <m:t>=</m:t>
          </m:r>
          <m:f>
            <m:fPr>
              <m:ctrlPr>
                <w:rPr>
                  <w:rFonts w:ascii="Cambria Math" w:hAnsi="Cambria Math" w:cs="Times New Roman"/>
                  <w:i/>
                  <w:sz w:val="21"/>
                  <w:szCs w:val="21"/>
                </w:rPr>
              </m:ctrlPr>
            </m:fPr>
            <m:num>
              <m:f>
                <m:fPr>
                  <m:ctrlPr>
                    <w:rPr>
                      <w:rFonts w:ascii="Cambria Math" w:hAnsi="Cambria Math" w:cs="Times New Roman"/>
                      <w:i/>
                      <w:sz w:val="21"/>
                      <w:szCs w:val="21"/>
                    </w:rPr>
                  </m:ctrlPr>
                </m:fPr>
                <m:num>
                  <m:r>
                    <m:rPr/>
                    <w:rPr>
                      <w:rFonts w:ascii="Cambria Math" w:hAnsi="Cambria Math" w:cs="Times New Roman"/>
                      <w:sz w:val="21"/>
                      <w:szCs w:val="21"/>
                    </w:rPr>
                    <m:t>1</m:t>
                  </m:r>
                  <m:ctrlPr>
                    <w:rPr>
                      <w:rFonts w:ascii="Cambria Math" w:hAnsi="Cambria Math" w:cs="Times New Roman"/>
                      <w:i/>
                      <w:sz w:val="21"/>
                      <w:szCs w:val="21"/>
                    </w:rPr>
                  </m:ctrlPr>
                </m:num>
                <m:den>
                  <m:r>
                    <m:rPr/>
                    <w:rPr>
                      <w:rFonts w:ascii="Cambria Math" w:hAnsi="Cambria Math" w:cs="Times New Roman"/>
                      <w:sz w:val="21"/>
                      <w:szCs w:val="21"/>
                    </w:rPr>
                    <m:t>m</m:t>
                  </m:r>
                  <m:ctrlPr>
                    <w:rPr>
                      <w:rFonts w:ascii="Cambria Math" w:hAnsi="Cambria Math" w:cs="Times New Roman"/>
                      <w:i/>
                      <w:sz w:val="21"/>
                      <w:szCs w:val="21"/>
                    </w:rPr>
                  </m:ctrlPr>
                </m:den>
              </m:f>
              <m:nary>
                <m:naryPr>
                  <m:chr m:val="∑"/>
                  <m:limLoc m:val="undOvr"/>
                  <m:ctrlPr>
                    <w:rPr>
                      <w:rFonts w:ascii="Cambria Math" w:hAnsi="Cambria Math" w:cs="Times New Roman"/>
                      <w:i/>
                      <w:sz w:val="21"/>
                      <w:szCs w:val="21"/>
                    </w:rPr>
                  </m:ctrlPr>
                </m:naryPr>
                <m:sub>
                  <m:r>
                    <m:rPr/>
                    <w:rPr>
                      <w:rFonts w:ascii="Cambria Math" w:hAnsi="Cambria Math" w:cs="Times New Roman"/>
                      <w:sz w:val="21"/>
                      <w:szCs w:val="21"/>
                    </w:rPr>
                    <m:t>i=1</m:t>
                  </m:r>
                  <m:ctrlPr>
                    <w:rPr>
                      <w:rFonts w:ascii="Cambria Math" w:hAnsi="Cambria Math" w:cs="Times New Roman"/>
                      <w:i/>
                      <w:sz w:val="21"/>
                      <w:szCs w:val="21"/>
                    </w:rPr>
                  </m:ctrlPr>
                </m:sub>
                <m:sup>
                  <m:r>
                    <m:rPr/>
                    <w:rPr>
                      <w:rFonts w:ascii="Cambria Math" w:hAnsi="Cambria Math" w:cs="Times New Roman"/>
                      <w:sz w:val="21"/>
                      <w:szCs w:val="21"/>
                    </w:rPr>
                    <m:t>m</m:t>
                  </m:r>
                  <m:ctrlPr>
                    <w:rPr>
                      <w:rFonts w:ascii="Cambria Math" w:hAnsi="Cambria Math" w:cs="Times New Roman"/>
                      <w:i/>
                      <w:sz w:val="21"/>
                      <w:szCs w:val="21"/>
                    </w:rPr>
                  </m:ctrlPr>
                </m:sup>
                <m:e>
                  <m:f>
                    <m:fPr>
                      <m:ctrlPr>
                        <w:rPr>
                          <w:rFonts w:ascii="Cambria Math" w:hAnsi="Cambria Math" w:cs="Times New Roman"/>
                          <w:i/>
                          <w:sz w:val="21"/>
                          <w:szCs w:val="21"/>
                        </w:rPr>
                      </m:ctrlPr>
                    </m:fPr>
                    <m:num>
                      <m:sSub>
                        <m:sSubPr>
                          <m:ctrlPr>
                            <w:rPr>
                              <w:rFonts w:ascii="Cambria Math" w:hAnsi="Cambria Math" w:cs="Times New Roman"/>
                              <w:i/>
                              <w:sz w:val="21"/>
                              <w:szCs w:val="21"/>
                            </w:rPr>
                          </m:ctrlPr>
                        </m:sSubPr>
                        <m:e>
                          <m:acc>
                            <m:accPr>
                              <m:chr m:val="̅"/>
                              <m:ctrlPr>
                                <w:rPr>
                                  <w:rFonts w:ascii="Cambria Math" w:hAnsi="Cambria Math" w:cs="Times New Roman"/>
                                  <w:i/>
                                  <w:sz w:val="21"/>
                                  <w:szCs w:val="21"/>
                                </w:rPr>
                              </m:ctrlPr>
                            </m:accPr>
                            <m:e>
                              <m:r>
                                <m:rPr/>
                                <w:rPr>
                                  <w:rFonts w:ascii="Cambria Math" w:hAnsi="Cambria Math" w:cs="Times New Roman"/>
                                  <w:sz w:val="21"/>
                                  <w:szCs w:val="21"/>
                                </w:rPr>
                                <m:t>x</m:t>
                              </m:r>
                              <m:ctrlPr>
                                <w:rPr>
                                  <w:rFonts w:ascii="Cambria Math" w:hAnsi="Cambria Math" w:cs="Times New Roman"/>
                                  <w:i/>
                                  <w:sz w:val="21"/>
                                  <w:szCs w:val="21"/>
                                </w:rPr>
                              </m:ctrlPr>
                            </m:e>
                          </m:acc>
                          <m:ctrlPr>
                            <w:rPr>
                              <w:rFonts w:ascii="Cambria Math" w:hAnsi="Cambria Math" w:cs="Times New Roman"/>
                              <w:i/>
                              <w:sz w:val="21"/>
                              <w:szCs w:val="21"/>
                            </w:rPr>
                          </m:ctrlPr>
                        </m:e>
                        <m:sub>
                          <m:r>
                            <m:rPr/>
                            <w:rPr>
                              <w:rFonts w:ascii="Cambria Math" w:hAnsi="Cambria Math" w:cs="Times New Roman"/>
                              <w:sz w:val="21"/>
                              <w:szCs w:val="21"/>
                            </w:rPr>
                            <m:t>i</m:t>
                          </m:r>
                          <m:ctrlPr>
                            <w:rPr>
                              <w:rFonts w:ascii="Cambria Math" w:hAnsi="Cambria Math" w:cs="Times New Roman"/>
                              <w:i/>
                              <w:sz w:val="21"/>
                              <w:szCs w:val="21"/>
                            </w:rPr>
                          </m:ctrlPr>
                        </m:sub>
                      </m:sSub>
                      <m:ctrlPr>
                        <w:rPr>
                          <w:rFonts w:ascii="Cambria Math" w:hAnsi="Cambria Math" w:cs="Times New Roman"/>
                          <w:i/>
                          <w:sz w:val="21"/>
                          <w:szCs w:val="21"/>
                        </w:rPr>
                      </m:ctrlPr>
                    </m:num>
                    <m:den>
                      <m:sSub>
                        <m:sSubPr>
                          <m:ctrlPr>
                            <w:rPr>
                              <w:rFonts w:ascii="Cambria Math" w:hAnsi="Cambria Math" w:cs="Times New Roman"/>
                              <w:i/>
                              <w:sz w:val="21"/>
                              <w:szCs w:val="21"/>
                            </w:rPr>
                          </m:ctrlPr>
                        </m:sSubPr>
                        <m:e>
                          <m:r>
                            <m:rPr/>
                            <w:rPr>
                              <w:rFonts w:ascii="Cambria Math" w:hAnsi="Cambria Math" w:cs="Times New Roman"/>
                              <w:sz w:val="21"/>
                              <w:szCs w:val="21"/>
                            </w:rPr>
                            <m:t>x</m:t>
                          </m:r>
                          <m:ctrlPr>
                            <w:rPr>
                              <w:rFonts w:ascii="Cambria Math" w:hAnsi="Cambria Math" w:cs="Times New Roman"/>
                              <w:i/>
                              <w:sz w:val="21"/>
                              <w:szCs w:val="21"/>
                            </w:rPr>
                          </m:ctrlPr>
                        </m:e>
                        <m:sub>
                          <m:r>
                            <m:rPr/>
                            <w:rPr>
                              <w:rFonts w:ascii="Cambria Math" w:hAnsi="Cambria Math" w:cs="Times New Roman"/>
                              <w:sz w:val="21"/>
                              <w:szCs w:val="21"/>
                            </w:rPr>
                            <m:t>ik</m:t>
                          </m:r>
                          <m:ctrlPr>
                            <w:rPr>
                              <w:rFonts w:ascii="Cambria Math" w:hAnsi="Cambria Math" w:cs="Times New Roman"/>
                              <w:i/>
                              <w:sz w:val="21"/>
                              <w:szCs w:val="21"/>
                            </w:rPr>
                          </m:ctrlPr>
                        </m:sub>
                      </m:sSub>
                      <m:ctrlPr>
                        <w:rPr>
                          <w:rFonts w:ascii="Cambria Math" w:hAnsi="Cambria Math" w:cs="Times New Roman"/>
                          <w:i/>
                          <w:sz w:val="21"/>
                          <w:szCs w:val="21"/>
                        </w:rPr>
                      </m:ctrlPr>
                    </m:den>
                  </m:f>
                  <m:ctrlPr>
                    <w:rPr>
                      <w:rFonts w:ascii="Cambria Math" w:hAnsi="Cambria Math" w:cs="Times New Roman"/>
                      <w:i/>
                      <w:sz w:val="21"/>
                      <w:szCs w:val="21"/>
                    </w:rPr>
                  </m:ctrlPr>
                </m:e>
              </m:nary>
              <m:ctrlPr>
                <w:rPr>
                  <w:rFonts w:ascii="Cambria Math" w:hAnsi="Cambria Math" w:cs="Times New Roman"/>
                  <w:i/>
                  <w:sz w:val="21"/>
                  <w:szCs w:val="21"/>
                </w:rPr>
              </m:ctrlPr>
            </m:num>
            <m:den>
              <m:f>
                <m:fPr>
                  <m:ctrlPr>
                    <w:rPr>
                      <w:rFonts w:ascii="Cambria Math" w:hAnsi="Cambria Math" w:cs="Times New Roman"/>
                      <w:i/>
                      <w:sz w:val="21"/>
                      <w:szCs w:val="21"/>
                    </w:rPr>
                  </m:ctrlPr>
                </m:fPr>
                <m:num>
                  <m:r>
                    <m:rPr/>
                    <w:rPr>
                      <w:rFonts w:ascii="Cambria Math" w:hAnsi="Cambria Math" w:cs="Times New Roman"/>
                      <w:sz w:val="21"/>
                      <w:szCs w:val="21"/>
                    </w:rPr>
                    <m:t>1</m:t>
                  </m:r>
                  <m:ctrlPr>
                    <w:rPr>
                      <w:rFonts w:ascii="Cambria Math" w:hAnsi="Cambria Math" w:cs="Times New Roman"/>
                      <w:i/>
                      <w:sz w:val="21"/>
                      <w:szCs w:val="21"/>
                    </w:rPr>
                  </m:ctrlPr>
                </m:num>
                <m:den>
                  <m:r>
                    <m:rPr/>
                    <w:rPr>
                      <w:rFonts w:ascii="Cambria Math" w:hAnsi="Cambria Math" w:cs="Times New Roman"/>
                      <w:sz w:val="21"/>
                      <w:szCs w:val="21"/>
                    </w:rPr>
                    <m:t>s</m:t>
                  </m:r>
                  <m:ctrlPr>
                    <w:rPr>
                      <w:rFonts w:ascii="Cambria Math" w:hAnsi="Cambria Math" w:cs="Times New Roman"/>
                      <w:i/>
                      <w:sz w:val="21"/>
                      <w:szCs w:val="21"/>
                    </w:rPr>
                  </m:ctrlPr>
                </m:den>
              </m:f>
              <m:nary>
                <m:naryPr>
                  <m:chr m:val="∑"/>
                  <m:limLoc m:val="undOvr"/>
                  <m:ctrlPr>
                    <w:rPr>
                      <w:rFonts w:ascii="Cambria Math" w:hAnsi="Cambria Math" w:cs="Times New Roman"/>
                      <w:i/>
                      <w:sz w:val="21"/>
                      <w:szCs w:val="21"/>
                    </w:rPr>
                  </m:ctrlPr>
                </m:naryPr>
                <m:sub>
                  <m:r>
                    <m:rPr/>
                    <w:rPr>
                      <w:rFonts w:ascii="Cambria Math" w:hAnsi="Cambria Math" w:cs="Times New Roman"/>
                      <w:sz w:val="21"/>
                      <w:szCs w:val="21"/>
                    </w:rPr>
                    <m:t>r=1</m:t>
                  </m:r>
                  <m:ctrlPr>
                    <w:rPr>
                      <w:rFonts w:ascii="Cambria Math" w:hAnsi="Cambria Math" w:cs="Times New Roman"/>
                      <w:i/>
                      <w:sz w:val="21"/>
                      <w:szCs w:val="21"/>
                    </w:rPr>
                  </m:ctrlPr>
                </m:sub>
                <m:sup>
                  <m:r>
                    <m:rPr/>
                    <w:rPr>
                      <w:rFonts w:ascii="Cambria Math" w:hAnsi="Cambria Math" w:cs="Times New Roman"/>
                      <w:sz w:val="21"/>
                      <w:szCs w:val="21"/>
                    </w:rPr>
                    <m:t>s</m:t>
                  </m:r>
                  <m:ctrlPr>
                    <w:rPr>
                      <w:rFonts w:ascii="Cambria Math" w:hAnsi="Cambria Math" w:cs="Times New Roman"/>
                      <w:i/>
                      <w:sz w:val="21"/>
                      <w:szCs w:val="21"/>
                    </w:rPr>
                  </m:ctrlPr>
                </m:sup>
                <m:e>
                  <m:f>
                    <m:fPr>
                      <m:ctrlPr>
                        <w:rPr>
                          <w:rFonts w:ascii="Cambria Math" w:hAnsi="Cambria Math" w:cs="Times New Roman"/>
                          <w:i/>
                          <w:sz w:val="21"/>
                          <w:szCs w:val="21"/>
                        </w:rPr>
                      </m:ctrlPr>
                    </m:fPr>
                    <m:num>
                      <m:sSub>
                        <m:sSubPr>
                          <m:ctrlPr>
                            <w:rPr>
                              <w:rFonts w:ascii="Cambria Math" w:hAnsi="Cambria Math" w:cs="Times New Roman"/>
                              <w:i/>
                              <w:sz w:val="21"/>
                              <w:szCs w:val="21"/>
                            </w:rPr>
                          </m:ctrlPr>
                        </m:sSubPr>
                        <m:e>
                          <m:acc>
                            <m:accPr>
                              <m:chr m:val="̅"/>
                              <m:ctrlPr>
                                <w:rPr>
                                  <w:rFonts w:ascii="Cambria Math" w:hAnsi="Cambria Math" w:cs="Times New Roman"/>
                                  <w:i/>
                                  <w:sz w:val="21"/>
                                  <w:szCs w:val="21"/>
                                </w:rPr>
                              </m:ctrlPr>
                            </m:accPr>
                            <m:e>
                              <m:r>
                                <m:rPr/>
                                <w:rPr>
                                  <w:rFonts w:ascii="Cambria Math" w:hAnsi="Cambria Math" w:cs="Times New Roman"/>
                                  <w:sz w:val="21"/>
                                  <w:szCs w:val="21"/>
                                </w:rPr>
                                <m:t>y</m:t>
                              </m:r>
                              <m:ctrlPr>
                                <w:rPr>
                                  <w:rFonts w:ascii="Cambria Math" w:hAnsi="Cambria Math" w:cs="Times New Roman"/>
                                  <w:i/>
                                  <w:sz w:val="21"/>
                                  <w:szCs w:val="21"/>
                                </w:rPr>
                              </m:ctrlPr>
                            </m:e>
                          </m:acc>
                          <m:ctrlPr>
                            <w:rPr>
                              <w:rFonts w:ascii="Cambria Math" w:hAnsi="Cambria Math" w:cs="Times New Roman"/>
                              <w:i/>
                              <w:sz w:val="21"/>
                              <w:szCs w:val="21"/>
                            </w:rPr>
                          </m:ctrlPr>
                        </m:e>
                        <m:sub>
                          <m:r>
                            <m:rPr/>
                            <w:rPr>
                              <w:rFonts w:ascii="Cambria Math" w:hAnsi="Cambria Math" w:cs="Times New Roman"/>
                              <w:sz w:val="21"/>
                              <w:szCs w:val="21"/>
                            </w:rPr>
                            <m:t>r</m:t>
                          </m:r>
                          <m:ctrlPr>
                            <w:rPr>
                              <w:rFonts w:ascii="Cambria Math" w:hAnsi="Cambria Math" w:cs="Times New Roman"/>
                              <w:i/>
                              <w:sz w:val="21"/>
                              <w:szCs w:val="21"/>
                            </w:rPr>
                          </m:ctrlPr>
                        </m:sub>
                      </m:sSub>
                      <m:ctrlPr>
                        <w:rPr>
                          <w:rFonts w:ascii="Cambria Math" w:hAnsi="Cambria Math" w:cs="Times New Roman"/>
                          <w:i/>
                          <w:sz w:val="21"/>
                          <w:szCs w:val="21"/>
                        </w:rPr>
                      </m:ctrlPr>
                    </m:num>
                    <m:den>
                      <m:sSub>
                        <m:sSubPr>
                          <m:ctrlPr>
                            <w:rPr>
                              <w:rFonts w:ascii="Cambria Math" w:hAnsi="Cambria Math" w:cs="Times New Roman"/>
                              <w:i/>
                              <w:sz w:val="21"/>
                              <w:szCs w:val="21"/>
                            </w:rPr>
                          </m:ctrlPr>
                        </m:sSubPr>
                        <m:e>
                          <m:r>
                            <m:rPr/>
                            <w:rPr>
                              <w:rFonts w:ascii="Cambria Math" w:hAnsi="Cambria Math" w:cs="Times New Roman"/>
                              <w:sz w:val="21"/>
                              <w:szCs w:val="21"/>
                            </w:rPr>
                            <m:t>y</m:t>
                          </m:r>
                          <m:ctrlPr>
                            <w:rPr>
                              <w:rFonts w:ascii="Cambria Math" w:hAnsi="Cambria Math" w:cs="Times New Roman"/>
                              <w:i/>
                              <w:sz w:val="21"/>
                              <w:szCs w:val="21"/>
                            </w:rPr>
                          </m:ctrlPr>
                        </m:e>
                        <m:sub>
                          <m:r>
                            <m:rPr/>
                            <w:rPr>
                              <w:rFonts w:ascii="Cambria Math" w:hAnsi="Cambria Math" w:cs="Times New Roman"/>
                              <w:sz w:val="21"/>
                              <w:szCs w:val="21"/>
                            </w:rPr>
                            <m:t>rk</m:t>
                          </m:r>
                          <m:ctrlPr>
                            <w:rPr>
                              <w:rFonts w:ascii="Cambria Math" w:hAnsi="Cambria Math" w:cs="Times New Roman"/>
                              <w:i/>
                              <w:sz w:val="21"/>
                              <w:szCs w:val="21"/>
                            </w:rPr>
                          </m:ctrlPr>
                        </m:sub>
                      </m:sSub>
                      <m:ctrlPr>
                        <w:rPr>
                          <w:rFonts w:ascii="Cambria Math" w:hAnsi="Cambria Math" w:cs="Times New Roman"/>
                          <w:i/>
                          <w:sz w:val="21"/>
                          <w:szCs w:val="21"/>
                        </w:rPr>
                      </m:ctrlPr>
                    </m:den>
                  </m:f>
                  <m:ctrlPr>
                    <w:rPr>
                      <w:rFonts w:ascii="Cambria Math" w:hAnsi="Cambria Math" w:cs="Times New Roman"/>
                      <w:i/>
                      <w:sz w:val="21"/>
                      <w:szCs w:val="21"/>
                    </w:rPr>
                  </m:ctrlPr>
                </m:e>
              </m:nary>
              <m:ctrlPr>
                <w:rPr>
                  <w:rFonts w:ascii="Cambria Math" w:hAnsi="Cambria Math" w:cs="Times New Roman"/>
                  <w:i/>
                  <w:sz w:val="21"/>
                  <w:szCs w:val="21"/>
                </w:rPr>
              </m:ctrlPr>
            </m:den>
          </m:f>
          <m:r>
            <m:rPr/>
            <w:rPr>
              <w:rFonts w:ascii="Cambria Math" w:hAnsi="Cambria Math" w:cs="Times New Roman"/>
              <w:sz w:val="21"/>
              <w:szCs w:val="21"/>
            </w:rPr>
            <m:t xml:space="preserve">                (3)</m:t>
          </m:r>
        </m:oMath>
      </m:oMathPara>
    </w:p>
    <w:p>
      <w:pPr>
        <w:wordWrap w:val="0"/>
        <w:spacing w:line="480" w:lineRule="auto"/>
        <w:contextualSpacing/>
        <w:rPr>
          <w:rFonts w:cs="Times New Roman"/>
          <w:sz w:val="21"/>
          <w:szCs w:val="21"/>
        </w:rPr>
      </w:pPr>
      <m:oMathPara>
        <m:oMath>
          <m:r>
            <m:rPr/>
            <w:rPr>
              <w:rFonts w:ascii="Cambria Math" w:hAnsi="Cambria Math" w:cs="Times New Roman"/>
              <w:sz w:val="21"/>
              <w:szCs w:val="21"/>
            </w:rPr>
            <m:t>s.t.</m:t>
          </m:r>
          <m:d>
            <w:bookmarkStart w:id="25" w:name="_SAM_M_014"/>
            <m:dPr>
              <m:begChr m:val="{"/>
              <m:endChr m:val=""/>
              <m:ctrlPr>
                <w:rPr>
                  <w:rFonts w:ascii="Cambria Math" w:hAnsi="Cambria Math" w:cs="Times New Roman"/>
                  <w:sz w:val="21"/>
                  <w:szCs w:val="21"/>
                </w:rPr>
              </m:ctrlPr>
            </m:dPr>
            <m:e>
              <m:eqArr>
                <m:eqArrPr>
                  <m:ctrlPr>
                    <w:rPr>
                      <w:rFonts w:ascii="Cambria Math" w:hAnsi="Cambria Math" w:cs="Times New Roman"/>
                      <w:sz w:val="21"/>
                      <w:szCs w:val="21"/>
                    </w:rPr>
                  </m:ctrlPr>
                </m:eqArrPr>
                <m:e>
                  <m:sSub>
                    <m:sSubPr>
                      <m:ctrlPr>
                        <w:rPr>
                          <w:rFonts w:ascii="Cambria Math" w:hAnsi="Cambria Math" w:cs="Times New Roman"/>
                          <w:i/>
                          <w:sz w:val="21"/>
                          <w:szCs w:val="21"/>
                        </w:rPr>
                      </m:ctrlPr>
                    </m:sSubPr>
                    <m:e>
                      <m:acc>
                        <m:accPr>
                          <m:chr m:val="̅"/>
                          <m:ctrlPr>
                            <w:rPr>
                              <w:rFonts w:ascii="Cambria Math" w:hAnsi="Cambria Math" w:cs="Times New Roman"/>
                              <w:i/>
                              <w:sz w:val="21"/>
                              <w:szCs w:val="21"/>
                            </w:rPr>
                          </m:ctrlPr>
                        </m:accPr>
                        <m:e>
                          <m:r>
                            <m:rPr/>
                            <w:rPr>
                              <w:rFonts w:ascii="Cambria Math" w:hAnsi="Cambria Math" w:cs="Times New Roman"/>
                              <w:sz w:val="21"/>
                              <w:szCs w:val="21"/>
                            </w:rPr>
                            <m:t>x</m:t>
                          </m:r>
                          <m:ctrlPr>
                            <w:rPr>
                              <w:rFonts w:ascii="Cambria Math" w:hAnsi="Cambria Math" w:cs="Times New Roman"/>
                              <w:i/>
                              <w:sz w:val="21"/>
                              <w:szCs w:val="21"/>
                            </w:rPr>
                          </m:ctrlPr>
                        </m:e>
                      </m:acc>
                      <m:ctrlPr>
                        <w:rPr>
                          <w:rFonts w:ascii="Cambria Math" w:hAnsi="Cambria Math" w:cs="Times New Roman"/>
                          <w:i/>
                          <w:sz w:val="21"/>
                          <w:szCs w:val="21"/>
                        </w:rPr>
                      </m:ctrlPr>
                    </m:e>
                    <m:sub>
                      <m:r>
                        <m:rPr/>
                        <w:rPr>
                          <w:rFonts w:ascii="Cambria Math" w:hAnsi="Cambria Math" w:cs="Times New Roman"/>
                          <w:sz w:val="21"/>
                          <w:szCs w:val="21"/>
                        </w:rPr>
                        <m:t>i</m:t>
                      </m:r>
                      <m:ctrlPr>
                        <w:rPr>
                          <w:rFonts w:ascii="Cambria Math" w:hAnsi="Cambria Math" w:cs="Times New Roman"/>
                          <w:i/>
                          <w:sz w:val="21"/>
                          <w:szCs w:val="21"/>
                        </w:rPr>
                      </m:ctrlPr>
                    </m:sub>
                  </m:sSub>
                  <m:r>
                    <m:rPr/>
                    <w:rPr>
                      <w:rFonts w:ascii="Cambria Math" w:hAnsi="Cambria Math" w:cs="Times New Roman"/>
                      <w:sz w:val="21"/>
                      <w:szCs w:val="21"/>
                    </w:rPr>
                    <m:t>≥</m:t>
                  </m:r>
                  <m:nary>
                    <m:naryPr>
                      <m:chr m:val="∑"/>
                      <m:limLoc m:val="undOvr"/>
                      <m:ctrlPr>
                        <w:rPr>
                          <w:rFonts w:ascii="Cambria Math" w:hAnsi="Cambria Math" w:cs="Times New Roman"/>
                          <w:i/>
                          <w:sz w:val="21"/>
                          <w:szCs w:val="21"/>
                        </w:rPr>
                      </m:ctrlPr>
                    </m:naryPr>
                    <m:sub>
                      <m:r>
                        <m:rPr/>
                        <w:rPr>
                          <w:rFonts w:ascii="Cambria Math" w:hAnsi="Cambria Math" w:cs="Times New Roman"/>
                          <w:sz w:val="21"/>
                          <w:szCs w:val="21"/>
                        </w:rPr>
                        <m:t>j=1,j≠k</m:t>
                      </m:r>
                      <m:ctrlPr>
                        <w:rPr>
                          <w:rFonts w:ascii="Cambria Math" w:hAnsi="Cambria Math" w:cs="Times New Roman"/>
                          <w:i/>
                          <w:sz w:val="21"/>
                          <w:szCs w:val="21"/>
                        </w:rPr>
                      </m:ctrlPr>
                    </m:sub>
                    <m:sup>
                      <m:r>
                        <m:rPr/>
                        <w:rPr>
                          <w:rFonts w:ascii="Cambria Math" w:hAnsi="Cambria Math" w:cs="Times New Roman"/>
                          <w:sz w:val="21"/>
                          <w:szCs w:val="21"/>
                        </w:rPr>
                        <m:t>n</m:t>
                      </m:r>
                      <m:ctrlPr>
                        <w:rPr>
                          <w:rFonts w:ascii="Cambria Math" w:hAnsi="Cambria Math" w:cs="Times New Roman"/>
                          <w:i/>
                          <w:sz w:val="21"/>
                          <w:szCs w:val="21"/>
                        </w:rPr>
                      </m:ctrlPr>
                    </m:sup>
                    <m:e>
                      <m:sSub>
                        <m:sSubPr>
                          <m:ctrlPr>
                            <w:rPr>
                              <w:rFonts w:ascii="Cambria Math" w:hAnsi="Cambria Math" w:cs="Times New Roman"/>
                              <w:i/>
                              <w:sz w:val="21"/>
                              <w:szCs w:val="21"/>
                            </w:rPr>
                          </m:ctrlPr>
                        </m:sSubPr>
                        <m:e>
                          <m:r>
                            <m:rPr/>
                            <w:rPr>
                              <w:rFonts w:ascii="Cambria Math" w:hAnsi="Cambria Math" w:cs="Times New Roman"/>
                              <w:sz w:val="21"/>
                              <w:szCs w:val="21"/>
                            </w:rPr>
                            <m:t>x</m:t>
                          </m:r>
                          <m:ctrlPr>
                            <w:rPr>
                              <w:rFonts w:ascii="Cambria Math" w:hAnsi="Cambria Math" w:cs="Times New Roman"/>
                              <w:i/>
                              <w:sz w:val="21"/>
                              <w:szCs w:val="21"/>
                            </w:rPr>
                          </m:ctrlPr>
                        </m:e>
                        <m:sub>
                          <m:r>
                            <m:rPr/>
                            <w:rPr>
                              <w:rFonts w:ascii="Cambria Math" w:hAnsi="Cambria Math" w:cs="Times New Roman"/>
                              <w:sz w:val="21"/>
                              <w:szCs w:val="21"/>
                            </w:rPr>
                            <m:t>ij</m:t>
                          </m:r>
                          <m:ctrlPr>
                            <w:rPr>
                              <w:rFonts w:ascii="Cambria Math" w:hAnsi="Cambria Math" w:cs="Times New Roman"/>
                              <w:i/>
                              <w:sz w:val="21"/>
                              <w:szCs w:val="21"/>
                            </w:rPr>
                          </m:ctrlPr>
                        </m:sub>
                      </m:sSub>
                      <m:sSub>
                        <m:sSubPr>
                          <m:ctrlPr>
                            <w:rPr>
                              <w:rFonts w:ascii="Cambria Math" w:hAnsi="Cambria Math" w:cs="Times New Roman"/>
                              <w:i/>
                              <w:sz w:val="21"/>
                              <w:szCs w:val="21"/>
                            </w:rPr>
                          </m:ctrlPr>
                        </m:sSubPr>
                        <m:e>
                          <m:r>
                            <m:rPr/>
                            <w:rPr>
                              <w:rFonts w:ascii="Cambria Math" w:hAnsi="Cambria Math" w:cs="Times New Roman"/>
                              <w:sz w:val="21"/>
                              <w:szCs w:val="21"/>
                            </w:rPr>
                            <m:t>λ</m:t>
                          </m:r>
                          <m:ctrlPr>
                            <w:rPr>
                              <w:rFonts w:ascii="Cambria Math" w:hAnsi="Cambria Math" w:cs="Times New Roman"/>
                              <w:i/>
                              <w:sz w:val="21"/>
                              <w:szCs w:val="21"/>
                            </w:rPr>
                          </m:ctrlPr>
                        </m:e>
                        <m:sub>
                          <m:r>
                            <m:rPr/>
                            <w:rPr>
                              <w:rFonts w:ascii="Cambria Math" w:hAnsi="Cambria Math" w:cs="Times New Roman"/>
                              <w:sz w:val="21"/>
                              <w:szCs w:val="21"/>
                            </w:rPr>
                            <m:t>j</m:t>
                          </m:r>
                          <m:ctrlPr>
                            <w:rPr>
                              <w:rFonts w:ascii="Cambria Math" w:hAnsi="Cambria Math" w:cs="Times New Roman"/>
                              <w:i/>
                              <w:sz w:val="21"/>
                              <w:szCs w:val="21"/>
                            </w:rPr>
                          </m:ctrlPr>
                        </m:sub>
                      </m:sSub>
                      <m:ctrlPr>
                        <w:rPr>
                          <w:rFonts w:ascii="Cambria Math" w:hAnsi="Cambria Math" w:cs="Times New Roman"/>
                          <w:i/>
                          <w:sz w:val="21"/>
                          <w:szCs w:val="21"/>
                        </w:rPr>
                      </m:ctrlPr>
                    </m:e>
                  </m:nary>
                  <m:ctrlPr>
                    <w:rPr>
                      <w:rFonts w:ascii="Cambria Math" w:hAnsi="Cambria Math" w:cs="Times New Roman"/>
                      <w:sz w:val="21"/>
                      <w:szCs w:val="21"/>
                    </w:rPr>
                  </m:ctrlPr>
                </m:e>
                <m:e>
                  <m:sSub>
                    <m:sSubPr>
                      <m:ctrlPr>
                        <w:rPr>
                          <w:rFonts w:ascii="Cambria Math" w:hAnsi="Cambria Math" w:cs="Times New Roman"/>
                          <w:i/>
                          <w:sz w:val="21"/>
                          <w:szCs w:val="21"/>
                        </w:rPr>
                      </m:ctrlPr>
                    </m:sSubPr>
                    <m:e>
                      <m:acc>
                        <m:accPr>
                          <m:chr m:val="̅"/>
                          <m:ctrlPr>
                            <w:rPr>
                              <w:rFonts w:ascii="Cambria Math" w:hAnsi="Cambria Math" w:cs="Times New Roman"/>
                              <w:i/>
                              <w:sz w:val="21"/>
                              <w:szCs w:val="21"/>
                            </w:rPr>
                          </m:ctrlPr>
                        </m:accPr>
                        <m:e>
                          <m:r>
                            <m:rPr/>
                            <w:rPr>
                              <w:rFonts w:ascii="Cambria Math" w:hAnsi="Cambria Math" w:cs="Times New Roman"/>
                              <w:sz w:val="21"/>
                              <w:szCs w:val="21"/>
                            </w:rPr>
                            <m:t>y</m:t>
                          </m:r>
                          <m:ctrlPr>
                            <w:rPr>
                              <w:rFonts w:ascii="Cambria Math" w:hAnsi="Cambria Math" w:cs="Times New Roman"/>
                              <w:i/>
                              <w:sz w:val="21"/>
                              <w:szCs w:val="21"/>
                            </w:rPr>
                          </m:ctrlPr>
                        </m:e>
                      </m:acc>
                      <m:ctrlPr>
                        <w:rPr>
                          <w:rFonts w:ascii="Cambria Math" w:hAnsi="Cambria Math" w:cs="Times New Roman"/>
                          <w:i/>
                          <w:sz w:val="21"/>
                          <w:szCs w:val="21"/>
                        </w:rPr>
                      </m:ctrlPr>
                    </m:e>
                    <m:sub>
                      <m:r>
                        <m:rPr/>
                        <w:rPr>
                          <w:rFonts w:ascii="Cambria Math" w:hAnsi="Cambria Math" w:cs="Times New Roman"/>
                          <w:sz w:val="21"/>
                          <w:szCs w:val="21"/>
                        </w:rPr>
                        <m:t>r</m:t>
                      </m:r>
                      <m:ctrlPr>
                        <w:rPr>
                          <w:rFonts w:ascii="Cambria Math" w:hAnsi="Cambria Math" w:cs="Times New Roman"/>
                          <w:i/>
                          <w:sz w:val="21"/>
                          <w:szCs w:val="21"/>
                        </w:rPr>
                      </m:ctrlPr>
                    </m:sub>
                  </m:sSub>
                  <m:r>
                    <m:rPr>
                      <m:sty m:val="p"/>
                    </m:rPr>
                    <w:rPr>
                      <w:rFonts w:ascii="Cambria Math" w:hAnsi="Cambria Math" w:cs="Times New Roman"/>
                      <w:sz w:val="21"/>
                      <w:szCs w:val="21"/>
                    </w:rPr>
                    <m:t>≤</m:t>
                  </m:r>
                  <m:nary>
                    <m:naryPr>
                      <m:chr m:val="∑"/>
                      <m:limLoc m:val="undOvr"/>
                      <m:ctrlPr>
                        <w:rPr>
                          <w:rFonts w:ascii="Cambria Math" w:hAnsi="Cambria Math" w:cs="Times New Roman"/>
                          <w:sz w:val="21"/>
                          <w:szCs w:val="21"/>
                        </w:rPr>
                      </m:ctrlPr>
                    </m:naryPr>
                    <m:sub>
                      <m:r>
                        <m:rPr/>
                        <w:rPr>
                          <w:rFonts w:ascii="Cambria Math" w:hAnsi="Cambria Math" w:cs="Times New Roman"/>
                          <w:sz w:val="21"/>
                          <w:szCs w:val="21"/>
                        </w:rPr>
                        <m:t>j=1;j≠k</m:t>
                      </m:r>
                      <m:ctrlPr>
                        <w:rPr>
                          <w:rFonts w:ascii="Cambria Math" w:hAnsi="Cambria Math" w:cs="Times New Roman"/>
                          <w:sz w:val="21"/>
                          <w:szCs w:val="21"/>
                        </w:rPr>
                      </m:ctrlPr>
                    </m:sub>
                    <m:sup>
                      <m:r>
                        <m:rPr/>
                        <w:rPr>
                          <w:rFonts w:ascii="Cambria Math" w:hAnsi="Cambria Math" w:cs="Times New Roman"/>
                          <w:sz w:val="21"/>
                          <w:szCs w:val="21"/>
                        </w:rPr>
                        <m:t>n</m:t>
                      </m:r>
                      <m:ctrlPr>
                        <w:rPr>
                          <w:rFonts w:ascii="Cambria Math" w:hAnsi="Cambria Math" w:cs="Times New Roman"/>
                          <w:sz w:val="21"/>
                          <w:szCs w:val="21"/>
                        </w:rPr>
                      </m:ctrlPr>
                    </m:sup>
                    <m:e>
                      <m:sSub>
                        <m:sSubPr>
                          <m:ctrlPr>
                            <w:rPr>
                              <w:rFonts w:ascii="Cambria Math" w:hAnsi="Cambria Math" w:cs="Times New Roman"/>
                              <w:i/>
                              <w:sz w:val="21"/>
                              <w:szCs w:val="21"/>
                            </w:rPr>
                          </m:ctrlPr>
                        </m:sSubPr>
                        <m:e>
                          <m:r>
                            <m:rPr/>
                            <w:rPr>
                              <w:rFonts w:ascii="Cambria Math" w:hAnsi="Cambria Math" w:cs="Times New Roman"/>
                              <w:sz w:val="21"/>
                              <w:szCs w:val="21"/>
                            </w:rPr>
                            <m:t>y</m:t>
                          </m:r>
                          <m:ctrlPr>
                            <w:rPr>
                              <w:rFonts w:ascii="Cambria Math" w:hAnsi="Cambria Math" w:cs="Times New Roman"/>
                              <w:i/>
                              <w:sz w:val="21"/>
                              <w:szCs w:val="21"/>
                            </w:rPr>
                          </m:ctrlPr>
                        </m:e>
                        <m:sub>
                          <m:r>
                            <m:rPr/>
                            <w:rPr>
                              <w:rFonts w:ascii="Cambria Math" w:hAnsi="Cambria Math" w:cs="Times New Roman"/>
                              <w:sz w:val="21"/>
                              <w:szCs w:val="21"/>
                            </w:rPr>
                            <m:t>rj</m:t>
                          </m:r>
                          <m:ctrlPr>
                            <w:rPr>
                              <w:rFonts w:ascii="Cambria Math" w:hAnsi="Cambria Math" w:cs="Times New Roman"/>
                              <w:i/>
                              <w:sz w:val="21"/>
                              <w:szCs w:val="21"/>
                            </w:rPr>
                          </m:ctrlPr>
                        </m:sub>
                      </m:sSub>
                      <m:sSub>
                        <m:sSubPr>
                          <m:ctrlPr>
                            <w:rPr>
                              <w:rFonts w:ascii="Cambria Math" w:hAnsi="Cambria Math" w:cs="Times New Roman"/>
                              <w:i/>
                              <w:sz w:val="21"/>
                              <w:szCs w:val="21"/>
                            </w:rPr>
                          </m:ctrlPr>
                        </m:sSubPr>
                        <m:e>
                          <m:r>
                            <m:rPr/>
                            <w:rPr>
                              <w:rFonts w:ascii="Cambria Math" w:hAnsi="Cambria Math" w:cs="Times New Roman"/>
                              <w:sz w:val="21"/>
                              <w:szCs w:val="21"/>
                            </w:rPr>
                            <m:t>λ</m:t>
                          </m:r>
                          <m:ctrlPr>
                            <w:rPr>
                              <w:rFonts w:ascii="Cambria Math" w:hAnsi="Cambria Math" w:cs="Times New Roman"/>
                              <w:i/>
                              <w:sz w:val="21"/>
                              <w:szCs w:val="21"/>
                            </w:rPr>
                          </m:ctrlPr>
                        </m:e>
                        <m:sub>
                          <m:r>
                            <m:rPr/>
                            <w:rPr>
                              <w:rFonts w:ascii="Cambria Math" w:hAnsi="Cambria Math" w:cs="Times New Roman"/>
                              <w:sz w:val="21"/>
                              <w:szCs w:val="21"/>
                            </w:rPr>
                            <m:t>j</m:t>
                          </m:r>
                          <m:ctrlPr>
                            <w:rPr>
                              <w:rFonts w:ascii="Cambria Math" w:hAnsi="Cambria Math" w:cs="Times New Roman"/>
                              <w:i/>
                              <w:sz w:val="21"/>
                              <w:szCs w:val="21"/>
                            </w:rPr>
                          </m:ctrlPr>
                        </m:sub>
                      </m:sSub>
                      <m:ctrlPr>
                        <w:rPr>
                          <w:rFonts w:ascii="Cambria Math" w:hAnsi="Cambria Math" w:cs="Times New Roman"/>
                          <w:sz w:val="21"/>
                          <w:szCs w:val="21"/>
                        </w:rPr>
                      </m:ctrlPr>
                    </m:e>
                  </m:nary>
                  <m:ctrlPr>
                    <w:rPr>
                      <w:rFonts w:ascii="Cambria Math" w:hAnsi="Cambria Math" w:cs="Times New Roman"/>
                      <w:sz w:val="21"/>
                      <w:szCs w:val="21"/>
                    </w:rPr>
                  </m:ctrlPr>
                </m:e>
                <m:e>
                  <m:sSub>
                    <m:sSubPr>
                      <m:ctrlPr>
                        <w:rPr>
                          <w:rFonts w:ascii="Cambria Math" w:hAnsi="Cambria Math" w:cs="Times New Roman"/>
                          <w:i/>
                          <w:sz w:val="21"/>
                          <w:szCs w:val="21"/>
                        </w:rPr>
                      </m:ctrlPr>
                    </m:sSubPr>
                    <m:e>
                      <m:acc>
                        <m:accPr>
                          <m:chr m:val="̅"/>
                          <m:ctrlPr>
                            <w:rPr>
                              <w:rFonts w:ascii="Cambria Math" w:hAnsi="Cambria Math" w:cs="Times New Roman"/>
                              <w:i/>
                              <w:sz w:val="21"/>
                              <w:szCs w:val="21"/>
                            </w:rPr>
                          </m:ctrlPr>
                        </m:accPr>
                        <m:e>
                          <m:r>
                            <m:rPr/>
                            <w:rPr>
                              <w:rFonts w:ascii="Cambria Math" w:hAnsi="Cambria Math" w:cs="Times New Roman"/>
                              <w:sz w:val="21"/>
                              <w:szCs w:val="21"/>
                            </w:rPr>
                            <m:t>x</m:t>
                          </m:r>
                          <m:ctrlPr>
                            <w:rPr>
                              <w:rFonts w:ascii="Cambria Math" w:hAnsi="Cambria Math" w:cs="Times New Roman"/>
                              <w:i/>
                              <w:sz w:val="21"/>
                              <w:szCs w:val="21"/>
                            </w:rPr>
                          </m:ctrlPr>
                        </m:e>
                      </m:acc>
                      <m:ctrlPr>
                        <w:rPr>
                          <w:rFonts w:ascii="Cambria Math" w:hAnsi="Cambria Math" w:cs="Times New Roman"/>
                          <w:i/>
                          <w:sz w:val="21"/>
                          <w:szCs w:val="21"/>
                        </w:rPr>
                      </m:ctrlPr>
                    </m:e>
                    <m:sub>
                      <m:r>
                        <m:rPr/>
                        <w:rPr>
                          <w:rFonts w:ascii="Cambria Math" w:hAnsi="Cambria Math" w:cs="Times New Roman"/>
                          <w:sz w:val="21"/>
                          <w:szCs w:val="21"/>
                        </w:rPr>
                        <m:t>i</m:t>
                      </m:r>
                      <m:ctrlPr>
                        <w:rPr>
                          <w:rFonts w:ascii="Cambria Math" w:hAnsi="Cambria Math" w:cs="Times New Roman"/>
                          <w:i/>
                          <w:sz w:val="21"/>
                          <w:szCs w:val="21"/>
                        </w:rPr>
                      </m:ctrlPr>
                    </m:sub>
                  </m:sSub>
                  <m:r>
                    <m:rPr>
                      <m:sty m:val="p"/>
                    </m:rPr>
                    <w:rPr>
                      <w:rFonts w:ascii="Cambria Math" w:hAnsi="Cambria Math" w:cs="Times New Roman"/>
                      <w:sz w:val="21"/>
                      <w:szCs w:val="21"/>
                    </w:rPr>
                    <m:t>≥</m:t>
                  </m:r>
                  <m:sSub>
                    <m:sSubPr>
                      <m:ctrlPr>
                        <w:rPr>
                          <w:rFonts w:ascii="Cambria Math" w:hAnsi="Cambria Math" w:cs="Times New Roman"/>
                          <w:i/>
                          <w:sz w:val="21"/>
                          <w:szCs w:val="21"/>
                        </w:rPr>
                      </m:ctrlPr>
                    </m:sSubPr>
                    <m:e>
                      <m:r>
                        <m:rPr/>
                        <w:rPr>
                          <w:rFonts w:ascii="Cambria Math" w:hAnsi="Cambria Math" w:cs="Times New Roman"/>
                          <w:sz w:val="21"/>
                          <w:szCs w:val="21"/>
                        </w:rPr>
                        <m:t>x</m:t>
                      </m:r>
                      <m:ctrlPr>
                        <w:rPr>
                          <w:rFonts w:ascii="Cambria Math" w:hAnsi="Cambria Math" w:cs="Times New Roman"/>
                          <w:i/>
                          <w:sz w:val="21"/>
                          <w:szCs w:val="21"/>
                        </w:rPr>
                      </m:ctrlPr>
                    </m:e>
                    <m:sub>
                      <m:r>
                        <m:rPr/>
                        <w:rPr>
                          <w:rFonts w:ascii="Cambria Math" w:hAnsi="Cambria Math" w:cs="Times New Roman"/>
                          <w:sz w:val="21"/>
                          <w:szCs w:val="21"/>
                        </w:rPr>
                        <m:t>ik</m:t>
                      </m:r>
                      <m:ctrlPr>
                        <w:rPr>
                          <w:rFonts w:ascii="Cambria Math" w:hAnsi="Cambria Math" w:cs="Times New Roman"/>
                          <w:i/>
                          <w:sz w:val="21"/>
                          <w:szCs w:val="21"/>
                        </w:rPr>
                      </m:ctrlPr>
                    </m:sub>
                  </m:sSub>
                  <m:ctrlPr>
                    <w:rPr>
                      <w:rFonts w:ascii="Cambria Math" w:hAnsi="Cambria Math" w:eastAsia="Cambria Math" w:cs="Times New Roman"/>
                      <w:i/>
                      <w:sz w:val="21"/>
                      <w:szCs w:val="21"/>
                    </w:rPr>
                  </m:ctrlPr>
                </m:e>
                <m:e>
                  <m:sSub>
                    <m:sSubPr>
                      <m:ctrlPr>
                        <w:rPr>
                          <w:rFonts w:ascii="Cambria Math" w:hAnsi="Cambria Math" w:cs="Times New Roman"/>
                          <w:i/>
                          <w:sz w:val="21"/>
                          <w:szCs w:val="21"/>
                        </w:rPr>
                      </m:ctrlPr>
                    </m:sSubPr>
                    <m:e>
                      <m:acc>
                        <m:accPr>
                          <m:chr m:val="̅"/>
                          <m:ctrlPr>
                            <w:rPr>
                              <w:rFonts w:ascii="Cambria Math" w:hAnsi="Cambria Math" w:cs="Times New Roman"/>
                              <w:i/>
                              <w:sz w:val="21"/>
                              <w:szCs w:val="21"/>
                            </w:rPr>
                          </m:ctrlPr>
                        </m:accPr>
                        <m:e>
                          <m:r>
                            <m:rPr/>
                            <w:rPr>
                              <w:rFonts w:ascii="Cambria Math" w:hAnsi="Cambria Math" w:cs="Times New Roman"/>
                              <w:sz w:val="21"/>
                              <w:szCs w:val="21"/>
                            </w:rPr>
                            <m:t>y</m:t>
                          </m:r>
                          <m:ctrlPr>
                            <w:rPr>
                              <w:rFonts w:ascii="Cambria Math" w:hAnsi="Cambria Math" w:cs="Times New Roman"/>
                              <w:i/>
                              <w:sz w:val="21"/>
                              <w:szCs w:val="21"/>
                            </w:rPr>
                          </m:ctrlPr>
                        </m:e>
                      </m:acc>
                      <m:ctrlPr>
                        <w:rPr>
                          <w:rFonts w:ascii="Cambria Math" w:hAnsi="Cambria Math" w:cs="Times New Roman"/>
                          <w:i/>
                          <w:sz w:val="21"/>
                          <w:szCs w:val="21"/>
                        </w:rPr>
                      </m:ctrlPr>
                    </m:e>
                    <m:sub>
                      <m:r>
                        <m:rPr/>
                        <w:rPr>
                          <w:rFonts w:ascii="Cambria Math" w:hAnsi="Cambria Math" w:cs="Times New Roman"/>
                          <w:sz w:val="21"/>
                          <w:szCs w:val="21"/>
                        </w:rPr>
                        <m:t>r</m:t>
                      </m:r>
                      <m:ctrlPr>
                        <w:rPr>
                          <w:rFonts w:ascii="Cambria Math" w:hAnsi="Cambria Math" w:cs="Times New Roman"/>
                          <w:i/>
                          <w:sz w:val="21"/>
                          <w:szCs w:val="21"/>
                        </w:rPr>
                      </m:ctrlPr>
                    </m:sub>
                  </m:sSub>
                  <m:r>
                    <m:rPr/>
                    <w:rPr>
                      <w:rFonts w:ascii="Cambria Math" w:hAnsi="Cambria Math" w:cs="Times New Roman"/>
                      <w:sz w:val="21"/>
                      <w:szCs w:val="21"/>
                    </w:rPr>
                    <m:t>≤</m:t>
                  </m:r>
                  <m:sSub>
                    <m:sSubPr>
                      <m:ctrlPr>
                        <w:rPr>
                          <w:rFonts w:ascii="Cambria Math" w:hAnsi="Cambria Math" w:cs="Times New Roman"/>
                          <w:i/>
                          <w:sz w:val="21"/>
                          <w:szCs w:val="21"/>
                        </w:rPr>
                      </m:ctrlPr>
                    </m:sSubPr>
                    <m:e>
                      <m:r>
                        <m:rPr/>
                        <w:rPr>
                          <w:rFonts w:ascii="Cambria Math" w:hAnsi="Cambria Math" w:cs="Times New Roman"/>
                          <w:sz w:val="21"/>
                          <w:szCs w:val="21"/>
                        </w:rPr>
                        <m:t>y</m:t>
                      </m:r>
                      <m:ctrlPr>
                        <w:rPr>
                          <w:rFonts w:ascii="Cambria Math" w:hAnsi="Cambria Math" w:cs="Times New Roman"/>
                          <w:i/>
                          <w:sz w:val="21"/>
                          <w:szCs w:val="21"/>
                        </w:rPr>
                      </m:ctrlPr>
                    </m:e>
                    <m:sub>
                      <m:r>
                        <m:rPr/>
                        <w:rPr>
                          <w:rFonts w:ascii="Cambria Math" w:hAnsi="Cambria Math" w:cs="Times New Roman"/>
                          <w:sz w:val="21"/>
                          <w:szCs w:val="21"/>
                        </w:rPr>
                        <m:t>rk</m:t>
                      </m:r>
                      <m:ctrlPr>
                        <w:rPr>
                          <w:rFonts w:ascii="Cambria Math" w:hAnsi="Cambria Math" w:cs="Times New Roman"/>
                          <w:i/>
                          <w:sz w:val="21"/>
                          <w:szCs w:val="21"/>
                        </w:rPr>
                      </m:ctrlPr>
                    </m:sub>
                  </m:sSub>
                  <m:r>
                    <m:rPr/>
                    <w:rPr>
                      <w:rFonts w:ascii="Cambria Math" w:hAnsi="Cambria Math" w:cs="Times New Roman"/>
                      <w:sz w:val="21"/>
                      <w:szCs w:val="21"/>
                    </w:rPr>
                    <m:t>λ</m:t>
                  </m:r>
                  <m:ctrlPr>
                    <w:rPr>
                      <w:rFonts w:ascii="Cambria Math" w:hAnsi="Cambria Math" w:eastAsia="Cambria Math" w:cs="Times New Roman"/>
                      <w:i/>
                      <w:sz w:val="21"/>
                      <w:szCs w:val="21"/>
                    </w:rPr>
                  </m:ctrlPr>
                </m:e>
                <m:e>
                  <m:sSup>
                    <m:sSupPr>
                      <m:ctrlPr>
                        <w:rPr>
                          <w:rFonts w:ascii="Cambria Math" w:hAnsi="Cambria Math" w:cs="Times New Roman"/>
                          <w:i/>
                          <w:sz w:val="21"/>
                          <w:szCs w:val="21"/>
                        </w:rPr>
                      </m:ctrlPr>
                    </m:sSupPr>
                    <m:e>
                      <m:r>
                        <m:rPr/>
                        <w:rPr>
                          <w:rFonts w:ascii="Cambria Math" w:hAnsi="Cambria Math" w:cs="Times New Roman"/>
                          <w:sz w:val="21"/>
                          <w:szCs w:val="21"/>
                        </w:rPr>
                        <m:t>s</m:t>
                      </m:r>
                      <m:ctrlPr>
                        <w:rPr>
                          <w:rFonts w:ascii="Cambria Math" w:hAnsi="Cambria Math" w:cs="Times New Roman"/>
                          <w:i/>
                          <w:sz w:val="21"/>
                          <w:szCs w:val="21"/>
                        </w:rPr>
                      </m:ctrlPr>
                    </m:e>
                    <m:sup>
                      <m:r>
                        <m:rPr/>
                        <w:rPr>
                          <w:rFonts w:ascii="Cambria Math" w:hAnsi="Cambria Math" w:cs="Times New Roman"/>
                          <w:sz w:val="21"/>
                          <w:szCs w:val="21"/>
                        </w:rPr>
                        <m:t>−</m:t>
                      </m:r>
                      <m:ctrlPr>
                        <w:rPr>
                          <w:rFonts w:ascii="Cambria Math" w:hAnsi="Cambria Math" w:cs="Times New Roman"/>
                          <w:i/>
                          <w:sz w:val="21"/>
                          <w:szCs w:val="21"/>
                        </w:rPr>
                      </m:ctrlPr>
                    </m:sup>
                  </m:sSup>
                  <m:r>
                    <m:rPr/>
                    <w:rPr>
                      <w:rFonts w:ascii="Cambria Math" w:hAnsi="Cambria Math" w:cs="Times New Roman"/>
                      <w:sz w:val="21"/>
                      <w:szCs w:val="21"/>
                    </w:rPr>
                    <m:t>,</m:t>
                  </m:r>
                  <m:sSup>
                    <m:sSupPr>
                      <m:ctrlPr>
                        <w:rPr>
                          <w:rFonts w:ascii="Cambria Math" w:hAnsi="Cambria Math" w:cs="Times New Roman"/>
                          <w:i/>
                          <w:sz w:val="21"/>
                          <w:szCs w:val="21"/>
                        </w:rPr>
                      </m:ctrlPr>
                    </m:sSupPr>
                    <m:e>
                      <m:r>
                        <m:rPr/>
                        <w:rPr>
                          <w:rFonts w:ascii="Cambria Math" w:hAnsi="Cambria Math" w:cs="Times New Roman"/>
                          <w:sz w:val="21"/>
                          <w:szCs w:val="21"/>
                        </w:rPr>
                        <m:t>s</m:t>
                      </m:r>
                      <m:ctrlPr>
                        <w:rPr>
                          <w:rFonts w:ascii="Cambria Math" w:hAnsi="Cambria Math" w:cs="Times New Roman"/>
                          <w:i/>
                          <w:sz w:val="21"/>
                          <w:szCs w:val="21"/>
                        </w:rPr>
                      </m:ctrlPr>
                    </m:e>
                    <m:sup>
                      <m:r>
                        <m:rPr/>
                        <w:rPr>
                          <w:rFonts w:ascii="Cambria Math" w:hAnsi="Cambria Math" w:cs="Times New Roman"/>
                          <w:sz w:val="21"/>
                          <w:szCs w:val="21"/>
                        </w:rPr>
                        <m:t>+</m:t>
                      </m:r>
                      <m:ctrlPr>
                        <w:rPr>
                          <w:rFonts w:ascii="Cambria Math" w:hAnsi="Cambria Math" w:cs="Times New Roman"/>
                          <w:i/>
                          <w:sz w:val="21"/>
                          <w:szCs w:val="21"/>
                        </w:rPr>
                      </m:ctrlPr>
                    </m:sup>
                  </m:sSup>
                  <m:r>
                    <m:rPr/>
                    <w:rPr>
                      <w:rFonts w:ascii="Cambria Math" w:hAnsi="Cambria Math" w:cs="Times New Roman"/>
                      <w:sz w:val="21"/>
                      <w:szCs w:val="21"/>
                    </w:rPr>
                    <m:t>,</m:t>
                  </m:r>
                  <m:acc>
                    <m:accPr>
                      <m:chr m:val="̅"/>
                      <m:ctrlPr>
                        <w:rPr>
                          <w:rFonts w:ascii="Cambria Math" w:hAnsi="Cambria Math" w:cs="Times New Roman"/>
                          <w:i/>
                          <w:sz w:val="21"/>
                          <w:szCs w:val="21"/>
                        </w:rPr>
                      </m:ctrlPr>
                    </m:accPr>
                    <m:e>
                      <m:r>
                        <m:rPr/>
                        <w:rPr>
                          <w:rFonts w:ascii="Cambria Math" w:hAnsi="Cambria Math" w:cs="Times New Roman"/>
                          <w:sz w:val="21"/>
                          <w:szCs w:val="21"/>
                        </w:rPr>
                        <m:t>y</m:t>
                      </m:r>
                      <m:ctrlPr>
                        <w:rPr>
                          <w:rFonts w:ascii="Cambria Math" w:hAnsi="Cambria Math" w:cs="Times New Roman"/>
                          <w:i/>
                          <w:sz w:val="21"/>
                          <w:szCs w:val="21"/>
                        </w:rPr>
                      </m:ctrlPr>
                    </m:e>
                  </m:acc>
                  <m:r>
                    <m:rPr/>
                    <w:rPr>
                      <w:rFonts w:ascii="Cambria Math" w:hAnsi="Cambria Math" w:cs="Times New Roman"/>
                      <w:sz w:val="21"/>
                      <w:szCs w:val="21"/>
                    </w:rPr>
                    <m:t>≥0</m:t>
                  </m:r>
                  <m:ctrlPr>
                    <w:rPr>
                      <w:rFonts w:ascii="Cambria Math" w:hAnsi="Cambria Math" w:eastAsia="Cambria Math" w:cs="Times New Roman"/>
                      <w:i/>
                      <w:sz w:val="21"/>
                      <w:szCs w:val="21"/>
                    </w:rPr>
                  </m:ctrlPr>
                </m:e>
                <m:e>
                  <m:nary>
                    <m:naryPr>
                      <m:chr m:val="∑"/>
                      <m:limLoc m:val="undOvr"/>
                      <m:ctrlPr>
                        <w:rPr>
                          <w:rFonts w:ascii="Cambria Math" w:hAnsi="Cambria Math" w:cs="Times New Roman"/>
                          <w:i/>
                          <w:sz w:val="21"/>
                          <w:szCs w:val="21"/>
                        </w:rPr>
                      </m:ctrlPr>
                    </m:naryPr>
                    <m:sub>
                      <m:r>
                        <m:rPr/>
                        <w:rPr>
                          <w:rFonts w:ascii="Cambria Math" w:hAnsi="Cambria Math" w:cs="Times New Roman"/>
                          <w:sz w:val="21"/>
                          <w:szCs w:val="21"/>
                        </w:rPr>
                        <m:t>j=1;j≠k</m:t>
                      </m:r>
                      <m:ctrlPr>
                        <w:rPr>
                          <w:rFonts w:ascii="Cambria Math" w:hAnsi="Cambria Math" w:cs="Times New Roman"/>
                          <w:i/>
                          <w:sz w:val="21"/>
                          <w:szCs w:val="21"/>
                        </w:rPr>
                      </m:ctrlPr>
                    </m:sub>
                    <m:sup>
                      <m:r>
                        <m:rPr/>
                        <w:rPr>
                          <w:rFonts w:ascii="Cambria Math" w:hAnsi="Cambria Math" w:cs="Times New Roman"/>
                          <w:sz w:val="21"/>
                          <w:szCs w:val="21"/>
                        </w:rPr>
                        <m:t>n</m:t>
                      </m:r>
                      <m:ctrlPr>
                        <w:rPr>
                          <w:rFonts w:ascii="Cambria Math" w:hAnsi="Cambria Math" w:cs="Times New Roman"/>
                          <w:i/>
                          <w:sz w:val="21"/>
                          <w:szCs w:val="21"/>
                        </w:rPr>
                      </m:ctrlPr>
                    </m:sup>
                    <m:e>
                      <m:sSub>
                        <m:sSubPr>
                          <m:ctrlPr>
                            <w:rPr>
                              <w:rFonts w:ascii="Cambria Math" w:hAnsi="Cambria Math" w:cs="Times New Roman"/>
                              <w:i/>
                              <w:sz w:val="21"/>
                              <w:szCs w:val="21"/>
                            </w:rPr>
                          </m:ctrlPr>
                        </m:sSubPr>
                        <m:e>
                          <m:r>
                            <m:rPr/>
                            <w:rPr>
                              <w:rFonts w:ascii="Cambria Math" w:hAnsi="Cambria Math" w:cs="Times New Roman"/>
                              <w:sz w:val="21"/>
                              <w:szCs w:val="21"/>
                            </w:rPr>
                            <m:t>λ</m:t>
                          </m:r>
                          <m:ctrlPr>
                            <w:rPr>
                              <w:rFonts w:ascii="Cambria Math" w:hAnsi="Cambria Math" w:cs="Times New Roman"/>
                              <w:i/>
                              <w:sz w:val="21"/>
                              <w:szCs w:val="21"/>
                            </w:rPr>
                          </m:ctrlPr>
                        </m:e>
                        <m:sub>
                          <m:r>
                            <m:rPr/>
                            <w:rPr>
                              <w:rFonts w:ascii="Cambria Math" w:hAnsi="Cambria Math" w:cs="Times New Roman"/>
                              <w:sz w:val="21"/>
                              <w:szCs w:val="21"/>
                            </w:rPr>
                            <m:t>j</m:t>
                          </m:r>
                          <m:ctrlPr>
                            <w:rPr>
                              <w:rFonts w:ascii="Cambria Math" w:hAnsi="Cambria Math" w:cs="Times New Roman"/>
                              <w:i/>
                              <w:sz w:val="21"/>
                              <w:szCs w:val="21"/>
                            </w:rPr>
                          </m:ctrlPr>
                        </m:sub>
                      </m:sSub>
                      <m:ctrlPr>
                        <w:rPr>
                          <w:rFonts w:ascii="Cambria Math" w:hAnsi="Cambria Math" w:cs="Times New Roman"/>
                          <w:i/>
                          <w:sz w:val="21"/>
                          <w:szCs w:val="21"/>
                        </w:rPr>
                      </m:ctrlPr>
                    </m:e>
                  </m:nary>
                  <m:r>
                    <m:rPr/>
                    <w:rPr>
                      <w:rFonts w:ascii="Cambria Math" w:hAnsi="Cambria Math" w:cs="Times New Roman"/>
                      <w:sz w:val="21"/>
                      <w:szCs w:val="21"/>
                    </w:rPr>
                    <m:t>=1</m:t>
                  </m:r>
                  <m:ctrlPr>
                    <w:rPr>
                      <w:rFonts w:ascii="Cambria Math" w:hAnsi="Cambria Math" w:cs="Times New Roman"/>
                      <w:sz w:val="21"/>
                      <w:szCs w:val="21"/>
                    </w:rPr>
                  </m:ctrlPr>
                </m:e>
              </m:eqArr>
              <m:ctrlPr>
                <w:rPr>
                  <w:rFonts w:ascii="Cambria Math" w:hAnsi="Cambria Math" w:cs="Times New Roman"/>
                  <w:sz w:val="21"/>
                  <w:szCs w:val="21"/>
                </w:rPr>
              </m:ctrlPr>
            </m:e>
          </m:d>
        </m:oMath>
      </m:oMathPara>
    </w:p>
    <w:p>
      <w:pPr>
        <w:spacing w:line="480" w:lineRule="auto"/>
        <w:contextualSpacing/>
        <w:rPr>
          <w:rFonts w:cs="Times New Roman"/>
          <w:i/>
          <w:sz w:val="21"/>
          <w:szCs w:val="21"/>
        </w:rPr>
      </w:pPr>
      <m:oMathPara>
        <m:oMathParaPr>
          <m:jc m:val="center"/>
        </m:oMathParaPr>
        <m:oMath>
          <m:r>
            <m:rPr/>
            <w:rPr>
              <w:rFonts w:ascii="Cambria Math" w:hAnsi="Cambria Math" w:cs="Times New Roman"/>
              <w:sz w:val="21"/>
              <w:szCs w:val="21"/>
            </w:rPr>
            <m:t>i=1,2,…,m;r=1,2,…,q;j=1,2,…,n(j≠k)</m:t>
          </m:r>
        </m:oMath>
      </m:oMathPara>
    </w:p>
    <w:p>
      <w:pPr>
        <w:spacing w:line="480" w:lineRule="auto"/>
        <w:ind w:firstLine="720"/>
        <w:contextualSpacing/>
        <w:rPr>
          <w:rFonts w:cs="Times New Roman"/>
          <w:sz w:val="21"/>
          <w:szCs w:val="21"/>
        </w:rPr>
      </w:pPr>
      <w:r>
        <w:rPr>
          <w:rFonts w:cs="Times New Roman"/>
          <w:sz w:val="21"/>
          <w:szCs w:val="21"/>
        </w:rPr>
        <w:t>The production set calculated by other DMUs is:</w:t>
      </w:r>
    </w:p>
    <w:p>
      <w:pPr>
        <w:spacing w:line="480" w:lineRule="auto"/>
        <w:contextualSpacing/>
        <w:rPr>
          <w:rFonts w:cs="Times New Roman"/>
          <w:sz w:val="21"/>
          <w:szCs w:val="21"/>
        </w:rPr>
      </w:pPr>
      <m:oMathPara>
        <m:oMathParaPr>
          <m:jc m:val="center"/>
        </m:oMathParaPr>
        <m:oMath>
          <m:d>
            <m:dPr>
              <m:begChr m:val="{"/>
              <m:endChr m:val="}"/>
              <m:ctrlPr>
                <w:rPr>
                  <w:rFonts w:ascii="Cambria Math" w:hAnsi="Cambria Math" w:cs="Times New Roman"/>
                  <w:sz w:val="21"/>
                  <w:szCs w:val="21"/>
                </w:rPr>
              </m:ctrlPr>
            </m:dPr>
            <m:e>
              <m:r>
                <m:rPr/>
                <w:rPr>
                  <w:rFonts w:ascii="Cambria Math" w:hAnsi="Cambria Math" w:cs="Times New Roman"/>
                  <w:sz w:val="21"/>
                  <w:szCs w:val="21"/>
                </w:rPr>
                <m:t>(x,y)</m:t>
              </m:r>
              <m:ctrlPr>
                <w:rPr>
                  <w:rFonts w:ascii="Cambria Math" w:hAnsi="Cambria Math" w:cs="Times New Roman"/>
                  <w:sz w:val="21"/>
                  <w:szCs w:val="21"/>
                </w:rPr>
              </m:ctrlPr>
            </m:e>
            <m:e>
              <m:r>
                <m:rPr/>
                <w:rPr>
                  <w:rFonts w:ascii="Cambria Math" w:hAnsi="Cambria Math" w:cs="Times New Roman"/>
                  <w:sz w:val="21"/>
                  <w:szCs w:val="21"/>
                </w:rPr>
                <m:t>x≥</m:t>
              </m:r>
              <m:nary>
                <m:naryPr>
                  <m:chr m:val="∑"/>
                  <m:limLoc m:val="undOvr"/>
                  <m:ctrlPr>
                    <w:rPr>
                      <w:rFonts w:ascii="Cambria Math" w:hAnsi="Cambria Math" w:cs="Times New Roman"/>
                      <w:sz w:val="21"/>
                      <w:szCs w:val="21"/>
                    </w:rPr>
                  </m:ctrlPr>
                </m:naryPr>
                <m:sub>
                  <m:r>
                    <m:rPr/>
                    <w:rPr>
                      <w:rFonts w:ascii="Cambria Math" w:hAnsi="Cambria Math" w:cs="Times New Roman"/>
                      <w:sz w:val="21"/>
                      <w:szCs w:val="21"/>
                    </w:rPr>
                    <m:t>j=1,j≠k</m:t>
                  </m:r>
                  <m:ctrlPr>
                    <w:rPr>
                      <w:rFonts w:ascii="Cambria Math" w:hAnsi="Cambria Math" w:cs="Times New Roman"/>
                      <w:sz w:val="21"/>
                      <w:szCs w:val="21"/>
                    </w:rPr>
                  </m:ctrlPr>
                </m:sub>
                <m:sup>
                  <m:r>
                    <m:rPr/>
                    <w:rPr>
                      <w:rFonts w:ascii="Cambria Math" w:hAnsi="Cambria Math" w:cs="Times New Roman"/>
                      <w:sz w:val="21"/>
                      <w:szCs w:val="21"/>
                    </w:rPr>
                    <m:t>n</m:t>
                  </m:r>
                  <m:ctrlPr>
                    <w:rPr>
                      <w:rFonts w:ascii="Cambria Math" w:hAnsi="Cambria Math" w:cs="Times New Roman"/>
                      <w:sz w:val="21"/>
                      <w:szCs w:val="21"/>
                    </w:rPr>
                  </m:ctrlPr>
                </m:sup>
                <m:e>
                  <m:sSub>
                    <m:sSubPr>
                      <m:ctrlPr>
                        <w:rPr>
                          <w:rFonts w:ascii="Cambria Math" w:hAnsi="Cambria Math" w:cs="Times New Roman"/>
                          <w:i/>
                          <w:sz w:val="21"/>
                          <w:szCs w:val="21"/>
                        </w:rPr>
                      </m:ctrlPr>
                    </m:sSubPr>
                    <m:e>
                      <m:r>
                        <m:rPr/>
                        <w:rPr>
                          <w:rFonts w:ascii="Cambria Math" w:hAnsi="Cambria Math" w:cs="Times New Roman"/>
                          <w:sz w:val="21"/>
                          <w:szCs w:val="21"/>
                        </w:rPr>
                        <m:t>x</m:t>
                      </m:r>
                      <m:ctrlPr>
                        <w:rPr>
                          <w:rFonts w:ascii="Cambria Math" w:hAnsi="Cambria Math" w:cs="Times New Roman"/>
                          <w:i/>
                          <w:sz w:val="21"/>
                          <w:szCs w:val="21"/>
                        </w:rPr>
                      </m:ctrlPr>
                    </m:e>
                    <m:sub>
                      <m:r>
                        <m:rPr/>
                        <w:rPr>
                          <w:rFonts w:ascii="Cambria Math" w:hAnsi="Cambria Math" w:cs="Times New Roman"/>
                          <w:sz w:val="21"/>
                          <w:szCs w:val="21"/>
                        </w:rPr>
                        <m:t>ij</m:t>
                      </m:r>
                      <m:ctrlPr>
                        <w:rPr>
                          <w:rFonts w:ascii="Cambria Math" w:hAnsi="Cambria Math" w:cs="Times New Roman"/>
                          <w:i/>
                          <w:sz w:val="21"/>
                          <w:szCs w:val="21"/>
                        </w:rPr>
                      </m:ctrlPr>
                    </m:sub>
                  </m:sSub>
                  <m:sSub>
                    <m:sSubPr>
                      <m:ctrlPr>
                        <w:rPr>
                          <w:rFonts w:ascii="Cambria Math" w:hAnsi="Cambria Math" w:cs="Times New Roman"/>
                          <w:i/>
                          <w:sz w:val="21"/>
                          <w:szCs w:val="21"/>
                        </w:rPr>
                      </m:ctrlPr>
                    </m:sSubPr>
                    <m:e>
                      <m:r>
                        <m:rPr/>
                        <w:rPr>
                          <w:rFonts w:ascii="Cambria Math" w:hAnsi="Cambria Math" w:cs="Times New Roman"/>
                          <w:sz w:val="21"/>
                          <w:szCs w:val="21"/>
                        </w:rPr>
                        <m:t>λ</m:t>
                      </m:r>
                      <m:ctrlPr>
                        <w:rPr>
                          <w:rFonts w:ascii="Cambria Math" w:hAnsi="Cambria Math" w:cs="Times New Roman"/>
                          <w:i/>
                          <w:sz w:val="21"/>
                          <w:szCs w:val="21"/>
                        </w:rPr>
                      </m:ctrlPr>
                    </m:e>
                    <m:sub>
                      <m:r>
                        <m:rPr/>
                        <w:rPr>
                          <w:rFonts w:ascii="Cambria Math" w:hAnsi="Cambria Math" w:cs="Times New Roman"/>
                          <w:sz w:val="21"/>
                          <w:szCs w:val="21"/>
                        </w:rPr>
                        <m:t>j</m:t>
                      </m:r>
                      <m:ctrlPr>
                        <w:rPr>
                          <w:rFonts w:ascii="Cambria Math" w:hAnsi="Cambria Math" w:cs="Times New Roman"/>
                          <w:i/>
                          <w:sz w:val="21"/>
                          <w:szCs w:val="21"/>
                        </w:rPr>
                      </m:ctrlPr>
                    </m:sub>
                  </m:sSub>
                  <m:ctrlPr>
                    <w:rPr>
                      <w:rFonts w:ascii="Cambria Math" w:hAnsi="Cambria Math" w:cs="Times New Roman"/>
                      <w:sz w:val="21"/>
                      <w:szCs w:val="21"/>
                    </w:rPr>
                  </m:ctrlPr>
                </m:e>
              </m:nary>
              <m:r>
                <m:rPr/>
                <w:rPr>
                  <w:rFonts w:ascii="Cambria Math" w:hAnsi="Cambria Math" w:cs="Times New Roman"/>
                  <w:sz w:val="21"/>
                  <w:szCs w:val="21"/>
                </w:rPr>
                <m:t>,y≤</m:t>
              </m:r>
              <m:nary>
                <m:naryPr>
                  <m:chr m:val="∑"/>
                  <m:limLoc m:val="undOvr"/>
                  <m:ctrlPr>
                    <w:rPr>
                      <w:rFonts w:ascii="Cambria Math" w:hAnsi="Cambria Math" w:cs="Times New Roman"/>
                      <w:sz w:val="21"/>
                      <w:szCs w:val="21"/>
                    </w:rPr>
                  </m:ctrlPr>
                </m:naryPr>
                <m:sub>
                  <m:r>
                    <m:rPr/>
                    <w:rPr>
                      <w:rFonts w:ascii="Cambria Math" w:hAnsi="Cambria Math" w:cs="Times New Roman"/>
                      <w:sz w:val="21"/>
                      <w:szCs w:val="21"/>
                    </w:rPr>
                    <m:t>j=1;j≠k</m:t>
                  </m:r>
                  <m:ctrlPr>
                    <w:rPr>
                      <w:rFonts w:ascii="Cambria Math" w:hAnsi="Cambria Math" w:cs="Times New Roman"/>
                      <w:sz w:val="21"/>
                      <w:szCs w:val="21"/>
                    </w:rPr>
                  </m:ctrlPr>
                </m:sub>
                <m:sup>
                  <m:r>
                    <m:rPr/>
                    <w:rPr>
                      <w:rFonts w:ascii="Cambria Math" w:hAnsi="Cambria Math" w:cs="Times New Roman"/>
                      <w:sz w:val="21"/>
                      <w:szCs w:val="21"/>
                    </w:rPr>
                    <m:t>n</m:t>
                  </m:r>
                  <m:ctrlPr>
                    <w:rPr>
                      <w:rFonts w:ascii="Cambria Math" w:hAnsi="Cambria Math" w:cs="Times New Roman"/>
                      <w:sz w:val="21"/>
                      <w:szCs w:val="21"/>
                    </w:rPr>
                  </m:ctrlPr>
                </m:sup>
                <m:e>
                  <m:sSub>
                    <m:sSubPr>
                      <m:ctrlPr>
                        <w:rPr>
                          <w:rFonts w:ascii="Cambria Math" w:hAnsi="Cambria Math" w:cs="Times New Roman"/>
                          <w:i/>
                          <w:sz w:val="21"/>
                          <w:szCs w:val="21"/>
                        </w:rPr>
                      </m:ctrlPr>
                    </m:sSubPr>
                    <m:e>
                      <m:r>
                        <m:rPr/>
                        <w:rPr>
                          <w:rFonts w:ascii="Cambria Math" w:hAnsi="Cambria Math" w:cs="Times New Roman"/>
                          <w:sz w:val="21"/>
                          <w:szCs w:val="21"/>
                        </w:rPr>
                        <m:t>y</m:t>
                      </m:r>
                      <m:ctrlPr>
                        <w:rPr>
                          <w:rFonts w:ascii="Cambria Math" w:hAnsi="Cambria Math" w:cs="Times New Roman"/>
                          <w:i/>
                          <w:sz w:val="21"/>
                          <w:szCs w:val="21"/>
                        </w:rPr>
                      </m:ctrlPr>
                    </m:e>
                    <m:sub>
                      <m:r>
                        <m:rPr/>
                        <w:rPr>
                          <w:rFonts w:ascii="Cambria Math" w:hAnsi="Cambria Math" w:cs="Times New Roman"/>
                          <w:sz w:val="21"/>
                          <w:szCs w:val="21"/>
                        </w:rPr>
                        <m:t>rj</m:t>
                      </m:r>
                      <m:ctrlPr>
                        <w:rPr>
                          <w:rFonts w:ascii="Cambria Math" w:hAnsi="Cambria Math" w:cs="Times New Roman"/>
                          <w:i/>
                          <w:sz w:val="21"/>
                          <w:szCs w:val="21"/>
                        </w:rPr>
                      </m:ctrlPr>
                    </m:sub>
                  </m:sSub>
                  <m:sSub>
                    <m:sSubPr>
                      <m:ctrlPr>
                        <w:rPr>
                          <w:rFonts w:ascii="Cambria Math" w:hAnsi="Cambria Math" w:cs="Times New Roman"/>
                          <w:i/>
                          <w:sz w:val="21"/>
                          <w:szCs w:val="21"/>
                        </w:rPr>
                      </m:ctrlPr>
                    </m:sSubPr>
                    <m:e>
                      <m:r>
                        <m:rPr/>
                        <w:rPr>
                          <w:rFonts w:ascii="Cambria Math" w:hAnsi="Cambria Math" w:cs="Times New Roman"/>
                          <w:sz w:val="21"/>
                          <w:szCs w:val="21"/>
                        </w:rPr>
                        <m:t>λ</m:t>
                      </m:r>
                      <m:ctrlPr>
                        <w:rPr>
                          <w:rFonts w:ascii="Cambria Math" w:hAnsi="Cambria Math" w:cs="Times New Roman"/>
                          <w:i/>
                          <w:sz w:val="21"/>
                          <w:szCs w:val="21"/>
                        </w:rPr>
                      </m:ctrlPr>
                    </m:e>
                    <m:sub>
                      <m:r>
                        <m:rPr/>
                        <w:rPr>
                          <w:rFonts w:ascii="Cambria Math" w:hAnsi="Cambria Math" w:cs="Times New Roman"/>
                          <w:sz w:val="21"/>
                          <w:szCs w:val="21"/>
                        </w:rPr>
                        <m:t>j</m:t>
                      </m:r>
                      <m:ctrlPr>
                        <w:rPr>
                          <w:rFonts w:ascii="Cambria Math" w:hAnsi="Cambria Math" w:cs="Times New Roman"/>
                          <w:i/>
                          <w:sz w:val="21"/>
                          <w:szCs w:val="21"/>
                        </w:rPr>
                      </m:ctrlPr>
                    </m:sub>
                  </m:sSub>
                  <m:ctrlPr>
                    <w:rPr>
                      <w:rFonts w:ascii="Cambria Math" w:hAnsi="Cambria Math" w:cs="Times New Roman"/>
                      <w:sz w:val="21"/>
                      <w:szCs w:val="21"/>
                    </w:rPr>
                  </m:ctrlPr>
                </m:e>
              </m:nary>
              <m:ctrlPr>
                <w:rPr>
                  <w:rFonts w:ascii="Cambria Math" w:hAnsi="Cambria Math" w:cs="Times New Roman"/>
                  <w:sz w:val="21"/>
                  <w:szCs w:val="21"/>
                </w:rPr>
              </m:ctrlPr>
            </m:e>
          </m:d>
        </m:oMath>
      </m:oMathPara>
    </w:p>
    <w:p>
      <w:pPr>
        <w:spacing w:line="480" w:lineRule="auto"/>
        <w:ind w:firstLine="630" w:firstLineChars="300"/>
        <w:contextualSpacing/>
        <w:rPr>
          <w:rFonts w:cs="Times New Roman"/>
          <w:sz w:val="21"/>
          <w:szCs w:val="21"/>
        </w:rPr>
      </w:pPr>
      <w:r>
        <w:rPr>
          <w:rFonts w:eastAsia="DengXian" w:cs="Times New Roman"/>
          <w:sz w:val="21"/>
          <w:szCs w:val="21"/>
        </w:rPr>
        <w:t>where</w:t>
      </w:r>
      <w:r>
        <w:rPr>
          <w:rFonts w:cs="Times New Roman"/>
          <w:sz w:val="21"/>
          <w:szCs w:val="21"/>
        </w:rPr>
        <w:t xml:space="preserve"> </w:t>
      </w:r>
      <m:oMath>
        <m:sSub>
          <m:sSubPr>
            <m:ctrlPr>
              <w:rPr>
                <w:rFonts w:ascii="Cambria Math" w:hAnsi="Cambria Math" w:cs="Times New Roman"/>
                <w:i/>
                <w:sz w:val="21"/>
                <w:szCs w:val="21"/>
              </w:rPr>
            </m:ctrlPr>
          </m:sSubPr>
          <m:e>
            <m:r>
              <m:rPr/>
              <w:rPr>
                <w:rFonts w:ascii="Cambria Math" w:hAnsi="Cambria Math" w:cs="Times New Roman"/>
                <w:sz w:val="21"/>
                <w:szCs w:val="21"/>
              </w:rPr>
              <m:t>ρ</m:t>
            </m:r>
            <m:ctrlPr>
              <w:rPr>
                <w:rFonts w:ascii="Cambria Math" w:hAnsi="Cambria Math" w:cs="Times New Roman"/>
                <w:i/>
                <w:sz w:val="21"/>
                <w:szCs w:val="21"/>
              </w:rPr>
            </m:ctrlPr>
          </m:e>
          <m:sub>
            <m:r>
              <m:rPr/>
              <w:rPr>
                <w:rFonts w:ascii="Cambria Math" w:hAnsi="Cambria Math" w:cs="Times New Roman"/>
                <w:sz w:val="21"/>
                <w:szCs w:val="21"/>
              </w:rPr>
              <m:t>SE</m:t>
            </m:r>
            <m:ctrlPr>
              <w:rPr>
                <w:rFonts w:ascii="Cambria Math" w:hAnsi="Cambria Math" w:cs="Times New Roman"/>
                <w:i/>
                <w:sz w:val="21"/>
                <w:szCs w:val="21"/>
              </w:rPr>
            </m:ctrlPr>
          </m:sub>
        </m:sSub>
      </m:oMath>
      <w:r>
        <w:rPr>
          <w:rFonts w:cs="Times New Roman"/>
          <w:sz w:val="21"/>
          <w:szCs w:val="21"/>
        </w:rPr>
        <w:t xml:space="preserve"> represents the efficiency value of the evaluated DMU in Equation (3).</w:t>
      </w:r>
      <w:bookmarkEnd w:id="25"/>
      <w:r>
        <w:rPr>
          <w:rFonts w:eastAsia="宋体" w:cs="Times New Roman"/>
          <w:sz w:val="21"/>
          <w:szCs w:val="21"/>
        </w:rPr>
        <w:t xml:space="preserve"> At the same time, because</w:t>
      </w:r>
      <w:r>
        <w:rPr>
          <w:rFonts w:cs="Times New Roman"/>
          <w:sz w:val="21"/>
          <w:szCs w:val="21"/>
        </w:rPr>
        <w:t xml:space="preserve"> this model is also </w:t>
      </w:r>
      <w:r>
        <w:rPr>
          <w:rFonts w:eastAsia="DengXian" w:cs="Times New Roman"/>
          <w:sz w:val="21"/>
          <w:szCs w:val="21"/>
        </w:rPr>
        <w:t xml:space="preserve">nonoriented, </w:t>
      </w:r>
      <w:r>
        <w:rPr>
          <w:rFonts w:cs="Times New Roman"/>
          <w:sz w:val="21"/>
          <w:szCs w:val="21"/>
        </w:rPr>
        <w:t xml:space="preserve">the measurement of </w:t>
      </w:r>
      <m:oMath>
        <m:sSub>
          <m:sSubPr>
            <m:ctrlPr>
              <w:rPr>
                <w:rFonts w:ascii="Cambria Math" w:hAnsi="Cambria Math" w:cs="Times New Roman"/>
                <w:i/>
                <w:sz w:val="21"/>
                <w:szCs w:val="21"/>
              </w:rPr>
            </m:ctrlPr>
          </m:sSubPr>
          <m:e>
            <m:r>
              <m:rPr/>
              <w:rPr>
                <w:rFonts w:ascii="Cambria Math" w:hAnsi="Cambria Math" w:cs="Times New Roman"/>
                <w:sz w:val="21"/>
                <w:szCs w:val="21"/>
              </w:rPr>
              <m:t>ρ</m:t>
            </m:r>
            <m:ctrlPr>
              <w:rPr>
                <w:rFonts w:ascii="Cambria Math" w:hAnsi="Cambria Math" w:cs="Times New Roman"/>
                <w:i/>
                <w:sz w:val="21"/>
                <w:szCs w:val="21"/>
              </w:rPr>
            </m:ctrlPr>
          </m:e>
          <m:sub>
            <m:r>
              <m:rPr/>
              <w:rPr>
                <w:rFonts w:ascii="Cambria Math" w:hAnsi="Cambria Math" w:cs="Times New Roman"/>
                <w:sz w:val="21"/>
                <w:szCs w:val="21"/>
              </w:rPr>
              <m:t>SE</m:t>
            </m:r>
            <m:ctrlPr>
              <w:rPr>
                <w:rFonts w:ascii="Cambria Math" w:hAnsi="Cambria Math" w:cs="Times New Roman"/>
                <w:i/>
                <w:sz w:val="21"/>
                <w:szCs w:val="21"/>
              </w:rPr>
            </m:ctrlPr>
          </m:sub>
        </m:sSub>
      </m:oMath>
      <w:r>
        <w:rPr>
          <w:rFonts w:cs="Times New Roman"/>
          <w:sz w:val="21"/>
          <w:szCs w:val="21"/>
        </w:rPr>
        <w:t>is considered from both input and output.</w:t>
      </w:r>
    </w:p>
    <w:p>
      <w:pPr>
        <w:spacing w:line="480" w:lineRule="auto"/>
        <w:contextualSpacing/>
        <w:rPr>
          <w:rFonts w:cs="Times New Roman"/>
          <w:sz w:val="21"/>
          <w:szCs w:val="21"/>
        </w:rPr>
      </w:pPr>
    </w:p>
    <w:p>
      <w:pPr>
        <w:spacing w:line="480" w:lineRule="auto"/>
        <w:contextualSpacing/>
        <w:outlineLvl w:val="0"/>
        <w:rPr>
          <w:rFonts w:cs="Times New Roman"/>
          <w:i/>
          <w:sz w:val="21"/>
          <w:szCs w:val="21"/>
        </w:rPr>
      </w:pPr>
      <w:r>
        <w:rPr>
          <w:rFonts w:cs="Times New Roman"/>
          <w:i/>
          <w:sz w:val="21"/>
          <w:szCs w:val="21"/>
        </w:rPr>
        <w:t>2.1.3 DEA-Malmquist model</w:t>
      </w:r>
    </w:p>
    <w:p>
      <w:pPr>
        <w:spacing w:line="480" w:lineRule="auto"/>
        <w:ind w:firstLine="735" w:firstLineChars="350"/>
        <w:contextualSpacing/>
        <w:rPr>
          <w:rFonts w:cs="Times New Roman"/>
          <w:sz w:val="21"/>
          <w:szCs w:val="21"/>
        </w:rPr>
      </w:pPr>
      <w:r>
        <w:rPr>
          <w:rFonts w:cs="Times New Roman"/>
          <w:sz w:val="21"/>
          <w:szCs w:val="21"/>
        </w:rPr>
        <w:t xml:space="preserve">Because the TFP calculated by the Super-SBM model is static, in other words, the efficiency calculated by it is only the efficiency value of the year at that time. Therefore, the Super-SBM model cannot dynamically measure the changes </w:t>
      </w:r>
      <w:r>
        <w:rPr>
          <w:rFonts w:eastAsia="DengXian" w:cs="Times New Roman"/>
          <w:sz w:val="21"/>
          <w:szCs w:val="21"/>
        </w:rPr>
        <w:t>in</w:t>
      </w:r>
      <w:r>
        <w:rPr>
          <w:rFonts w:cs="Times New Roman"/>
          <w:sz w:val="21"/>
          <w:szCs w:val="21"/>
        </w:rPr>
        <w:t xml:space="preserve"> TFP from the time dimension. Therefore, we will use the DEA-Malmquist model to dynamically analyze forestry investment efficiency. The Malmquist index was originally proposed by Swedish economist </w:t>
      </w:r>
      <w:r>
        <w:rPr>
          <w:rFonts w:cs="Times New Roman"/>
          <w:color w:val="00B0F0"/>
          <w:sz w:val="21"/>
          <w:szCs w:val="21"/>
        </w:rPr>
        <w:t>Malmquist (1953)</w:t>
      </w:r>
      <w:r>
        <w:rPr>
          <w:rFonts w:cs="Times New Roman"/>
          <w:sz w:val="21"/>
          <w:szCs w:val="21"/>
        </w:rPr>
        <w:t xml:space="preserve"> and used for two sets of consumption indexes in different periods. </w:t>
      </w:r>
      <w:bookmarkStart w:id="26" w:name="_SAM_M_013"/>
      <w:r>
        <w:rPr>
          <w:rFonts w:cs="Times New Roman"/>
          <w:color w:val="00B0F0"/>
          <w:sz w:val="21"/>
          <w:szCs w:val="21"/>
        </w:rPr>
        <w:t>Caves et al. (1982)</w:t>
      </w:r>
      <w:r>
        <w:rPr>
          <w:rFonts w:cs="Times New Roman"/>
          <w:sz w:val="21"/>
          <w:szCs w:val="21"/>
        </w:rPr>
        <w:t xml:space="preserve"> improved it to a Malmquist index that can measure productivity.</w:t>
      </w:r>
      <w:bookmarkEnd w:id="26"/>
      <w:r>
        <w:rPr>
          <w:rFonts w:cs="Times New Roman"/>
          <w:sz w:val="21"/>
          <w:szCs w:val="21"/>
        </w:rPr>
        <w:t xml:space="preserve"> Based on the DEA method, </w:t>
      </w:r>
      <w:r>
        <w:rPr>
          <w:rFonts w:cs="Times New Roman"/>
          <w:color w:val="00B0F0"/>
          <w:sz w:val="21"/>
          <w:szCs w:val="21"/>
        </w:rPr>
        <w:t>Färe (1994)</w:t>
      </w:r>
      <w:r>
        <w:rPr>
          <w:rFonts w:cs="Times New Roman"/>
          <w:sz w:val="21"/>
          <w:szCs w:val="21"/>
        </w:rPr>
        <w:t xml:space="preserve"> changes the Malmquist index from a theoretical index to an empirical index and decomposes it into technical efficiency and technological progress rate. </w:t>
      </w:r>
      <w:r>
        <w:rPr>
          <w:rFonts w:cs="Times New Roman"/>
          <w:color w:val="00B0F0"/>
          <w:sz w:val="21"/>
          <w:szCs w:val="21"/>
        </w:rPr>
        <w:t>Ray and Desli (1997)</w:t>
      </w:r>
      <w:r>
        <w:rPr>
          <w:rFonts w:cs="Times New Roman"/>
          <w:sz w:val="21"/>
          <w:szCs w:val="21"/>
        </w:rPr>
        <w:t xml:space="preserve"> made further amendments to this so that the technical efficiency of the Malmquist index can be further decomposed into pure technical efficiency and scale efficiency under scale changes. The specific calculation formula is shown in Equation 4:</w:t>
      </w:r>
    </w:p>
    <w:p>
      <w:pPr>
        <w:spacing w:line="480" w:lineRule="auto"/>
        <w:ind w:firstLine="420" w:firstLineChars="200"/>
        <w:contextualSpacing/>
        <w:jc w:val="center"/>
        <w:rPr>
          <w:rFonts w:cs="Times New Roman"/>
          <w:sz w:val="21"/>
          <w:szCs w:val="21"/>
        </w:rPr>
      </w:pPr>
      <m:oMathPara>
        <m:oMath>
          <m:sSub>
            <m:sSubPr>
              <m:ctrlPr>
                <w:rPr>
                  <w:rFonts w:ascii="Cambria Math" w:hAnsi="Cambria Math" w:cs="Times New Roman"/>
                  <w:sz w:val="21"/>
                  <w:szCs w:val="21"/>
                </w:rPr>
              </m:ctrlPr>
            </m:sSubPr>
            <m:e>
              <m:r>
                <m:rPr/>
                <w:rPr>
                  <w:rFonts w:ascii="Cambria Math" w:hAnsi="Cambria Math" w:cs="Times New Roman"/>
                  <w:sz w:val="21"/>
                  <w:szCs w:val="21"/>
                </w:rPr>
                <m:t>M</m:t>
              </m:r>
              <m:ctrlPr>
                <w:rPr>
                  <w:rFonts w:ascii="Cambria Math" w:hAnsi="Cambria Math" w:cs="Times New Roman"/>
                  <w:sz w:val="21"/>
                  <w:szCs w:val="21"/>
                </w:rPr>
              </m:ctrlPr>
            </m:e>
            <m:sub>
              <m:r>
                <m:rPr/>
                <w:rPr>
                  <w:rFonts w:ascii="Cambria Math" w:hAnsi="Cambria Math" w:cs="Times New Roman"/>
                  <w:sz w:val="21"/>
                  <w:szCs w:val="21"/>
                </w:rPr>
                <m:t>i</m:t>
              </m:r>
              <m:ctrlPr>
                <w:rPr>
                  <w:rFonts w:ascii="Cambria Math" w:hAnsi="Cambria Math" w:cs="Times New Roman"/>
                  <w:sz w:val="21"/>
                  <w:szCs w:val="21"/>
                </w:rPr>
              </m:ctrlPr>
            </m:sub>
          </m:sSub>
          <m:r>
            <m:rPr/>
            <w:rPr>
              <w:rFonts w:ascii="Cambria Math" w:hAnsi="Cambria Math" w:cs="Times New Roman"/>
              <w:sz w:val="21"/>
              <w:szCs w:val="21"/>
            </w:rPr>
            <m:t>=</m:t>
          </m:r>
          <m:d>
            <m:dPr>
              <m:ctrlPr>
                <w:rPr>
                  <w:rFonts w:ascii="Cambria Math" w:hAnsi="Cambria Math" w:cs="Times New Roman"/>
                  <w:i/>
                  <w:sz w:val="21"/>
                  <w:szCs w:val="21"/>
                </w:rPr>
              </m:ctrlPr>
            </m:dPr>
            <m:e>
              <m:sSub>
                <m:sSubPr>
                  <m:ctrlPr>
                    <w:rPr>
                      <w:rFonts w:ascii="Cambria Math" w:hAnsi="Cambria Math" w:cs="Times New Roman"/>
                      <w:i/>
                      <w:sz w:val="21"/>
                      <w:szCs w:val="21"/>
                    </w:rPr>
                  </m:ctrlPr>
                </m:sSubPr>
                <m:e>
                  <m:r>
                    <m:rPr/>
                    <w:rPr>
                      <w:rFonts w:ascii="Cambria Math" w:hAnsi="Cambria Math" w:cs="Times New Roman"/>
                      <w:sz w:val="21"/>
                      <w:szCs w:val="21"/>
                    </w:rPr>
                    <m:t>X</m:t>
                  </m:r>
                  <m:ctrlPr>
                    <w:rPr>
                      <w:rFonts w:ascii="Cambria Math" w:hAnsi="Cambria Math" w:cs="Times New Roman"/>
                      <w:i/>
                      <w:sz w:val="21"/>
                      <w:szCs w:val="21"/>
                    </w:rPr>
                  </m:ctrlPr>
                </m:e>
                <m:sub>
                  <m:r>
                    <m:rPr/>
                    <w:rPr>
                      <w:rFonts w:ascii="Cambria Math" w:hAnsi="Cambria Math" w:cs="Times New Roman"/>
                      <w:sz w:val="21"/>
                      <w:szCs w:val="21"/>
                    </w:rPr>
                    <m:t>t</m:t>
                  </m:r>
                  <m:ctrlPr>
                    <w:rPr>
                      <w:rFonts w:ascii="Cambria Math" w:hAnsi="Cambria Math" w:cs="Times New Roman"/>
                      <w:i/>
                      <w:sz w:val="21"/>
                      <w:szCs w:val="21"/>
                    </w:rPr>
                  </m:ctrlPr>
                </m:sub>
              </m:sSub>
              <m:r>
                <m:rPr/>
                <w:rPr>
                  <w:rFonts w:ascii="Cambria Math" w:hAnsi="Cambria Math" w:cs="Times New Roman"/>
                  <w:sz w:val="21"/>
                  <w:szCs w:val="21"/>
                </w:rPr>
                <m:t>,</m:t>
              </m:r>
              <m:sSub>
                <m:sSubPr>
                  <m:ctrlPr>
                    <w:rPr>
                      <w:rFonts w:ascii="Cambria Math" w:hAnsi="Cambria Math" w:cs="Times New Roman"/>
                      <w:i/>
                      <w:sz w:val="21"/>
                      <w:szCs w:val="21"/>
                    </w:rPr>
                  </m:ctrlPr>
                </m:sSubPr>
                <m:e>
                  <m:r>
                    <m:rPr/>
                    <w:rPr>
                      <w:rFonts w:ascii="Cambria Math" w:hAnsi="Cambria Math" w:cs="Times New Roman"/>
                      <w:sz w:val="21"/>
                      <w:szCs w:val="21"/>
                    </w:rPr>
                    <m:t>Y</m:t>
                  </m:r>
                  <m:ctrlPr>
                    <w:rPr>
                      <w:rFonts w:ascii="Cambria Math" w:hAnsi="Cambria Math" w:cs="Times New Roman"/>
                      <w:i/>
                      <w:sz w:val="21"/>
                      <w:szCs w:val="21"/>
                    </w:rPr>
                  </m:ctrlPr>
                </m:e>
                <m:sub>
                  <m:r>
                    <m:rPr/>
                    <w:rPr>
                      <w:rFonts w:ascii="Cambria Math" w:hAnsi="Cambria Math" w:cs="Times New Roman"/>
                      <w:sz w:val="21"/>
                      <w:szCs w:val="21"/>
                    </w:rPr>
                    <m:t>t</m:t>
                  </m:r>
                  <m:ctrlPr>
                    <w:rPr>
                      <w:rFonts w:ascii="Cambria Math" w:hAnsi="Cambria Math" w:cs="Times New Roman"/>
                      <w:i/>
                      <w:sz w:val="21"/>
                      <w:szCs w:val="21"/>
                    </w:rPr>
                  </m:ctrlPr>
                </m:sub>
              </m:sSub>
              <m:r>
                <m:rPr/>
                <w:rPr>
                  <w:rFonts w:ascii="Cambria Math" w:hAnsi="Cambria Math" w:cs="Times New Roman"/>
                  <w:sz w:val="21"/>
                  <w:szCs w:val="21"/>
                </w:rPr>
                <m:t>,</m:t>
              </m:r>
              <m:sSub>
                <m:sSubPr>
                  <m:ctrlPr>
                    <w:rPr>
                      <w:rFonts w:ascii="Cambria Math" w:hAnsi="Cambria Math" w:cs="Times New Roman"/>
                      <w:i/>
                      <w:sz w:val="21"/>
                      <w:szCs w:val="21"/>
                    </w:rPr>
                  </m:ctrlPr>
                </m:sSubPr>
                <m:e>
                  <m:r>
                    <m:rPr/>
                    <w:rPr>
                      <w:rFonts w:ascii="Cambria Math" w:hAnsi="Cambria Math" w:cs="Times New Roman"/>
                      <w:sz w:val="21"/>
                      <w:szCs w:val="21"/>
                    </w:rPr>
                    <m:t>X</m:t>
                  </m:r>
                  <m:ctrlPr>
                    <w:rPr>
                      <w:rFonts w:ascii="Cambria Math" w:hAnsi="Cambria Math" w:cs="Times New Roman"/>
                      <w:i/>
                      <w:sz w:val="21"/>
                      <w:szCs w:val="21"/>
                    </w:rPr>
                  </m:ctrlPr>
                </m:e>
                <m:sub>
                  <m:r>
                    <m:rPr/>
                    <w:rPr>
                      <w:rFonts w:ascii="Cambria Math" w:hAnsi="Cambria Math" w:cs="Times New Roman"/>
                      <w:sz w:val="21"/>
                      <w:szCs w:val="21"/>
                    </w:rPr>
                    <m:t>t+1</m:t>
                  </m:r>
                  <m:ctrlPr>
                    <w:rPr>
                      <w:rFonts w:ascii="Cambria Math" w:hAnsi="Cambria Math" w:cs="Times New Roman"/>
                      <w:i/>
                      <w:sz w:val="21"/>
                      <w:szCs w:val="21"/>
                    </w:rPr>
                  </m:ctrlPr>
                </m:sub>
              </m:sSub>
              <m:r>
                <m:rPr/>
                <w:rPr>
                  <w:rFonts w:ascii="Cambria Math" w:hAnsi="Cambria Math" w:cs="Times New Roman"/>
                  <w:sz w:val="21"/>
                  <w:szCs w:val="21"/>
                </w:rPr>
                <m:t>,</m:t>
              </m:r>
              <m:sSub>
                <m:sSubPr>
                  <m:ctrlPr>
                    <w:rPr>
                      <w:rFonts w:ascii="Cambria Math" w:hAnsi="Cambria Math" w:cs="Times New Roman"/>
                      <w:i/>
                      <w:sz w:val="21"/>
                      <w:szCs w:val="21"/>
                    </w:rPr>
                  </m:ctrlPr>
                </m:sSubPr>
                <m:e>
                  <m:r>
                    <m:rPr/>
                    <w:rPr>
                      <w:rFonts w:ascii="Cambria Math" w:hAnsi="Cambria Math" w:cs="Times New Roman"/>
                      <w:sz w:val="21"/>
                      <w:szCs w:val="21"/>
                    </w:rPr>
                    <m:t>Y</m:t>
                  </m:r>
                  <m:ctrlPr>
                    <w:rPr>
                      <w:rFonts w:ascii="Cambria Math" w:hAnsi="Cambria Math" w:cs="Times New Roman"/>
                      <w:i/>
                      <w:sz w:val="21"/>
                      <w:szCs w:val="21"/>
                    </w:rPr>
                  </m:ctrlPr>
                </m:e>
                <m:sub>
                  <m:r>
                    <m:rPr/>
                    <w:rPr>
                      <w:rFonts w:ascii="Cambria Math" w:hAnsi="Cambria Math" w:cs="Times New Roman"/>
                      <w:sz w:val="21"/>
                      <w:szCs w:val="21"/>
                    </w:rPr>
                    <m:t>t+1</m:t>
                  </m:r>
                  <m:ctrlPr>
                    <w:rPr>
                      <w:rFonts w:ascii="Cambria Math" w:hAnsi="Cambria Math" w:cs="Times New Roman"/>
                      <w:i/>
                      <w:sz w:val="21"/>
                      <w:szCs w:val="21"/>
                    </w:rPr>
                  </m:ctrlPr>
                </m:sub>
              </m:sSub>
              <m:r>
                <m:rPr/>
                <w:rPr>
                  <w:rFonts w:ascii="Cambria Math" w:hAnsi="Cambria Math" w:cs="Times New Roman"/>
                  <w:sz w:val="21"/>
                  <w:szCs w:val="21"/>
                </w:rPr>
                <m:t xml:space="preserve"> </m:t>
              </m:r>
              <m:ctrlPr>
                <w:rPr>
                  <w:rFonts w:ascii="Cambria Math" w:hAnsi="Cambria Math" w:cs="Times New Roman"/>
                  <w:i/>
                  <w:sz w:val="21"/>
                  <w:szCs w:val="21"/>
                </w:rPr>
              </m:ctrlPr>
            </m:e>
          </m:d>
          <m:r>
            <m:rPr/>
            <w:rPr>
              <w:rFonts w:ascii="Cambria Math" w:hAnsi="Cambria Math" w:cs="Times New Roman"/>
              <w:sz w:val="21"/>
              <w:szCs w:val="21"/>
            </w:rPr>
            <m:t>=</m:t>
          </m:r>
          <m:sSup>
            <m:sSupPr>
              <m:ctrlPr>
                <w:rPr>
                  <w:rFonts w:ascii="Cambria Math" w:hAnsi="Cambria Math" w:cs="Times New Roman"/>
                  <w:i/>
                  <w:sz w:val="21"/>
                  <w:szCs w:val="21"/>
                </w:rPr>
              </m:ctrlPr>
            </m:sSupPr>
            <m:e>
              <m:d>
                <m:dPr>
                  <m:ctrlPr>
                    <w:rPr>
                      <w:rFonts w:ascii="Cambria Math" w:hAnsi="Cambria Math" w:cs="Times New Roman"/>
                      <w:i/>
                      <w:sz w:val="21"/>
                      <w:szCs w:val="21"/>
                    </w:rPr>
                  </m:ctrlPr>
                </m:dPr>
                <m:e>
                  <m:f>
                    <m:fPr>
                      <m:ctrlPr>
                        <w:rPr>
                          <w:rFonts w:ascii="Cambria Math" w:hAnsi="Cambria Math" w:cs="Times New Roman"/>
                          <w:i/>
                          <w:sz w:val="21"/>
                          <w:szCs w:val="21"/>
                        </w:rPr>
                      </m:ctrlPr>
                    </m:fPr>
                    <m:num>
                      <m:sSub>
                        <m:sSubPr>
                          <m:ctrlPr>
                            <w:rPr>
                              <w:rFonts w:ascii="Cambria Math" w:hAnsi="Cambria Math" w:cs="Times New Roman"/>
                              <w:i/>
                              <w:sz w:val="21"/>
                              <w:szCs w:val="21"/>
                            </w:rPr>
                          </m:ctrlPr>
                        </m:sSubPr>
                        <m:e>
                          <m:r>
                            <m:rPr/>
                            <w:rPr>
                              <w:rFonts w:ascii="Cambria Math" w:hAnsi="Cambria Math" w:cs="Times New Roman"/>
                              <w:sz w:val="21"/>
                              <w:szCs w:val="21"/>
                            </w:rPr>
                            <m:t>D</m:t>
                          </m:r>
                          <m:ctrlPr>
                            <w:rPr>
                              <w:rFonts w:ascii="Cambria Math" w:hAnsi="Cambria Math" w:cs="Times New Roman"/>
                              <w:i/>
                              <w:sz w:val="21"/>
                              <w:szCs w:val="21"/>
                            </w:rPr>
                          </m:ctrlPr>
                        </m:e>
                        <m:sub>
                          <m:r>
                            <m:rPr/>
                            <w:rPr>
                              <w:rFonts w:ascii="Cambria Math" w:hAnsi="Cambria Math" w:cs="Times New Roman"/>
                              <w:sz w:val="21"/>
                              <w:szCs w:val="21"/>
                            </w:rPr>
                            <m:t>t+1</m:t>
                          </m:r>
                          <m:ctrlPr>
                            <w:rPr>
                              <w:rFonts w:ascii="Cambria Math" w:hAnsi="Cambria Math" w:cs="Times New Roman"/>
                              <w:i/>
                              <w:sz w:val="21"/>
                              <w:szCs w:val="21"/>
                            </w:rPr>
                          </m:ctrlPr>
                        </m:sub>
                      </m:sSub>
                      <m:d>
                        <m:dPr>
                          <m:ctrlPr>
                            <w:rPr>
                              <w:rFonts w:ascii="Cambria Math" w:hAnsi="Cambria Math" w:cs="Times New Roman"/>
                              <w:i/>
                              <w:sz w:val="21"/>
                              <w:szCs w:val="21"/>
                            </w:rPr>
                          </m:ctrlPr>
                        </m:dPr>
                        <m:e>
                          <m:sSub>
                            <m:sSubPr>
                              <m:ctrlPr>
                                <w:rPr>
                                  <w:rFonts w:ascii="Cambria Math" w:hAnsi="Cambria Math" w:cs="Times New Roman"/>
                                  <w:i/>
                                  <w:sz w:val="21"/>
                                  <w:szCs w:val="21"/>
                                </w:rPr>
                              </m:ctrlPr>
                            </m:sSubPr>
                            <m:e>
                              <m:r>
                                <m:rPr/>
                                <w:rPr>
                                  <w:rFonts w:ascii="Cambria Math" w:hAnsi="Cambria Math" w:cs="Times New Roman"/>
                                  <w:sz w:val="21"/>
                                  <w:szCs w:val="21"/>
                                </w:rPr>
                                <m:t>X</m:t>
                              </m:r>
                              <m:ctrlPr>
                                <w:rPr>
                                  <w:rFonts w:ascii="Cambria Math" w:hAnsi="Cambria Math" w:cs="Times New Roman"/>
                                  <w:i/>
                                  <w:sz w:val="21"/>
                                  <w:szCs w:val="21"/>
                                </w:rPr>
                              </m:ctrlPr>
                            </m:e>
                            <m:sub>
                              <m:r>
                                <m:rPr/>
                                <w:rPr>
                                  <w:rFonts w:ascii="Cambria Math" w:hAnsi="Cambria Math" w:cs="Times New Roman"/>
                                  <w:sz w:val="21"/>
                                  <w:szCs w:val="21"/>
                                </w:rPr>
                                <m:t>t</m:t>
                              </m:r>
                              <m:ctrlPr>
                                <w:rPr>
                                  <w:rFonts w:ascii="Cambria Math" w:hAnsi="Cambria Math" w:cs="Times New Roman"/>
                                  <w:i/>
                                  <w:sz w:val="21"/>
                                  <w:szCs w:val="21"/>
                                </w:rPr>
                              </m:ctrlPr>
                            </m:sub>
                          </m:sSub>
                          <m:r>
                            <m:rPr/>
                            <w:rPr>
                              <w:rFonts w:ascii="Cambria Math" w:hAnsi="Cambria Math" w:cs="Times New Roman"/>
                              <w:sz w:val="21"/>
                              <w:szCs w:val="21"/>
                            </w:rPr>
                            <m:t>,</m:t>
                          </m:r>
                          <m:sSub>
                            <m:sSubPr>
                              <m:ctrlPr>
                                <w:rPr>
                                  <w:rFonts w:ascii="Cambria Math" w:hAnsi="Cambria Math" w:cs="Times New Roman"/>
                                  <w:i/>
                                  <w:sz w:val="21"/>
                                  <w:szCs w:val="21"/>
                                </w:rPr>
                              </m:ctrlPr>
                            </m:sSubPr>
                            <m:e>
                              <m:r>
                                <m:rPr/>
                                <w:rPr>
                                  <w:rFonts w:ascii="Cambria Math" w:hAnsi="Cambria Math" w:cs="Times New Roman"/>
                                  <w:sz w:val="21"/>
                                  <w:szCs w:val="21"/>
                                </w:rPr>
                                <m:t>Y</m:t>
                              </m:r>
                              <m:ctrlPr>
                                <w:rPr>
                                  <w:rFonts w:ascii="Cambria Math" w:hAnsi="Cambria Math" w:cs="Times New Roman"/>
                                  <w:i/>
                                  <w:sz w:val="21"/>
                                  <w:szCs w:val="21"/>
                                </w:rPr>
                              </m:ctrlPr>
                            </m:e>
                            <m:sub>
                              <m:r>
                                <m:rPr/>
                                <w:rPr>
                                  <w:rFonts w:ascii="Cambria Math" w:hAnsi="Cambria Math" w:cs="Times New Roman"/>
                                  <w:sz w:val="21"/>
                                  <w:szCs w:val="21"/>
                                </w:rPr>
                                <m:t>t</m:t>
                              </m:r>
                              <m:ctrlPr>
                                <w:rPr>
                                  <w:rFonts w:ascii="Cambria Math" w:hAnsi="Cambria Math" w:cs="Times New Roman"/>
                                  <w:i/>
                                  <w:sz w:val="21"/>
                                  <w:szCs w:val="21"/>
                                </w:rPr>
                              </m:ctrlPr>
                            </m:sub>
                          </m:sSub>
                          <m:ctrlPr>
                            <w:rPr>
                              <w:rFonts w:ascii="Cambria Math" w:hAnsi="Cambria Math" w:cs="Times New Roman"/>
                              <w:i/>
                              <w:sz w:val="21"/>
                              <w:szCs w:val="21"/>
                            </w:rPr>
                          </m:ctrlPr>
                        </m:e>
                      </m:d>
                      <m:ctrlPr>
                        <w:rPr>
                          <w:rFonts w:ascii="Cambria Math" w:hAnsi="Cambria Math" w:cs="Times New Roman"/>
                          <w:i/>
                          <w:sz w:val="21"/>
                          <w:szCs w:val="21"/>
                        </w:rPr>
                      </m:ctrlPr>
                    </m:num>
                    <m:den>
                      <m:sSub>
                        <m:sSubPr>
                          <m:ctrlPr>
                            <w:rPr>
                              <w:rFonts w:ascii="Cambria Math" w:hAnsi="Cambria Math" w:cs="Times New Roman"/>
                              <w:i/>
                              <w:sz w:val="21"/>
                              <w:szCs w:val="21"/>
                            </w:rPr>
                          </m:ctrlPr>
                        </m:sSubPr>
                        <m:e>
                          <m:r>
                            <m:rPr/>
                            <w:rPr>
                              <w:rFonts w:ascii="Cambria Math" w:hAnsi="Cambria Math" w:cs="Times New Roman"/>
                              <w:sz w:val="21"/>
                              <w:szCs w:val="21"/>
                            </w:rPr>
                            <m:t>D</m:t>
                          </m:r>
                          <m:ctrlPr>
                            <w:rPr>
                              <w:rFonts w:ascii="Cambria Math" w:hAnsi="Cambria Math" w:cs="Times New Roman"/>
                              <w:i/>
                              <w:sz w:val="21"/>
                              <w:szCs w:val="21"/>
                            </w:rPr>
                          </m:ctrlPr>
                        </m:e>
                        <m:sub>
                          <m:r>
                            <m:rPr/>
                            <w:rPr>
                              <w:rFonts w:ascii="Cambria Math" w:hAnsi="Cambria Math" w:cs="Times New Roman"/>
                              <w:sz w:val="21"/>
                              <w:szCs w:val="21"/>
                            </w:rPr>
                            <m:t>t+1</m:t>
                          </m:r>
                          <m:ctrlPr>
                            <w:rPr>
                              <w:rFonts w:ascii="Cambria Math" w:hAnsi="Cambria Math" w:cs="Times New Roman"/>
                              <w:i/>
                              <w:sz w:val="21"/>
                              <w:szCs w:val="21"/>
                            </w:rPr>
                          </m:ctrlPr>
                        </m:sub>
                      </m:sSub>
                      <m:d>
                        <m:dPr>
                          <m:ctrlPr>
                            <w:rPr>
                              <w:rFonts w:ascii="Cambria Math" w:hAnsi="Cambria Math" w:cs="Times New Roman"/>
                              <w:i/>
                              <w:sz w:val="21"/>
                              <w:szCs w:val="21"/>
                            </w:rPr>
                          </m:ctrlPr>
                        </m:dPr>
                        <m:e>
                          <m:sSub>
                            <m:sSubPr>
                              <m:ctrlPr>
                                <w:rPr>
                                  <w:rFonts w:ascii="Cambria Math" w:hAnsi="Cambria Math" w:cs="Times New Roman"/>
                                  <w:i/>
                                  <w:sz w:val="21"/>
                                  <w:szCs w:val="21"/>
                                </w:rPr>
                              </m:ctrlPr>
                            </m:sSubPr>
                            <m:e>
                              <m:r>
                                <m:rPr/>
                                <w:rPr>
                                  <w:rFonts w:ascii="Cambria Math" w:hAnsi="Cambria Math" w:cs="Times New Roman"/>
                                  <w:sz w:val="21"/>
                                  <w:szCs w:val="21"/>
                                </w:rPr>
                                <m:t>X</m:t>
                              </m:r>
                              <m:ctrlPr>
                                <w:rPr>
                                  <w:rFonts w:ascii="Cambria Math" w:hAnsi="Cambria Math" w:cs="Times New Roman"/>
                                  <w:i/>
                                  <w:sz w:val="21"/>
                                  <w:szCs w:val="21"/>
                                </w:rPr>
                              </m:ctrlPr>
                            </m:e>
                            <m:sub>
                              <m:r>
                                <m:rPr/>
                                <w:rPr>
                                  <w:rFonts w:ascii="Cambria Math" w:hAnsi="Cambria Math" w:cs="Times New Roman"/>
                                  <w:sz w:val="21"/>
                                  <w:szCs w:val="21"/>
                                </w:rPr>
                                <m:t>t+1</m:t>
                              </m:r>
                              <m:ctrlPr>
                                <w:rPr>
                                  <w:rFonts w:ascii="Cambria Math" w:hAnsi="Cambria Math" w:cs="Times New Roman"/>
                                  <w:i/>
                                  <w:sz w:val="21"/>
                                  <w:szCs w:val="21"/>
                                </w:rPr>
                              </m:ctrlPr>
                            </m:sub>
                          </m:sSub>
                          <m:r>
                            <m:rPr/>
                            <w:rPr>
                              <w:rFonts w:ascii="Cambria Math" w:hAnsi="Cambria Math" w:cs="Times New Roman"/>
                              <w:sz w:val="21"/>
                              <w:szCs w:val="21"/>
                            </w:rPr>
                            <m:t>,</m:t>
                          </m:r>
                          <m:sSub>
                            <m:sSubPr>
                              <m:ctrlPr>
                                <w:rPr>
                                  <w:rFonts w:ascii="Cambria Math" w:hAnsi="Cambria Math" w:cs="Times New Roman"/>
                                  <w:i/>
                                  <w:sz w:val="21"/>
                                  <w:szCs w:val="21"/>
                                </w:rPr>
                              </m:ctrlPr>
                            </m:sSubPr>
                            <m:e>
                              <m:r>
                                <m:rPr/>
                                <w:rPr>
                                  <w:rFonts w:ascii="Cambria Math" w:hAnsi="Cambria Math" w:cs="Times New Roman"/>
                                  <w:sz w:val="21"/>
                                  <w:szCs w:val="21"/>
                                </w:rPr>
                                <m:t>Y</m:t>
                              </m:r>
                              <m:ctrlPr>
                                <w:rPr>
                                  <w:rFonts w:ascii="Cambria Math" w:hAnsi="Cambria Math" w:cs="Times New Roman"/>
                                  <w:i/>
                                  <w:sz w:val="21"/>
                                  <w:szCs w:val="21"/>
                                </w:rPr>
                              </m:ctrlPr>
                            </m:e>
                            <m:sub>
                              <m:r>
                                <m:rPr/>
                                <w:rPr>
                                  <w:rFonts w:ascii="Cambria Math" w:hAnsi="Cambria Math" w:cs="Times New Roman"/>
                                  <w:sz w:val="21"/>
                                  <w:szCs w:val="21"/>
                                </w:rPr>
                                <m:t>t+1</m:t>
                              </m:r>
                              <m:ctrlPr>
                                <w:rPr>
                                  <w:rFonts w:ascii="Cambria Math" w:hAnsi="Cambria Math" w:cs="Times New Roman"/>
                                  <w:i/>
                                  <w:sz w:val="21"/>
                                  <w:szCs w:val="21"/>
                                </w:rPr>
                              </m:ctrlPr>
                            </m:sub>
                          </m:sSub>
                          <m:r>
                            <m:rPr/>
                            <w:rPr>
                              <w:rFonts w:ascii="Cambria Math" w:hAnsi="Cambria Math" w:cs="Times New Roman"/>
                              <w:sz w:val="21"/>
                              <w:szCs w:val="21"/>
                            </w:rPr>
                            <m:t xml:space="preserve"> </m:t>
                          </m:r>
                          <m:ctrlPr>
                            <w:rPr>
                              <w:rFonts w:ascii="Cambria Math" w:hAnsi="Cambria Math" w:cs="Times New Roman"/>
                              <w:i/>
                              <w:sz w:val="21"/>
                              <w:szCs w:val="21"/>
                            </w:rPr>
                          </m:ctrlPr>
                        </m:e>
                      </m:d>
                      <m:ctrlPr>
                        <w:rPr>
                          <w:rFonts w:ascii="Cambria Math" w:hAnsi="Cambria Math" w:cs="Times New Roman"/>
                          <w:i/>
                          <w:sz w:val="21"/>
                          <w:szCs w:val="21"/>
                        </w:rPr>
                      </m:ctrlPr>
                    </m:den>
                  </m:f>
                  <m:r>
                    <m:rPr/>
                    <w:rPr>
                      <w:rFonts w:ascii="Cambria Math" w:hAnsi="Cambria Math" w:cs="Times New Roman"/>
                      <w:sz w:val="21"/>
                      <w:szCs w:val="21"/>
                    </w:rPr>
                    <m:t>×</m:t>
                  </m:r>
                  <m:f>
                    <m:fPr>
                      <m:ctrlPr>
                        <w:rPr>
                          <w:rFonts w:ascii="Cambria Math" w:hAnsi="Cambria Math" w:cs="Times New Roman"/>
                          <w:i/>
                          <w:sz w:val="21"/>
                          <w:szCs w:val="21"/>
                        </w:rPr>
                      </m:ctrlPr>
                    </m:fPr>
                    <m:num>
                      <m:sSub>
                        <m:sSubPr>
                          <m:ctrlPr>
                            <w:rPr>
                              <w:rFonts w:ascii="Cambria Math" w:hAnsi="Cambria Math" w:cs="Times New Roman"/>
                              <w:i/>
                              <w:sz w:val="21"/>
                              <w:szCs w:val="21"/>
                            </w:rPr>
                          </m:ctrlPr>
                        </m:sSubPr>
                        <m:e>
                          <m:r>
                            <m:rPr/>
                            <w:rPr>
                              <w:rFonts w:ascii="Cambria Math" w:hAnsi="Cambria Math" w:cs="Times New Roman"/>
                              <w:sz w:val="21"/>
                              <w:szCs w:val="21"/>
                            </w:rPr>
                            <m:t>D</m:t>
                          </m:r>
                          <m:ctrlPr>
                            <w:rPr>
                              <w:rFonts w:ascii="Cambria Math" w:hAnsi="Cambria Math" w:cs="Times New Roman"/>
                              <w:i/>
                              <w:sz w:val="21"/>
                              <w:szCs w:val="21"/>
                            </w:rPr>
                          </m:ctrlPr>
                        </m:e>
                        <m:sub>
                          <m:r>
                            <m:rPr/>
                            <w:rPr>
                              <w:rFonts w:ascii="Cambria Math" w:hAnsi="Cambria Math" w:cs="Times New Roman"/>
                              <w:sz w:val="21"/>
                              <w:szCs w:val="21"/>
                            </w:rPr>
                            <m:t>t</m:t>
                          </m:r>
                          <m:ctrlPr>
                            <w:rPr>
                              <w:rFonts w:ascii="Cambria Math" w:hAnsi="Cambria Math" w:cs="Times New Roman"/>
                              <w:i/>
                              <w:sz w:val="21"/>
                              <w:szCs w:val="21"/>
                            </w:rPr>
                          </m:ctrlPr>
                        </m:sub>
                      </m:sSub>
                      <m:d>
                        <m:dPr>
                          <m:ctrlPr>
                            <w:rPr>
                              <w:rFonts w:ascii="Cambria Math" w:hAnsi="Cambria Math" w:cs="Times New Roman"/>
                              <w:i/>
                              <w:sz w:val="21"/>
                              <w:szCs w:val="21"/>
                            </w:rPr>
                          </m:ctrlPr>
                        </m:dPr>
                        <m:e>
                          <m:sSub>
                            <m:sSubPr>
                              <m:ctrlPr>
                                <w:rPr>
                                  <w:rFonts w:ascii="Cambria Math" w:hAnsi="Cambria Math" w:cs="Times New Roman"/>
                                  <w:i/>
                                  <w:sz w:val="21"/>
                                  <w:szCs w:val="21"/>
                                </w:rPr>
                              </m:ctrlPr>
                            </m:sSubPr>
                            <m:e>
                              <m:r>
                                <m:rPr/>
                                <w:rPr>
                                  <w:rFonts w:ascii="Cambria Math" w:hAnsi="Cambria Math" w:cs="Times New Roman"/>
                                  <w:sz w:val="21"/>
                                  <w:szCs w:val="21"/>
                                </w:rPr>
                                <m:t>X</m:t>
                              </m:r>
                              <m:ctrlPr>
                                <w:rPr>
                                  <w:rFonts w:ascii="Cambria Math" w:hAnsi="Cambria Math" w:cs="Times New Roman"/>
                                  <w:i/>
                                  <w:sz w:val="21"/>
                                  <w:szCs w:val="21"/>
                                </w:rPr>
                              </m:ctrlPr>
                            </m:e>
                            <m:sub>
                              <m:r>
                                <m:rPr/>
                                <w:rPr>
                                  <w:rFonts w:ascii="Cambria Math" w:hAnsi="Cambria Math" w:cs="Times New Roman"/>
                                  <w:sz w:val="21"/>
                                  <w:szCs w:val="21"/>
                                </w:rPr>
                                <m:t>t</m:t>
                              </m:r>
                              <m:ctrlPr>
                                <w:rPr>
                                  <w:rFonts w:ascii="Cambria Math" w:hAnsi="Cambria Math" w:cs="Times New Roman"/>
                                  <w:i/>
                                  <w:sz w:val="21"/>
                                  <w:szCs w:val="21"/>
                                </w:rPr>
                              </m:ctrlPr>
                            </m:sub>
                          </m:sSub>
                          <m:r>
                            <m:rPr/>
                            <w:rPr>
                              <w:rFonts w:ascii="Cambria Math" w:hAnsi="Cambria Math" w:cs="Times New Roman"/>
                              <w:sz w:val="21"/>
                              <w:szCs w:val="21"/>
                            </w:rPr>
                            <m:t>,</m:t>
                          </m:r>
                          <m:sSub>
                            <m:sSubPr>
                              <m:ctrlPr>
                                <w:rPr>
                                  <w:rFonts w:ascii="Cambria Math" w:hAnsi="Cambria Math" w:cs="Times New Roman"/>
                                  <w:i/>
                                  <w:sz w:val="21"/>
                                  <w:szCs w:val="21"/>
                                </w:rPr>
                              </m:ctrlPr>
                            </m:sSubPr>
                            <m:e>
                              <m:r>
                                <m:rPr/>
                                <w:rPr>
                                  <w:rFonts w:ascii="Cambria Math" w:hAnsi="Cambria Math" w:cs="Times New Roman"/>
                                  <w:sz w:val="21"/>
                                  <w:szCs w:val="21"/>
                                </w:rPr>
                                <m:t>Y</m:t>
                              </m:r>
                              <m:ctrlPr>
                                <w:rPr>
                                  <w:rFonts w:ascii="Cambria Math" w:hAnsi="Cambria Math" w:cs="Times New Roman"/>
                                  <w:i/>
                                  <w:sz w:val="21"/>
                                  <w:szCs w:val="21"/>
                                </w:rPr>
                              </m:ctrlPr>
                            </m:e>
                            <m:sub>
                              <m:r>
                                <m:rPr/>
                                <w:rPr>
                                  <w:rFonts w:ascii="Cambria Math" w:hAnsi="Cambria Math" w:cs="Times New Roman"/>
                                  <w:sz w:val="21"/>
                                  <w:szCs w:val="21"/>
                                </w:rPr>
                                <m:t>t</m:t>
                              </m:r>
                              <m:ctrlPr>
                                <w:rPr>
                                  <w:rFonts w:ascii="Cambria Math" w:hAnsi="Cambria Math" w:cs="Times New Roman"/>
                                  <w:i/>
                                  <w:sz w:val="21"/>
                                  <w:szCs w:val="21"/>
                                </w:rPr>
                              </m:ctrlPr>
                            </m:sub>
                          </m:sSub>
                          <m:ctrlPr>
                            <w:rPr>
                              <w:rFonts w:ascii="Cambria Math" w:hAnsi="Cambria Math" w:cs="Times New Roman"/>
                              <w:i/>
                              <w:sz w:val="21"/>
                              <w:szCs w:val="21"/>
                            </w:rPr>
                          </m:ctrlPr>
                        </m:e>
                      </m:d>
                      <m:ctrlPr>
                        <w:rPr>
                          <w:rFonts w:ascii="Cambria Math" w:hAnsi="Cambria Math" w:cs="Times New Roman"/>
                          <w:i/>
                          <w:sz w:val="21"/>
                          <w:szCs w:val="21"/>
                        </w:rPr>
                      </m:ctrlPr>
                    </m:num>
                    <m:den>
                      <m:sSub>
                        <m:sSubPr>
                          <m:ctrlPr>
                            <w:rPr>
                              <w:rFonts w:ascii="Cambria Math" w:hAnsi="Cambria Math" w:cs="Times New Roman"/>
                              <w:i/>
                              <w:sz w:val="21"/>
                              <w:szCs w:val="21"/>
                            </w:rPr>
                          </m:ctrlPr>
                        </m:sSubPr>
                        <m:e>
                          <m:r>
                            <m:rPr/>
                            <w:rPr>
                              <w:rFonts w:ascii="Cambria Math" w:hAnsi="Cambria Math" w:cs="Times New Roman"/>
                              <w:sz w:val="21"/>
                              <w:szCs w:val="21"/>
                            </w:rPr>
                            <m:t>D</m:t>
                          </m:r>
                          <m:ctrlPr>
                            <w:rPr>
                              <w:rFonts w:ascii="Cambria Math" w:hAnsi="Cambria Math" w:cs="Times New Roman"/>
                              <w:i/>
                              <w:sz w:val="21"/>
                              <w:szCs w:val="21"/>
                            </w:rPr>
                          </m:ctrlPr>
                        </m:e>
                        <m:sub>
                          <m:r>
                            <m:rPr/>
                            <w:rPr>
                              <w:rFonts w:ascii="Cambria Math" w:hAnsi="Cambria Math" w:cs="Times New Roman"/>
                              <w:sz w:val="21"/>
                              <w:szCs w:val="21"/>
                            </w:rPr>
                            <m:t>t</m:t>
                          </m:r>
                          <m:ctrlPr>
                            <w:rPr>
                              <w:rFonts w:ascii="Cambria Math" w:hAnsi="Cambria Math" w:cs="Times New Roman"/>
                              <w:i/>
                              <w:sz w:val="21"/>
                              <w:szCs w:val="21"/>
                            </w:rPr>
                          </m:ctrlPr>
                        </m:sub>
                      </m:sSub>
                      <m:d>
                        <m:dPr>
                          <m:ctrlPr>
                            <w:rPr>
                              <w:rFonts w:ascii="Cambria Math" w:hAnsi="Cambria Math" w:cs="Times New Roman"/>
                              <w:i/>
                              <w:sz w:val="21"/>
                              <w:szCs w:val="21"/>
                            </w:rPr>
                          </m:ctrlPr>
                        </m:dPr>
                        <m:e>
                          <m:sSub>
                            <m:sSubPr>
                              <m:ctrlPr>
                                <w:rPr>
                                  <w:rFonts w:ascii="Cambria Math" w:hAnsi="Cambria Math" w:cs="Times New Roman"/>
                                  <w:i/>
                                  <w:sz w:val="21"/>
                                  <w:szCs w:val="21"/>
                                </w:rPr>
                              </m:ctrlPr>
                            </m:sSubPr>
                            <m:e>
                              <m:r>
                                <m:rPr/>
                                <w:rPr>
                                  <w:rFonts w:ascii="Cambria Math" w:hAnsi="Cambria Math" w:cs="Times New Roman"/>
                                  <w:sz w:val="21"/>
                                  <w:szCs w:val="21"/>
                                </w:rPr>
                                <m:t>X</m:t>
                              </m:r>
                              <m:ctrlPr>
                                <w:rPr>
                                  <w:rFonts w:ascii="Cambria Math" w:hAnsi="Cambria Math" w:cs="Times New Roman"/>
                                  <w:i/>
                                  <w:sz w:val="21"/>
                                  <w:szCs w:val="21"/>
                                </w:rPr>
                              </m:ctrlPr>
                            </m:e>
                            <m:sub>
                              <m:r>
                                <m:rPr/>
                                <w:rPr>
                                  <w:rFonts w:ascii="Cambria Math" w:hAnsi="Cambria Math" w:cs="Times New Roman"/>
                                  <w:sz w:val="21"/>
                                  <w:szCs w:val="21"/>
                                </w:rPr>
                                <m:t>t+1</m:t>
                              </m:r>
                              <m:ctrlPr>
                                <w:rPr>
                                  <w:rFonts w:ascii="Cambria Math" w:hAnsi="Cambria Math" w:cs="Times New Roman"/>
                                  <w:i/>
                                  <w:sz w:val="21"/>
                                  <w:szCs w:val="21"/>
                                </w:rPr>
                              </m:ctrlPr>
                            </m:sub>
                          </m:sSub>
                          <m:r>
                            <m:rPr/>
                            <w:rPr>
                              <w:rFonts w:ascii="Cambria Math" w:hAnsi="Cambria Math" w:cs="Times New Roman"/>
                              <w:sz w:val="21"/>
                              <w:szCs w:val="21"/>
                            </w:rPr>
                            <m:t>,</m:t>
                          </m:r>
                          <m:sSub>
                            <m:sSubPr>
                              <m:ctrlPr>
                                <w:rPr>
                                  <w:rFonts w:ascii="Cambria Math" w:hAnsi="Cambria Math" w:cs="Times New Roman"/>
                                  <w:i/>
                                  <w:sz w:val="21"/>
                                  <w:szCs w:val="21"/>
                                </w:rPr>
                              </m:ctrlPr>
                            </m:sSubPr>
                            <m:e>
                              <m:r>
                                <m:rPr/>
                                <w:rPr>
                                  <w:rFonts w:ascii="Cambria Math" w:hAnsi="Cambria Math" w:cs="Times New Roman"/>
                                  <w:sz w:val="21"/>
                                  <w:szCs w:val="21"/>
                                </w:rPr>
                                <m:t>Y</m:t>
                              </m:r>
                              <m:ctrlPr>
                                <w:rPr>
                                  <w:rFonts w:ascii="Cambria Math" w:hAnsi="Cambria Math" w:cs="Times New Roman"/>
                                  <w:i/>
                                  <w:sz w:val="21"/>
                                  <w:szCs w:val="21"/>
                                </w:rPr>
                              </m:ctrlPr>
                            </m:e>
                            <m:sub>
                              <m:r>
                                <m:rPr/>
                                <w:rPr>
                                  <w:rFonts w:ascii="Cambria Math" w:hAnsi="Cambria Math" w:cs="Times New Roman"/>
                                  <w:sz w:val="21"/>
                                  <w:szCs w:val="21"/>
                                </w:rPr>
                                <m:t>t+1</m:t>
                              </m:r>
                              <m:ctrlPr>
                                <w:rPr>
                                  <w:rFonts w:ascii="Cambria Math" w:hAnsi="Cambria Math" w:cs="Times New Roman"/>
                                  <w:i/>
                                  <w:sz w:val="21"/>
                                  <w:szCs w:val="21"/>
                                </w:rPr>
                              </m:ctrlPr>
                            </m:sub>
                          </m:sSub>
                          <m:r>
                            <m:rPr/>
                            <w:rPr>
                              <w:rFonts w:ascii="Cambria Math" w:hAnsi="Cambria Math" w:cs="Times New Roman"/>
                              <w:sz w:val="21"/>
                              <w:szCs w:val="21"/>
                            </w:rPr>
                            <m:t xml:space="preserve"> </m:t>
                          </m:r>
                          <m:ctrlPr>
                            <w:rPr>
                              <w:rFonts w:ascii="Cambria Math" w:hAnsi="Cambria Math" w:cs="Times New Roman"/>
                              <w:i/>
                              <w:sz w:val="21"/>
                              <w:szCs w:val="21"/>
                            </w:rPr>
                          </m:ctrlPr>
                        </m:e>
                      </m:d>
                      <m:ctrlPr>
                        <w:rPr>
                          <w:rFonts w:ascii="Cambria Math" w:hAnsi="Cambria Math" w:cs="Times New Roman"/>
                          <w:i/>
                          <w:sz w:val="21"/>
                          <w:szCs w:val="21"/>
                        </w:rPr>
                      </m:ctrlPr>
                    </m:den>
                  </m:f>
                  <m:ctrlPr>
                    <w:rPr>
                      <w:rFonts w:ascii="Cambria Math" w:hAnsi="Cambria Math" w:cs="Times New Roman"/>
                      <w:i/>
                      <w:sz w:val="21"/>
                      <w:szCs w:val="21"/>
                    </w:rPr>
                  </m:ctrlPr>
                </m:e>
              </m:d>
              <m:ctrlPr>
                <w:rPr>
                  <w:rFonts w:ascii="Cambria Math" w:hAnsi="Cambria Math" w:cs="Times New Roman"/>
                  <w:i/>
                  <w:sz w:val="21"/>
                  <w:szCs w:val="21"/>
                </w:rPr>
              </m:ctrlPr>
            </m:e>
            <m:sup>
              <m:f>
                <m:fPr>
                  <m:ctrlPr>
                    <w:rPr>
                      <w:rFonts w:ascii="Cambria Math" w:hAnsi="Cambria Math" w:cs="Times New Roman"/>
                      <w:i/>
                      <w:sz w:val="21"/>
                      <w:szCs w:val="21"/>
                    </w:rPr>
                  </m:ctrlPr>
                </m:fPr>
                <m:num>
                  <m:r>
                    <m:rPr/>
                    <w:rPr>
                      <w:rFonts w:ascii="Cambria Math" w:hAnsi="Cambria Math" w:cs="Times New Roman"/>
                      <w:sz w:val="21"/>
                      <w:szCs w:val="21"/>
                    </w:rPr>
                    <m:t>1</m:t>
                  </m:r>
                  <m:ctrlPr>
                    <w:rPr>
                      <w:rFonts w:ascii="Cambria Math" w:hAnsi="Cambria Math" w:cs="Times New Roman"/>
                      <w:i/>
                      <w:sz w:val="21"/>
                      <w:szCs w:val="21"/>
                    </w:rPr>
                  </m:ctrlPr>
                </m:num>
                <m:den>
                  <m:r>
                    <m:rPr/>
                    <w:rPr>
                      <w:rFonts w:ascii="Cambria Math" w:hAnsi="Cambria Math" w:cs="Times New Roman"/>
                      <w:sz w:val="21"/>
                      <w:szCs w:val="21"/>
                    </w:rPr>
                    <m:t>2</m:t>
                  </m:r>
                  <m:ctrlPr>
                    <w:rPr>
                      <w:rFonts w:ascii="Cambria Math" w:hAnsi="Cambria Math" w:cs="Times New Roman"/>
                      <w:i/>
                      <w:sz w:val="21"/>
                      <w:szCs w:val="21"/>
                    </w:rPr>
                  </m:ctrlPr>
                </m:den>
              </m:f>
              <m:ctrlPr>
                <w:rPr>
                  <w:rFonts w:ascii="Cambria Math" w:hAnsi="Cambria Math" w:cs="Times New Roman"/>
                  <w:i/>
                  <w:sz w:val="21"/>
                  <w:szCs w:val="21"/>
                </w:rPr>
              </m:ctrlPr>
            </m:sup>
          </m:sSup>
          <m:r>
            <m:rPr/>
            <w:rPr>
              <w:rFonts w:ascii="Cambria Math" w:hAnsi="Cambria Math" w:cs="Times New Roman"/>
              <w:sz w:val="21"/>
              <w:szCs w:val="21"/>
            </w:rPr>
            <m:t xml:space="preserve">         (4)</m:t>
          </m:r>
        </m:oMath>
      </m:oMathPara>
    </w:p>
    <w:p>
      <w:pPr>
        <w:spacing w:line="480" w:lineRule="auto"/>
        <w:ind w:firstLine="420" w:firstLineChars="200"/>
        <w:contextualSpacing/>
        <w:rPr>
          <w:rFonts w:cs="Times New Roman"/>
          <w:sz w:val="21"/>
          <w:szCs w:val="21"/>
        </w:rPr>
      </w:pPr>
      <m:oMathPara>
        <m:oMath>
          <m:r>
            <m:rPr/>
            <w:rPr>
              <w:rFonts w:ascii="Cambria Math" w:hAnsi="Cambria Math" w:cs="Times New Roman"/>
              <w:sz w:val="21"/>
              <w:szCs w:val="21"/>
            </w:rPr>
            <m:t>=</m:t>
          </m:r>
          <m:f>
            <m:fPr>
              <m:ctrlPr>
                <w:rPr>
                  <w:rFonts w:ascii="Cambria Math" w:hAnsi="Cambria Math" w:cs="Times New Roman"/>
                  <w:i/>
                  <w:sz w:val="21"/>
                  <w:szCs w:val="21"/>
                </w:rPr>
              </m:ctrlPr>
            </m:fPr>
            <m:num>
              <m:sSub>
                <m:sSubPr>
                  <m:ctrlPr>
                    <w:rPr>
                      <w:rFonts w:ascii="Cambria Math" w:hAnsi="Cambria Math" w:cs="Times New Roman"/>
                      <w:i/>
                      <w:sz w:val="21"/>
                      <w:szCs w:val="21"/>
                    </w:rPr>
                  </m:ctrlPr>
                </m:sSubPr>
                <m:e>
                  <m:r>
                    <m:rPr/>
                    <w:rPr>
                      <w:rFonts w:ascii="Cambria Math" w:hAnsi="Cambria Math" w:cs="Times New Roman"/>
                      <w:sz w:val="21"/>
                      <w:szCs w:val="21"/>
                    </w:rPr>
                    <m:t>D</m:t>
                  </m:r>
                  <m:ctrlPr>
                    <w:rPr>
                      <w:rFonts w:ascii="Cambria Math" w:hAnsi="Cambria Math" w:cs="Times New Roman"/>
                      <w:i/>
                      <w:sz w:val="21"/>
                      <w:szCs w:val="21"/>
                    </w:rPr>
                  </m:ctrlPr>
                </m:e>
                <m:sub>
                  <m:r>
                    <m:rPr/>
                    <w:rPr>
                      <w:rFonts w:ascii="Cambria Math" w:hAnsi="Cambria Math" w:cs="Times New Roman"/>
                      <w:sz w:val="21"/>
                      <w:szCs w:val="21"/>
                    </w:rPr>
                    <m:t>t</m:t>
                  </m:r>
                  <m:ctrlPr>
                    <w:rPr>
                      <w:rFonts w:ascii="Cambria Math" w:hAnsi="Cambria Math" w:cs="Times New Roman"/>
                      <w:i/>
                      <w:sz w:val="21"/>
                      <w:szCs w:val="21"/>
                    </w:rPr>
                  </m:ctrlPr>
                </m:sub>
              </m:sSub>
              <m:d>
                <m:dPr>
                  <m:ctrlPr>
                    <w:rPr>
                      <w:rFonts w:ascii="Cambria Math" w:hAnsi="Cambria Math" w:cs="Times New Roman"/>
                      <w:i/>
                      <w:sz w:val="21"/>
                      <w:szCs w:val="21"/>
                    </w:rPr>
                  </m:ctrlPr>
                </m:dPr>
                <m:e>
                  <m:sSub>
                    <m:sSubPr>
                      <m:ctrlPr>
                        <w:rPr>
                          <w:rFonts w:ascii="Cambria Math" w:hAnsi="Cambria Math" w:cs="Times New Roman"/>
                          <w:i/>
                          <w:sz w:val="21"/>
                          <w:szCs w:val="21"/>
                        </w:rPr>
                      </m:ctrlPr>
                    </m:sSubPr>
                    <m:e>
                      <m:r>
                        <m:rPr/>
                        <w:rPr>
                          <w:rFonts w:ascii="Cambria Math" w:hAnsi="Cambria Math" w:cs="Times New Roman"/>
                          <w:sz w:val="21"/>
                          <w:szCs w:val="21"/>
                        </w:rPr>
                        <m:t>X</m:t>
                      </m:r>
                      <m:ctrlPr>
                        <w:rPr>
                          <w:rFonts w:ascii="Cambria Math" w:hAnsi="Cambria Math" w:cs="Times New Roman"/>
                          <w:i/>
                          <w:sz w:val="21"/>
                          <w:szCs w:val="21"/>
                        </w:rPr>
                      </m:ctrlPr>
                    </m:e>
                    <m:sub>
                      <m:r>
                        <m:rPr/>
                        <w:rPr>
                          <w:rFonts w:ascii="Cambria Math" w:hAnsi="Cambria Math" w:cs="Times New Roman"/>
                          <w:sz w:val="21"/>
                          <w:szCs w:val="21"/>
                        </w:rPr>
                        <m:t>t</m:t>
                      </m:r>
                      <m:ctrlPr>
                        <w:rPr>
                          <w:rFonts w:ascii="Cambria Math" w:hAnsi="Cambria Math" w:cs="Times New Roman"/>
                          <w:i/>
                          <w:sz w:val="21"/>
                          <w:szCs w:val="21"/>
                        </w:rPr>
                      </m:ctrlPr>
                    </m:sub>
                  </m:sSub>
                  <m:r>
                    <m:rPr/>
                    <w:rPr>
                      <w:rFonts w:ascii="Cambria Math" w:hAnsi="Cambria Math" w:cs="Times New Roman"/>
                      <w:sz w:val="21"/>
                      <w:szCs w:val="21"/>
                    </w:rPr>
                    <m:t>,</m:t>
                  </m:r>
                  <m:sSub>
                    <m:sSubPr>
                      <m:ctrlPr>
                        <w:rPr>
                          <w:rFonts w:ascii="Cambria Math" w:hAnsi="Cambria Math" w:cs="Times New Roman"/>
                          <w:i/>
                          <w:sz w:val="21"/>
                          <w:szCs w:val="21"/>
                        </w:rPr>
                      </m:ctrlPr>
                    </m:sSubPr>
                    <m:e>
                      <m:r>
                        <m:rPr/>
                        <w:rPr>
                          <w:rFonts w:ascii="Cambria Math" w:hAnsi="Cambria Math" w:cs="Times New Roman"/>
                          <w:sz w:val="21"/>
                          <w:szCs w:val="21"/>
                        </w:rPr>
                        <m:t>Y</m:t>
                      </m:r>
                      <m:ctrlPr>
                        <w:rPr>
                          <w:rFonts w:ascii="Cambria Math" w:hAnsi="Cambria Math" w:cs="Times New Roman"/>
                          <w:i/>
                          <w:sz w:val="21"/>
                          <w:szCs w:val="21"/>
                        </w:rPr>
                      </m:ctrlPr>
                    </m:e>
                    <m:sub>
                      <m:r>
                        <m:rPr/>
                        <w:rPr>
                          <w:rFonts w:ascii="Cambria Math" w:hAnsi="Cambria Math" w:cs="Times New Roman"/>
                          <w:sz w:val="21"/>
                          <w:szCs w:val="21"/>
                        </w:rPr>
                        <m:t>t</m:t>
                      </m:r>
                      <m:ctrlPr>
                        <w:rPr>
                          <w:rFonts w:ascii="Cambria Math" w:hAnsi="Cambria Math" w:cs="Times New Roman"/>
                          <w:i/>
                          <w:sz w:val="21"/>
                          <w:szCs w:val="21"/>
                        </w:rPr>
                      </m:ctrlPr>
                    </m:sub>
                  </m:sSub>
                  <m:ctrlPr>
                    <w:rPr>
                      <w:rFonts w:ascii="Cambria Math" w:hAnsi="Cambria Math" w:cs="Times New Roman"/>
                      <w:i/>
                      <w:sz w:val="21"/>
                      <w:szCs w:val="21"/>
                    </w:rPr>
                  </m:ctrlPr>
                </m:e>
              </m:d>
              <m:ctrlPr>
                <w:rPr>
                  <w:rFonts w:ascii="Cambria Math" w:hAnsi="Cambria Math" w:cs="Times New Roman"/>
                  <w:i/>
                  <w:sz w:val="21"/>
                  <w:szCs w:val="21"/>
                </w:rPr>
              </m:ctrlPr>
            </m:num>
            <m:den>
              <m:sSub>
                <m:sSubPr>
                  <m:ctrlPr>
                    <w:rPr>
                      <w:rFonts w:ascii="Cambria Math" w:hAnsi="Cambria Math" w:cs="Times New Roman"/>
                      <w:i/>
                      <w:sz w:val="21"/>
                      <w:szCs w:val="21"/>
                    </w:rPr>
                  </m:ctrlPr>
                </m:sSubPr>
                <m:e>
                  <m:r>
                    <m:rPr/>
                    <w:rPr>
                      <w:rFonts w:ascii="Cambria Math" w:hAnsi="Cambria Math" w:cs="Times New Roman"/>
                      <w:sz w:val="21"/>
                      <w:szCs w:val="21"/>
                    </w:rPr>
                    <m:t>D</m:t>
                  </m:r>
                  <m:ctrlPr>
                    <w:rPr>
                      <w:rFonts w:ascii="Cambria Math" w:hAnsi="Cambria Math" w:cs="Times New Roman"/>
                      <w:i/>
                      <w:sz w:val="21"/>
                      <w:szCs w:val="21"/>
                    </w:rPr>
                  </m:ctrlPr>
                </m:e>
                <m:sub>
                  <m:r>
                    <m:rPr/>
                    <w:rPr>
                      <w:rFonts w:ascii="Cambria Math" w:hAnsi="Cambria Math" w:cs="Times New Roman"/>
                      <w:sz w:val="21"/>
                      <w:szCs w:val="21"/>
                    </w:rPr>
                    <m:t>t+1</m:t>
                  </m:r>
                  <m:ctrlPr>
                    <w:rPr>
                      <w:rFonts w:ascii="Cambria Math" w:hAnsi="Cambria Math" w:cs="Times New Roman"/>
                      <w:i/>
                      <w:sz w:val="21"/>
                      <w:szCs w:val="21"/>
                    </w:rPr>
                  </m:ctrlPr>
                </m:sub>
              </m:sSub>
              <m:d>
                <m:dPr>
                  <m:ctrlPr>
                    <w:rPr>
                      <w:rFonts w:ascii="Cambria Math" w:hAnsi="Cambria Math" w:cs="Times New Roman"/>
                      <w:i/>
                      <w:sz w:val="21"/>
                      <w:szCs w:val="21"/>
                    </w:rPr>
                  </m:ctrlPr>
                </m:dPr>
                <m:e>
                  <m:sSub>
                    <m:sSubPr>
                      <m:ctrlPr>
                        <w:rPr>
                          <w:rFonts w:ascii="Cambria Math" w:hAnsi="Cambria Math" w:cs="Times New Roman"/>
                          <w:i/>
                          <w:sz w:val="21"/>
                          <w:szCs w:val="21"/>
                        </w:rPr>
                      </m:ctrlPr>
                    </m:sSubPr>
                    <m:e>
                      <m:r>
                        <m:rPr/>
                        <w:rPr>
                          <w:rFonts w:ascii="Cambria Math" w:hAnsi="Cambria Math" w:cs="Times New Roman"/>
                          <w:sz w:val="21"/>
                          <w:szCs w:val="21"/>
                        </w:rPr>
                        <m:t>X</m:t>
                      </m:r>
                      <m:ctrlPr>
                        <w:rPr>
                          <w:rFonts w:ascii="Cambria Math" w:hAnsi="Cambria Math" w:cs="Times New Roman"/>
                          <w:i/>
                          <w:sz w:val="21"/>
                          <w:szCs w:val="21"/>
                        </w:rPr>
                      </m:ctrlPr>
                    </m:e>
                    <m:sub>
                      <m:r>
                        <m:rPr/>
                        <w:rPr>
                          <w:rFonts w:ascii="Cambria Math" w:hAnsi="Cambria Math" w:cs="Times New Roman"/>
                          <w:sz w:val="21"/>
                          <w:szCs w:val="21"/>
                        </w:rPr>
                        <m:t>t+1</m:t>
                      </m:r>
                      <m:ctrlPr>
                        <w:rPr>
                          <w:rFonts w:ascii="Cambria Math" w:hAnsi="Cambria Math" w:cs="Times New Roman"/>
                          <w:i/>
                          <w:sz w:val="21"/>
                          <w:szCs w:val="21"/>
                        </w:rPr>
                      </m:ctrlPr>
                    </m:sub>
                  </m:sSub>
                  <m:r>
                    <m:rPr/>
                    <w:rPr>
                      <w:rFonts w:ascii="Cambria Math" w:hAnsi="Cambria Math" w:cs="Times New Roman"/>
                      <w:sz w:val="21"/>
                      <w:szCs w:val="21"/>
                    </w:rPr>
                    <m:t>,</m:t>
                  </m:r>
                  <m:sSub>
                    <m:sSubPr>
                      <m:ctrlPr>
                        <w:rPr>
                          <w:rFonts w:ascii="Cambria Math" w:hAnsi="Cambria Math" w:cs="Times New Roman"/>
                          <w:i/>
                          <w:sz w:val="21"/>
                          <w:szCs w:val="21"/>
                        </w:rPr>
                      </m:ctrlPr>
                    </m:sSubPr>
                    <m:e>
                      <m:r>
                        <m:rPr/>
                        <w:rPr>
                          <w:rFonts w:ascii="Cambria Math" w:hAnsi="Cambria Math" w:cs="Times New Roman"/>
                          <w:sz w:val="21"/>
                          <w:szCs w:val="21"/>
                        </w:rPr>
                        <m:t>Y</m:t>
                      </m:r>
                      <m:ctrlPr>
                        <w:rPr>
                          <w:rFonts w:ascii="Cambria Math" w:hAnsi="Cambria Math" w:cs="Times New Roman"/>
                          <w:i/>
                          <w:sz w:val="21"/>
                          <w:szCs w:val="21"/>
                        </w:rPr>
                      </m:ctrlPr>
                    </m:e>
                    <m:sub>
                      <m:r>
                        <m:rPr/>
                        <w:rPr>
                          <w:rFonts w:ascii="Cambria Math" w:hAnsi="Cambria Math" w:cs="Times New Roman"/>
                          <w:sz w:val="21"/>
                          <w:szCs w:val="21"/>
                        </w:rPr>
                        <m:t>t+1</m:t>
                      </m:r>
                      <m:ctrlPr>
                        <w:rPr>
                          <w:rFonts w:ascii="Cambria Math" w:hAnsi="Cambria Math" w:cs="Times New Roman"/>
                          <w:i/>
                          <w:sz w:val="21"/>
                          <w:szCs w:val="21"/>
                        </w:rPr>
                      </m:ctrlPr>
                    </m:sub>
                  </m:sSub>
                  <m:r>
                    <m:rPr/>
                    <w:rPr>
                      <w:rFonts w:ascii="Cambria Math" w:hAnsi="Cambria Math" w:cs="Times New Roman"/>
                      <w:sz w:val="21"/>
                      <w:szCs w:val="21"/>
                    </w:rPr>
                    <m:t xml:space="preserve"> </m:t>
                  </m:r>
                  <m:ctrlPr>
                    <w:rPr>
                      <w:rFonts w:ascii="Cambria Math" w:hAnsi="Cambria Math" w:cs="Times New Roman"/>
                      <w:i/>
                      <w:sz w:val="21"/>
                      <w:szCs w:val="21"/>
                    </w:rPr>
                  </m:ctrlPr>
                </m:e>
              </m:d>
              <m:ctrlPr>
                <w:rPr>
                  <w:rFonts w:ascii="Cambria Math" w:hAnsi="Cambria Math" w:cs="Times New Roman"/>
                  <w:i/>
                  <w:sz w:val="21"/>
                  <w:szCs w:val="21"/>
                </w:rPr>
              </m:ctrlPr>
            </m:den>
          </m:f>
          <m:r>
            <m:rPr/>
            <w:rPr>
              <w:rFonts w:ascii="Cambria Math" w:hAnsi="Cambria Math" w:cs="Times New Roman"/>
              <w:sz w:val="21"/>
              <w:szCs w:val="21"/>
            </w:rPr>
            <m:t>×</m:t>
          </m:r>
          <m:sSup>
            <m:sSupPr>
              <m:ctrlPr>
                <w:rPr>
                  <w:rFonts w:ascii="Cambria Math" w:hAnsi="Cambria Math" w:cs="Times New Roman"/>
                  <w:i/>
                  <w:sz w:val="21"/>
                  <w:szCs w:val="21"/>
                </w:rPr>
              </m:ctrlPr>
            </m:sSupPr>
            <m:e>
              <m:d>
                <m:dPr>
                  <m:ctrlPr>
                    <w:rPr>
                      <w:rFonts w:ascii="Cambria Math" w:hAnsi="Cambria Math" w:cs="Times New Roman"/>
                      <w:i/>
                      <w:sz w:val="21"/>
                      <w:szCs w:val="21"/>
                    </w:rPr>
                  </m:ctrlPr>
                </m:dPr>
                <m:e>
                  <m:f>
                    <m:fPr>
                      <m:ctrlPr>
                        <w:rPr>
                          <w:rFonts w:ascii="Cambria Math" w:hAnsi="Cambria Math" w:cs="Times New Roman"/>
                          <w:i/>
                          <w:sz w:val="21"/>
                          <w:szCs w:val="21"/>
                        </w:rPr>
                      </m:ctrlPr>
                    </m:fPr>
                    <m:num>
                      <m:sSub>
                        <m:sSubPr>
                          <m:ctrlPr>
                            <w:rPr>
                              <w:rFonts w:ascii="Cambria Math" w:hAnsi="Cambria Math" w:cs="Times New Roman"/>
                              <w:i/>
                              <w:sz w:val="21"/>
                              <w:szCs w:val="21"/>
                            </w:rPr>
                          </m:ctrlPr>
                        </m:sSubPr>
                        <m:e>
                          <m:r>
                            <m:rPr/>
                            <w:rPr>
                              <w:rFonts w:ascii="Cambria Math" w:hAnsi="Cambria Math" w:cs="Times New Roman"/>
                              <w:sz w:val="21"/>
                              <w:szCs w:val="21"/>
                            </w:rPr>
                            <m:t>D</m:t>
                          </m:r>
                          <m:ctrlPr>
                            <w:rPr>
                              <w:rFonts w:ascii="Cambria Math" w:hAnsi="Cambria Math" w:cs="Times New Roman"/>
                              <w:i/>
                              <w:sz w:val="21"/>
                              <w:szCs w:val="21"/>
                            </w:rPr>
                          </m:ctrlPr>
                        </m:e>
                        <m:sub>
                          <m:r>
                            <m:rPr/>
                            <w:rPr>
                              <w:rFonts w:ascii="Cambria Math" w:hAnsi="Cambria Math" w:cs="Times New Roman"/>
                              <w:sz w:val="21"/>
                              <w:szCs w:val="21"/>
                            </w:rPr>
                            <m:t>t+1</m:t>
                          </m:r>
                          <m:ctrlPr>
                            <w:rPr>
                              <w:rFonts w:ascii="Cambria Math" w:hAnsi="Cambria Math" w:cs="Times New Roman"/>
                              <w:i/>
                              <w:sz w:val="21"/>
                              <w:szCs w:val="21"/>
                            </w:rPr>
                          </m:ctrlPr>
                        </m:sub>
                      </m:sSub>
                      <m:d>
                        <m:dPr>
                          <m:ctrlPr>
                            <w:rPr>
                              <w:rFonts w:ascii="Cambria Math" w:hAnsi="Cambria Math" w:cs="Times New Roman"/>
                              <w:i/>
                              <w:sz w:val="21"/>
                              <w:szCs w:val="21"/>
                            </w:rPr>
                          </m:ctrlPr>
                        </m:dPr>
                        <m:e>
                          <m:sSub>
                            <m:sSubPr>
                              <m:ctrlPr>
                                <w:rPr>
                                  <w:rFonts w:ascii="Cambria Math" w:hAnsi="Cambria Math" w:cs="Times New Roman"/>
                                  <w:i/>
                                  <w:sz w:val="21"/>
                                  <w:szCs w:val="21"/>
                                </w:rPr>
                              </m:ctrlPr>
                            </m:sSubPr>
                            <m:e>
                              <m:r>
                                <m:rPr/>
                                <w:rPr>
                                  <w:rFonts w:ascii="Cambria Math" w:hAnsi="Cambria Math" w:cs="Times New Roman"/>
                                  <w:sz w:val="21"/>
                                  <w:szCs w:val="21"/>
                                </w:rPr>
                                <m:t>X</m:t>
                              </m:r>
                              <m:ctrlPr>
                                <w:rPr>
                                  <w:rFonts w:ascii="Cambria Math" w:hAnsi="Cambria Math" w:cs="Times New Roman"/>
                                  <w:i/>
                                  <w:sz w:val="21"/>
                                  <w:szCs w:val="21"/>
                                </w:rPr>
                              </m:ctrlPr>
                            </m:e>
                            <m:sub>
                              <m:r>
                                <m:rPr/>
                                <w:rPr>
                                  <w:rFonts w:ascii="Cambria Math" w:hAnsi="Cambria Math" w:cs="Times New Roman"/>
                                  <w:sz w:val="21"/>
                                  <w:szCs w:val="21"/>
                                </w:rPr>
                                <m:t>t+1</m:t>
                              </m:r>
                              <m:ctrlPr>
                                <w:rPr>
                                  <w:rFonts w:ascii="Cambria Math" w:hAnsi="Cambria Math" w:cs="Times New Roman"/>
                                  <w:i/>
                                  <w:sz w:val="21"/>
                                  <w:szCs w:val="21"/>
                                </w:rPr>
                              </m:ctrlPr>
                            </m:sub>
                          </m:sSub>
                          <m:r>
                            <m:rPr/>
                            <w:rPr>
                              <w:rFonts w:ascii="Cambria Math" w:hAnsi="Cambria Math" w:cs="Times New Roman"/>
                              <w:sz w:val="21"/>
                              <w:szCs w:val="21"/>
                            </w:rPr>
                            <m:t>,</m:t>
                          </m:r>
                          <m:sSub>
                            <m:sSubPr>
                              <m:ctrlPr>
                                <w:rPr>
                                  <w:rFonts w:ascii="Cambria Math" w:hAnsi="Cambria Math" w:cs="Times New Roman"/>
                                  <w:i/>
                                  <w:sz w:val="21"/>
                                  <w:szCs w:val="21"/>
                                </w:rPr>
                              </m:ctrlPr>
                            </m:sSubPr>
                            <m:e>
                              <m:r>
                                <m:rPr/>
                                <w:rPr>
                                  <w:rFonts w:ascii="Cambria Math" w:hAnsi="Cambria Math" w:cs="Times New Roman"/>
                                  <w:sz w:val="21"/>
                                  <w:szCs w:val="21"/>
                                </w:rPr>
                                <m:t>Y</m:t>
                              </m:r>
                              <m:ctrlPr>
                                <w:rPr>
                                  <w:rFonts w:ascii="Cambria Math" w:hAnsi="Cambria Math" w:cs="Times New Roman"/>
                                  <w:i/>
                                  <w:sz w:val="21"/>
                                  <w:szCs w:val="21"/>
                                </w:rPr>
                              </m:ctrlPr>
                            </m:e>
                            <m:sub>
                              <m:r>
                                <m:rPr/>
                                <w:rPr>
                                  <w:rFonts w:ascii="Cambria Math" w:hAnsi="Cambria Math" w:cs="Times New Roman"/>
                                  <w:sz w:val="21"/>
                                  <w:szCs w:val="21"/>
                                </w:rPr>
                                <m:t>t+1</m:t>
                              </m:r>
                              <m:ctrlPr>
                                <w:rPr>
                                  <w:rFonts w:ascii="Cambria Math" w:hAnsi="Cambria Math" w:cs="Times New Roman"/>
                                  <w:i/>
                                  <w:sz w:val="21"/>
                                  <w:szCs w:val="21"/>
                                </w:rPr>
                              </m:ctrlPr>
                            </m:sub>
                          </m:sSub>
                          <m:ctrlPr>
                            <w:rPr>
                              <w:rFonts w:ascii="Cambria Math" w:hAnsi="Cambria Math" w:cs="Times New Roman"/>
                              <w:i/>
                              <w:sz w:val="21"/>
                              <w:szCs w:val="21"/>
                            </w:rPr>
                          </m:ctrlPr>
                        </m:e>
                      </m:d>
                      <m:ctrlPr>
                        <w:rPr>
                          <w:rFonts w:ascii="Cambria Math" w:hAnsi="Cambria Math" w:cs="Times New Roman"/>
                          <w:i/>
                          <w:sz w:val="21"/>
                          <w:szCs w:val="21"/>
                        </w:rPr>
                      </m:ctrlPr>
                    </m:num>
                    <m:den>
                      <m:sSub>
                        <m:sSubPr>
                          <m:ctrlPr>
                            <w:rPr>
                              <w:rFonts w:ascii="Cambria Math" w:hAnsi="Cambria Math" w:cs="Times New Roman"/>
                              <w:i/>
                              <w:sz w:val="21"/>
                              <w:szCs w:val="21"/>
                            </w:rPr>
                          </m:ctrlPr>
                        </m:sSubPr>
                        <m:e>
                          <m:r>
                            <m:rPr/>
                            <w:rPr>
                              <w:rFonts w:ascii="Cambria Math" w:hAnsi="Cambria Math" w:cs="Times New Roman"/>
                              <w:sz w:val="21"/>
                              <w:szCs w:val="21"/>
                            </w:rPr>
                            <m:t>D</m:t>
                          </m:r>
                          <m:ctrlPr>
                            <w:rPr>
                              <w:rFonts w:ascii="Cambria Math" w:hAnsi="Cambria Math" w:cs="Times New Roman"/>
                              <w:i/>
                              <w:sz w:val="21"/>
                              <w:szCs w:val="21"/>
                            </w:rPr>
                          </m:ctrlPr>
                        </m:e>
                        <m:sub>
                          <m:r>
                            <m:rPr/>
                            <w:rPr>
                              <w:rFonts w:ascii="Cambria Math" w:hAnsi="Cambria Math" w:cs="Times New Roman"/>
                              <w:sz w:val="21"/>
                              <w:szCs w:val="21"/>
                            </w:rPr>
                            <m:t>t</m:t>
                          </m:r>
                          <m:ctrlPr>
                            <w:rPr>
                              <w:rFonts w:ascii="Cambria Math" w:hAnsi="Cambria Math" w:cs="Times New Roman"/>
                              <w:i/>
                              <w:sz w:val="21"/>
                              <w:szCs w:val="21"/>
                            </w:rPr>
                          </m:ctrlPr>
                        </m:sub>
                      </m:sSub>
                      <m:d>
                        <m:dPr>
                          <m:ctrlPr>
                            <w:rPr>
                              <w:rFonts w:ascii="Cambria Math" w:hAnsi="Cambria Math" w:cs="Times New Roman"/>
                              <w:i/>
                              <w:sz w:val="21"/>
                              <w:szCs w:val="21"/>
                            </w:rPr>
                          </m:ctrlPr>
                        </m:dPr>
                        <m:e>
                          <m:sSub>
                            <m:sSubPr>
                              <m:ctrlPr>
                                <w:rPr>
                                  <w:rFonts w:ascii="Cambria Math" w:hAnsi="Cambria Math" w:cs="Times New Roman"/>
                                  <w:i/>
                                  <w:sz w:val="21"/>
                                  <w:szCs w:val="21"/>
                                </w:rPr>
                              </m:ctrlPr>
                            </m:sSubPr>
                            <m:e>
                              <m:r>
                                <m:rPr/>
                                <w:rPr>
                                  <w:rFonts w:ascii="Cambria Math" w:hAnsi="Cambria Math" w:cs="Times New Roman"/>
                                  <w:sz w:val="21"/>
                                  <w:szCs w:val="21"/>
                                </w:rPr>
                                <m:t>X</m:t>
                              </m:r>
                              <m:ctrlPr>
                                <w:rPr>
                                  <w:rFonts w:ascii="Cambria Math" w:hAnsi="Cambria Math" w:cs="Times New Roman"/>
                                  <w:i/>
                                  <w:sz w:val="21"/>
                                  <w:szCs w:val="21"/>
                                </w:rPr>
                              </m:ctrlPr>
                            </m:e>
                            <m:sub>
                              <m:r>
                                <m:rPr/>
                                <w:rPr>
                                  <w:rFonts w:ascii="Cambria Math" w:hAnsi="Cambria Math" w:cs="Times New Roman"/>
                                  <w:sz w:val="21"/>
                                  <w:szCs w:val="21"/>
                                </w:rPr>
                                <m:t>t+1</m:t>
                              </m:r>
                              <m:ctrlPr>
                                <w:rPr>
                                  <w:rFonts w:ascii="Cambria Math" w:hAnsi="Cambria Math" w:cs="Times New Roman"/>
                                  <w:i/>
                                  <w:sz w:val="21"/>
                                  <w:szCs w:val="21"/>
                                </w:rPr>
                              </m:ctrlPr>
                            </m:sub>
                          </m:sSub>
                          <m:r>
                            <m:rPr/>
                            <w:rPr>
                              <w:rFonts w:ascii="Cambria Math" w:hAnsi="Cambria Math" w:cs="Times New Roman"/>
                              <w:sz w:val="21"/>
                              <w:szCs w:val="21"/>
                            </w:rPr>
                            <m:t>,</m:t>
                          </m:r>
                          <m:sSub>
                            <m:sSubPr>
                              <m:ctrlPr>
                                <w:rPr>
                                  <w:rFonts w:ascii="Cambria Math" w:hAnsi="Cambria Math" w:cs="Times New Roman"/>
                                  <w:i/>
                                  <w:sz w:val="21"/>
                                  <w:szCs w:val="21"/>
                                </w:rPr>
                              </m:ctrlPr>
                            </m:sSubPr>
                            <m:e>
                              <m:r>
                                <m:rPr/>
                                <w:rPr>
                                  <w:rFonts w:ascii="Cambria Math" w:hAnsi="Cambria Math" w:cs="Times New Roman"/>
                                  <w:sz w:val="21"/>
                                  <w:szCs w:val="21"/>
                                </w:rPr>
                                <m:t>Y</m:t>
                              </m:r>
                              <m:ctrlPr>
                                <w:rPr>
                                  <w:rFonts w:ascii="Cambria Math" w:hAnsi="Cambria Math" w:cs="Times New Roman"/>
                                  <w:i/>
                                  <w:sz w:val="21"/>
                                  <w:szCs w:val="21"/>
                                </w:rPr>
                              </m:ctrlPr>
                            </m:e>
                            <m:sub>
                              <m:r>
                                <m:rPr/>
                                <w:rPr>
                                  <w:rFonts w:ascii="Cambria Math" w:hAnsi="Cambria Math" w:cs="Times New Roman"/>
                                  <w:sz w:val="21"/>
                                  <w:szCs w:val="21"/>
                                </w:rPr>
                                <m:t>t+1</m:t>
                              </m:r>
                              <m:ctrlPr>
                                <w:rPr>
                                  <w:rFonts w:ascii="Cambria Math" w:hAnsi="Cambria Math" w:cs="Times New Roman"/>
                                  <w:i/>
                                  <w:sz w:val="21"/>
                                  <w:szCs w:val="21"/>
                                </w:rPr>
                              </m:ctrlPr>
                            </m:sub>
                          </m:sSub>
                          <m:r>
                            <m:rPr/>
                            <w:rPr>
                              <w:rFonts w:ascii="Cambria Math" w:hAnsi="Cambria Math" w:cs="Times New Roman"/>
                              <w:sz w:val="21"/>
                              <w:szCs w:val="21"/>
                            </w:rPr>
                            <m:t xml:space="preserve"> </m:t>
                          </m:r>
                          <m:ctrlPr>
                            <w:rPr>
                              <w:rFonts w:ascii="Cambria Math" w:hAnsi="Cambria Math" w:cs="Times New Roman"/>
                              <w:i/>
                              <w:sz w:val="21"/>
                              <w:szCs w:val="21"/>
                            </w:rPr>
                          </m:ctrlPr>
                        </m:e>
                      </m:d>
                      <m:ctrlPr>
                        <w:rPr>
                          <w:rFonts w:ascii="Cambria Math" w:hAnsi="Cambria Math" w:cs="Times New Roman"/>
                          <w:i/>
                          <w:sz w:val="21"/>
                          <w:szCs w:val="21"/>
                        </w:rPr>
                      </m:ctrlPr>
                    </m:den>
                  </m:f>
                  <m:r>
                    <m:rPr/>
                    <w:rPr>
                      <w:rFonts w:ascii="Cambria Math" w:hAnsi="Cambria Math" w:cs="Times New Roman"/>
                      <w:sz w:val="21"/>
                      <w:szCs w:val="21"/>
                    </w:rPr>
                    <m:t>×</m:t>
                  </m:r>
                  <m:f>
                    <m:fPr>
                      <m:ctrlPr>
                        <w:rPr>
                          <w:rFonts w:ascii="Cambria Math" w:hAnsi="Cambria Math" w:cs="Times New Roman"/>
                          <w:i/>
                          <w:sz w:val="21"/>
                          <w:szCs w:val="21"/>
                        </w:rPr>
                      </m:ctrlPr>
                    </m:fPr>
                    <m:num>
                      <m:sSub>
                        <m:sSubPr>
                          <m:ctrlPr>
                            <w:rPr>
                              <w:rFonts w:ascii="Cambria Math" w:hAnsi="Cambria Math" w:cs="Times New Roman"/>
                              <w:i/>
                              <w:sz w:val="21"/>
                              <w:szCs w:val="21"/>
                            </w:rPr>
                          </m:ctrlPr>
                        </m:sSubPr>
                        <m:e>
                          <m:r>
                            <m:rPr/>
                            <w:rPr>
                              <w:rFonts w:ascii="Cambria Math" w:hAnsi="Cambria Math" w:cs="Times New Roman"/>
                              <w:sz w:val="21"/>
                              <w:szCs w:val="21"/>
                            </w:rPr>
                            <m:t>D</m:t>
                          </m:r>
                          <m:ctrlPr>
                            <w:rPr>
                              <w:rFonts w:ascii="Cambria Math" w:hAnsi="Cambria Math" w:cs="Times New Roman"/>
                              <w:i/>
                              <w:sz w:val="21"/>
                              <w:szCs w:val="21"/>
                            </w:rPr>
                          </m:ctrlPr>
                        </m:e>
                        <m:sub>
                          <m:r>
                            <m:rPr/>
                            <w:rPr>
                              <w:rFonts w:ascii="Cambria Math" w:hAnsi="Cambria Math" w:cs="Times New Roman"/>
                              <w:sz w:val="21"/>
                              <w:szCs w:val="21"/>
                            </w:rPr>
                            <m:t>t+1</m:t>
                          </m:r>
                          <m:ctrlPr>
                            <w:rPr>
                              <w:rFonts w:ascii="Cambria Math" w:hAnsi="Cambria Math" w:cs="Times New Roman"/>
                              <w:i/>
                              <w:sz w:val="21"/>
                              <w:szCs w:val="21"/>
                            </w:rPr>
                          </m:ctrlPr>
                        </m:sub>
                      </m:sSub>
                      <m:d>
                        <m:dPr>
                          <m:ctrlPr>
                            <w:rPr>
                              <w:rFonts w:ascii="Cambria Math" w:hAnsi="Cambria Math" w:cs="Times New Roman"/>
                              <w:i/>
                              <w:sz w:val="21"/>
                              <w:szCs w:val="21"/>
                            </w:rPr>
                          </m:ctrlPr>
                        </m:dPr>
                        <m:e>
                          <m:sSub>
                            <m:sSubPr>
                              <m:ctrlPr>
                                <w:rPr>
                                  <w:rFonts w:ascii="Cambria Math" w:hAnsi="Cambria Math" w:cs="Times New Roman"/>
                                  <w:i/>
                                  <w:sz w:val="21"/>
                                  <w:szCs w:val="21"/>
                                </w:rPr>
                              </m:ctrlPr>
                            </m:sSubPr>
                            <m:e>
                              <m:r>
                                <m:rPr/>
                                <w:rPr>
                                  <w:rFonts w:ascii="Cambria Math" w:hAnsi="Cambria Math" w:cs="Times New Roman"/>
                                  <w:sz w:val="21"/>
                                  <w:szCs w:val="21"/>
                                </w:rPr>
                                <m:t>X</m:t>
                              </m:r>
                              <m:ctrlPr>
                                <w:rPr>
                                  <w:rFonts w:ascii="Cambria Math" w:hAnsi="Cambria Math" w:cs="Times New Roman"/>
                                  <w:i/>
                                  <w:sz w:val="21"/>
                                  <w:szCs w:val="21"/>
                                </w:rPr>
                              </m:ctrlPr>
                            </m:e>
                            <m:sub>
                              <m:r>
                                <m:rPr/>
                                <w:rPr>
                                  <w:rFonts w:ascii="Cambria Math" w:hAnsi="Cambria Math" w:cs="Times New Roman"/>
                                  <w:sz w:val="21"/>
                                  <w:szCs w:val="21"/>
                                </w:rPr>
                                <m:t>t</m:t>
                              </m:r>
                              <m:ctrlPr>
                                <w:rPr>
                                  <w:rFonts w:ascii="Cambria Math" w:hAnsi="Cambria Math" w:cs="Times New Roman"/>
                                  <w:i/>
                                  <w:sz w:val="21"/>
                                  <w:szCs w:val="21"/>
                                </w:rPr>
                              </m:ctrlPr>
                            </m:sub>
                          </m:sSub>
                          <m:r>
                            <m:rPr/>
                            <w:rPr>
                              <w:rFonts w:ascii="Cambria Math" w:hAnsi="Cambria Math" w:cs="Times New Roman"/>
                              <w:sz w:val="21"/>
                              <w:szCs w:val="21"/>
                            </w:rPr>
                            <m:t>,</m:t>
                          </m:r>
                          <m:sSub>
                            <m:sSubPr>
                              <m:ctrlPr>
                                <w:rPr>
                                  <w:rFonts w:ascii="Cambria Math" w:hAnsi="Cambria Math" w:cs="Times New Roman"/>
                                  <w:i/>
                                  <w:sz w:val="21"/>
                                  <w:szCs w:val="21"/>
                                </w:rPr>
                              </m:ctrlPr>
                            </m:sSubPr>
                            <m:e>
                              <m:r>
                                <m:rPr/>
                                <w:rPr>
                                  <w:rFonts w:ascii="Cambria Math" w:hAnsi="Cambria Math" w:cs="Times New Roman"/>
                                  <w:sz w:val="21"/>
                                  <w:szCs w:val="21"/>
                                </w:rPr>
                                <m:t>Y</m:t>
                              </m:r>
                              <m:ctrlPr>
                                <w:rPr>
                                  <w:rFonts w:ascii="Cambria Math" w:hAnsi="Cambria Math" w:cs="Times New Roman"/>
                                  <w:i/>
                                  <w:sz w:val="21"/>
                                  <w:szCs w:val="21"/>
                                </w:rPr>
                              </m:ctrlPr>
                            </m:e>
                            <m:sub>
                              <m:r>
                                <m:rPr/>
                                <w:rPr>
                                  <w:rFonts w:ascii="Cambria Math" w:hAnsi="Cambria Math" w:cs="Times New Roman"/>
                                  <w:sz w:val="21"/>
                                  <w:szCs w:val="21"/>
                                </w:rPr>
                                <m:t>t</m:t>
                              </m:r>
                              <m:ctrlPr>
                                <w:rPr>
                                  <w:rFonts w:ascii="Cambria Math" w:hAnsi="Cambria Math" w:cs="Times New Roman"/>
                                  <w:i/>
                                  <w:sz w:val="21"/>
                                  <w:szCs w:val="21"/>
                                </w:rPr>
                              </m:ctrlPr>
                            </m:sub>
                          </m:sSub>
                          <m:ctrlPr>
                            <w:rPr>
                              <w:rFonts w:ascii="Cambria Math" w:hAnsi="Cambria Math" w:cs="Times New Roman"/>
                              <w:i/>
                              <w:sz w:val="21"/>
                              <w:szCs w:val="21"/>
                            </w:rPr>
                          </m:ctrlPr>
                        </m:e>
                      </m:d>
                      <m:ctrlPr>
                        <w:rPr>
                          <w:rFonts w:ascii="Cambria Math" w:hAnsi="Cambria Math" w:cs="Times New Roman"/>
                          <w:i/>
                          <w:sz w:val="21"/>
                          <w:szCs w:val="21"/>
                        </w:rPr>
                      </m:ctrlPr>
                    </m:num>
                    <m:den>
                      <m:sSub>
                        <m:sSubPr>
                          <m:ctrlPr>
                            <w:rPr>
                              <w:rFonts w:ascii="Cambria Math" w:hAnsi="Cambria Math" w:cs="Times New Roman"/>
                              <w:i/>
                              <w:sz w:val="21"/>
                              <w:szCs w:val="21"/>
                            </w:rPr>
                          </m:ctrlPr>
                        </m:sSubPr>
                        <m:e>
                          <m:r>
                            <m:rPr/>
                            <w:rPr>
                              <w:rFonts w:ascii="Cambria Math" w:hAnsi="Cambria Math" w:cs="Times New Roman"/>
                              <w:sz w:val="21"/>
                              <w:szCs w:val="21"/>
                            </w:rPr>
                            <m:t>D</m:t>
                          </m:r>
                          <m:ctrlPr>
                            <w:rPr>
                              <w:rFonts w:ascii="Cambria Math" w:hAnsi="Cambria Math" w:cs="Times New Roman"/>
                              <w:i/>
                              <w:sz w:val="21"/>
                              <w:szCs w:val="21"/>
                            </w:rPr>
                          </m:ctrlPr>
                        </m:e>
                        <m:sub>
                          <m:r>
                            <m:rPr/>
                            <w:rPr>
                              <w:rFonts w:ascii="Cambria Math" w:hAnsi="Cambria Math" w:cs="Times New Roman"/>
                              <w:sz w:val="21"/>
                              <w:szCs w:val="21"/>
                            </w:rPr>
                            <m:t>t</m:t>
                          </m:r>
                          <m:ctrlPr>
                            <w:rPr>
                              <w:rFonts w:ascii="Cambria Math" w:hAnsi="Cambria Math" w:cs="Times New Roman"/>
                              <w:i/>
                              <w:sz w:val="21"/>
                              <w:szCs w:val="21"/>
                            </w:rPr>
                          </m:ctrlPr>
                        </m:sub>
                      </m:sSub>
                      <m:d>
                        <m:dPr>
                          <m:ctrlPr>
                            <w:rPr>
                              <w:rFonts w:ascii="Cambria Math" w:hAnsi="Cambria Math" w:cs="Times New Roman"/>
                              <w:i/>
                              <w:sz w:val="21"/>
                              <w:szCs w:val="21"/>
                            </w:rPr>
                          </m:ctrlPr>
                        </m:dPr>
                        <m:e>
                          <m:sSub>
                            <m:sSubPr>
                              <m:ctrlPr>
                                <w:rPr>
                                  <w:rFonts w:ascii="Cambria Math" w:hAnsi="Cambria Math" w:cs="Times New Roman"/>
                                  <w:i/>
                                  <w:sz w:val="21"/>
                                  <w:szCs w:val="21"/>
                                </w:rPr>
                              </m:ctrlPr>
                            </m:sSubPr>
                            <m:e>
                              <m:r>
                                <m:rPr/>
                                <w:rPr>
                                  <w:rFonts w:ascii="Cambria Math" w:hAnsi="Cambria Math" w:cs="Times New Roman"/>
                                  <w:sz w:val="21"/>
                                  <w:szCs w:val="21"/>
                                </w:rPr>
                                <m:t>X</m:t>
                              </m:r>
                              <m:ctrlPr>
                                <w:rPr>
                                  <w:rFonts w:ascii="Cambria Math" w:hAnsi="Cambria Math" w:cs="Times New Roman"/>
                                  <w:i/>
                                  <w:sz w:val="21"/>
                                  <w:szCs w:val="21"/>
                                </w:rPr>
                              </m:ctrlPr>
                            </m:e>
                            <m:sub>
                              <m:r>
                                <m:rPr/>
                                <w:rPr>
                                  <w:rFonts w:ascii="Cambria Math" w:hAnsi="Cambria Math" w:cs="Times New Roman"/>
                                  <w:sz w:val="21"/>
                                  <w:szCs w:val="21"/>
                                </w:rPr>
                                <m:t>t</m:t>
                              </m:r>
                              <m:ctrlPr>
                                <w:rPr>
                                  <w:rFonts w:ascii="Cambria Math" w:hAnsi="Cambria Math" w:cs="Times New Roman"/>
                                  <w:i/>
                                  <w:sz w:val="21"/>
                                  <w:szCs w:val="21"/>
                                </w:rPr>
                              </m:ctrlPr>
                            </m:sub>
                          </m:sSub>
                          <m:r>
                            <m:rPr/>
                            <w:rPr>
                              <w:rFonts w:ascii="Cambria Math" w:hAnsi="Cambria Math" w:cs="Times New Roman"/>
                              <w:sz w:val="21"/>
                              <w:szCs w:val="21"/>
                            </w:rPr>
                            <m:t>,</m:t>
                          </m:r>
                          <m:sSub>
                            <m:sSubPr>
                              <m:ctrlPr>
                                <w:rPr>
                                  <w:rFonts w:ascii="Cambria Math" w:hAnsi="Cambria Math" w:cs="Times New Roman"/>
                                  <w:i/>
                                  <w:sz w:val="21"/>
                                  <w:szCs w:val="21"/>
                                </w:rPr>
                              </m:ctrlPr>
                            </m:sSubPr>
                            <m:e>
                              <m:r>
                                <m:rPr/>
                                <w:rPr>
                                  <w:rFonts w:ascii="Cambria Math" w:hAnsi="Cambria Math" w:cs="Times New Roman"/>
                                  <w:sz w:val="21"/>
                                  <w:szCs w:val="21"/>
                                </w:rPr>
                                <m:t>Y</m:t>
                              </m:r>
                              <m:ctrlPr>
                                <w:rPr>
                                  <w:rFonts w:ascii="Cambria Math" w:hAnsi="Cambria Math" w:cs="Times New Roman"/>
                                  <w:i/>
                                  <w:sz w:val="21"/>
                                  <w:szCs w:val="21"/>
                                </w:rPr>
                              </m:ctrlPr>
                            </m:e>
                            <m:sub>
                              <m:r>
                                <m:rPr/>
                                <w:rPr>
                                  <w:rFonts w:ascii="Cambria Math" w:hAnsi="Cambria Math" w:cs="Times New Roman"/>
                                  <w:sz w:val="21"/>
                                  <w:szCs w:val="21"/>
                                </w:rPr>
                                <m:t>t</m:t>
                              </m:r>
                              <m:ctrlPr>
                                <w:rPr>
                                  <w:rFonts w:ascii="Cambria Math" w:hAnsi="Cambria Math" w:cs="Times New Roman"/>
                                  <w:i/>
                                  <w:sz w:val="21"/>
                                  <w:szCs w:val="21"/>
                                </w:rPr>
                              </m:ctrlPr>
                            </m:sub>
                          </m:sSub>
                          <m:r>
                            <m:rPr/>
                            <w:rPr>
                              <w:rFonts w:ascii="Cambria Math" w:hAnsi="Cambria Math" w:cs="Times New Roman"/>
                              <w:sz w:val="21"/>
                              <w:szCs w:val="21"/>
                            </w:rPr>
                            <m:t xml:space="preserve"> </m:t>
                          </m:r>
                          <m:ctrlPr>
                            <w:rPr>
                              <w:rFonts w:ascii="Cambria Math" w:hAnsi="Cambria Math" w:cs="Times New Roman"/>
                              <w:i/>
                              <w:sz w:val="21"/>
                              <w:szCs w:val="21"/>
                            </w:rPr>
                          </m:ctrlPr>
                        </m:e>
                      </m:d>
                      <m:ctrlPr>
                        <w:rPr>
                          <w:rFonts w:ascii="Cambria Math" w:hAnsi="Cambria Math" w:cs="Times New Roman"/>
                          <w:i/>
                          <w:sz w:val="21"/>
                          <w:szCs w:val="21"/>
                        </w:rPr>
                      </m:ctrlPr>
                    </m:den>
                  </m:f>
                  <m:ctrlPr>
                    <w:rPr>
                      <w:rFonts w:ascii="Cambria Math" w:hAnsi="Cambria Math" w:cs="Times New Roman"/>
                      <w:i/>
                      <w:sz w:val="21"/>
                      <w:szCs w:val="21"/>
                    </w:rPr>
                  </m:ctrlPr>
                </m:e>
              </m:d>
              <m:ctrlPr>
                <w:rPr>
                  <w:rFonts w:ascii="Cambria Math" w:hAnsi="Cambria Math" w:cs="Times New Roman"/>
                  <w:i/>
                  <w:sz w:val="21"/>
                  <w:szCs w:val="21"/>
                </w:rPr>
              </m:ctrlPr>
            </m:e>
            <m:sup>
              <m:f>
                <m:fPr>
                  <m:ctrlPr>
                    <w:rPr>
                      <w:rFonts w:ascii="Cambria Math" w:hAnsi="Cambria Math" w:cs="Times New Roman"/>
                      <w:i/>
                      <w:sz w:val="21"/>
                      <w:szCs w:val="21"/>
                    </w:rPr>
                  </m:ctrlPr>
                </m:fPr>
                <m:num>
                  <m:r>
                    <m:rPr/>
                    <w:rPr>
                      <w:rFonts w:ascii="Cambria Math" w:hAnsi="Cambria Math" w:cs="Times New Roman"/>
                      <w:sz w:val="21"/>
                      <w:szCs w:val="21"/>
                    </w:rPr>
                    <m:t>1</m:t>
                  </m:r>
                  <m:ctrlPr>
                    <w:rPr>
                      <w:rFonts w:ascii="Cambria Math" w:hAnsi="Cambria Math" w:cs="Times New Roman"/>
                      <w:i/>
                      <w:sz w:val="21"/>
                      <w:szCs w:val="21"/>
                    </w:rPr>
                  </m:ctrlPr>
                </m:num>
                <m:den>
                  <m:r>
                    <m:rPr/>
                    <w:rPr>
                      <w:rFonts w:ascii="Cambria Math" w:hAnsi="Cambria Math" w:cs="Times New Roman"/>
                      <w:sz w:val="21"/>
                      <w:szCs w:val="21"/>
                    </w:rPr>
                    <m:t>2</m:t>
                  </m:r>
                  <m:ctrlPr>
                    <w:rPr>
                      <w:rFonts w:ascii="Cambria Math" w:hAnsi="Cambria Math" w:cs="Times New Roman"/>
                      <w:i/>
                      <w:sz w:val="21"/>
                      <w:szCs w:val="21"/>
                    </w:rPr>
                  </m:ctrlPr>
                </m:den>
              </m:f>
              <m:ctrlPr>
                <w:rPr>
                  <w:rFonts w:ascii="Cambria Math" w:hAnsi="Cambria Math" w:cs="Times New Roman"/>
                  <w:i/>
                  <w:sz w:val="21"/>
                  <w:szCs w:val="21"/>
                </w:rPr>
              </m:ctrlPr>
            </m:sup>
          </m:sSup>
        </m:oMath>
      </m:oMathPara>
    </w:p>
    <w:p>
      <w:pPr>
        <w:spacing w:line="480" w:lineRule="auto"/>
        <w:ind w:firstLine="420" w:firstLineChars="200"/>
        <w:contextualSpacing/>
        <w:rPr>
          <w:rFonts w:cs="Times New Roman"/>
          <w:sz w:val="21"/>
          <w:szCs w:val="21"/>
        </w:rPr>
      </w:pPr>
      <m:oMathPara>
        <m:oMath>
          <m:r>
            <m:rPr>
              <m:sty m:val="p"/>
            </m:rPr>
            <w:rPr>
              <w:rFonts w:ascii="Cambria Math" w:hAnsi="Cambria Math" w:cs="Times New Roman"/>
              <w:sz w:val="21"/>
              <w:szCs w:val="21"/>
            </w:rPr>
            <m:t>=</m:t>
          </m:r>
          <m:sSub>
            <m:sSubPr>
              <m:ctrlPr>
                <w:rPr>
                  <w:rFonts w:ascii="Cambria Math" w:hAnsi="Cambria Math" w:cs="Times New Roman"/>
                  <w:sz w:val="21"/>
                  <w:szCs w:val="21"/>
                </w:rPr>
              </m:ctrlPr>
            </m:sSubPr>
            <m:e>
              <m:r>
                <m:rPr/>
                <w:rPr>
                  <w:rFonts w:ascii="Cambria Math" w:hAnsi="Cambria Math" w:cs="Times New Roman"/>
                  <w:sz w:val="21"/>
                  <w:szCs w:val="21"/>
                </w:rPr>
                <m:t>TEC</m:t>
              </m:r>
              <m:ctrlPr>
                <w:rPr>
                  <w:rFonts w:ascii="Cambria Math" w:hAnsi="Cambria Math" w:cs="Times New Roman"/>
                  <w:sz w:val="21"/>
                  <w:szCs w:val="21"/>
                </w:rPr>
              </m:ctrlPr>
            </m:e>
            <m:sub>
              <m:r>
                <m:rPr/>
                <w:rPr>
                  <w:rFonts w:ascii="Cambria Math" w:hAnsi="Cambria Math" w:cs="Times New Roman"/>
                  <w:sz w:val="21"/>
                  <w:szCs w:val="21"/>
                </w:rPr>
                <m:t>t+1</m:t>
              </m:r>
              <m:ctrlPr>
                <w:rPr>
                  <w:rFonts w:ascii="Cambria Math" w:hAnsi="Cambria Math" w:cs="Times New Roman"/>
                  <w:sz w:val="21"/>
                  <w:szCs w:val="21"/>
                </w:rPr>
              </m:ctrlPr>
            </m:sub>
          </m:sSub>
          <m:r>
            <m:rPr/>
            <w:rPr>
              <w:rFonts w:ascii="Cambria Math" w:hAnsi="Cambria Math" w:cs="Times New Roman"/>
              <w:sz w:val="21"/>
              <w:szCs w:val="21"/>
            </w:rPr>
            <m:t>×</m:t>
          </m:r>
          <m:sSub>
            <m:sSubPr>
              <m:ctrlPr>
                <w:rPr>
                  <w:rFonts w:ascii="Cambria Math" w:hAnsi="Cambria Math" w:cs="Times New Roman"/>
                  <w:sz w:val="21"/>
                  <w:szCs w:val="21"/>
                </w:rPr>
              </m:ctrlPr>
            </m:sSubPr>
            <m:e>
              <m:r>
                <m:rPr/>
                <w:rPr>
                  <w:rFonts w:ascii="Cambria Math" w:hAnsi="Cambria Math" w:cs="Times New Roman"/>
                  <w:sz w:val="21"/>
                  <w:szCs w:val="21"/>
                </w:rPr>
                <m:t>TP</m:t>
              </m:r>
              <m:ctrlPr>
                <w:rPr>
                  <w:rFonts w:ascii="Cambria Math" w:hAnsi="Cambria Math" w:cs="Times New Roman"/>
                  <w:sz w:val="21"/>
                  <w:szCs w:val="21"/>
                </w:rPr>
              </m:ctrlPr>
            </m:e>
            <m:sub>
              <m:r>
                <m:rPr/>
                <w:rPr>
                  <w:rFonts w:ascii="Cambria Math" w:hAnsi="Cambria Math" w:cs="Times New Roman"/>
                  <w:sz w:val="21"/>
                  <w:szCs w:val="21"/>
                </w:rPr>
                <m:t>t+1</m:t>
              </m:r>
              <m:ctrlPr>
                <w:rPr>
                  <w:rFonts w:ascii="Cambria Math" w:hAnsi="Cambria Math" w:cs="Times New Roman"/>
                  <w:sz w:val="21"/>
                  <w:szCs w:val="21"/>
                </w:rPr>
              </m:ctrlPr>
            </m:sub>
          </m:sSub>
        </m:oMath>
      </m:oMathPara>
    </w:p>
    <w:p>
      <w:pPr>
        <w:spacing w:line="480" w:lineRule="auto"/>
        <w:ind w:firstLine="420" w:firstLineChars="200"/>
        <w:contextualSpacing/>
        <w:rPr>
          <w:rFonts w:cs="Times New Roman"/>
          <w:sz w:val="21"/>
          <w:szCs w:val="21"/>
        </w:rPr>
      </w:pPr>
      <m:oMathPara>
        <m:oMath>
          <m:r>
            <m:rPr>
              <m:sty m:val="p"/>
            </m:rPr>
            <w:rPr>
              <w:rFonts w:ascii="Cambria Math" w:hAnsi="Cambria Math" w:cs="Times New Roman"/>
              <w:sz w:val="21"/>
              <w:szCs w:val="21"/>
            </w:rPr>
            <m:t>=</m:t>
          </m:r>
          <m:sSub>
            <m:sSubPr>
              <m:ctrlPr>
                <w:rPr>
                  <w:rFonts w:ascii="Cambria Math" w:hAnsi="Cambria Math" w:cs="Times New Roman"/>
                  <w:sz w:val="21"/>
                  <w:szCs w:val="21"/>
                </w:rPr>
              </m:ctrlPr>
            </m:sSubPr>
            <m:e>
              <m:r>
                <m:rPr/>
                <w:rPr>
                  <w:rFonts w:ascii="Cambria Math" w:hAnsi="Cambria Math" w:cs="Times New Roman"/>
                  <w:sz w:val="21"/>
                  <w:szCs w:val="21"/>
                </w:rPr>
                <m:t>PE</m:t>
              </m:r>
              <m:ctrlPr>
                <w:rPr>
                  <w:rFonts w:ascii="Cambria Math" w:hAnsi="Cambria Math" w:cs="Times New Roman"/>
                  <w:sz w:val="21"/>
                  <w:szCs w:val="21"/>
                </w:rPr>
              </m:ctrlPr>
            </m:e>
            <m:sub>
              <m:r>
                <m:rPr/>
                <w:rPr>
                  <w:rFonts w:ascii="Cambria Math" w:hAnsi="Cambria Math" w:cs="Times New Roman"/>
                  <w:sz w:val="21"/>
                  <w:szCs w:val="21"/>
                </w:rPr>
                <m:t>t+1</m:t>
              </m:r>
              <m:ctrlPr>
                <w:rPr>
                  <w:rFonts w:ascii="Cambria Math" w:hAnsi="Cambria Math" w:cs="Times New Roman"/>
                  <w:sz w:val="21"/>
                  <w:szCs w:val="21"/>
                </w:rPr>
              </m:ctrlPr>
            </m:sub>
          </m:sSub>
          <m:r>
            <m:rPr/>
            <w:rPr>
              <w:rFonts w:ascii="Cambria Math" w:hAnsi="Cambria Math" w:cs="Times New Roman"/>
              <w:sz w:val="21"/>
              <w:szCs w:val="21"/>
            </w:rPr>
            <m:t>×</m:t>
          </m:r>
          <m:sSub>
            <m:sSubPr>
              <m:ctrlPr>
                <w:rPr>
                  <w:rFonts w:ascii="Cambria Math" w:hAnsi="Cambria Math" w:cs="Times New Roman"/>
                  <w:sz w:val="21"/>
                  <w:szCs w:val="21"/>
                </w:rPr>
              </m:ctrlPr>
            </m:sSubPr>
            <m:e>
              <m:r>
                <m:rPr/>
                <w:rPr>
                  <w:rFonts w:ascii="Cambria Math" w:hAnsi="Cambria Math" w:cs="Times New Roman"/>
                  <w:sz w:val="21"/>
                  <w:szCs w:val="21"/>
                </w:rPr>
                <m:t>SE</m:t>
              </m:r>
              <m:ctrlPr>
                <w:rPr>
                  <w:rFonts w:ascii="Cambria Math" w:hAnsi="Cambria Math" w:cs="Times New Roman"/>
                  <w:sz w:val="21"/>
                  <w:szCs w:val="21"/>
                </w:rPr>
              </m:ctrlPr>
            </m:e>
            <m:sub>
              <m:r>
                <m:rPr/>
                <w:rPr>
                  <w:rFonts w:ascii="Cambria Math" w:hAnsi="Cambria Math" w:cs="Times New Roman"/>
                  <w:sz w:val="21"/>
                  <w:szCs w:val="21"/>
                </w:rPr>
                <m:t>t+1</m:t>
              </m:r>
              <m:ctrlPr>
                <w:rPr>
                  <w:rFonts w:ascii="Cambria Math" w:hAnsi="Cambria Math" w:cs="Times New Roman"/>
                  <w:sz w:val="21"/>
                  <w:szCs w:val="21"/>
                </w:rPr>
              </m:ctrlPr>
            </m:sub>
          </m:sSub>
          <m:r>
            <m:rPr/>
            <w:rPr>
              <w:rFonts w:ascii="Cambria Math" w:hAnsi="Cambria Math" w:cs="Times New Roman"/>
              <w:sz w:val="21"/>
              <w:szCs w:val="21"/>
            </w:rPr>
            <m:t>×</m:t>
          </m:r>
          <m:sSub>
            <m:sSubPr>
              <m:ctrlPr>
                <w:rPr>
                  <w:rFonts w:ascii="Cambria Math" w:hAnsi="Cambria Math" w:cs="Times New Roman"/>
                  <w:sz w:val="21"/>
                  <w:szCs w:val="21"/>
                </w:rPr>
              </m:ctrlPr>
            </m:sSubPr>
            <m:e>
              <m:r>
                <m:rPr/>
                <w:rPr>
                  <w:rFonts w:ascii="Cambria Math" w:hAnsi="Cambria Math" w:cs="Times New Roman"/>
                  <w:sz w:val="21"/>
                  <w:szCs w:val="21"/>
                </w:rPr>
                <m:t>TP</m:t>
              </m:r>
              <m:ctrlPr>
                <w:rPr>
                  <w:rFonts w:ascii="Cambria Math" w:hAnsi="Cambria Math" w:cs="Times New Roman"/>
                  <w:sz w:val="21"/>
                  <w:szCs w:val="21"/>
                </w:rPr>
              </m:ctrlPr>
            </m:e>
            <m:sub>
              <m:r>
                <m:rPr/>
                <w:rPr>
                  <w:rFonts w:ascii="Cambria Math" w:hAnsi="Cambria Math" w:cs="Times New Roman"/>
                  <w:sz w:val="21"/>
                  <w:szCs w:val="21"/>
                </w:rPr>
                <m:t>t+1</m:t>
              </m:r>
              <m:ctrlPr>
                <w:rPr>
                  <w:rFonts w:ascii="Cambria Math" w:hAnsi="Cambria Math" w:cs="Times New Roman"/>
                  <w:sz w:val="21"/>
                  <w:szCs w:val="21"/>
                </w:rPr>
              </m:ctrlPr>
            </m:sub>
          </m:sSub>
        </m:oMath>
      </m:oMathPara>
    </w:p>
    <w:p>
      <w:pPr>
        <w:spacing w:line="480" w:lineRule="auto"/>
        <w:ind w:firstLine="420" w:firstLineChars="200"/>
        <w:contextualSpacing/>
        <w:rPr>
          <w:rFonts w:cs="Times New Roman"/>
          <w:sz w:val="21"/>
          <w:szCs w:val="21"/>
        </w:rPr>
      </w:pPr>
      <w:r>
        <w:rPr>
          <w:rFonts w:cs="Times New Roman"/>
          <w:sz w:val="21"/>
          <w:szCs w:val="21"/>
        </w:rPr>
        <w:t xml:space="preserve">In Equation 4, the distance functions </w:t>
      </w:r>
      <m:oMath>
        <m:sSub>
          <m:sSubPr>
            <m:ctrlPr>
              <w:rPr>
                <w:rFonts w:ascii="Cambria Math" w:hAnsi="Cambria Math" w:cs="Times New Roman"/>
                <w:i/>
                <w:sz w:val="21"/>
                <w:szCs w:val="21"/>
              </w:rPr>
            </m:ctrlPr>
          </m:sSubPr>
          <m:e>
            <m:r>
              <m:rPr/>
              <w:rPr>
                <w:rFonts w:ascii="Cambria Math" w:hAnsi="Cambria Math" w:cs="Times New Roman"/>
                <w:sz w:val="21"/>
                <w:szCs w:val="21"/>
              </w:rPr>
              <m:t>D</m:t>
            </m:r>
            <m:ctrlPr>
              <w:rPr>
                <w:rFonts w:ascii="Cambria Math" w:hAnsi="Cambria Math" w:cs="Times New Roman"/>
                <w:i/>
                <w:sz w:val="21"/>
                <w:szCs w:val="21"/>
              </w:rPr>
            </m:ctrlPr>
          </m:e>
          <m:sub>
            <m:r>
              <m:rPr/>
              <w:rPr>
                <w:rFonts w:ascii="Cambria Math" w:hAnsi="Cambria Math" w:cs="Times New Roman"/>
                <w:sz w:val="21"/>
                <w:szCs w:val="21"/>
              </w:rPr>
              <m:t>t</m:t>
            </m:r>
            <m:ctrlPr>
              <w:rPr>
                <w:rFonts w:ascii="Cambria Math" w:hAnsi="Cambria Math" w:cs="Times New Roman"/>
                <w:i/>
                <w:sz w:val="21"/>
                <w:szCs w:val="21"/>
              </w:rPr>
            </m:ctrlPr>
          </m:sub>
        </m:sSub>
        <m:d>
          <m:dPr>
            <m:ctrlPr>
              <w:rPr>
                <w:rFonts w:ascii="Cambria Math" w:hAnsi="Cambria Math" w:cs="Times New Roman"/>
                <w:i/>
                <w:sz w:val="21"/>
                <w:szCs w:val="21"/>
              </w:rPr>
            </m:ctrlPr>
          </m:dPr>
          <m:e>
            <m:sSub>
              <m:sSubPr>
                <m:ctrlPr>
                  <w:rPr>
                    <w:rFonts w:ascii="Cambria Math" w:hAnsi="Cambria Math" w:cs="Times New Roman"/>
                    <w:i/>
                    <w:sz w:val="21"/>
                    <w:szCs w:val="21"/>
                  </w:rPr>
                </m:ctrlPr>
              </m:sSubPr>
              <m:e>
                <m:r>
                  <m:rPr/>
                  <w:rPr>
                    <w:rFonts w:ascii="Cambria Math" w:hAnsi="Cambria Math" w:cs="Times New Roman"/>
                    <w:sz w:val="21"/>
                    <w:szCs w:val="21"/>
                  </w:rPr>
                  <m:t>X</m:t>
                </m:r>
                <m:ctrlPr>
                  <w:rPr>
                    <w:rFonts w:ascii="Cambria Math" w:hAnsi="Cambria Math" w:cs="Times New Roman"/>
                    <w:i/>
                    <w:sz w:val="21"/>
                    <w:szCs w:val="21"/>
                  </w:rPr>
                </m:ctrlPr>
              </m:e>
              <m:sub>
                <m:r>
                  <m:rPr/>
                  <w:rPr>
                    <w:rFonts w:ascii="Cambria Math" w:hAnsi="Cambria Math" w:cs="Times New Roman"/>
                    <w:sz w:val="21"/>
                    <w:szCs w:val="21"/>
                  </w:rPr>
                  <m:t>t</m:t>
                </m:r>
                <m:ctrlPr>
                  <w:rPr>
                    <w:rFonts w:ascii="Cambria Math" w:hAnsi="Cambria Math" w:cs="Times New Roman"/>
                    <w:i/>
                    <w:sz w:val="21"/>
                    <w:szCs w:val="21"/>
                  </w:rPr>
                </m:ctrlPr>
              </m:sub>
            </m:sSub>
            <m:r>
              <m:rPr/>
              <w:rPr>
                <w:rFonts w:ascii="Cambria Math" w:hAnsi="Cambria Math" w:cs="Times New Roman"/>
                <w:sz w:val="21"/>
                <w:szCs w:val="21"/>
              </w:rPr>
              <m:t>,</m:t>
            </m:r>
            <m:sSub>
              <m:sSubPr>
                <m:ctrlPr>
                  <w:rPr>
                    <w:rFonts w:ascii="Cambria Math" w:hAnsi="Cambria Math" w:cs="Times New Roman"/>
                    <w:i/>
                    <w:sz w:val="21"/>
                    <w:szCs w:val="21"/>
                  </w:rPr>
                </m:ctrlPr>
              </m:sSubPr>
              <m:e>
                <m:r>
                  <m:rPr/>
                  <w:rPr>
                    <w:rFonts w:ascii="Cambria Math" w:hAnsi="Cambria Math" w:cs="Times New Roman"/>
                    <w:sz w:val="21"/>
                    <w:szCs w:val="21"/>
                  </w:rPr>
                  <m:t>Y</m:t>
                </m:r>
                <m:ctrlPr>
                  <w:rPr>
                    <w:rFonts w:ascii="Cambria Math" w:hAnsi="Cambria Math" w:cs="Times New Roman"/>
                    <w:i/>
                    <w:sz w:val="21"/>
                    <w:szCs w:val="21"/>
                  </w:rPr>
                </m:ctrlPr>
              </m:e>
              <m:sub>
                <m:r>
                  <m:rPr/>
                  <w:rPr>
                    <w:rFonts w:ascii="Cambria Math" w:hAnsi="Cambria Math" w:cs="Times New Roman"/>
                    <w:sz w:val="21"/>
                    <w:szCs w:val="21"/>
                  </w:rPr>
                  <m:t>t</m:t>
                </m:r>
                <m:ctrlPr>
                  <w:rPr>
                    <w:rFonts w:ascii="Cambria Math" w:hAnsi="Cambria Math" w:cs="Times New Roman"/>
                    <w:i/>
                    <w:sz w:val="21"/>
                    <w:szCs w:val="21"/>
                  </w:rPr>
                </m:ctrlPr>
              </m:sub>
            </m:sSub>
            <m:ctrlPr>
              <w:rPr>
                <w:rFonts w:ascii="Cambria Math" w:hAnsi="Cambria Math" w:cs="Times New Roman"/>
                <w:i/>
                <w:sz w:val="21"/>
                <w:szCs w:val="21"/>
              </w:rPr>
            </m:ctrlPr>
          </m:e>
        </m:d>
      </m:oMath>
      <w:r>
        <w:rPr>
          <w:rFonts w:cs="Times New Roman"/>
          <w:sz w:val="21"/>
          <w:szCs w:val="21"/>
        </w:rPr>
        <w:t xml:space="preserve"> and </w:t>
      </w:r>
      <m:oMath>
        <m:sSub>
          <m:sSubPr>
            <m:ctrlPr>
              <w:rPr>
                <w:rFonts w:ascii="Cambria Math" w:hAnsi="Cambria Math" w:cs="Times New Roman"/>
                <w:i/>
                <w:sz w:val="21"/>
                <w:szCs w:val="21"/>
              </w:rPr>
            </m:ctrlPr>
          </m:sSubPr>
          <m:e>
            <m:r>
              <m:rPr/>
              <w:rPr>
                <w:rFonts w:ascii="Cambria Math" w:hAnsi="Cambria Math" w:cs="Times New Roman"/>
                <w:sz w:val="21"/>
                <w:szCs w:val="21"/>
              </w:rPr>
              <m:t>D</m:t>
            </m:r>
            <m:ctrlPr>
              <w:rPr>
                <w:rFonts w:ascii="Cambria Math" w:hAnsi="Cambria Math" w:cs="Times New Roman"/>
                <w:i/>
                <w:sz w:val="21"/>
                <w:szCs w:val="21"/>
              </w:rPr>
            </m:ctrlPr>
          </m:e>
          <m:sub>
            <m:r>
              <m:rPr/>
              <w:rPr>
                <w:rFonts w:ascii="Cambria Math" w:hAnsi="Cambria Math" w:cs="Times New Roman"/>
                <w:sz w:val="21"/>
                <w:szCs w:val="21"/>
              </w:rPr>
              <m:t>t+1</m:t>
            </m:r>
            <m:ctrlPr>
              <w:rPr>
                <w:rFonts w:ascii="Cambria Math" w:hAnsi="Cambria Math" w:cs="Times New Roman"/>
                <w:i/>
                <w:sz w:val="21"/>
                <w:szCs w:val="21"/>
              </w:rPr>
            </m:ctrlPr>
          </m:sub>
        </m:sSub>
        <m:d>
          <m:dPr>
            <m:ctrlPr>
              <w:rPr>
                <w:rFonts w:ascii="Cambria Math" w:hAnsi="Cambria Math" w:cs="Times New Roman"/>
                <w:i/>
                <w:sz w:val="21"/>
                <w:szCs w:val="21"/>
              </w:rPr>
            </m:ctrlPr>
          </m:dPr>
          <m:e>
            <m:sSub>
              <m:sSubPr>
                <m:ctrlPr>
                  <w:rPr>
                    <w:rFonts w:ascii="Cambria Math" w:hAnsi="Cambria Math" w:cs="Times New Roman"/>
                    <w:i/>
                    <w:sz w:val="21"/>
                    <w:szCs w:val="21"/>
                  </w:rPr>
                </m:ctrlPr>
              </m:sSubPr>
              <m:e>
                <m:r>
                  <m:rPr/>
                  <w:rPr>
                    <w:rFonts w:ascii="Cambria Math" w:hAnsi="Cambria Math" w:cs="Times New Roman"/>
                    <w:sz w:val="21"/>
                    <w:szCs w:val="21"/>
                  </w:rPr>
                  <m:t>X</m:t>
                </m:r>
                <m:ctrlPr>
                  <w:rPr>
                    <w:rFonts w:ascii="Cambria Math" w:hAnsi="Cambria Math" w:cs="Times New Roman"/>
                    <w:i/>
                    <w:sz w:val="21"/>
                    <w:szCs w:val="21"/>
                  </w:rPr>
                </m:ctrlPr>
              </m:e>
              <m:sub>
                <m:r>
                  <m:rPr/>
                  <w:rPr>
                    <w:rFonts w:ascii="Cambria Math" w:hAnsi="Cambria Math" w:cs="Times New Roman"/>
                    <w:sz w:val="21"/>
                    <w:szCs w:val="21"/>
                  </w:rPr>
                  <m:t>t+1</m:t>
                </m:r>
                <m:ctrlPr>
                  <w:rPr>
                    <w:rFonts w:ascii="Cambria Math" w:hAnsi="Cambria Math" w:cs="Times New Roman"/>
                    <w:i/>
                    <w:sz w:val="21"/>
                    <w:szCs w:val="21"/>
                  </w:rPr>
                </m:ctrlPr>
              </m:sub>
            </m:sSub>
            <m:r>
              <m:rPr/>
              <w:rPr>
                <w:rFonts w:ascii="Cambria Math" w:hAnsi="Cambria Math" w:cs="Times New Roman"/>
                <w:sz w:val="21"/>
                <w:szCs w:val="21"/>
              </w:rPr>
              <m:t>,</m:t>
            </m:r>
            <m:sSub>
              <m:sSubPr>
                <m:ctrlPr>
                  <w:rPr>
                    <w:rFonts w:ascii="Cambria Math" w:hAnsi="Cambria Math" w:cs="Times New Roman"/>
                    <w:i/>
                    <w:sz w:val="21"/>
                    <w:szCs w:val="21"/>
                  </w:rPr>
                </m:ctrlPr>
              </m:sSubPr>
              <m:e>
                <m:r>
                  <m:rPr/>
                  <w:rPr>
                    <w:rFonts w:ascii="Cambria Math" w:hAnsi="Cambria Math" w:cs="Times New Roman"/>
                    <w:sz w:val="21"/>
                    <w:szCs w:val="21"/>
                  </w:rPr>
                  <m:t>Y</m:t>
                </m:r>
                <m:ctrlPr>
                  <w:rPr>
                    <w:rFonts w:ascii="Cambria Math" w:hAnsi="Cambria Math" w:cs="Times New Roman"/>
                    <w:i/>
                    <w:sz w:val="21"/>
                    <w:szCs w:val="21"/>
                  </w:rPr>
                </m:ctrlPr>
              </m:e>
              <m:sub>
                <m:r>
                  <m:rPr/>
                  <w:rPr>
                    <w:rFonts w:ascii="Cambria Math" w:hAnsi="Cambria Math" w:cs="Times New Roman"/>
                    <w:sz w:val="21"/>
                    <w:szCs w:val="21"/>
                  </w:rPr>
                  <m:t>t+1</m:t>
                </m:r>
                <m:ctrlPr>
                  <w:rPr>
                    <w:rFonts w:ascii="Cambria Math" w:hAnsi="Cambria Math" w:cs="Times New Roman"/>
                    <w:i/>
                    <w:sz w:val="21"/>
                    <w:szCs w:val="21"/>
                  </w:rPr>
                </m:ctrlPr>
              </m:sub>
            </m:sSub>
            <m:r>
              <m:rPr/>
              <w:rPr>
                <w:rFonts w:ascii="Cambria Math" w:hAnsi="Cambria Math" w:cs="Times New Roman"/>
                <w:sz w:val="21"/>
                <w:szCs w:val="21"/>
              </w:rPr>
              <m:t xml:space="preserve"> </m:t>
            </m:r>
            <m:ctrlPr>
              <w:rPr>
                <w:rFonts w:ascii="Cambria Math" w:hAnsi="Cambria Math" w:cs="Times New Roman"/>
                <w:i/>
                <w:sz w:val="21"/>
                <w:szCs w:val="21"/>
              </w:rPr>
            </m:ctrlPr>
          </m:e>
        </m:d>
      </m:oMath>
      <w:r>
        <w:rPr>
          <w:rFonts w:cs="Times New Roman"/>
          <w:sz w:val="21"/>
          <w:szCs w:val="21"/>
        </w:rPr>
        <w:t xml:space="preserve"> represent the distance between the observation point and the frontal surface in periods </w:t>
      </w:r>
      <m:oMath>
        <m:r>
          <m:rPr/>
          <w:rPr>
            <w:rFonts w:ascii="Cambria Math" w:hAnsi="Cambria Math" w:cs="Times New Roman"/>
            <w:sz w:val="21"/>
            <w:szCs w:val="21"/>
          </w:rPr>
          <m:t>t</m:t>
        </m:r>
      </m:oMath>
      <w:r>
        <w:rPr>
          <w:rFonts w:cs="Times New Roman"/>
          <w:sz w:val="21"/>
          <w:szCs w:val="21"/>
        </w:rPr>
        <w:t xml:space="preserve"> and </w:t>
      </w:r>
      <m:oMath>
        <m:r>
          <m:rPr/>
          <w:rPr>
            <w:rFonts w:ascii="Cambria Math" w:hAnsi="Cambria Math" w:cs="Times New Roman"/>
            <w:sz w:val="21"/>
            <w:szCs w:val="21"/>
          </w:rPr>
          <m:t>t+1</m:t>
        </m:r>
      </m:oMath>
      <w:r>
        <w:rPr>
          <w:rFonts w:cs="Times New Roman"/>
          <w:sz w:val="21"/>
          <w:szCs w:val="21"/>
        </w:rPr>
        <w:t xml:space="preserve">, and </w:t>
      </w:r>
      <m:oMath>
        <m:sSub>
          <m:sSubPr>
            <m:ctrlPr>
              <w:rPr>
                <w:rFonts w:ascii="Cambria Math" w:hAnsi="Cambria Math" w:cs="Times New Roman"/>
                <w:i/>
                <w:sz w:val="21"/>
                <w:szCs w:val="21"/>
              </w:rPr>
            </m:ctrlPr>
          </m:sSubPr>
          <m:e>
            <m:r>
              <m:rPr/>
              <w:rPr>
                <w:rFonts w:ascii="Cambria Math" w:hAnsi="Cambria Math" w:cs="Times New Roman"/>
                <w:sz w:val="21"/>
                <w:szCs w:val="21"/>
              </w:rPr>
              <m:t>D</m:t>
            </m:r>
            <m:ctrlPr>
              <w:rPr>
                <w:rFonts w:ascii="Cambria Math" w:hAnsi="Cambria Math" w:cs="Times New Roman"/>
                <w:i/>
                <w:sz w:val="21"/>
                <w:szCs w:val="21"/>
              </w:rPr>
            </m:ctrlPr>
          </m:e>
          <m:sub>
            <m:r>
              <m:rPr/>
              <w:rPr>
                <w:rFonts w:ascii="Cambria Math" w:hAnsi="Cambria Math" w:cs="Times New Roman"/>
                <w:sz w:val="21"/>
                <w:szCs w:val="21"/>
              </w:rPr>
              <m:t>t</m:t>
            </m:r>
            <m:ctrlPr>
              <w:rPr>
                <w:rFonts w:ascii="Cambria Math" w:hAnsi="Cambria Math" w:cs="Times New Roman"/>
                <w:i/>
                <w:sz w:val="21"/>
                <w:szCs w:val="21"/>
              </w:rPr>
            </m:ctrlPr>
          </m:sub>
        </m:sSub>
        <m:d>
          <m:dPr>
            <m:ctrlPr>
              <w:rPr>
                <w:rFonts w:ascii="Cambria Math" w:hAnsi="Cambria Math" w:cs="Times New Roman"/>
                <w:i/>
                <w:sz w:val="21"/>
                <w:szCs w:val="21"/>
              </w:rPr>
            </m:ctrlPr>
          </m:dPr>
          <m:e>
            <m:sSub>
              <m:sSubPr>
                <m:ctrlPr>
                  <w:rPr>
                    <w:rFonts w:ascii="Cambria Math" w:hAnsi="Cambria Math" w:cs="Times New Roman"/>
                    <w:i/>
                    <w:sz w:val="21"/>
                    <w:szCs w:val="21"/>
                  </w:rPr>
                </m:ctrlPr>
              </m:sSubPr>
              <m:e>
                <m:r>
                  <m:rPr/>
                  <w:rPr>
                    <w:rFonts w:ascii="Cambria Math" w:hAnsi="Cambria Math" w:cs="Times New Roman"/>
                    <w:sz w:val="21"/>
                    <w:szCs w:val="21"/>
                  </w:rPr>
                  <m:t>X</m:t>
                </m:r>
                <m:ctrlPr>
                  <w:rPr>
                    <w:rFonts w:ascii="Cambria Math" w:hAnsi="Cambria Math" w:cs="Times New Roman"/>
                    <w:i/>
                    <w:sz w:val="21"/>
                    <w:szCs w:val="21"/>
                  </w:rPr>
                </m:ctrlPr>
              </m:e>
              <m:sub>
                <m:r>
                  <m:rPr/>
                  <w:rPr>
                    <w:rFonts w:ascii="Cambria Math" w:hAnsi="Cambria Math" w:cs="Times New Roman"/>
                    <w:sz w:val="21"/>
                    <w:szCs w:val="21"/>
                  </w:rPr>
                  <m:t>t+1</m:t>
                </m:r>
                <m:ctrlPr>
                  <w:rPr>
                    <w:rFonts w:ascii="Cambria Math" w:hAnsi="Cambria Math" w:cs="Times New Roman"/>
                    <w:i/>
                    <w:sz w:val="21"/>
                    <w:szCs w:val="21"/>
                  </w:rPr>
                </m:ctrlPr>
              </m:sub>
            </m:sSub>
            <m:r>
              <m:rPr/>
              <w:rPr>
                <w:rFonts w:ascii="Cambria Math" w:hAnsi="Cambria Math" w:cs="Times New Roman"/>
                <w:sz w:val="21"/>
                <w:szCs w:val="21"/>
              </w:rPr>
              <m:t>,</m:t>
            </m:r>
            <m:sSub>
              <m:sSubPr>
                <m:ctrlPr>
                  <w:rPr>
                    <w:rFonts w:ascii="Cambria Math" w:hAnsi="Cambria Math" w:cs="Times New Roman"/>
                    <w:i/>
                    <w:sz w:val="21"/>
                    <w:szCs w:val="21"/>
                  </w:rPr>
                </m:ctrlPr>
              </m:sSubPr>
              <m:e>
                <m:r>
                  <m:rPr/>
                  <w:rPr>
                    <w:rFonts w:ascii="Cambria Math" w:hAnsi="Cambria Math" w:cs="Times New Roman"/>
                    <w:sz w:val="21"/>
                    <w:szCs w:val="21"/>
                  </w:rPr>
                  <m:t>Y</m:t>
                </m:r>
                <m:ctrlPr>
                  <w:rPr>
                    <w:rFonts w:ascii="Cambria Math" w:hAnsi="Cambria Math" w:cs="Times New Roman"/>
                    <w:i/>
                    <w:sz w:val="21"/>
                    <w:szCs w:val="21"/>
                  </w:rPr>
                </m:ctrlPr>
              </m:e>
              <m:sub>
                <m:r>
                  <m:rPr/>
                  <w:rPr>
                    <w:rFonts w:ascii="Cambria Math" w:hAnsi="Cambria Math" w:cs="Times New Roman"/>
                    <w:sz w:val="21"/>
                    <w:szCs w:val="21"/>
                  </w:rPr>
                  <m:t>t+1</m:t>
                </m:r>
                <m:ctrlPr>
                  <w:rPr>
                    <w:rFonts w:ascii="Cambria Math" w:hAnsi="Cambria Math" w:cs="Times New Roman"/>
                    <w:i/>
                    <w:sz w:val="21"/>
                    <w:szCs w:val="21"/>
                  </w:rPr>
                </m:ctrlPr>
              </m:sub>
            </m:sSub>
            <m:r>
              <m:rPr/>
              <w:rPr>
                <w:rFonts w:ascii="Cambria Math" w:hAnsi="Cambria Math" w:cs="Times New Roman"/>
                <w:sz w:val="21"/>
                <w:szCs w:val="21"/>
              </w:rPr>
              <m:t xml:space="preserve"> </m:t>
            </m:r>
            <m:ctrlPr>
              <w:rPr>
                <w:rFonts w:ascii="Cambria Math" w:hAnsi="Cambria Math" w:cs="Times New Roman"/>
                <w:i/>
                <w:sz w:val="21"/>
                <w:szCs w:val="21"/>
              </w:rPr>
            </m:ctrlPr>
          </m:e>
        </m:d>
      </m:oMath>
      <w:r>
        <w:rPr>
          <w:rFonts w:cs="Times New Roman"/>
          <w:sz w:val="21"/>
          <w:szCs w:val="21"/>
        </w:rPr>
        <w:t xml:space="preserve"> and </w:t>
      </w:r>
      <m:oMath>
        <m:sSub>
          <m:sSubPr>
            <m:ctrlPr>
              <w:rPr>
                <w:rFonts w:ascii="Cambria Math" w:hAnsi="Cambria Math" w:cs="Times New Roman"/>
                <w:i/>
                <w:sz w:val="21"/>
                <w:szCs w:val="21"/>
              </w:rPr>
            </m:ctrlPr>
          </m:sSubPr>
          <m:e>
            <m:r>
              <m:rPr/>
              <w:rPr>
                <w:rFonts w:ascii="Cambria Math" w:hAnsi="Cambria Math" w:cs="Times New Roman"/>
                <w:sz w:val="21"/>
                <w:szCs w:val="21"/>
              </w:rPr>
              <m:t>D</m:t>
            </m:r>
            <m:ctrlPr>
              <w:rPr>
                <w:rFonts w:ascii="Cambria Math" w:hAnsi="Cambria Math" w:cs="Times New Roman"/>
                <w:i/>
                <w:sz w:val="21"/>
                <w:szCs w:val="21"/>
              </w:rPr>
            </m:ctrlPr>
          </m:e>
          <m:sub>
            <m:r>
              <m:rPr/>
              <w:rPr>
                <w:rFonts w:ascii="Cambria Math" w:hAnsi="Cambria Math" w:cs="Times New Roman"/>
                <w:sz w:val="21"/>
                <w:szCs w:val="21"/>
              </w:rPr>
              <m:t>t+1</m:t>
            </m:r>
            <m:ctrlPr>
              <w:rPr>
                <w:rFonts w:ascii="Cambria Math" w:hAnsi="Cambria Math" w:cs="Times New Roman"/>
                <w:i/>
                <w:sz w:val="21"/>
                <w:szCs w:val="21"/>
              </w:rPr>
            </m:ctrlPr>
          </m:sub>
        </m:sSub>
        <m:d>
          <m:dPr>
            <m:ctrlPr>
              <w:rPr>
                <w:rFonts w:ascii="Cambria Math" w:hAnsi="Cambria Math" w:cs="Times New Roman"/>
                <w:i/>
                <w:sz w:val="21"/>
                <w:szCs w:val="21"/>
              </w:rPr>
            </m:ctrlPr>
          </m:dPr>
          <m:e>
            <m:sSub>
              <m:sSubPr>
                <m:ctrlPr>
                  <w:rPr>
                    <w:rFonts w:ascii="Cambria Math" w:hAnsi="Cambria Math" w:cs="Times New Roman"/>
                    <w:i/>
                    <w:sz w:val="21"/>
                    <w:szCs w:val="21"/>
                  </w:rPr>
                </m:ctrlPr>
              </m:sSubPr>
              <m:e>
                <m:r>
                  <m:rPr/>
                  <w:rPr>
                    <w:rFonts w:ascii="Cambria Math" w:hAnsi="Cambria Math" w:cs="Times New Roman"/>
                    <w:sz w:val="21"/>
                    <w:szCs w:val="21"/>
                  </w:rPr>
                  <m:t>X</m:t>
                </m:r>
                <m:ctrlPr>
                  <w:rPr>
                    <w:rFonts w:ascii="Cambria Math" w:hAnsi="Cambria Math" w:cs="Times New Roman"/>
                    <w:i/>
                    <w:sz w:val="21"/>
                    <w:szCs w:val="21"/>
                  </w:rPr>
                </m:ctrlPr>
              </m:e>
              <m:sub>
                <m:r>
                  <m:rPr/>
                  <w:rPr>
                    <w:rFonts w:ascii="Cambria Math" w:hAnsi="Cambria Math" w:cs="Times New Roman"/>
                    <w:sz w:val="21"/>
                    <w:szCs w:val="21"/>
                  </w:rPr>
                  <m:t>t</m:t>
                </m:r>
                <m:ctrlPr>
                  <w:rPr>
                    <w:rFonts w:ascii="Cambria Math" w:hAnsi="Cambria Math" w:cs="Times New Roman"/>
                    <w:i/>
                    <w:sz w:val="21"/>
                    <w:szCs w:val="21"/>
                  </w:rPr>
                </m:ctrlPr>
              </m:sub>
            </m:sSub>
            <m:r>
              <m:rPr/>
              <w:rPr>
                <w:rFonts w:ascii="Cambria Math" w:hAnsi="Cambria Math" w:cs="Times New Roman"/>
                <w:sz w:val="21"/>
                <w:szCs w:val="21"/>
              </w:rPr>
              <m:t>,</m:t>
            </m:r>
            <m:sSub>
              <m:sSubPr>
                <m:ctrlPr>
                  <w:rPr>
                    <w:rFonts w:ascii="Cambria Math" w:hAnsi="Cambria Math" w:cs="Times New Roman"/>
                    <w:i/>
                    <w:sz w:val="21"/>
                    <w:szCs w:val="21"/>
                  </w:rPr>
                </m:ctrlPr>
              </m:sSubPr>
              <m:e>
                <m:r>
                  <m:rPr/>
                  <w:rPr>
                    <w:rFonts w:ascii="Cambria Math" w:hAnsi="Cambria Math" w:cs="Times New Roman"/>
                    <w:sz w:val="21"/>
                    <w:szCs w:val="21"/>
                  </w:rPr>
                  <m:t>Y</m:t>
                </m:r>
                <m:ctrlPr>
                  <w:rPr>
                    <w:rFonts w:ascii="Cambria Math" w:hAnsi="Cambria Math" w:cs="Times New Roman"/>
                    <w:i/>
                    <w:sz w:val="21"/>
                    <w:szCs w:val="21"/>
                  </w:rPr>
                </m:ctrlPr>
              </m:e>
              <m:sub>
                <m:r>
                  <m:rPr/>
                  <w:rPr>
                    <w:rFonts w:ascii="Cambria Math" w:hAnsi="Cambria Math" w:cs="Times New Roman"/>
                    <w:sz w:val="21"/>
                    <w:szCs w:val="21"/>
                  </w:rPr>
                  <m:t>t</m:t>
                </m:r>
                <m:ctrlPr>
                  <w:rPr>
                    <w:rFonts w:ascii="Cambria Math" w:hAnsi="Cambria Math" w:cs="Times New Roman"/>
                    <w:i/>
                    <w:sz w:val="21"/>
                    <w:szCs w:val="21"/>
                  </w:rPr>
                </m:ctrlPr>
              </m:sub>
            </m:sSub>
            <m:r>
              <m:rPr/>
              <w:rPr>
                <w:rFonts w:ascii="Cambria Math" w:hAnsi="Cambria Math" w:cs="Times New Roman"/>
                <w:sz w:val="21"/>
                <w:szCs w:val="21"/>
              </w:rPr>
              <m:t xml:space="preserve"> </m:t>
            </m:r>
            <m:ctrlPr>
              <w:rPr>
                <w:rFonts w:ascii="Cambria Math" w:hAnsi="Cambria Math" w:cs="Times New Roman"/>
                <w:i/>
                <w:sz w:val="21"/>
                <w:szCs w:val="21"/>
              </w:rPr>
            </m:ctrlPr>
          </m:e>
        </m:d>
      </m:oMath>
      <w:r>
        <w:rPr>
          <w:rFonts w:cs="Times New Roman"/>
          <w:sz w:val="21"/>
          <w:szCs w:val="21"/>
        </w:rPr>
        <w:t xml:space="preserve"> represent the maximum value of the possible reduction of </w:t>
      </w:r>
      <m:oMath>
        <m:d>
          <m:dPr>
            <m:ctrlPr>
              <w:rPr>
                <w:rFonts w:ascii="Cambria Math" w:hAnsi="Cambria Math" w:cs="Times New Roman"/>
                <w:i/>
                <w:sz w:val="21"/>
                <w:szCs w:val="21"/>
              </w:rPr>
            </m:ctrlPr>
          </m:dPr>
          <m:e>
            <m:sSub>
              <m:sSubPr>
                <m:ctrlPr>
                  <w:rPr>
                    <w:rFonts w:ascii="Cambria Math" w:hAnsi="Cambria Math" w:cs="Times New Roman"/>
                    <w:i/>
                    <w:sz w:val="21"/>
                    <w:szCs w:val="21"/>
                  </w:rPr>
                </m:ctrlPr>
              </m:sSubPr>
              <m:e>
                <m:r>
                  <m:rPr/>
                  <w:rPr>
                    <w:rFonts w:ascii="Cambria Math" w:hAnsi="Cambria Math" w:cs="Times New Roman"/>
                    <w:sz w:val="21"/>
                    <w:szCs w:val="21"/>
                  </w:rPr>
                  <m:t>X</m:t>
                </m:r>
                <m:ctrlPr>
                  <w:rPr>
                    <w:rFonts w:ascii="Cambria Math" w:hAnsi="Cambria Math" w:cs="Times New Roman"/>
                    <w:i/>
                    <w:sz w:val="21"/>
                    <w:szCs w:val="21"/>
                  </w:rPr>
                </m:ctrlPr>
              </m:e>
              <m:sub>
                <m:r>
                  <m:rPr/>
                  <w:rPr>
                    <w:rFonts w:ascii="Cambria Math" w:hAnsi="Cambria Math" w:cs="Times New Roman"/>
                    <w:sz w:val="21"/>
                    <w:szCs w:val="21"/>
                  </w:rPr>
                  <m:t>t+1</m:t>
                </m:r>
                <m:ctrlPr>
                  <w:rPr>
                    <w:rFonts w:ascii="Cambria Math" w:hAnsi="Cambria Math" w:cs="Times New Roman"/>
                    <w:i/>
                    <w:sz w:val="21"/>
                    <w:szCs w:val="21"/>
                  </w:rPr>
                </m:ctrlPr>
              </m:sub>
            </m:sSub>
            <m:r>
              <m:rPr/>
              <w:rPr>
                <w:rFonts w:ascii="Cambria Math" w:hAnsi="Cambria Math" w:cs="Times New Roman"/>
                <w:sz w:val="21"/>
                <w:szCs w:val="21"/>
              </w:rPr>
              <m:t>,</m:t>
            </m:r>
            <m:sSub>
              <m:sSubPr>
                <m:ctrlPr>
                  <w:rPr>
                    <w:rFonts w:ascii="Cambria Math" w:hAnsi="Cambria Math" w:cs="Times New Roman"/>
                    <w:i/>
                    <w:sz w:val="21"/>
                    <w:szCs w:val="21"/>
                  </w:rPr>
                </m:ctrlPr>
              </m:sSubPr>
              <m:e>
                <m:r>
                  <m:rPr/>
                  <w:rPr>
                    <w:rFonts w:ascii="Cambria Math" w:hAnsi="Cambria Math" w:cs="Times New Roman"/>
                    <w:sz w:val="21"/>
                    <w:szCs w:val="21"/>
                  </w:rPr>
                  <m:t>Y</m:t>
                </m:r>
                <m:ctrlPr>
                  <w:rPr>
                    <w:rFonts w:ascii="Cambria Math" w:hAnsi="Cambria Math" w:cs="Times New Roman"/>
                    <w:i/>
                    <w:sz w:val="21"/>
                    <w:szCs w:val="21"/>
                  </w:rPr>
                </m:ctrlPr>
              </m:e>
              <m:sub>
                <m:r>
                  <m:rPr/>
                  <w:rPr>
                    <w:rFonts w:ascii="Cambria Math" w:hAnsi="Cambria Math" w:cs="Times New Roman"/>
                    <w:sz w:val="21"/>
                    <w:szCs w:val="21"/>
                  </w:rPr>
                  <m:t>t+1</m:t>
                </m:r>
                <m:ctrlPr>
                  <w:rPr>
                    <w:rFonts w:ascii="Cambria Math" w:hAnsi="Cambria Math" w:cs="Times New Roman"/>
                    <w:i/>
                    <w:sz w:val="21"/>
                    <w:szCs w:val="21"/>
                  </w:rPr>
                </m:ctrlPr>
              </m:sub>
            </m:sSub>
            <m:r>
              <m:rPr/>
              <w:rPr>
                <w:rFonts w:ascii="Cambria Math" w:hAnsi="Cambria Math" w:cs="Times New Roman"/>
                <w:sz w:val="21"/>
                <w:szCs w:val="21"/>
              </w:rPr>
              <m:t xml:space="preserve"> </m:t>
            </m:r>
            <m:ctrlPr>
              <w:rPr>
                <w:rFonts w:ascii="Cambria Math" w:hAnsi="Cambria Math" w:cs="Times New Roman"/>
                <w:i/>
                <w:sz w:val="21"/>
                <w:szCs w:val="21"/>
              </w:rPr>
            </m:ctrlPr>
          </m:e>
        </m:d>
      </m:oMath>
      <w:r>
        <w:rPr>
          <w:rFonts w:cs="Times New Roman"/>
          <w:sz w:val="21"/>
          <w:szCs w:val="21"/>
        </w:rPr>
        <w:t xml:space="preserve"> and </w:t>
      </w:r>
      <m:oMath>
        <m:d>
          <m:dPr>
            <m:ctrlPr>
              <w:rPr>
                <w:rFonts w:ascii="Cambria Math" w:hAnsi="Cambria Math" w:cs="Times New Roman"/>
                <w:i/>
                <w:sz w:val="21"/>
                <w:szCs w:val="21"/>
              </w:rPr>
            </m:ctrlPr>
          </m:dPr>
          <m:e>
            <m:sSub>
              <m:sSubPr>
                <m:ctrlPr>
                  <w:rPr>
                    <w:rFonts w:ascii="Cambria Math" w:hAnsi="Cambria Math" w:cs="Times New Roman"/>
                    <w:i/>
                    <w:sz w:val="21"/>
                    <w:szCs w:val="21"/>
                  </w:rPr>
                </m:ctrlPr>
              </m:sSubPr>
              <m:e>
                <m:r>
                  <m:rPr/>
                  <w:rPr>
                    <w:rFonts w:ascii="Cambria Math" w:hAnsi="Cambria Math" w:cs="Times New Roman"/>
                    <w:sz w:val="21"/>
                    <w:szCs w:val="21"/>
                  </w:rPr>
                  <m:t>X</m:t>
                </m:r>
                <m:ctrlPr>
                  <w:rPr>
                    <w:rFonts w:ascii="Cambria Math" w:hAnsi="Cambria Math" w:cs="Times New Roman"/>
                    <w:i/>
                    <w:sz w:val="21"/>
                    <w:szCs w:val="21"/>
                  </w:rPr>
                </m:ctrlPr>
              </m:e>
              <m:sub>
                <m:r>
                  <m:rPr/>
                  <w:rPr>
                    <w:rFonts w:ascii="Cambria Math" w:hAnsi="Cambria Math" w:cs="Times New Roman"/>
                    <w:sz w:val="21"/>
                    <w:szCs w:val="21"/>
                  </w:rPr>
                  <m:t>t</m:t>
                </m:r>
                <m:ctrlPr>
                  <w:rPr>
                    <w:rFonts w:ascii="Cambria Math" w:hAnsi="Cambria Math" w:cs="Times New Roman"/>
                    <w:i/>
                    <w:sz w:val="21"/>
                    <w:szCs w:val="21"/>
                  </w:rPr>
                </m:ctrlPr>
              </m:sub>
            </m:sSub>
            <m:r>
              <m:rPr/>
              <w:rPr>
                <w:rFonts w:ascii="Cambria Math" w:hAnsi="Cambria Math" w:cs="Times New Roman"/>
                <w:sz w:val="21"/>
                <w:szCs w:val="21"/>
              </w:rPr>
              <m:t>,</m:t>
            </m:r>
            <m:sSub>
              <m:sSubPr>
                <m:ctrlPr>
                  <w:rPr>
                    <w:rFonts w:ascii="Cambria Math" w:hAnsi="Cambria Math" w:cs="Times New Roman"/>
                    <w:i/>
                    <w:sz w:val="21"/>
                    <w:szCs w:val="21"/>
                  </w:rPr>
                </m:ctrlPr>
              </m:sSubPr>
              <m:e>
                <m:r>
                  <m:rPr/>
                  <w:rPr>
                    <w:rFonts w:ascii="Cambria Math" w:hAnsi="Cambria Math" w:cs="Times New Roman"/>
                    <w:sz w:val="21"/>
                    <w:szCs w:val="21"/>
                  </w:rPr>
                  <m:t>Y</m:t>
                </m:r>
                <m:ctrlPr>
                  <w:rPr>
                    <w:rFonts w:ascii="Cambria Math" w:hAnsi="Cambria Math" w:cs="Times New Roman"/>
                    <w:i/>
                    <w:sz w:val="21"/>
                    <w:szCs w:val="21"/>
                  </w:rPr>
                </m:ctrlPr>
              </m:e>
              <m:sub>
                <m:r>
                  <m:rPr/>
                  <w:rPr>
                    <w:rFonts w:ascii="Cambria Math" w:hAnsi="Cambria Math" w:cs="Times New Roman"/>
                    <w:sz w:val="21"/>
                    <w:szCs w:val="21"/>
                  </w:rPr>
                  <m:t>t</m:t>
                </m:r>
                <m:ctrlPr>
                  <w:rPr>
                    <w:rFonts w:ascii="Cambria Math" w:hAnsi="Cambria Math" w:cs="Times New Roman"/>
                    <w:i/>
                    <w:sz w:val="21"/>
                    <w:szCs w:val="21"/>
                  </w:rPr>
                </m:ctrlPr>
              </m:sub>
            </m:sSub>
            <m:r>
              <m:rPr/>
              <w:rPr>
                <w:rFonts w:ascii="Cambria Math" w:hAnsi="Cambria Math" w:cs="Times New Roman"/>
                <w:sz w:val="21"/>
                <w:szCs w:val="21"/>
              </w:rPr>
              <m:t xml:space="preserve"> </m:t>
            </m:r>
            <m:ctrlPr>
              <w:rPr>
                <w:rFonts w:ascii="Cambria Math" w:hAnsi="Cambria Math" w:cs="Times New Roman"/>
                <w:i/>
                <w:sz w:val="21"/>
                <w:szCs w:val="21"/>
              </w:rPr>
            </m:ctrlPr>
          </m:e>
        </m:d>
      </m:oMath>
      <w:r>
        <w:rPr>
          <w:rFonts w:cs="Times New Roman"/>
          <w:sz w:val="21"/>
          <w:szCs w:val="21"/>
        </w:rPr>
        <w:t xml:space="preserve"> input under the feasible conditions under the technical conditions of periods </w:t>
      </w:r>
      <m:oMath>
        <m:r>
          <m:rPr/>
          <w:rPr>
            <w:rFonts w:ascii="Cambria Math" w:hAnsi="Cambria Math" w:cs="Times New Roman"/>
            <w:sz w:val="21"/>
            <w:szCs w:val="21"/>
          </w:rPr>
          <m:t>t</m:t>
        </m:r>
      </m:oMath>
      <w:r>
        <w:rPr>
          <w:rFonts w:cs="Times New Roman"/>
          <w:sz w:val="21"/>
          <w:szCs w:val="21"/>
        </w:rPr>
        <w:t xml:space="preserve"> and </w:t>
      </w:r>
      <m:oMath>
        <m:r>
          <m:rPr/>
          <w:rPr>
            <w:rFonts w:ascii="Cambria Math" w:hAnsi="Cambria Math" w:cs="Times New Roman"/>
            <w:sz w:val="21"/>
            <w:szCs w:val="21"/>
          </w:rPr>
          <m:t>t+1</m:t>
        </m:r>
      </m:oMath>
      <w:r>
        <w:rPr>
          <w:rFonts w:cs="Times New Roman"/>
          <w:sz w:val="21"/>
          <w:szCs w:val="21"/>
        </w:rPr>
        <w:t xml:space="preserve">. </w:t>
      </w:r>
      <m:oMath>
        <m:r>
          <m:rPr/>
          <w:rPr>
            <w:rFonts w:ascii="Cambria Math" w:hAnsi="Cambria Math" w:cs="Times New Roman"/>
            <w:sz w:val="21"/>
            <w:szCs w:val="21"/>
          </w:rPr>
          <m:t>M</m:t>
        </m:r>
      </m:oMath>
      <w:r>
        <w:rPr>
          <w:rFonts w:cs="Times New Roman"/>
          <w:sz w:val="21"/>
          <w:szCs w:val="21"/>
        </w:rPr>
        <w:t xml:space="preserve"> represents the Malmquist index. </w:t>
      </w:r>
      <w:r>
        <w:rPr>
          <w:rFonts w:eastAsia="DengXian" w:cs="Times New Roman"/>
          <w:sz w:val="21"/>
          <w:szCs w:val="21"/>
        </w:rPr>
        <w:t xml:space="preserve">When </w:t>
      </w:r>
      <m:oMath>
        <m:r>
          <m:rPr/>
          <w:rPr>
            <w:rFonts w:ascii="Cambria Math" w:hAnsi="Cambria Math" w:cs="Times New Roman"/>
            <w:sz w:val="21"/>
            <w:szCs w:val="21"/>
          </w:rPr>
          <m:t>M&gt;1</m:t>
        </m:r>
      </m:oMath>
      <w:r>
        <w:rPr>
          <w:rFonts w:cs="Times New Roman"/>
          <w:sz w:val="21"/>
          <w:szCs w:val="21"/>
        </w:rPr>
        <w:t xml:space="preserve">, the efficiency is improved; when </w:t>
      </w:r>
      <m:oMath>
        <m:r>
          <m:rPr/>
          <w:rPr>
            <w:rFonts w:ascii="Cambria Math" w:hAnsi="Cambria Math" w:cs="Times New Roman"/>
            <w:sz w:val="21"/>
            <w:szCs w:val="21"/>
          </w:rPr>
          <m:t>M=1</m:t>
        </m:r>
      </m:oMath>
      <w:r>
        <w:rPr>
          <w:rFonts w:cs="Times New Roman"/>
          <w:sz w:val="21"/>
          <w:szCs w:val="21"/>
        </w:rPr>
        <w:t>, the efficiency is unchanged;</w:t>
      </w:r>
      <w:r>
        <w:rPr>
          <w:rFonts w:eastAsia="DengXian" w:cs="Times New Roman"/>
          <w:sz w:val="21"/>
          <w:szCs w:val="21"/>
        </w:rPr>
        <w:t xml:space="preserve"> and</w:t>
      </w:r>
      <w:r>
        <w:rPr>
          <w:rFonts w:cs="Times New Roman"/>
          <w:sz w:val="21"/>
          <w:szCs w:val="21"/>
        </w:rPr>
        <w:t xml:space="preserve"> when </w:t>
      </w:r>
      <m:oMath>
        <m:r>
          <m:rPr/>
          <w:rPr>
            <w:rFonts w:ascii="Cambria Math" w:hAnsi="Cambria Math" w:cs="Times New Roman"/>
            <w:sz w:val="21"/>
            <w:szCs w:val="21"/>
          </w:rPr>
          <m:t>M&lt;1</m:t>
        </m:r>
      </m:oMath>
      <w:r>
        <w:rPr>
          <w:rFonts w:cs="Times New Roman"/>
          <w:sz w:val="21"/>
          <w:szCs w:val="21"/>
        </w:rPr>
        <w:t>, the efficiency is reduced.</w:t>
      </w:r>
    </w:p>
    <w:p>
      <w:pPr>
        <w:spacing w:line="480" w:lineRule="auto"/>
        <w:ind w:firstLine="420" w:firstLineChars="200"/>
        <w:contextualSpacing/>
        <w:rPr>
          <w:rFonts w:cs="Times New Roman"/>
          <w:sz w:val="21"/>
          <w:szCs w:val="21"/>
        </w:rPr>
      </w:pPr>
      <w:r>
        <w:rPr>
          <w:rFonts w:cs="Times New Roman"/>
          <w:sz w:val="21"/>
          <w:szCs w:val="21"/>
        </w:rPr>
        <w:t xml:space="preserve">It can be seen from the above that the Malmquist index is further decomposed into technical efficiency change (TEC) and technological progress (TP). At the same time, the TEC can be decomposed into pure technical efficiency (PTE) and scale efficiency (SE). Among them, TEC is the relative efficiency change, which represents the degree of catch-up from the DMU to the production frontier from period </w:t>
      </w:r>
      <m:oMath>
        <m:r>
          <m:rPr/>
          <w:rPr>
            <w:rFonts w:ascii="Cambria Math" w:hAnsi="Cambria Math" w:cs="Times New Roman"/>
            <w:sz w:val="21"/>
            <w:szCs w:val="21"/>
          </w:rPr>
          <m:t>t</m:t>
        </m:r>
      </m:oMath>
      <w:r>
        <w:rPr>
          <w:rFonts w:cs="Times New Roman"/>
          <w:sz w:val="21"/>
          <w:szCs w:val="21"/>
        </w:rPr>
        <w:t xml:space="preserve"> to period </w:t>
      </w:r>
      <m:oMath>
        <m:r>
          <m:rPr/>
          <w:rPr>
            <w:rFonts w:ascii="Cambria Math" w:hAnsi="Cambria Math" w:cs="Times New Roman"/>
            <w:sz w:val="21"/>
            <w:szCs w:val="21"/>
          </w:rPr>
          <m:t>t+1</m:t>
        </m:r>
      </m:oMath>
      <w:r>
        <w:rPr>
          <w:rFonts w:cs="Times New Roman"/>
          <w:sz w:val="21"/>
          <w:szCs w:val="21"/>
        </w:rPr>
        <w:t xml:space="preserve">. </w:t>
      </w:r>
      <w:bookmarkStart w:id="27" w:name="_SAM_M_015"/>
      <w:r>
        <w:rPr>
          <w:rFonts w:cs="Times New Roman"/>
          <w:sz w:val="21"/>
          <w:szCs w:val="21"/>
        </w:rPr>
        <w:t xml:space="preserve">TP is the change </w:t>
      </w:r>
      <w:r>
        <w:rPr>
          <w:rFonts w:eastAsia="DengXian" w:cs="Times New Roman"/>
          <w:sz w:val="21"/>
          <w:szCs w:val="21"/>
        </w:rPr>
        <w:t>in</w:t>
      </w:r>
      <w:r>
        <w:rPr>
          <w:rFonts w:cs="Times New Roman"/>
          <w:sz w:val="21"/>
          <w:szCs w:val="21"/>
        </w:rPr>
        <w:t xml:space="preserve"> production technology in two adjacent periods, which represents the movement of the production frontier.</w:t>
      </w:r>
      <w:bookmarkEnd w:id="27"/>
      <w:r>
        <w:rPr>
          <w:rFonts w:cs="Times New Roman"/>
          <w:sz w:val="21"/>
          <w:szCs w:val="21"/>
        </w:rPr>
        <w:t xml:space="preserve"> PTE and SE are also </w:t>
      </w:r>
      <w:r>
        <w:rPr>
          <w:rFonts w:eastAsia="DengXian" w:cs="Times New Roman"/>
          <w:sz w:val="21"/>
          <w:szCs w:val="21"/>
        </w:rPr>
        <w:t>changes</w:t>
      </w:r>
      <w:r>
        <w:rPr>
          <w:rFonts w:cs="Times New Roman"/>
          <w:sz w:val="21"/>
          <w:szCs w:val="21"/>
        </w:rPr>
        <w:t xml:space="preserve"> in relative efficiency, which refer to the changes in the ability to obtain the maximum output under a given input and the changes in the distance from the optimal investment scale from period </w:t>
      </w:r>
      <m:oMath>
        <m:r>
          <m:rPr/>
          <w:rPr>
            <w:rFonts w:ascii="Cambria Math" w:hAnsi="Cambria Math" w:cs="Times New Roman"/>
            <w:sz w:val="21"/>
            <w:szCs w:val="21"/>
          </w:rPr>
          <m:t>t</m:t>
        </m:r>
      </m:oMath>
      <w:r>
        <w:rPr>
          <w:rFonts w:cs="Times New Roman"/>
          <w:sz w:val="21"/>
          <w:szCs w:val="21"/>
        </w:rPr>
        <w:t xml:space="preserve"> to period </w:t>
      </w:r>
      <m:oMath>
        <m:r>
          <m:rPr/>
          <w:rPr>
            <w:rFonts w:ascii="Cambria Math" w:hAnsi="Cambria Math" w:cs="Times New Roman"/>
            <w:sz w:val="21"/>
            <w:szCs w:val="21"/>
          </w:rPr>
          <m:t>t+1</m:t>
        </m:r>
      </m:oMath>
      <w:r>
        <w:rPr>
          <w:rFonts w:ascii="Cambria Math" w:hAnsi="Cambria Math" w:eastAsia="DengXian" w:cs="Times New Roman"/>
          <w:sz w:val="21"/>
          <w:szCs w:val="21"/>
        </w:rPr>
        <w:t>, respectively</w:t>
      </w:r>
      <w:r>
        <w:rPr>
          <w:rFonts w:cs="Times New Roman"/>
          <w:sz w:val="21"/>
          <w:szCs w:val="21"/>
        </w:rPr>
        <w:t>.</w:t>
      </w:r>
    </w:p>
    <w:p>
      <w:pPr>
        <w:spacing w:line="480" w:lineRule="auto"/>
        <w:contextualSpacing/>
        <w:rPr>
          <w:rFonts w:cs="Times New Roman"/>
          <w:sz w:val="21"/>
          <w:szCs w:val="21"/>
        </w:rPr>
      </w:pPr>
    </w:p>
    <w:p>
      <w:pPr>
        <w:spacing w:line="480" w:lineRule="auto"/>
        <w:contextualSpacing/>
        <w:outlineLvl w:val="0"/>
        <w:rPr>
          <w:rFonts w:cs="Times New Roman"/>
          <w:b/>
          <w:i/>
          <w:sz w:val="21"/>
          <w:szCs w:val="21"/>
        </w:rPr>
      </w:pPr>
      <w:bookmarkStart w:id="28" w:name="_SAM_M_018"/>
      <w:r>
        <w:rPr>
          <w:rFonts w:cs="Times New Roman"/>
          <w:b/>
          <w:i/>
          <w:sz w:val="21"/>
          <w:szCs w:val="21"/>
        </w:rPr>
        <w:t>2.2 Data</w:t>
      </w:r>
    </w:p>
    <w:p>
      <w:pPr>
        <w:spacing w:line="480" w:lineRule="auto"/>
        <w:contextualSpacing/>
        <w:outlineLvl w:val="0"/>
        <w:rPr>
          <w:rFonts w:cs="Times New Roman"/>
          <w:b/>
          <w:i/>
          <w:sz w:val="21"/>
          <w:szCs w:val="21"/>
        </w:rPr>
      </w:pPr>
      <w:r>
        <w:rPr>
          <w:rFonts w:cs="Times New Roman"/>
          <w:b/>
          <w:i/>
          <w:sz w:val="21"/>
          <w:szCs w:val="21"/>
        </w:rPr>
        <w:t>2.2.1 Input and output variables</w:t>
      </w:r>
    </w:p>
    <w:p>
      <w:pPr>
        <w:spacing w:line="480" w:lineRule="auto"/>
        <w:ind w:firstLine="720"/>
        <w:contextualSpacing/>
        <w:rPr>
          <w:rFonts w:cs="Times New Roman"/>
          <w:sz w:val="21"/>
          <w:szCs w:val="21"/>
        </w:rPr>
      </w:pPr>
      <w:r>
        <w:rPr>
          <w:rFonts w:cs="Times New Roman"/>
          <w:sz w:val="21"/>
          <w:szCs w:val="21"/>
        </w:rPr>
        <w:t>Before we use the Super-SBM model and the DEA-Malmquist model to evaluate the efficiency of China's forestry investment, we need to select appropriate input variables and output variables.</w:t>
      </w:r>
      <w:bookmarkEnd w:id="28"/>
      <w:r>
        <w:rPr>
          <w:rFonts w:cs="Times New Roman"/>
          <w:sz w:val="21"/>
          <w:szCs w:val="21"/>
        </w:rPr>
        <w:t xml:space="preserve"> We first determine that the production endowments are mainly land, capital and labor according to classical economic theory. We map the theoretical production relationship to forestry production, and then the three production factors become the forestry investment, number of forestry system employees, and forestry land area. This input variable setting method is also consistent with the choices made by researchers such as </w:t>
      </w:r>
      <w:r>
        <w:rPr>
          <w:rFonts w:cs="Times New Roman"/>
          <w:color w:val="00B0F0"/>
          <w:sz w:val="21"/>
          <w:szCs w:val="21"/>
        </w:rPr>
        <w:t>Li et al. (2017)</w:t>
      </w:r>
      <w:r>
        <w:rPr>
          <w:rFonts w:cs="Times New Roman"/>
          <w:sz w:val="21"/>
          <w:szCs w:val="21"/>
        </w:rPr>
        <w:t xml:space="preserve">, </w:t>
      </w:r>
      <w:r>
        <w:rPr>
          <w:rFonts w:cs="Times New Roman"/>
          <w:color w:val="00B0F0"/>
          <w:sz w:val="21"/>
          <w:szCs w:val="21"/>
        </w:rPr>
        <w:t>Lin and Ge (2019)</w:t>
      </w:r>
      <w:r>
        <w:rPr>
          <w:rFonts w:cs="Times New Roman"/>
          <w:sz w:val="21"/>
          <w:szCs w:val="21"/>
        </w:rPr>
        <w:t xml:space="preserve">, and </w:t>
      </w:r>
      <w:r>
        <w:rPr>
          <w:rFonts w:cs="Times New Roman"/>
          <w:color w:val="00B0F0"/>
          <w:sz w:val="21"/>
          <w:szCs w:val="21"/>
        </w:rPr>
        <w:t>Wu and Zhang (2020)</w:t>
      </w:r>
      <w:r>
        <w:rPr>
          <w:rFonts w:cs="Times New Roman"/>
          <w:sz w:val="21"/>
          <w:szCs w:val="21"/>
        </w:rPr>
        <w:t xml:space="preserve"> in related research.</w:t>
      </w:r>
    </w:p>
    <w:p>
      <w:pPr>
        <w:spacing w:line="480" w:lineRule="auto"/>
        <w:ind w:firstLine="720"/>
        <w:contextualSpacing/>
        <w:rPr>
          <w:rFonts w:cs="Times New Roman"/>
          <w:sz w:val="21"/>
          <w:szCs w:val="21"/>
        </w:rPr>
      </w:pPr>
      <w:r>
        <w:rPr>
          <w:rFonts w:cs="Times New Roman"/>
          <w:sz w:val="21"/>
          <w:szCs w:val="21"/>
        </w:rPr>
        <w:t>Our output variables consider two aspects: one is the economic benefits brought</w:t>
      </w:r>
      <w:r>
        <w:rPr>
          <w:rFonts w:eastAsia="DengXian" w:cs="Times New Roman"/>
          <w:sz w:val="21"/>
          <w:szCs w:val="21"/>
        </w:rPr>
        <w:t xml:space="preserve"> about</w:t>
      </w:r>
      <w:r>
        <w:rPr>
          <w:rFonts w:cs="Times New Roman"/>
          <w:sz w:val="21"/>
          <w:szCs w:val="21"/>
        </w:rPr>
        <w:t xml:space="preserve"> by forestry investment, and the other is the environmental benefits brought about by forestry investment. The economic benefit is measured by the value of forestry output, which is the same as the choice of most researchers </w:t>
      </w:r>
      <w:r>
        <w:rPr>
          <w:rFonts w:cs="Times New Roman"/>
          <w:color w:val="00B0F0"/>
          <w:sz w:val="21"/>
          <w:szCs w:val="21"/>
        </w:rPr>
        <w:t>(e.g., Li et al., 2017; Lin and Ge, 2019; Wu and Zhang, 2020)</w:t>
      </w:r>
      <w:r>
        <w:rPr>
          <w:rFonts w:cs="Times New Roman"/>
          <w:sz w:val="21"/>
          <w:szCs w:val="21"/>
        </w:rPr>
        <w:t xml:space="preserve">. </w:t>
      </w:r>
      <w:r>
        <w:rPr>
          <w:rFonts w:eastAsia="DengXian" w:cs="Times New Roman"/>
          <w:sz w:val="21"/>
          <w:szCs w:val="21"/>
        </w:rPr>
        <w:t>However,</w:t>
      </w:r>
      <w:r>
        <w:rPr>
          <w:rFonts w:cs="Times New Roman"/>
          <w:sz w:val="21"/>
          <w:szCs w:val="21"/>
        </w:rPr>
        <w:t xml:space="preserve"> in terms of environmental benefits, we also consider two aspects: one is the benefit of carbon emission reduction, and the other is the benefit of environmental purification. We use forest carbon sinks to measure the benefits of carbon emission reduction. Environmental purification benefits are limited by the availability of data and will be measured by the reduction of sulfur dioxide emissions. China is the country with the largest sulfur dioxide emissions in the world, which has severely affected China’s environment</w:t>
      </w:r>
      <w:r>
        <w:rPr>
          <w:rFonts w:cs="Times New Roman"/>
          <w:color w:val="00B0F0"/>
          <w:sz w:val="21"/>
          <w:szCs w:val="21"/>
        </w:rPr>
        <w:t xml:space="preserve"> (Zeng et al., 2018)</w:t>
      </w:r>
      <w:r>
        <w:rPr>
          <w:rFonts w:cs="Times New Roman"/>
          <w:sz w:val="21"/>
          <w:szCs w:val="21"/>
        </w:rPr>
        <w:t xml:space="preserve">. The forest can absorb sulfur dioxide to a certain extent, thereby purifying the air </w:t>
      </w:r>
      <w:r>
        <w:rPr>
          <w:rFonts w:cs="Times New Roman"/>
          <w:color w:val="00B0F0"/>
          <w:sz w:val="21"/>
          <w:szCs w:val="21"/>
        </w:rPr>
        <w:t>(Parsa et al., 2019)</w:t>
      </w:r>
      <w:r>
        <w:rPr>
          <w:rFonts w:cs="Times New Roman"/>
          <w:sz w:val="21"/>
          <w:szCs w:val="21"/>
        </w:rPr>
        <w:t>.</w:t>
      </w:r>
    </w:p>
    <w:p>
      <w:pPr>
        <w:spacing w:line="480" w:lineRule="auto"/>
        <w:contextualSpacing/>
        <w:rPr>
          <w:rFonts w:cs="Times New Roman"/>
          <w:sz w:val="21"/>
          <w:szCs w:val="21"/>
        </w:rPr>
      </w:pPr>
    </w:p>
    <w:p>
      <w:pPr>
        <w:spacing w:line="480" w:lineRule="auto"/>
        <w:contextualSpacing/>
        <w:outlineLvl w:val="0"/>
        <w:rPr>
          <w:rFonts w:cs="Times New Roman"/>
          <w:i/>
          <w:sz w:val="21"/>
          <w:szCs w:val="21"/>
        </w:rPr>
      </w:pPr>
      <w:r>
        <w:rPr>
          <w:rFonts w:cs="Times New Roman"/>
          <w:i/>
          <w:sz w:val="21"/>
          <w:szCs w:val="21"/>
        </w:rPr>
        <w:t>2.2.2 Data Sources</w:t>
      </w:r>
    </w:p>
    <w:p>
      <w:pPr>
        <w:spacing w:line="480" w:lineRule="auto"/>
        <w:ind w:firstLine="720"/>
        <w:contextualSpacing/>
        <w:rPr>
          <w:rFonts w:cs="Times New Roman"/>
          <w:sz w:val="21"/>
          <w:szCs w:val="21"/>
        </w:rPr>
      </w:pPr>
      <w:r>
        <w:rPr>
          <w:rFonts w:cs="Times New Roman"/>
          <w:sz w:val="21"/>
          <w:szCs w:val="21"/>
        </w:rPr>
        <w:t xml:space="preserve">We study forestry investment efficiency </w:t>
      </w:r>
      <w:r>
        <w:rPr>
          <w:rFonts w:eastAsia="宋体" w:cs="Times New Roman"/>
          <w:sz w:val="21"/>
          <w:szCs w:val="21"/>
        </w:rPr>
        <w:t>using</w:t>
      </w:r>
      <w:r>
        <w:rPr>
          <w:rFonts w:cs="Times New Roman"/>
          <w:sz w:val="21"/>
          <w:szCs w:val="21"/>
        </w:rPr>
        <w:t xml:space="preserve"> provincial panel data from China (excluding Hong Kong, Taiwan and Macao) </w:t>
      </w:r>
      <w:r>
        <w:rPr>
          <w:rFonts w:eastAsia="宋体" w:cs="Times New Roman"/>
          <w:sz w:val="21"/>
          <w:szCs w:val="21"/>
        </w:rPr>
        <w:t>from 2004</w:t>
      </w:r>
      <w:r>
        <w:rPr>
          <w:rFonts w:cs="Times New Roman"/>
          <w:sz w:val="21"/>
          <w:szCs w:val="21"/>
        </w:rPr>
        <w:t xml:space="preserve"> to 2018. The sources of datasets are mainly as follows: </w:t>
      </w:r>
      <w:r>
        <w:rPr>
          <w:rFonts w:cs="Times New Roman"/>
          <w:i/>
          <w:sz w:val="21"/>
          <w:szCs w:val="21"/>
        </w:rPr>
        <w:t>China Statistical Yearbook</w:t>
      </w:r>
      <w:r>
        <w:rPr>
          <w:rFonts w:cs="Times New Roman"/>
          <w:sz w:val="21"/>
          <w:szCs w:val="21"/>
        </w:rPr>
        <w:t xml:space="preserve">, </w:t>
      </w:r>
      <w:r>
        <w:rPr>
          <w:rFonts w:cs="Times New Roman"/>
          <w:i/>
          <w:sz w:val="21"/>
          <w:szCs w:val="21"/>
        </w:rPr>
        <w:t>China Forestry Statistical Yearbook</w:t>
      </w:r>
      <w:r>
        <w:rPr>
          <w:rFonts w:cs="Times New Roman"/>
          <w:sz w:val="21"/>
          <w:szCs w:val="21"/>
        </w:rPr>
        <w:t xml:space="preserve">, and National Bureau of Statistics of China. Among them, the amount of forestry investment, forestry area, forestry output value, and sulfur dioxide emissions data come from the National Bureau of Statistics of China. Data on forestry practitioners </w:t>
      </w:r>
      <w:r>
        <w:rPr>
          <w:rFonts w:eastAsia="DengXian" w:cs="Times New Roman"/>
          <w:sz w:val="21"/>
          <w:szCs w:val="21"/>
        </w:rPr>
        <w:t>come</w:t>
      </w:r>
      <w:r>
        <w:rPr>
          <w:rFonts w:cs="Times New Roman"/>
          <w:sz w:val="21"/>
          <w:szCs w:val="21"/>
        </w:rPr>
        <w:t xml:space="preserve"> from the </w:t>
      </w:r>
      <w:r>
        <w:rPr>
          <w:rFonts w:cs="Times New Roman"/>
          <w:i/>
          <w:sz w:val="21"/>
          <w:szCs w:val="21"/>
        </w:rPr>
        <w:t>China Forestry Statistical Yearbook</w:t>
      </w:r>
      <w:r>
        <w:rPr>
          <w:rFonts w:cs="Times New Roman"/>
          <w:sz w:val="21"/>
          <w:szCs w:val="21"/>
        </w:rPr>
        <w:t xml:space="preserve">. The forest carbon sink is calculated by Equation 2 from the </w:t>
      </w:r>
      <w:r>
        <w:rPr>
          <w:rFonts w:eastAsia="宋体" w:cs="Times New Roman"/>
          <w:sz w:val="21"/>
          <w:szCs w:val="21"/>
        </w:rPr>
        <w:t>total</w:t>
      </w:r>
      <w:r>
        <w:rPr>
          <w:rFonts w:cs="Times New Roman"/>
          <w:sz w:val="21"/>
          <w:szCs w:val="21"/>
        </w:rPr>
        <w:t xml:space="preserve"> standing forest stock from the </w:t>
      </w:r>
      <w:r>
        <w:rPr>
          <w:rFonts w:cs="Times New Roman"/>
          <w:i/>
          <w:sz w:val="21"/>
          <w:szCs w:val="21"/>
        </w:rPr>
        <w:t>China Statistical Yearbook</w:t>
      </w:r>
      <w:r>
        <w:rPr>
          <w:rFonts w:cs="Times New Roman"/>
          <w:sz w:val="21"/>
          <w:szCs w:val="21"/>
        </w:rPr>
        <w:t>.</w:t>
      </w:r>
    </w:p>
    <w:p>
      <w:pPr>
        <w:spacing w:line="480" w:lineRule="auto"/>
        <w:ind w:firstLine="720"/>
        <w:contextualSpacing/>
        <w:rPr>
          <w:rFonts w:cs="Times New Roman"/>
          <w:sz w:val="21"/>
          <w:szCs w:val="21"/>
        </w:rPr>
      </w:pPr>
      <w:r>
        <w:rPr>
          <w:rFonts w:cs="Times New Roman"/>
          <w:sz w:val="21"/>
          <w:szCs w:val="21"/>
        </w:rPr>
        <w:t xml:space="preserve">China's forest </w:t>
      </w:r>
      <w:r>
        <w:rPr>
          <w:rFonts w:eastAsia="DengXian" w:cs="Times New Roman"/>
          <w:sz w:val="21"/>
          <w:szCs w:val="21"/>
        </w:rPr>
        <w:t>resource</w:t>
      </w:r>
      <w:r>
        <w:rPr>
          <w:rFonts w:cs="Times New Roman"/>
          <w:sz w:val="21"/>
          <w:szCs w:val="21"/>
        </w:rPr>
        <w:t xml:space="preserve"> inventory is conducted every five years. The sample period in this paper was from 2004 to 2018, during which three national forest inventory periods were conducted:</w:t>
      </w:r>
      <w:r>
        <w:rPr>
          <w:rFonts w:eastAsia="DengXian" w:cs="Times New Roman"/>
          <w:sz w:val="21"/>
          <w:szCs w:val="21"/>
        </w:rPr>
        <w:t xml:space="preserve"> </w:t>
      </w:r>
      <w:r>
        <w:rPr>
          <w:rFonts w:cs="Times New Roman"/>
          <w:sz w:val="21"/>
          <w:szCs w:val="21"/>
        </w:rPr>
        <w:t xml:space="preserve">from 2004 to 2008, from 2009 to 2013, and from 2014 to 2018. Furthermore, the national statistical report shows that the annual data of forest resources are all the same during the 5-year inventory period, which is not consistent with reality. Therefore, this paper assumes that the forest between the two inventory periods grows at a uniform rate and supplements the data according to this assumption. </w:t>
      </w:r>
      <w:r>
        <w:rPr>
          <w:rFonts w:eastAsia="DengXian" w:cs="Times New Roman"/>
          <w:sz w:val="21"/>
          <w:szCs w:val="21"/>
        </w:rPr>
        <w:t xml:space="preserve">Sulfur </w:t>
      </w:r>
      <w:r>
        <w:rPr>
          <w:rFonts w:cs="Times New Roman"/>
          <w:sz w:val="21"/>
          <w:szCs w:val="21"/>
        </w:rPr>
        <w:t>dioxide emission reductions are measured by the reduction in sulfur dioxide emissions relative to the previous year.</w:t>
      </w:r>
    </w:p>
    <w:p>
      <w:pPr>
        <w:spacing w:line="480" w:lineRule="auto"/>
        <w:contextualSpacing/>
        <w:rPr>
          <w:rFonts w:cs="Times New Roman"/>
          <w:sz w:val="21"/>
          <w:szCs w:val="21"/>
        </w:rPr>
      </w:pPr>
    </w:p>
    <w:p>
      <w:pPr>
        <w:spacing w:line="480" w:lineRule="auto"/>
        <w:contextualSpacing/>
        <w:outlineLvl w:val="0"/>
        <w:rPr>
          <w:rFonts w:cs="Times New Roman"/>
          <w:i/>
          <w:sz w:val="21"/>
          <w:szCs w:val="21"/>
        </w:rPr>
      </w:pPr>
      <w:r>
        <w:rPr>
          <w:rFonts w:cs="Times New Roman"/>
          <w:i/>
          <w:sz w:val="21"/>
          <w:szCs w:val="21"/>
        </w:rPr>
        <w:t>2.2.3 Descriptive statistics</w:t>
      </w:r>
    </w:p>
    <w:p>
      <w:pPr>
        <w:spacing w:line="480" w:lineRule="auto"/>
        <w:ind w:firstLine="720"/>
        <w:contextualSpacing/>
        <w:rPr>
          <w:rFonts w:cs="Times New Roman"/>
          <w:sz w:val="21"/>
          <w:szCs w:val="21"/>
        </w:rPr>
      </w:pPr>
      <w:r>
        <w:rPr>
          <w:rFonts w:eastAsia="宋体" w:cs="Times New Roman"/>
          <w:sz w:val="21"/>
          <w:szCs w:val="21"/>
        </w:rPr>
        <w:t xml:space="preserve">To </w:t>
      </w:r>
      <w:r>
        <w:rPr>
          <w:rFonts w:cs="Times New Roman"/>
          <w:sz w:val="21"/>
          <w:szCs w:val="21"/>
        </w:rPr>
        <w:t xml:space="preserve">understand the distribution of input and output, descriptive statistical analysis of the data was carried out. </w:t>
      </w:r>
      <w:bookmarkStart w:id="29" w:name="_SAM_M_016"/>
      <w:r>
        <w:rPr>
          <w:rFonts w:cs="Times New Roman"/>
          <w:sz w:val="21"/>
          <w:szCs w:val="21"/>
        </w:rPr>
        <w:t>The results are shown in Table 1, which shows the descriptive statistical results of the input variables and output variables.</w:t>
      </w:r>
      <w:bookmarkEnd w:id="29"/>
    </w:p>
    <w:p>
      <w:pPr>
        <w:spacing w:line="480" w:lineRule="auto"/>
        <w:contextualSpacing/>
        <w:jc w:val="center"/>
        <w:rPr>
          <w:rFonts w:cs="Times New Roman"/>
          <w:sz w:val="21"/>
          <w:szCs w:val="21"/>
        </w:rPr>
      </w:pPr>
      <w:r>
        <w:rPr>
          <w:rFonts w:cs="Times New Roman"/>
          <w:b/>
          <w:sz w:val="21"/>
          <w:szCs w:val="21"/>
        </w:rPr>
        <w:t xml:space="preserve">Table 1 </w:t>
      </w:r>
      <w:r>
        <w:rPr>
          <w:rFonts w:cs="Times New Roman"/>
          <w:sz w:val="21"/>
          <w:szCs w:val="21"/>
        </w:rPr>
        <w:t>Summary statistics of the input variables and output variables</w:t>
      </w:r>
    </w:p>
    <w:tbl>
      <w:tblPr>
        <w:tblStyle w:val="11"/>
        <w:tblW w:w="9639" w:type="dxa"/>
        <w:jc w:val="center"/>
        <w:tblLayout w:type="autofit"/>
        <w:tblCellMar>
          <w:top w:w="0" w:type="dxa"/>
          <w:left w:w="108" w:type="dxa"/>
          <w:bottom w:w="0" w:type="dxa"/>
          <w:right w:w="108" w:type="dxa"/>
        </w:tblCellMar>
      </w:tblPr>
      <w:tblGrid>
        <w:gridCol w:w="1300"/>
        <w:gridCol w:w="2528"/>
        <w:gridCol w:w="852"/>
        <w:gridCol w:w="1300"/>
        <w:gridCol w:w="1300"/>
        <w:gridCol w:w="1300"/>
        <w:gridCol w:w="1300"/>
      </w:tblGrid>
      <w:tr>
        <w:tblPrEx>
          <w:tblCellMar>
            <w:top w:w="0" w:type="dxa"/>
            <w:left w:w="108" w:type="dxa"/>
            <w:bottom w:w="0" w:type="dxa"/>
            <w:right w:w="108" w:type="dxa"/>
          </w:tblCellMar>
        </w:tblPrEx>
        <w:trPr>
          <w:trHeight w:val="320" w:hRule="atLeast"/>
          <w:jc w:val="center"/>
        </w:trPr>
        <w:tc>
          <w:tcPr>
            <w:tcW w:w="1300" w:type="dxa"/>
            <w:tcBorders>
              <w:top w:val="single" w:color="auto" w:sz="4" w:space="0"/>
              <w:left w:val="nil"/>
              <w:bottom w:val="single" w:color="auto" w:sz="4" w:space="0"/>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variable</w:t>
            </w:r>
          </w:p>
        </w:tc>
        <w:tc>
          <w:tcPr>
            <w:tcW w:w="2528" w:type="dxa"/>
            <w:tcBorders>
              <w:top w:val="single" w:color="auto" w:sz="4" w:space="0"/>
              <w:left w:val="nil"/>
              <w:bottom w:val="single" w:color="auto" w:sz="4" w:space="0"/>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unit</w:t>
            </w:r>
          </w:p>
        </w:tc>
        <w:tc>
          <w:tcPr>
            <w:tcW w:w="852" w:type="dxa"/>
            <w:tcBorders>
              <w:top w:val="single" w:color="auto" w:sz="4" w:space="0"/>
              <w:left w:val="nil"/>
              <w:bottom w:val="single" w:color="auto" w:sz="4" w:space="0"/>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obs</w:t>
            </w:r>
          </w:p>
        </w:tc>
        <w:tc>
          <w:tcPr>
            <w:tcW w:w="1300" w:type="dxa"/>
            <w:tcBorders>
              <w:top w:val="single" w:color="auto" w:sz="4" w:space="0"/>
              <w:left w:val="nil"/>
              <w:bottom w:val="single" w:color="auto" w:sz="4" w:space="0"/>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Mean</w:t>
            </w:r>
          </w:p>
        </w:tc>
        <w:tc>
          <w:tcPr>
            <w:tcW w:w="1300" w:type="dxa"/>
            <w:tcBorders>
              <w:top w:val="single" w:color="auto" w:sz="4" w:space="0"/>
              <w:left w:val="nil"/>
              <w:bottom w:val="single" w:color="auto" w:sz="4" w:space="0"/>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Std.</w:t>
            </w:r>
          </w:p>
        </w:tc>
        <w:tc>
          <w:tcPr>
            <w:tcW w:w="1300" w:type="dxa"/>
            <w:tcBorders>
              <w:top w:val="single" w:color="auto" w:sz="4" w:space="0"/>
              <w:left w:val="nil"/>
              <w:bottom w:val="single" w:color="auto" w:sz="4" w:space="0"/>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Min</w:t>
            </w:r>
          </w:p>
        </w:tc>
        <w:tc>
          <w:tcPr>
            <w:tcW w:w="1300" w:type="dxa"/>
            <w:tcBorders>
              <w:top w:val="single" w:color="auto" w:sz="4" w:space="0"/>
              <w:left w:val="nil"/>
              <w:bottom w:val="single" w:color="auto" w:sz="4" w:space="0"/>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Max</w:t>
            </w:r>
          </w:p>
        </w:tc>
      </w:tr>
      <w:tr>
        <w:tblPrEx>
          <w:tblCellMar>
            <w:top w:w="0" w:type="dxa"/>
            <w:left w:w="108" w:type="dxa"/>
            <w:bottom w:w="0" w:type="dxa"/>
            <w:right w:w="108" w:type="dxa"/>
          </w:tblCellMar>
        </w:tblPrEx>
        <w:trPr>
          <w:trHeight w:val="320" w:hRule="atLeast"/>
          <w:jc w:val="center"/>
        </w:trPr>
        <w:tc>
          <w:tcPr>
            <w:tcW w:w="130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I_fp</w:t>
            </w:r>
          </w:p>
        </w:tc>
        <w:tc>
          <w:tcPr>
            <w:tcW w:w="2528"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thousand people</w:t>
            </w:r>
          </w:p>
        </w:tc>
        <w:tc>
          <w:tcPr>
            <w:tcW w:w="852"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465</w:t>
            </w:r>
          </w:p>
        </w:tc>
        <w:tc>
          <w:tcPr>
            <w:tcW w:w="130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40.95</w:t>
            </w:r>
          </w:p>
        </w:tc>
        <w:tc>
          <w:tcPr>
            <w:tcW w:w="130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56.39</w:t>
            </w:r>
          </w:p>
        </w:tc>
        <w:tc>
          <w:tcPr>
            <w:tcW w:w="130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0.16</w:t>
            </w:r>
          </w:p>
        </w:tc>
        <w:tc>
          <w:tcPr>
            <w:tcW w:w="130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370.07</w:t>
            </w:r>
          </w:p>
        </w:tc>
      </w:tr>
      <w:tr>
        <w:tblPrEx>
          <w:tblCellMar>
            <w:top w:w="0" w:type="dxa"/>
            <w:left w:w="108" w:type="dxa"/>
            <w:bottom w:w="0" w:type="dxa"/>
            <w:right w:w="108" w:type="dxa"/>
          </w:tblCellMar>
        </w:tblPrEx>
        <w:trPr>
          <w:trHeight w:val="320" w:hRule="atLeast"/>
          <w:jc w:val="center"/>
        </w:trPr>
        <w:tc>
          <w:tcPr>
            <w:tcW w:w="130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I_fa</w:t>
            </w:r>
          </w:p>
        </w:tc>
        <w:tc>
          <w:tcPr>
            <w:tcW w:w="2528"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thousand hectares</w:t>
            </w:r>
          </w:p>
        </w:tc>
        <w:tc>
          <w:tcPr>
            <w:tcW w:w="852"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465</w:t>
            </w:r>
          </w:p>
        </w:tc>
        <w:tc>
          <w:tcPr>
            <w:tcW w:w="130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184.53</w:t>
            </w:r>
          </w:p>
        </w:tc>
        <w:tc>
          <w:tcPr>
            <w:tcW w:w="130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166.87</w:t>
            </w:r>
          </w:p>
        </w:tc>
        <w:tc>
          <w:tcPr>
            <w:tcW w:w="130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0.71</w:t>
            </w:r>
          </w:p>
        </w:tc>
        <w:tc>
          <w:tcPr>
            <w:tcW w:w="130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861.90</w:t>
            </w:r>
          </w:p>
        </w:tc>
      </w:tr>
      <w:tr>
        <w:tblPrEx>
          <w:tblCellMar>
            <w:top w:w="0" w:type="dxa"/>
            <w:left w:w="108" w:type="dxa"/>
            <w:bottom w:w="0" w:type="dxa"/>
            <w:right w:w="108" w:type="dxa"/>
          </w:tblCellMar>
        </w:tblPrEx>
        <w:trPr>
          <w:trHeight w:val="320" w:hRule="atLeast"/>
          <w:jc w:val="center"/>
        </w:trPr>
        <w:tc>
          <w:tcPr>
            <w:tcW w:w="130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I_fi</w:t>
            </w:r>
          </w:p>
        </w:tc>
        <w:tc>
          <w:tcPr>
            <w:tcW w:w="2528"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billion yuan</w:t>
            </w:r>
          </w:p>
        </w:tc>
        <w:tc>
          <w:tcPr>
            <w:tcW w:w="852"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465</w:t>
            </w:r>
          </w:p>
        </w:tc>
        <w:tc>
          <w:tcPr>
            <w:tcW w:w="130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8.09</w:t>
            </w:r>
          </w:p>
        </w:tc>
        <w:tc>
          <w:tcPr>
            <w:tcW w:w="130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13.12</w:t>
            </w:r>
          </w:p>
        </w:tc>
        <w:tc>
          <w:tcPr>
            <w:tcW w:w="130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0.03</w:t>
            </w:r>
          </w:p>
        </w:tc>
        <w:tc>
          <w:tcPr>
            <w:tcW w:w="130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108.61</w:t>
            </w:r>
          </w:p>
        </w:tc>
      </w:tr>
      <w:tr>
        <w:tblPrEx>
          <w:tblCellMar>
            <w:top w:w="0" w:type="dxa"/>
            <w:left w:w="108" w:type="dxa"/>
            <w:bottom w:w="0" w:type="dxa"/>
            <w:right w:w="108" w:type="dxa"/>
          </w:tblCellMar>
        </w:tblPrEx>
        <w:trPr>
          <w:trHeight w:val="320" w:hRule="atLeast"/>
          <w:jc w:val="center"/>
        </w:trPr>
        <w:tc>
          <w:tcPr>
            <w:tcW w:w="130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O_fcs</w:t>
            </w:r>
          </w:p>
        </w:tc>
        <w:tc>
          <w:tcPr>
            <w:tcW w:w="2528"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million tons</w:t>
            </w:r>
          </w:p>
        </w:tc>
        <w:tc>
          <w:tcPr>
            <w:tcW w:w="852"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465</w:t>
            </w:r>
          </w:p>
        </w:tc>
        <w:tc>
          <w:tcPr>
            <w:tcW w:w="130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263.06</w:t>
            </w:r>
          </w:p>
        </w:tc>
        <w:tc>
          <w:tcPr>
            <w:tcW w:w="130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308.70</w:t>
            </w:r>
          </w:p>
        </w:tc>
        <w:tc>
          <w:tcPr>
            <w:tcW w:w="130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1.43</w:t>
            </w:r>
          </w:p>
        </w:tc>
        <w:tc>
          <w:tcPr>
            <w:tcW w:w="130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1100.96</w:t>
            </w:r>
          </w:p>
        </w:tc>
      </w:tr>
      <w:tr>
        <w:tblPrEx>
          <w:tblCellMar>
            <w:top w:w="0" w:type="dxa"/>
            <w:left w:w="108" w:type="dxa"/>
            <w:bottom w:w="0" w:type="dxa"/>
            <w:right w:w="108" w:type="dxa"/>
          </w:tblCellMar>
        </w:tblPrEx>
        <w:trPr>
          <w:trHeight w:val="320" w:hRule="atLeast"/>
          <w:jc w:val="center"/>
        </w:trPr>
        <w:tc>
          <w:tcPr>
            <w:tcW w:w="130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O_fov</w:t>
            </w:r>
          </w:p>
        </w:tc>
        <w:tc>
          <w:tcPr>
            <w:tcW w:w="2528"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billion yuan</w:t>
            </w:r>
          </w:p>
        </w:tc>
        <w:tc>
          <w:tcPr>
            <w:tcW w:w="852"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465</w:t>
            </w:r>
          </w:p>
        </w:tc>
        <w:tc>
          <w:tcPr>
            <w:tcW w:w="130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10.17</w:t>
            </w:r>
          </w:p>
        </w:tc>
        <w:tc>
          <w:tcPr>
            <w:tcW w:w="130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9.23</w:t>
            </w:r>
          </w:p>
        </w:tc>
        <w:tc>
          <w:tcPr>
            <w:tcW w:w="130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0.17</w:t>
            </w:r>
          </w:p>
        </w:tc>
        <w:tc>
          <w:tcPr>
            <w:tcW w:w="130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39.69</w:t>
            </w:r>
          </w:p>
        </w:tc>
      </w:tr>
      <w:tr>
        <w:tblPrEx>
          <w:tblCellMar>
            <w:top w:w="0" w:type="dxa"/>
            <w:left w:w="108" w:type="dxa"/>
            <w:bottom w:w="0" w:type="dxa"/>
            <w:right w:w="108" w:type="dxa"/>
          </w:tblCellMar>
        </w:tblPrEx>
        <w:trPr>
          <w:trHeight w:val="320" w:hRule="atLeast"/>
          <w:jc w:val="center"/>
        </w:trPr>
        <w:tc>
          <w:tcPr>
            <w:tcW w:w="1300" w:type="dxa"/>
            <w:tcBorders>
              <w:top w:val="nil"/>
              <w:left w:val="nil"/>
              <w:bottom w:val="single" w:color="auto" w:sz="4" w:space="0"/>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O_SO2</w:t>
            </w:r>
          </w:p>
        </w:tc>
        <w:tc>
          <w:tcPr>
            <w:tcW w:w="2528" w:type="dxa"/>
            <w:tcBorders>
              <w:top w:val="nil"/>
              <w:left w:val="nil"/>
              <w:bottom w:val="single" w:color="auto" w:sz="4" w:space="0"/>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million tons</w:t>
            </w:r>
          </w:p>
        </w:tc>
        <w:tc>
          <w:tcPr>
            <w:tcW w:w="852" w:type="dxa"/>
            <w:tcBorders>
              <w:top w:val="nil"/>
              <w:left w:val="nil"/>
              <w:bottom w:val="single" w:color="auto" w:sz="4" w:space="0"/>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465</w:t>
            </w:r>
          </w:p>
        </w:tc>
        <w:tc>
          <w:tcPr>
            <w:tcW w:w="1300" w:type="dxa"/>
            <w:tcBorders>
              <w:top w:val="nil"/>
              <w:left w:val="nil"/>
              <w:bottom w:val="single" w:color="auto" w:sz="4" w:space="0"/>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0.41</w:t>
            </w:r>
          </w:p>
        </w:tc>
        <w:tc>
          <w:tcPr>
            <w:tcW w:w="1300" w:type="dxa"/>
            <w:tcBorders>
              <w:top w:val="nil"/>
              <w:left w:val="nil"/>
              <w:bottom w:val="single" w:color="auto" w:sz="4" w:space="0"/>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0.12</w:t>
            </w:r>
          </w:p>
        </w:tc>
        <w:tc>
          <w:tcPr>
            <w:tcW w:w="1300" w:type="dxa"/>
            <w:tcBorders>
              <w:top w:val="nil"/>
              <w:left w:val="nil"/>
              <w:bottom w:val="single" w:color="auto" w:sz="4" w:space="0"/>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0.00</w:t>
            </w:r>
          </w:p>
        </w:tc>
        <w:tc>
          <w:tcPr>
            <w:tcW w:w="1300" w:type="dxa"/>
            <w:tcBorders>
              <w:top w:val="nil"/>
              <w:left w:val="nil"/>
              <w:bottom w:val="single" w:color="auto" w:sz="4" w:space="0"/>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1.10</w:t>
            </w:r>
          </w:p>
        </w:tc>
      </w:tr>
    </w:tbl>
    <w:p>
      <w:pPr>
        <w:spacing w:line="480" w:lineRule="auto"/>
        <w:ind w:firstLine="720"/>
        <w:contextualSpacing/>
        <w:rPr>
          <w:rFonts w:cs="Times New Roman"/>
          <w:sz w:val="21"/>
          <w:szCs w:val="21"/>
        </w:rPr>
      </w:pPr>
      <w:r>
        <w:rPr>
          <w:rFonts w:cs="Times New Roman"/>
          <w:sz w:val="21"/>
          <w:szCs w:val="21"/>
        </w:rPr>
        <w:t>In Table 1, I_fp represents the total number of employees in the forestry system, I_fa</w:t>
      </w:r>
      <w:r>
        <w:rPr>
          <w:rFonts w:cs="Times New Roman"/>
          <w:i/>
          <w:sz w:val="21"/>
          <w:szCs w:val="21"/>
        </w:rPr>
        <w:t xml:space="preserve"> </w:t>
      </w:r>
      <w:r>
        <w:rPr>
          <w:rFonts w:cs="Times New Roman"/>
          <w:sz w:val="21"/>
          <w:szCs w:val="21"/>
        </w:rPr>
        <w:t>represents the afforestation area, I_fi represents the forest investments, O_fcs represents the forest carbon sinks, O_fov represents the forestry output value, and O_SO2 represents the sulfur dioxide emission reduction. As seen from Table 1, there is a clear gap between the maximum and minimum values of</w:t>
      </w:r>
      <w:r>
        <w:rPr>
          <w:rFonts w:eastAsia="DengXian" w:cs="Times New Roman"/>
          <w:sz w:val="21"/>
          <w:szCs w:val="21"/>
        </w:rPr>
        <w:t xml:space="preserve"> the</w:t>
      </w:r>
      <w:r>
        <w:rPr>
          <w:rFonts w:cs="Times New Roman"/>
          <w:sz w:val="21"/>
          <w:szCs w:val="21"/>
        </w:rPr>
        <w:t xml:space="preserve"> input variables and output variables. This means that during the sample period, the forestry system inputs and outputs of different provinces in China vary greatly.</w:t>
      </w:r>
    </w:p>
    <w:p>
      <w:pPr>
        <w:spacing w:line="480" w:lineRule="auto"/>
        <w:ind w:firstLine="720"/>
        <w:contextualSpacing/>
        <w:rPr>
          <w:rFonts w:cs="Times New Roman"/>
          <w:sz w:val="21"/>
          <w:szCs w:val="21"/>
        </w:rPr>
      </w:pPr>
      <w:r>
        <w:rPr>
          <w:rFonts w:cs="Times New Roman"/>
          <w:sz w:val="21"/>
          <w:szCs w:val="21"/>
        </w:rPr>
        <w:t>Fig.</w:t>
      </w:r>
      <w:r>
        <w:rPr>
          <w:rFonts w:eastAsia="DengXian" w:cs="Times New Roman"/>
          <w:sz w:val="21"/>
          <w:szCs w:val="21"/>
        </w:rPr>
        <w:t xml:space="preserve"> </w:t>
      </w:r>
      <w:r>
        <w:rPr>
          <w:rFonts w:cs="Times New Roman"/>
          <w:sz w:val="21"/>
          <w:szCs w:val="21"/>
        </w:rPr>
        <w:t xml:space="preserve">1 shows the trend of forestry investment in 31 provinces of China from 2004 to 2018. In Fig. 1, we find that forestry investment in most provinces in China is increasing year by year, and the increase is rapid. This shows that China has paid </w:t>
      </w:r>
      <w:r>
        <w:rPr>
          <w:rFonts w:eastAsia="DengXian" w:cs="Times New Roman"/>
          <w:sz w:val="21"/>
          <w:szCs w:val="21"/>
        </w:rPr>
        <w:t xml:space="preserve">increasing </w:t>
      </w:r>
      <w:r>
        <w:rPr>
          <w:rFonts w:cs="Times New Roman"/>
          <w:sz w:val="21"/>
          <w:szCs w:val="21"/>
        </w:rPr>
        <w:t>attention to forest resources in recent years. We have also found that in recent years, forestry investment in some provinces</w:t>
      </w:r>
      <w:r>
        <w:rPr>
          <w:rFonts w:eastAsia="DengXian" w:cs="Times New Roman"/>
          <w:sz w:val="21"/>
          <w:szCs w:val="21"/>
        </w:rPr>
        <w:t>,</w:t>
      </w:r>
      <w:r>
        <w:rPr>
          <w:rFonts w:cs="Times New Roman"/>
          <w:sz w:val="21"/>
          <w:szCs w:val="21"/>
        </w:rPr>
        <w:t xml:space="preserve"> such as Shanxi, Liaoning, Jiangsu, Fujian, Jiangxi, and Henan</w:t>
      </w:r>
      <w:r>
        <w:rPr>
          <w:rFonts w:eastAsia="DengXian" w:cs="Times New Roman"/>
          <w:sz w:val="21"/>
          <w:szCs w:val="21"/>
        </w:rPr>
        <w:t>, has</w:t>
      </w:r>
      <w:r>
        <w:rPr>
          <w:rFonts w:cs="Times New Roman"/>
          <w:sz w:val="21"/>
          <w:szCs w:val="21"/>
        </w:rPr>
        <w:t xml:space="preserve"> begun to show a downward trend. At the same time, we found that the area with the largest average forestry investment is Guangxi, with a staggering RMB 53 billion. This may be related to its own regional characteristics and industrial positioning. The area with the smallest average forestry investment is Hainan, with only 0.86 billion yuan. Followed by Tianjin, approximately 0.96 billion yuan. In addition, we found that the fluctuation of forestry investment in China's more economically developed provinces</w:t>
      </w:r>
      <w:r>
        <w:rPr>
          <w:rFonts w:eastAsia="DengXian" w:cs="Times New Roman"/>
          <w:sz w:val="21"/>
          <w:szCs w:val="21"/>
        </w:rPr>
        <w:t>,</w:t>
      </w:r>
      <w:r>
        <w:rPr>
          <w:rFonts w:cs="Times New Roman"/>
          <w:sz w:val="21"/>
          <w:szCs w:val="21"/>
        </w:rPr>
        <w:t xml:space="preserve"> such as Chongqing, Shanghai, and Tianjin</w:t>
      </w:r>
      <w:r>
        <w:rPr>
          <w:rFonts w:eastAsia="DengXian" w:cs="Times New Roman"/>
          <w:sz w:val="21"/>
          <w:szCs w:val="21"/>
        </w:rPr>
        <w:t>,</w:t>
      </w:r>
      <w:r>
        <w:rPr>
          <w:rFonts w:cs="Times New Roman"/>
          <w:sz w:val="21"/>
          <w:szCs w:val="21"/>
        </w:rPr>
        <w:t xml:space="preserve"> are relatively small and stable at a relatively low level. </w:t>
      </w:r>
      <w:bookmarkStart w:id="30" w:name="_SAM_M_012"/>
      <w:r>
        <w:rPr>
          <w:rFonts w:cs="Times New Roman"/>
          <w:sz w:val="21"/>
          <w:szCs w:val="21"/>
        </w:rPr>
        <w:t xml:space="preserve">In those economically developed provinces, there may be two reasons for the relatively low investment in forestry: one is restricted by natural endowments such as land area; the other is that the development of service industries and manufacturing takes place at the core of these fields, and capital and labor </w:t>
      </w:r>
      <w:r>
        <w:rPr>
          <w:rFonts w:eastAsia="DengXian" w:cs="Times New Roman"/>
          <w:sz w:val="21"/>
          <w:szCs w:val="21"/>
        </w:rPr>
        <w:t>are</w:t>
      </w:r>
      <w:r>
        <w:rPr>
          <w:rFonts w:cs="Times New Roman"/>
          <w:sz w:val="21"/>
          <w:szCs w:val="21"/>
        </w:rPr>
        <w:t xml:space="preserve"> more inclined to flow into the production activities of these leading industries.</w:t>
      </w:r>
      <w:bookmarkEnd w:id="30"/>
    </w:p>
    <w:p>
      <w:pPr>
        <w:jc w:val="center"/>
        <w:rPr>
          <w:rFonts w:cs="Times New Roman"/>
          <w:sz w:val="21"/>
          <w:szCs w:val="21"/>
        </w:rPr>
      </w:pPr>
      <w:r>
        <w:rPr>
          <w:rFonts w:cs="Times New Roman"/>
          <w:sz w:val="21"/>
          <w:szCs w:val="21"/>
        </w:rPr>
        <w:drawing>
          <wp:inline distT="0" distB="0" distL="0" distR="0">
            <wp:extent cx="5943600" cy="8099425"/>
            <wp:effectExtent l="0" t="0" r="0"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943600" cy="8099425"/>
                    </a:xfrm>
                    <a:prstGeom prst="rect">
                      <a:avLst/>
                    </a:prstGeom>
                  </pic:spPr>
                </pic:pic>
              </a:graphicData>
            </a:graphic>
          </wp:inline>
        </w:drawing>
      </w:r>
    </w:p>
    <w:p>
      <w:pPr>
        <w:jc w:val="center"/>
        <w:rPr>
          <w:rFonts w:cs="Times New Roman"/>
          <w:sz w:val="21"/>
          <w:szCs w:val="21"/>
        </w:rPr>
      </w:pPr>
      <w:r>
        <w:rPr>
          <w:rFonts w:cs="Times New Roman"/>
          <w:b/>
          <w:sz w:val="21"/>
          <w:szCs w:val="21"/>
        </w:rPr>
        <w:t xml:space="preserve">Fig. 1. </w:t>
      </w:r>
      <w:r>
        <w:rPr>
          <w:rFonts w:cs="Times New Roman"/>
          <w:sz w:val="21"/>
          <w:szCs w:val="21"/>
        </w:rPr>
        <w:t xml:space="preserve">Trends </w:t>
      </w:r>
      <w:r>
        <w:rPr>
          <w:rFonts w:eastAsia="DengXian" w:cs="Times New Roman"/>
          <w:sz w:val="21"/>
          <w:szCs w:val="21"/>
        </w:rPr>
        <w:t>in</w:t>
      </w:r>
      <w:r>
        <w:rPr>
          <w:rFonts w:cs="Times New Roman"/>
          <w:sz w:val="21"/>
          <w:szCs w:val="21"/>
        </w:rPr>
        <w:t xml:space="preserve"> forestry investment in various provinces during 2004-2018</w:t>
      </w:r>
    </w:p>
    <w:p>
      <w:pPr>
        <w:spacing w:line="480" w:lineRule="auto"/>
        <w:contextualSpacing/>
        <w:rPr>
          <w:rFonts w:cs="Times New Roman"/>
          <w:sz w:val="21"/>
          <w:szCs w:val="21"/>
        </w:rPr>
      </w:pPr>
    </w:p>
    <w:p>
      <w:pPr>
        <w:spacing w:line="480" w:lineRule="auto"/>
        <w:contextualSpacing/>
        <w:outlineLvl w:val="0"/>
        <w:rPr>
          <w:rFonts w:cs="Times New Roman"/>
          <w:b/>
          <w:sz w:val="21"/>
          <w:szCs w:val="21"/>
        </w:rPr>
      </w:pPr>
      <w:bookmarkStart w:id="31" w:name="_SAM_Results"/>
      <w:r>
        <w:rPr>
          <w:rFonts w:cs="Times New Roman"/>
          <w:b/>
          <w:sz w:val="21"/>
          <w:szCs w:val="21"/>
        </w:rPr>
        <w:t>3. Results</w:t>
      </w:r>
      <w:bookmarkEnd w:id="31"/>
    </w:p>
    <w:p>
      <w:pPr>
        <w:spacing w:line="480" w:lineRule="auto"/>
        <w:ind w:firstLine="525" w:firstLineChars="250"/>
        <w:contextualSpacing/>
        <w:outlineLvl w:val="0"/>
        <w:rPr>
          <w:rFonts w:cs="Times New Roman"/>
          <w:sz w:val="21"/>
          <w:szCs w:val="21"/>
        </w:rPr>
      </w:pPr>
      <w:bookmarkStart w:id="32" w:name="_SAM_R_019"/>
      <w:r>
        <w:rPr>
          <w:rFonts w:cs="Times New Roman"/>
          <w:sz w:val="21"/>
          <w:szCs w:val="21"/>
        </w:rPr>
        <w:t>The Super-SBM model can calculate the total factor productivity of forestry investment in each year.</w:t>
      </w:r>
      <w:bookmarkEnd w:id="32"/>
      <w:r>
        <w:rPr>
          <w:rFonts w:cs="Times New Roman"/>
          <w:sz w:val="21"/>
          <w:szCs w:val="21"/>
        </w:rPr>
        <w:t xml:space="preserve"> Therefore, it can be used to measure the static efficiency of forestry investment in different provinces in China. The DEA-Malmquist model is a dynamic measurement that can analyze the changes in China's forestry investment efficiency. This article measures the efficiency level of China's forestry investment from both static and dynamic aspects.</w:t>
      </w:r>
    </w:p>
    <w:p>
      <w:pPr>
        <w:spacing w:line="480" w:lineRule="auto"/>
        <w:ind w:firstLine="525" w:firstLineChars="250"/>
        <w:contextualSpacing/>
        <w:outlineLvl w:val="0"/>
        <w:rPr>
          <w:rFonts w:cs="Times New Roman"/>
          <w:sz w:val="21"/>
          <w:szCs w:val="21"/>
        </w:rPr>
      </w:pPr>
    </w:p>
    <w:p>
      <w:pPr>
        <w:spacing w:line="480" w:lineRule="auto"/>
        <w:contextualSpacing/>
        <w:rPr>
          <w:rFonts w:cs="Times New Roman"/>
          <w:b/>
          <w:i/>
          <w:sz w:val="21"/>
          <w:szCs w:val="21"/>
        </w:rPr>
      </w:pPr>
      <w:r>
        <w:rPr>
          <w:rFonts w:cs="Times New Roman"/>
          <w:b/>
          <w:i/>
          <w:sz w:val="21"/>
          <w:szCs w:val="21"/>
        </w:rPr>
        <w:t>3.1 Forestry investment efficiency of Super-SBM model</w:t>
      </w:r>
    </w:p>
    <w:p>
      <w:pPr>
        <w:spacing w:line="480" w:lineRule="auto"/>
        <w:ind w:firstLine="420" w:firstLineChars="200"/>
        <w:contextualSpacing/>
        <w:rPr>
          <w:rFonts w:cs="Times New Roman"/>
          <w:sz w:val="21"/>
          <w:szCs w:val="21"/>
        </w:rPr>
      </w:pPr>
      <w:r>
        <w:rPr>
          <w:rFonts w:cs="Times New Roman"/>
          <w:sz w:val="21"/>
          <w:szCs w:val="21"/>
        </w:rPr>
        <w:t xml:space="preserve">Table 2 shows the overview of China's forestry investment efficiency values from 2004 to 2018 and calculated by the Super-SBM model. In Table 2, </w:t>
      </w:r>
      <w:r>
        <w:rPr>
          <w:rFonts w:cs="Times New Roman"/>
          <w:i/>
          <w:sz w:val="21"/>
          <w:szCs w:val="21"/>
        </w:rPr>
        <w:t>C_ET</w:t>
      </w:r>
      <w:r>
        <w:rPr>
          <w:rFonts w:cs="Times New Roman"/>
          <w:sz w:val="21"/>
          <w:szCs w:val="21"/>
        </w:rPr>
        <w:t xml:space="preserve"> represents the result of calculating the Super-SBM model based on constant returns to scale (Super-SBM-CRS), which is the value of technical efficiency</w:t>
      </w:r>
      <w:r>
        <w:rPr>
          <w:rFonts w:eastAsia="DengXian" w:cs="Times New Roman"/>
          <w:sz w:val="21"/>
          <w:szCs w:val="21"/>
        </w:rPr>
        <w:t>,</w:t>
      </w:r>
      <w:r>
        <w:rPr>
          <w:rFonts w:cs="Times New Roman"/>
          <w:sz w:val="21"/>
          <w:szCs w:val="21"/>
        </w:rPr>
        <w:t xml:space="preserve"> including scale efficiency. </w:t>
      </w:r>
      <w:r>
        <w:rPr>
          <w:rFonts w:cs="Times New Roman"/>
          <w:i/>
          <w:sz w:val="21"/>
          <w:szCs w:val="21"/>
        </w:rPr>
        <w:t>V_ET</w:t>
      </w:r>
      <w:r>
        <w:rPr>
          <w:rFonts w:cs="Times New Roman"/>
          <w:sz w:val="21"/>
          <w:szCs w:val="21"/>
        </w:rPr>
        <w:t xml:space="preserve"> represents the result of calculating the Super-SBM model based on variable returns to scale (Super-SBM-VRS), which is a pure technical efficiency value excluding scale efficiency. Therefore, we can use the relationship between </w:t>
      </w:r>
      <w:r>
        <w:rPr>
          <w:rFonts w:cs="Times New Roman"/>
          <w:i/>
          <w:sz w:val="21"/>
          <w:szCs w:val="21"/>
        </w:rPr>
        <w:t>C_ET</w:t>
      </w:r>
      <w:r>
        <w:rPr>
          <w:rFonts w:cs="Times New Roman"/>
          <w:sz w:val="21"/>
          <w:szCs w:val="21"/>
        </w:rPr>
        <w:t xml:space="preserve"> and </w:t>
      </w:r>
      <w:r>
        <w:rPr>
          <w:rFonts w:cs="Times New Roman"/>
          <w:i/>
          <w:sz w:val="21"/>
          <w:szCs w:val="21"/>
        </w:rPr>
        <w:t>V_ET</w:t>
      </w:r>
      <w:r>
        <w:rPr>
          <w:rFonts w:cs="Times New Roman"/>
          <w:sz w:val="21"/>
          <w:szCs w:val="21"/>
        </w:rPr>
        <w:t xml:space="preserve"> (as shown in Equation 5) to further calculate the scale efficiency value (we use </w:t>
      </w:r>
      <w:r>
        <w:rPr>
          <w:rFonts w:cs="Times New Roman"/>
          <w:i/>
          <w:sz w:val="21"/>
          <w:szCs w:val="21"/>
        </w:rPr>
        <w:t>ScaleE</w:t>
      </w:r>
      <w:r>
        <w:rPr>
          <w:rFonts w:cs="Times New Roman"/>
          <w:sz w:val="21"/>
          <w:szCs w:val="21"/>
        </w:rPr>
        <w:t xml:space="preserve"> to represent). Among them, the technical efficiency value, pure technical efficiency value, and scale efficiency value here are different from those in the DEA-Malmquist model, and they are static. Technical efficiency represents the comprehensive efficiency of forestry investment and includes comprehensive measurement indicators of various capabilities</w:t>
      </w:r>
      <w:r>
        <w:rPr>
          <w:rFonts w:eastAsia="DengXian" w:cs="Times New Roman"/>
          <w:sz w:val="21"/>
          <w:szCs w:val="21"/>
        </w:rPr>
        <w:t>,</w:t>
      </w:r>
      <w:r>
        <w:rPr>
          <w:rFonts w:cs="Times New Roman"/>
          <w:sz w:val="21"/>
          <w:szCs w:val="21"/>
        </w:rPr>
        <w:t xml:space="preserve"> such as resource allocation capabilities and resource utilization efficiency.</w:t>
      </w:r>
      <w:r>
        <w:rPr>
          <w:rFonts w:eastAsia="DengXian" w:cs="Times New Roman"/>
          <w:sz w:val="21"/>
          <w:szCs w:val="21"/>
        </w:rPr>
        <w:t xml:space="preserve"> The pure</w:t>
      </w:r>
      <w:r>
        <w:rPr>
          <w:rFonts w:cs="Times New Roman"/>
          <w:sz w:val="21"/>
          <w:szCs w:val="21"/>
        </w:rPr>
        <w:t xml:space="preserve"> technical efficiency value reflects the ability to obtain maximum output under a given input, and scale efficiency reflects whether to operate under the most suitable investment scale. In addition, equation 5 shows:</w:t>
      </w:r>
    </w:p>
    <w:p>
      <w:pPr>
        <w:spacing w:line="480" w:lineRule="auto"/>
        <w:contextualSpacing/>
        <w:jc w:val="center"/>
        <w:rPr>
          <w:rFonts w:cs="Times New Roman"/>
          <w:sz w:val="21"/>
          <w:szCs w:val="21"/>
        </w:rPr>
      </w:pPr>
      <m:oMathPara>
        <m:oMath>
          <m:r>
            <m:rPr/>
            <w:rPr>
              <w:rFonts w:ascii="Cambria Math" w:hAnsi="Cambria Math" w:cs="Times New Roman"/>
              <w:sz w:val="21"/>
              <w:szCs w:val="21"/>
            </w:rPr>
            <m:t>ScaleE</m:t>
          </m:r>
          <m:r>
            <m:rPr>
              <m:sty m:val="p"/>
            </m:rPr>
            <w:rPr>
              <w:rFonts w:ascii="Cambria Math" w:hAnsi="Cambria Math" w:cs="Times New Roman"/>
              <w:sz w:val="21"/>
              <w:szCs w:val="21"/>
            </w:rPr>
            <m:t>=</m:t>
          </m:r>
          <m:f>
            <m:fPr>
              <m:ctrlPr>
                <w:rPr>
                  <w:rFonts w:ascii="Cambria Math" w:hAnsi="Cambria Math" w:cs="Times New Roman"/>
                  <w:sz w:val="21"/>
                  <w:szCs w:val="21"/>
                </w:rPr>
              </m:ctrlPr>
            </m:fPr>
            <m:num>
              <m:r>
                <m:rPr>
                  <m:sty m:val="p"/>
                </m:rPr>
                <w:rPr>
                  <w:rFonts w:ascii="Cambria Math" w:hAnsi="Cambria Math" w:cs="Times New Roman"/>
                  <w:sz w:val="21"/>
                  <w:szCs w:val="21"/>
                </w:rPr>
                <m:t>C_TE</m:t>
              </m:r>
              <m:ctrlPr>
                <w:rPr>
                  <w:rFonts w:ascii="Cambria Math" w:hAnsi="Cambria Math" w:cs="Times New Roman"/>
                  <w:sz w:val="21"/>
                  <w:szCs w:val="21"/>
                </w:rPr>
              </m:ctrlPr>
            </m:num>
            <m:den>
              <m:r>
                <m:rPr/>
                <w:rPr>
                  <w:rFonts w:ascii="Cambria Math" w:hAnsi="Cambria Math" w:cs="Times New Roman"/>
                  <w:sz w:val="21"/>
                  <w:szCs w:val="21"/>
                </w:rPr>
                <m:t>V_PTE</m:t>
              </m:r>
              <m:ctrlPr>
                <w:rPr>
                  <w:rFonts w:ascii="Cambria Math" w:hAnsi="Cambria Math" w:cs="Times New Roman"/>
                  <w:sz w:val="21"/>
                  <w:szCs w:val="21"/>
                </w:rPr>
              </m:ctrlPr>
            </m:den>
          </m:f>
          <m:r>
            <m:rPr/>
            <w:rPr>
              <w:rFonts w:ascii="Cambria Math" w:hAnsi="Cambria Math" w:cs="Times New Roman"/>
              <w:sz w:val="21"/>
              <w:szCs w:val="21"/>
            </w:rPr>
            <m:t xml:space="preserve">       (5)</m:t>
          </m:r>
        </m:oMath>
      </m:oMathPara>
    </w:p>
    <w:p>
      <w:pPr>
        <w:spacing w:line="480" w:lineRule="auto"/>
        <w:ind w:firstLine="720"/>
        <w:contextualSpacing/>
        <w:rPr>
          <w:rFonts w:cs="Times New Roman"/>
          <w:sz w:val="21"/>
          <w:szCs w:val="21"/>
        </w:rPr>
      </w:pPr>
      <w:bookmarkStart w:id="33" w:name="OLE_LINK6"/>
      <w:bookmarkStart w:id="34" w:name="OLE_LINK13"/>
      <w:r>
        <w:rPr>
          <w:rFonts w:cs="Times New Roman"/>
          <w:sz w:val="21"/>
          <w:szCs w:val="21"/>
        </w:rPr>
        <w:t xml:space="preserve">From Table 2, we find that only Tianjin, Shanghai, Zhejiang, Hainan, and Tibet have comprehensive forestry efficiency values (i.e., </w:t>
      </w:r>
      <w:r>
        <w:rPr>
          <w:rFonts w:cs="Times New Roman"/>
          <w:i/>
          <w:sz w:val="21"/>
          <w:szCs w:val="21"/>
        </w:rPr>
        <w:t>C_TE</w:t>
      </w:r>
      <w:r>
        <w:rPr>
          <w:rFonts w:cs="Times New Roman"/>
          <w:sz w:val="21"/>
          <w:szCs w:val="21"/>
        </w:rPr>
        <w:t xml:space="preserve">, including pure technical efficiency and scale efficiency) that are greater than 1. This shows that they are at the forefront of production, </w:t>
      </w:r>
      <w:r>
        <w:rPr>
          <w:rFonts w:eastAsia="DengXian" w:cs="Times New Roman"/>
          <w:sz w:val="21"/>
          <w:szCs w:val="21"/>
        </w:rPr>
        <w:t>have</w:t>
      </w:r>
      <w:r>
        <w:rPr>
          <w:rFonts w:cs="Times New Roman"/>
          <w:sz w:val="21"/>
          <w:szCs w:val="21"/>
        </w:rPr>
        <w:t xml:space="preserve"> a reasonable input-output ratio and are the most efficient. They are also the objects that other provinces should imitate and learn from. The comprehensive forestry efficiency values of the remaining provinces are all less than 1, indicating that the ratio between input and output in these provinces is not balanced, and forestry investment is in a low-efficiency state. Overall, the current comprehensive forestry investment efficiency of China's provinces is not ideal, and the comprehensive forestry investment efficiency of most provinces is below 0.5, showing a long tail situation. In addition, the pure technical efficiency and scale efficiency of China's forestry investment also show a similar situation. Figure 2 more intuitively reflects the changes in the efficiency of forestry investment in various provinces in China over the years.</w:t>
      </w:r>
    </w:p>
    <w:bookmarkEnd w:id="33"/>
    <w:bookmarkEnd w:id="34"/>
    <w:p>
      <w:pPr>
        <w:spacing w:line="480" w:lineRule="auto"/>
        <w:contextualSpacing/>
        <w:jc w:val="center"/>
        <w:rPr>
          <w:rFonts w:cs="Times New Roman"/>
          <w:sz w:val="21"/>
          <w:szCs w:val="21"/>
        </w:rPr>
      </w:pPr>
      <w:r>
        <w:rPr>
          <w:rFonts w:cs="Times New Roman"/>
          <w:b/>
          <w:sz w:val="21"/>
          <w:szCs w:val="21"/>
        </w:rPr>
        <w:t xml:space="preserve">Table 2 </w:t>
      </w:r>
      <w:r>
        <w:rPr>
          <w:rFonts w:cs="Times New Roman"/>
          <w:sz w:val="21"/>
          <w:szCs w:val="21"/>
        </w:rPr>
        <w:t>China's forestry investment efficiency in 2004, 2011, and 2018</w:t>
      </w:r>
    </w:p>
    <w:tbl>
      <w:tblPr>
        <w:tblStyle w:val="11"/>
        <w:tblW w:w="9639" w:type="dxa"/>
        <w:jc w:val="center"/>
        <w:tblLayout w:type="autofit"/>
        <w:tblCellMar>
          <w:top w:w="0" w:type="dxa"/>
          <w:left w:w="108" w:type="dxa"/>
          <w:bottom w:w="0" w:type="dxa"/>
          <w:right w:w="108" w:type="dxa"/>
        </w:tblCellMar>
      </w:tblPr>
      <w:tblGrid>
        <w:gridCol w:w="1780"/>
        <w:gridCol w:w="811"/>
        <w:gridCol w:w="663"/>
        <w:gridCol w:w="663"/>
        <w:gridCol w:w="663"/>
        <w:gridCol w:w="811"/>
        <w:gridCol w:w="663"/>
        <w:gridCol w:w="663"/>
        <w:gridCol w:w="663"/>
        <w:gridCol w:w="811"/>
        <w:gridCol w:w="663"/>
        <w:gridCol w:w="663"/>
        <w:gridCol w:w="663"/>
      </w:tblGrid>
      <w:tr>
        <w:tblPrEx>
          <w:tblCellMar>
            <w:top w:w="0" w:type="dxa"/>
            <w:left w:w="108" w:type="dxa"/>
            <w:bottom w:w="0" w:type="dxa"/>
            <w:right w:w="108" w:type="dxa"/>
          </w:tblCellMar>
        </w:tblPrEx>
        <w:trPr>
          <w:trHeight w:val="320" w:hRule="atLeast"/>
          <w:jc w:val="center"/>
        </w:trPr>
        <w:tc>
          <w:tcPr>
            <w:tcW w:w="1780" w:type="dxa"/>
            <w:vMerge w:val="restart"/>
            <w:tcBorders>
              <w:top w:val="single" w:color="auto" w:sz="4" w:space="0"/>
              <w:left w:val="nil"/>
              <w:bottom w:val="single" w:color="000000" w:sz="4" w:space="0"/>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Province</w:t>
            </w:r>
          </w:p>
        </w:tc>
        <w:tc>
          <w:tcPr>
            <w:tcW w:w="2800" w:type="dxa"/>
            <w:gridSpan w:val="4"/>
            <w:tcBorders>
              <w:top w:val="single" w:color="auto" w:sz="4" w:space="0"/>
              <w:left w:val="nil"/>
              <w:bottom w:val="nil"/>
              <w:right w:val="nil"/>
            </w:tcBorders>
            <w:shd w:val="clear" w:color="auto" w:fill="auto"/>
            <w:noWrap/>
            <w:vAlign w:val="center"/>
          </w:tcPr>
          <w:p>
            <w:pPr>
              <w:widowControl/>
              <w:jc w:val="center"/>
              <w:rPr>
                <w:rFonts w:eastAsia="DengXian" w:cs="Times New Roman"/>
                <w:i/>
                <w:color w:val="000000"/>
                <w:kern w:val="0"/>
                <w:sz w:val="21"/>
                <w:szCs w:val="21"/>
              </w:rPr>
            </w:pPr>
            <w:r>
              <w:rPr>
                <w:rFonts w:eastAsia="DengXian" w:cs="Times New Roman"/>
                <w:i/>
                <w:color w:val="000000"/>
                <w:kern w:val="0"/>
                <w:sz w:val="21"/>
                <w:szCs w:val="21"/>
              </w:rPr>
              <w:t>C_TE</w:t>
            </w:r>
          </w:p>
        </w:tc>
        <w:tc>
          <w:tcPr>
            <w:tcW w:w="2800" w:type="dxa"/>
            <w:gridSpan w:val="4"/>
            <w:tcBorders>
              <w:top w:val="single" w:color="auto" w:sz="4" w:space="0"/>
              <w:left w:val="nil"/>
              <w:bottom w:val="nil"/>
              <w:right w:val="nil"/>
            </w:tcBorders>
            <w:shd w:val="clear" w:color="auto" w:fill="auto"/>
            <w:noWrap/>
            <w:vAlign w:val="center"/>
          </w:tcPr>
          <w:p>
            <w:pPr>
              <w:widowControl/>
              <w:jc w:val="center"/>
              <w:rPr>
                <w:rFonts w:eastAsia="DengXian" w:cs="Times New Roman"/>
                <w:i/>
                <w:color w:val="000000"/>
                <w:kern w:val="0"/>
                <w:sz w:val="21"/>
                <w:szCs w:val="21"/>
              </w:rPr>
            </w:pPr>
            <w:r>
              <w:rPr>
                <w:rFonts w:eastAsia="DengXian" w:cs="Times New Roman"/>
                <w:i/>
                <w:color w:val="000000"/>
                <w:kern w:val="0"/>
                <w:sz w:val="21"/>
                <w:szCs w:val="21"/>
              </w:rPr>
              <w:t>V_PTE</w:t>
            </w:r>
          </w:p>
        </w:tc>
        <w:tc>
          <w:tcPr>
            <w:tcW w:w="2800" w:type="dxa"/>
            <w:gridSpan w:val="4"/>
            <w:tcBorders>
              <w:top w:val="single" w:color="auto" w:sz="4" w:space="0"/>
              <w:left w:val="nil"/>
              <w:bottom w:val="nil"/>
              <w:right w:val="nil"/>
            </w:tcBorders>
            <w:shd w:val="clear" w:color="auto" w:fill="auto"/>
            <w:noWrap/>
            <w:vAlign w:val="center"/>
          </w:tcPr>
          <w:p>
            <w:pPr>
              <w:widowControl/>
              <w:jc w:val="center"/>
              <w:rPr>
                <w:rFonts w:eastAsia="DengXian" w:cs="Times New Roman"/>
                <w:i/>
                <w:color w:val="000000"/>
                <w:kern w:val="0"/>
                <w:sz w:val="21"/>
                <w:szCs w:val="21"/>
              </w:rPr>
            </w:pPr>
            <w:r>
              <w:rPr>
                <w:rFonts w:eastAsia="DengXian" w:cs="Times New Roman"/>
                <w:i/>
                <w:color w:val="000000"/>
                <w:kern w:val="0"/>
                <w:sz w:val="21"/>
                <w:szCs w:val="21"/>
              </w:rPr>
              <w:t>ScaleE</w:t>
            </w:r>
          </w:p>
        </w:tc>
      </w:tr>
      <w:tr>
        <w:tblPrEx>
          <w:tblCellMar>
            <w:top w:w="0" w:type="dxa"/>
            <w:left w:w="108" w:type="dxa"/>
            <w:bottom w:w="0" w:type="dxa"/>
            <w:right w:w="108" w:type="dxa"/>
          </w:tblCellMar>
        </w:tblPrEx>
        <w:trPr>
          <w:trHeight w:val="320" w:hRule="atLeast"/>
          <w:jc w:val="center"/>
        </w:trPr>
        <w:tc>
          <w:tcPr>
            <w:tcW w:w="1780" w:type="dxa"/>
            <w:vMerge w:val="continue"/>
            <w:tcBorders>
              <w:top w:val="single" w:color="auto" w:sz="4" w:space="0"/>
              <w:left w:val="nil"/>
              <w:bottom w:val="single" w:color="000000" w:sz="4" w:space="0"/>
              <w:right w:val="nil"/>
            </w:tcBorders>
            <w:vAlign w:val="center"/>
          </w:tcPr>
          <w:p>
            <w:pPr>
              <w:widowControl/>
              <w:jc w:val="left"/>
              <w:rPr>
                <w:rFonts w:eastAsia="DengXian" w:cs="Times New Roman"/>
                <w:color w:val="000000"/>
                <w:kern w:val="0"/>
                <w:sz w:val="21"/>
                <w:szCs w:val="21"/>
              </w:rPr>
            </w:pPr>
          </w:p>
        </w:tc>
        <w:tc>
          <w:tcPr>
            <w:tcW w:w="811" w:type="dxa"/>
            <w:tcBorders>
              <w:top w:val="nil"/>
              <w:left w:val="nil"/>
              <w:bottom w:val="single" w:color="auto" w:sz="4" w:space="0"/>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mean</w:t>
            </w:r>
          </w:p>
        </w:tc>
        <w:tc>
          <w:tcPr>
            <w:tcW w:w="663" w:type="dxa"/>
            <w:tcBorders>
              <w:top w:val="nil"/>
              <w:left w:val="nil"/>
              <w:bottom w:val="single" w:color="auto" w:sz="4" w:space="0"/>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std.</w:t>
            </w:r>
          </w:p>
        </w:tc>
        <w:tc>
          <w:tcPr>
            <w:tcW w:w="663" w:type="dxa"/>
            <w:tcBorders>
              <w:top w:val="nil"/>
              <w:left w:val="nil"/>
              <w:bottom w:val="single" w:color="auto" w:sz="4" w:space="0"/>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min</w:t>
            </w:r>
          </w:p>
        </w:tc>
        <w:tc>
          <w:tcPr>
            <w:tcW w:w="663" w:type="dxa"/>
            <w:tcBorders>
              <w:top w:val="nil"/>
              <w:left w:val="nil"/>
              <w:bottom w:val="single" w:color="auto" w:sz="4" w:space="0"/>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max</w:t>
            </w:r>
          </w:p>
        </w:tc>
        <w:tc>
          <w:tcPr>
            <w:tcW w:w="811" w:type="dxa"/>
            <w:tcBorders>
              <w:top w:val="nil"/>
              <w:left w:val="nil"/>
              <w:bottom w:val="single" w:color="auto" w:sz="4" w:space="0"/>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mean</w:t>
            </w:r>
          </w:p>
        </w:tc>
        <w:tc>
          <w:tcPr>
            <w:tcW w:w="663" w:type="dxa"/>
            <w:tcBorders>
              <w:top w:val="nil"/>
              <w:left w:val="nil"/>
              <w:bottom w:val="single" w:color="auto" w:sz="4" w:space="0"/>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std.</w:t>
            </w:r>
          </w:p>
        </w:tc>
        <w:tc>
          <w:tcPr>
            <w:tcW w:w="663" w:type="dxa"/>
            <w:tcBorders>
              <w:top w:val="nil"/>
              <w:left w:val="nil"/>
              <w:bottom w:val="single" w:color="auto" w:sz="4" w:space="0"/>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min</w:t>
            </w:r>
          </w:p>
        </w:tc>
        <w:tc>
          <w:tcPr>
            <w:tcW w:w="663" w:type="dxa"/>
            <w:tcBorders>
              <w:top w:val="nil"/>
              <w:left w:val="nil"/>
              <w:bottom w:val="single" w:color="auto" w:sz="4" w:space="0"/>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max</w:t>
            </w:r>
          </w:p>
        </w:tc>
        <w:tc>
          <w:tcPr>
            <w:tcW w:w="811" w:type="dxa"/>
            <w:tcBorders>
              <w:top w:val="nil"/>
              <w:left w:val="nil"/>
              <w:bottom w:val="single" w:color="auto" w:sz="4" w:space="0"/>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mean</w:t>
            </w:r>
          </w:p>
        </w:tc>
        <w:tc>
          <w:tcPr>
            <w:tcW w:w="663" w:type="dxa"/>
            <w:tcBorders>
              <w:top w:val="nil"/>
              <w:left w:val="nil"/>
              <w:bottom w:val="single" w:color="auto" w:sz="4" w:space="0"/>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std.</w:t>
            </w:r>
          </w:p>
        </w:tc>
        <w:tc>
          <w:tcPr>
            <w:tcW w:w="663" w:type="dxa"/>
            <w:tcBorders>
              <w:top w:val="nil"/>
              <w:left w:val="nil"/>
              <w:bottom w:val="single" w:color="auto" w:sz="4" w:space="0"/>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min</w:t>
            </w:r>
          </w:p>
        </w:tc>
        <w:tc>
          <w:tcPr>
            <w:tcW w:w="663" w:type="dxa"/>
            <w:tcBorders>
              <w:top w:val="nil"/>
              <w:left w:val="nil"/>
              <w:bottom w:val="single" w:color="auto" w:sz="4" w:space="0"/>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max</w:t>
            </w:r>
          </w:p>
        </w:tc>
      </w:tr>
      <w:tr>
        <w:tblPrEx>
          <w:tblCellMar>
            <w:top w:w="0" w:type="dxa"/>
            <w:left w:w="108" w:type="dxa"/>
            <w:bottom w:w="0" w:type="dxa"/>
            <w:right w:w="108" w:type="dxa"/>
          </w:tblCellMar>
        </w:tblPrEx>
        <w:trPr>
          <w:trHeight w:val="320" w:hRule="atLeast"/>
          <w:jc w:val="center"/>
        </w:trPr>
        <w:tc>
          <w:tcPr>
            <w:tcW w:w="178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Beijing</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0.05</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0.04</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0.01</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0.16</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0.19</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0.33</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0.02</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1.01</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0.79</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0.33</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0.01</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1.00</w:t>
            </w:r>
          </w:p>
        </w:tc>
      </w:tr>
      <w:tr>
        <w:tblPrEx>
          <w:tblCellMar>
            <w:top w:w="0" w:type="dxa"/>
            <w:left w:w="108" w:type="dxa"/>
            <w:bottom w:w="0" w:type="dxa"/>
            <w:right w:w="108" w:type="dxa"/>
          </w:tblCellMar>
        </w:tblPrEx>
        <w:trPr>
          <w:trHeight w:val="320" w:hRule="atLeast"/>
          <w:jc w:val="center"/>
        </w:trPr>
        <w:tc>
          <w:tcPr>
            <w:tcW w:w="178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Tianjin</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1.22</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0.08</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1.09</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1.35</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1.69</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0.65</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1.10</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3.38</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0.78</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0.17</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0.40</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0.98</w:t>
            </w:r>
          </w:p>
        </w:tc>
      </w:tr>
      <w:tr>
        <w:tblPrEx>
          <w:tblCellMar>
            <w:top w:w="0" w:type="dxa"/>
            <w:left w:w="108" w:type="dxa"/>
            <w:bottom w:w="0" w:type="dxa"/>
            <w:right w:w="108" w:type="dxa"/>
          </w:tblCellMar>
        </w:tblPrEx>
        <w:trPr>
          <w:trHeight w:val="320" w:hRule="atLeast"/>
          <w:jc w:val="center"/>
        </w:trPr>
        <w:tc>
          <w:tcPr>
            <w:tcW w:w="178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Hebei</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0.04</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0.02</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0.00</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0.07</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0.45</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0.44</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0.03</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1.05</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0.21</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0.21</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0.02</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0.83</w:t>
            </w:r>
          </w:p>
        </w:tc>
      </w:tr>
      <w:tr>
        <w:tblPrEx>
          <w:tblCellMar>
            <w:top w:w="0" w:type="dxa"/>
            <w:left w:w="108" w:type="dxa"/>
            <w:bottom w:w="0" w:type="dxa"/>
            <w:right w:w="108" w:type="dxa"/>
          </w:tblCellMar>
        </w:tblPrEx>
        <w:trPr>
          <w:trHeight w:val="320" w:hRule="atLeast"/>
          <w:jc w:val="center"/>
        </w:trPr>
        <w:tc>
          <w:tcPr>
            <w:tcW w:w="178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Shanxi</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0.03</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0.02</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0.00</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0.06</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0.26</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0.32</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0.01</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1.01</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0.27</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0.23</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0.04</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0.74</w:t>
            </w:r>
          </w:p>
        </w:tc>
      </w:tr>
      <w:tr>
        <w:tblPrEx>
          <w:tblCellMar>
            <w:top w:w="0" w:type="dxa"/>
            <w:left w:w="108" w:type="dxa"/>
            <w:bottom w:w="0" w:type="dxa"/>
            <w:right w:w="108" w:type="dxa"/>
          </w:tblCellMar>
        </w:tblPrEx>
        <w:trPr>
          <w:trHeight w:val="320" w:hRule="atLeast"/>
          <w:jc w:val="center"/>
        </w:trPr>
        <w:tc>
          <w:tcPr>
            <w:tcW w:w="178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Inner Mongolia</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0.07</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0.04</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0.01</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0.15</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0.40</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0.41</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0.02</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1.13</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0.29</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0.16</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0.05</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0.60</w:t>
            </w:r>
          </w:p>
        </w:tc>
      </w:tr>
      <w:tr>
        <w:tblPrEx>
          <w:tblCellMar>
            <w:top w:w="0" w:type="dxa"/>
            <w:left w:w="108" w:type="dxa"/>
            <w:bottom w:w="0" w:type="dxa"/>
            <w:right w:w="108" w:type="dxa"/>
          </w:tblCellMar>
        </w:tblPrEx>
        <w:trPr>
          <w:trHeight w:val="320" w:hRule="atLeast"/>
          <w:jc w:val="center"/>
        </w:trPr>
        <w:tc>
          <w:tcPr>
            <w:tcW w:w="178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Liaoning</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0.11</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0.09</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0.00</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0.29</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0.47</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0.40</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0.00</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1.11</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0.32</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0.17</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0.08</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0.70</w:t>
            </w:r>
          </w:p>
        </w:tc>
      </w:tr>
      <w:tr>
        <w:tblPrEx>
          <w:tblCellMar>
            <w:top w:w="0" w:type="dxa"/>
            <w:left w:w="108" w:type="dxa"/>
            <w:bottom w:w="0" w:type="dxa"/>
            <w:right w:w="108" w:type="dxa"/>
          </w:tblCellMar>
        </w:tblPrEx>
        <w:trPr>
          <w:trHeight w:val="320" w:hRule="atLeast"/>
          <w:jc w:val="center"/>
        </w:trPr>
        <w:tc>
          <w:tcPr>
            <w:tcW w:w="178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Jilin</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0.27</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0.33</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0.10</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1.15</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0.38</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0.31</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0.13</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1.16</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0.64</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0.21</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0.33</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1.00</w:t>
            </w:r>
          </w:p>
        </w:tc>
      </w:tr>
      <w:tr>
        <w:tblPrEx>
          <w:tblCellMar>
            <w:top w:w="0" w:type="dxa"/>
            <w:left w:w="108" w:type="dxa"/>
            <w:bottom w:w="0" w:type="dxa"/>
            <w:right w:w="108" w:type="dxa"/>
          </w:tblCellMar>
        </w:tblPrEx>
        <w:trPr>
          <w:trHeight w:val="320" w:hRule="atLeast"/>
          <w:jc w:val="center"/>
        </w:trPr>
        <w:tc>
          <w:tcPr>
            <w:tcW w:w="178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Heilongjiang</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0.12</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0.07</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0.04</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0.24</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0.92</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0.33</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0.31</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1.24</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0.14</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0.06</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0.04</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0.20</w:t>
            </w:r>
          </w:p>
        </w:tc>
      </w:tr>
      <w:tr>
        <w:tblPrEx>
          <w:tblCellMar>
            <w:top w:w="0" w:type="dxa"/>
            <w:left w:w="108" w:type="dxa"/>
            <w:bottom w:w="0" w:type="dxa"/>
            <w:right w:w="108" w:type="dxa"/>
          </w:tblCellMar>
        </w:tblPrEx>
        <w:trPr>
          <w:trHeight w:val="320" w:hRule="atLeast"/>
          <w:jc w:val="center"/>
        </w:trPr>
        <w:tc>
          <w:tcPr>
            <w:tcW w:w="178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Shanghai</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1.40</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0.08</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1.28</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1.55</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2.47</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1.01</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1.35</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4.59</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0.66</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0.24</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0.32</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1.00</w:t>
            </w:r>
          </w:p>
        </w:tc>
      </w:tr>
      <w:tr>
        <w:tblPrEx>
          <w:tblCellMar>
            <w:top w:w="0" w:type="dxa"/>
            <w:left w:w="108" w:type="dxa"/>
            <w:bottom w:w="0" w:type="dxa"/>
            <w:right w:w="108" w:type="dxa"/>
          </w:tblCellMar>
        </w:tblPrEx>
        <w:trPr>
          <w:trHeight w:val="320" w:hRule="atLeast"/>
          <w:jc w:val="center"/>
        </w:trPr>
        <w:tc>
          <w:tcPr>
            <w:tcW w:w="178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Jiangsu</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0.09</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0.08</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0.01</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0.23</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0.61</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0.48</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0.03</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1.11</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0.24</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0.20</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0.02</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0.80</w:t>
            </w:r>
          </w:p>
        </w:tc>
      </w:tr>
      <w:tr>
        <w:tblPrEx>
          <w:tblCellMar>
            <w:top w:w="0" w:type="dxa"/>
            <w:left w:w="108" w:type="dxa"/>
            <w:bottom w:w="0" w:type="dxa"/>
            <w:right w:w="108" w:type="dxa"/>
          </w:tblCellMar>
        </w:tblPrEx>
        <w:trPr>
          <w:trHeight w:val="320" w:hRule="atLeast"/>
          <w:jc w:val="center"/>
        </w:trPr>
        <w:tc>
          <w:tcPr>
            <w:tcW w:w="178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Zhejiang</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1.01</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0.40</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0.22</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1.75</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1.14</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0.29</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0.38</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1.78</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0.87</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0.22</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0.35</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1.00</w:t>
            </w:r>
          </w:p>
        </w:tc>
      </w:tr>
      <w:tr>
        <w:tblPrEx>
          <w:tblCellMar>
            <w:top w:w="0" w:type="dxa"/>
            <w:left w:w="108" w:type="dxa"/>
            <w:bottom w:w="0" w:type="dxa"/>
            <w:right w:w="108" w:type="dxa"/>
          </w:tblCellMar>
        </w:tblPrEx>
        <w:trPr>
          <w:trHeight w:val="320" w:hRule="atLeast"/>
          <w:jc w:val="center"/>
        </w:trPr>
        <w:tc>
          <w:tcPr>
            <w:tcW w:w="178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Anhui</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0.50</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0.46</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0.07</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1.44</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0.78</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0.42</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0.26</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1.47</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0.60</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0.33</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0.15</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1.00</w:t>
            </w:r>
          </w:p>
        </w:tc>
      </w:tr>
      <w:tr>
        <w:tblPrEx>
          <w:tblCellMar>
            <w:top w:w="0" w:type="dxa"/>
            <w:left w:w="108" w:type="dxa"/>
            <w:bottom w:w="0" w:type="dxa"/>
            <w:right w:w="108" w:type="dxa"/>
          </w:tblCellMar>
        </w:tblPrEx>
        <w:trPr>
          <w:trHeight w:val="320" w:hRule="atLeast"/>
          <w:jc w:val="center"/>
        </w:trPr>
        <w:tc>
          <w:tcPr>
            <w:tcW w:w="178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Fujian</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0.63</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0.42</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0.11</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1.19</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1.12</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0.06</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1.05</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1.23</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0.55</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0.35</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0.10</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1.00</w:t>
            </w:r>
          </w:p>
        </w:tc>
      </w:tr>
      <w:tr>
        <w:tblPrEx>
          <w:tblCellMar>
            <w:top w:w="0" w:type="dxa"/>
            <w:left w:w="108" w:type="dxa"/>
            <w:bottom w:w="0" w:type="dxa"/>
            <w:right w:w="108" w:type="dxa"/>
          </w:tblCellMar>
        </w:tblPrEx>
        <w:trPr>
          <w:trHeight w:val="320" w:hRule="atLeast"/>
          <w:jc w:val="center"/>
        </w:trPr>
        <w:tc>
          <w:tcPr>
            <w:tcW w:w="178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Jiangxi</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0.14</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0.04</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0.08</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0.22</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0.57</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0.27</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0.23</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1.06</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0.28</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0.12</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0.11</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0.60</w:t>
            </w:r>
          </w:p>
        </w:tc>
      </w:tr>
      <w:tr>
        <w:tblPrEx>
          <w:tblCellMar>
            <w:top w:w="0" w:type="dxa"/>
            <w:left w:w="108" w:type="dxa"/>
            <w:bottom w:w="0" w:type="dxa"/>
            <w:right w:w="108" w:type="dxa"/>
          </w:tblCellMar>
        </w:tblPrEx>
        <w:trPr>
          <w:trHeight w:val="320" w:hRule="atLeast"/>
          <w:jc w:val="center"/>
        </w:trPr>
        <w:tc>
          <w:tcPr>
            <w:tcW w:w="178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Shandong</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0.04</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0.02</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0.01</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0.08</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0.61</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0.46</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0.03</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1.17</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0.13</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0.16</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0.02</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0.67</w:t>
            </w:r>
          </w:p>
        </w:tc>
      </w:tr>
      <w:tr>
        <w:tblPrEx>
          <w:tblCellMar>
            <w:top w:w="0" w:type="dxa"/>
            <w:left w:w="108" w:type="dxa"/>
            <w:bottom w:w="0" w:type="dxa"/>
            <w:right w:w="108" w:type="dxa"/>
          </w:tblCellMar>
        </w:tblPrEx>
        <w:trPr>
          <w:trHeight w:val="320" w:hRule="atLeast"/>
          <w:jc w:val="center"/>
        </w:trPr>
        <w:tc>
          <w:tcPr>
            <w:tcW w:w="178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Henan</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0.07</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0.05</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0.00</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0.15</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0.55</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0.43</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0.00</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1.09</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0.20</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0.15</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0.04</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0.53</w:t>
            </w:r>
          </w:p>
        </w:tc>
      </w:tr>
      <w:tr>
        <w:tblPrEx>
          <w:tblCellMar>
            <w:top w:w="0" w:type="dxa"/>
            <w:left w:w="108" w:type="dxa"/>
            <w:bottom w:w="0" w:type="dxa"/>
            <w:right w:w="108" w:type="dxa"/>
          </w:tblCellMar>
        </w:tblPrEx>
        <w:trPr>
          <w:trHeight w:val="320" w:hRule="atLeast"/>
          <w:jc w:val="center"/>
        </w:trPr>
        <w:tc>
          <w:tcPr>
            <w:tcW w:w="178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Hubei</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0.09</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0.04</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0.02</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0.14</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0.22</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0.15</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0.04</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0.46</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0.50</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0.20</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0.30</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0.87</w:t>
            </w:r>
          </w:p>
        </w:tc>
      </w:tr>
      <w:tr>
        <w:tblPrEx>
          <w:tblCellMar>
            <w:top w:w="0" w:type="dxa"/>
            <w:left w:w="108" w:type="dxa"/>
            <w:bottom w:w="0" w:type="dxa"/>
            <w:right w:w="108" w:type="dxa"/>
          </w:tblCellMar>
        </w:tblPrEx>
        <w:trPr>
          <w:trHeight w:val="320" w:hRule="atLeast"/>
          <w:jc w:val="center"/>
        </w:trPr>
        <w:tc>
          <w:tcPr>
            <w:tcW w:w="178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Hunan</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0.08</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0.03</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0.02</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0.15</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0.72</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0.35</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0.27</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1.04</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0.14</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0.08</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0.02</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0.30</w:t>
            </w:r>
          </w:p>
        </w:tc>
      </w:tr>
      <w:tr>
        <w:tblPrEx>
          <w:tblCellMar>
            <w:top w:w="0" w:type="dxa"/>
            <w:left w:w="108" w:type="dxa"/>
            <w:bottom w:w="0" w:type="dxa"/>
            <w:right w:w="108" w:type="dxa"/>
          </w:tblCellMar>
        </w:tblPrEx>
        <w:trPr>
          <w:trHeight w:val="320" w:hRule="atLeast"/>
          <w:jc w:val="center"/>
        </w:trPr>
        <w:tc>
          <w:tcPr>
            <w:tcW w:w="178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Guangdong</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0.59</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0.43</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0.15</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1.44</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1.02</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0.30</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0.30</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1.53</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0.59</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0.34</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0.13</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0.99</w:t>
            </w:r>
          </w:p>
        </w:tc>
      </w:tr>
      <w:tr>
        <w:tblPrEx>
          <w:tblCellMar>
            <w:top w:w="0" w:type="dxa"/>
            <w:left w:w="108" w:type="dxa"/>
            <w:bottom w:w="0" w:type="dxa"/>
            <w:right w:w="108" w:type="dxa"/>
          </w:tblCellMar>
        </w:tblPrEx>
        <w:trPr>
          <w:trHeight w:val="320" w:hRule="atLeast"/>
          <w:jc w:val="center"/>
        </w:trPr>
        <w:tc>
          <w:tcPr>
            <w:tcW w:w="178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Guangxi</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0.07</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0.02</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0.03</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0.09</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0.59</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0.41</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0.11</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1.11</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0.18</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0.12</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0.06</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0.42</w:t>
            </w:r>
          </w:p>
        </w:tc>
      </w:tr>
      <w:tr>
        <w:tblPrEx>
          <w:tblCellMar>
            <w:top w:w="0" w:type="dxa"/>
            <w:left w:w="108" w:type="dxa"/>
            <w:bottom w:w="0" w:type="dxa"/>
            <w:right w:w="108" w:type="dxa"/>
          </w:tblCellMar>
        </w:tblPrEx>
        <w:trPr>
          <w:trHeight w:val="320" w:hRule="atLeast"/>
          <w:jc w:val="center"/>
        </w:trPr>
        <w:tc>
          <w:tcPr>
            <w:tcW w:w="178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Hainan</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1.30</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0.16</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1.10</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1.56</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1.33</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0.17</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1.11</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1.63</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0.98</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0.02</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0.93</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1.00</w:t>
            </w:r>
          </w:p>
        </w:tc>
      </w:tr>
      <w:tr>
        <w:tblPrEx>
          <w:tblCellMar>
            <w:top w:w="0" w:type="dxa"/>
            <w:left w:w="108" w:type="dxa"/>
            <w:bottom w:w="0" w:type="dxa"/>
            <w:right w:w="108" w:type="dxa"/>
          </w:tblCellMar>
        </w:tblPrEx>
        <w:trPr>
          <w:trHeight w:val="320" w:hRule="atLeast"/>
          <w:jc w:val="center"/>
        </w:trPr>
        <w:tc>
          <w:tcPr>
            <w:tcW w:w="178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Chongqing</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0.19</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0.25</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0.02</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1.02</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0.37</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0.32</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0.03</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1.07</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0.51</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0.23</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0.16</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0.97</w:t>
            </w:r>
          </w:p>
        </w:tc>
      </w:tr>
      <w:tr>
        <w:tblPrEx>
          <w:tblCellMar>
            <w:top w:w="0" w:type="dxa"/>
            <w:left w:w="108" w:type="dxa"/>
            <w:bottom w:w="0" w:type="dxa"/>
            <w:right w:w="108" w:type="dxa"/>
          </w:tblCellMar>
        </w:tblPrEx>
        <w:trPr>
          <w:trHeight w:val="320" w:hRule="atLeast"/>
          <w:jc w:val="center"/>
        </w:trPr>
        <w:tc>
          <w:tcPr>
            <w:tcW w:w="178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Sichuan</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0.10</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0.04</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0.03</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0.15</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0.82</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0.32</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0.36</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1.14</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0.12</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0.05</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0.06</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0.26</w:t>
            </w:r>
          </w:p>
        </w:tc>
      </w:tr>
      <w:tr>
        <w:tblPrEx>
          <w:tblCellMar>
            <w:top w:w="0" w:type="dxa"/>
            <w:left w:w="108" w:type="dxa"/>
            <w:bottom w:w="0" w:type="dxa"/>
            <w:right w:w="108" w:type="dxa"/>
          </w:tblCellMar>
        </w:tblPrEx>
        <w:trPr>
          <w:trHeight w:val="320" w:hRule="atLeast"/>
          <w:jc w:val="center"/>
        </w:trPr>
        <w:tc>
          <w:tcPr>
            <w:tcW w:w="178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Guizhou</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0.12</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0.08</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0.02</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0.27</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0.50</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0.41</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0.03</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1.04</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0.39</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0.25</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0.05</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0.88</w:t>
            </w:r>
          </w:p>
        </w:tc>
      </w:tr>
      <w:tr>
        <w:tblPrEx>
          <w:tblCellMar>
            <w:top w:w="0" w:type="dxa"/>
            <w:left w:w="108" w:type="dxa"/>
            <w:bottom w:w="0" w:type="dxa"/>
            <w:right w:w="108" w:type="dxa"/>
          </w:tblCellMar>
        </w:tblPrEx>
        <w:trPr>
          <w:trHeight w:val="320" w:hRule="atLeast"/>
          <w:jc w:val="center"/>
        </w:trPr>
        <w:tc>
          <w:tcPr>
            <w:tcW w:w="178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Yunnan</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0.16</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0.09</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0.05</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0.33</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1.29</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0.05</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1.19</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1.38</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0.12</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0.06</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0.04</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0.24</w:t>
            </w:r>
          </w:p>
        </w:tc>
      </w:tr>
      <w:tr>
        <w:tblPrEx>
          <w:tblCellMar>
            <w:top w:w="0" w:type="dxa"/>
            <w:left w:w="108" w:type="dxa"/>
            <w:bottom w:w="0" w:type="dxa"/>
            <w:right w:w="108" w:type="dxa"/>
          </w:tblCellMar>
        </w:tblPrEx>
        <w:trPr>
          <w:trHeight w:val="320" w:hRule="atLeast"/>
          <w:jc w:val="center"/>
        </w:trPr>
        <w:tc>
          <w:tcPr>
            <w:tcW w:w="178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Tibet</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1.77</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0.90</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1.42</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4.97</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1.83</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1.14</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1.42</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5.90</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0.99</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0.04</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0.84</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1.00</w:t>
            </w:r>
          </w:p>
        </w:tc>
      </w:tr>
      <w:tr>
        <w:tblPrEx>
          <w:tblCellMar>
            <w:top w:w="0" w:type="dxa"/>
            <w:left w:w="108" w:type="dxa"/>
            <w:bottom w:w="0" w:type="dxa"/>
            <w:right w:w="108" w:type="dxa"/>
          </w:tblCellMar>
        </w:tblPrEx>
        <w:trPr>
          <w:trHeight w:val="320" w:hRule="atLeast"/>
          <w:jc w:val="center"/>
        </w:trPr>
        <w:tc>
          <w:tcPr>
            <w:tcW w:w="178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Shaanxi</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0.08</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0.04</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0.01</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0.13</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0.21</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0.16</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0.03</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0.53</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0.49</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0.22</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0.18</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0.97</w:t>
            </w:r>
          </w:p>
        </w:tc>
      </w:tr>
      <w:tr>
        <w:tblPrEx>
          <w:tblCellMar>
            <w:top w:w="0" w:type="dxa"/>
            <w:left w:w="108" w:type="dxa"/>
            <w:bottom w:w="0" w:type="dxa"/>
            <w:right w:w="108" w:type="dxa"/>
          </w:tblCellMar>
        </w:tblPrEx>
        <w:trPr>
          <w:trHeight w:val="320" w:hRule="atLeast"/>
          <w:jc w:val="center"/>
        </w:trPr>
        <w:tc>
          <w:tcPr>
            <w:tcW w:w="178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Gansu</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0.05</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0.03</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0.01</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0.08</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0.08</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0.05</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0.01</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0.19</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0.71</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0.24</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0.25</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0.98</w:t>
            </w:r>
          </w:p>
        </w:tc>
      </w:tr>
      <w:tr>
        <w:tblPrEx>
          <w:tblCellMar>
            <w:top w:w="0" w:type="dxa"/>
            <w:left w:w="108" w:type="dxa"/>
            <w:bottom w:w="0" w:type="dxa"/>
            <w:right w:w="108" w:type="dxa"/>
          </w:tblCellMar>
        </w:tblPrEx>
        <w:trPr>
          <w:trHeight w:val="320" w:hRule="atLeast"/>
          <w:jc w:val="center"/>
        </w:trPr>
        <w:tc>
          <w:tcPr>
            <w:tcW w:w="178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Qinghai</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0.04</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0.02</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0.01</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0.09</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0.04</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0.02</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0.01</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0.09</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0.94</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0.13</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0.62</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1.00</w:t>
            </w:r>
          </w:p>
        </w:tc>
      </w:tr>
      <w:tr>
        <w:tblPrEx>
          <w:tblCellMar>
            <w:top w:w="0" w:type="dxa"/>
            <w:left w:w="108" w:type="dxa"/>
            <w:bottom w:w="0" w:type="dxa"/>
            <w:right w:w="108" w:type="dxa"/>
          </w:tblCellMar>
        </w:tblPrEx>
        <w:trPr>
          <w:trHeight w:val="320" w:hRule="atLeast"/>
          <w:jc w:val="center"/>
        </w:trPr>
        <w:tc>
          <w:tcPr>
            <w:tcW w:w="178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Ningxia</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0.01</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0.01</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0.00</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0.05</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0.10</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0.26</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0.00</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1.00</w:t>
            </w:r>
          </w:p>
        </w:tc>
        <w:tc>
          <w:tcPr>
            <w:tcW w:w="811"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0.72</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0.33</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0.03</w:t>
            </w:r>
          </w:p>
        </w:tc>
        <w:tc>
          <w:tcPr>
            <w:tcW w:w="663"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1.00</w:t>
            </w:r>
          </w:p>
        </w:tc>
      </w:tr>
      <w:tr>
        <w:tblPrEx>
          <w:tblCellMar>
            <w:top w:w="0" w:type="dxa"/>
            <w:left w:w="108" w:type="dxa"/>
            <w:bottom w:w="0" w:type="dxa"/>
            <w:right w:w="108" w:type="dxa"/>
          </w:tblCellMar>
        </w:tblPrEx>
        <w:trPr>
          <w:trHeight w:val="320" w:hRule="atLeast"/>
          <w:jc w:val="center"/>
        </w:trPr>
        <w:tc>
          <w:tcPr>
            <w:tcW w:w="1780" w:type="dxa"/>
            <w:tcBorders>
              <w:top w:val="nil"/>
              <w:left w:val="nil"/>
              <w:bottom w:val="single" w:color="auto" w:sz="4" w:space="0"/>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Xinjiang</w:t>
            </w:r>
          </w:p>
        </w:tc>
        <w:tc>
          <w:tcPr>
            <w:tcW w:w="811" w:type="dxa"/>
            <w:tcBorders>
              <w:top w:val="nil"/>
              <w:left w:val="nil"/>
              <w:bottom w:val="single" w:color="auto" w:sz="4" w:space="0"/>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0.10</w:t>
            </w:r>
          </w:p>
        </w:tc>
        <w:tc>
          <w:tcPr>
            <w:tcW w:w="663" w:type="dxa"/>
            <w:tcBorders>
              <w:top w:val="nil"/>
              <w:left w:val="nil"/>
              <w:bottom w:val="single" w:color="auto" w:sz="4" w:space="0"/>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0.05</w:t>
            </w:r>
          </w:p>
        </w:tc>
        <w:tc>
          <w:tcPr>
            <w:tcW w:w="663" w:type="dxa"/>
            <w:tcBorders>
              <w:top w:val="nil"/>
              <w:left w:val="nil"/>
              <w:bottom w:val="single" w:color="auto" w:sz="4" w:space="0"/>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0.02</w:t>
            </w:r>
          </w:p>
        </w:tc>
        <w:tc>
          <w:tcPr>
            <w:tcW w:w="663" w:type="dxa"/>
            <w:tcBorders>
              <w:top w:val="nil"/>
              <w:left w:val="nil"/>
              <w:bottom w:val="single" w:color="auto" w:sz="4" w:space="0"/>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0.16</w:t>
            </w:r>
          </w:p>
        </w:tc>
        <w:tc>
          <w:tcPr>
            <w:tcW w:w="811" w:type="dxa"/>
            <w:tcBorders>
              <w:top w:val="nil"/>
              <w:left w:val="nil"/>
              <w:bottom w:val="single" w:color="auto" w:sz="4" w:space="0"/>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0.19</w:t>
            </w:r>
          </w:p>
        </w:tc>
        <w:tc>
          <w:tcPr>
            <w:tcW w:w="663" w:type="dxa"/>
            <w:tcBorders>
              <w:top w:val="nil"/>
              <w:left w:val="nil"/>
              <w:bottom w:val="single" w:color="auto" w:sz="4" w:space="0"/>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0.24</w:t>
            </w:r>
          </w:p>
        </w:tc>
        <w:tc>
          <w:tcPr>
            <w:tcW w:w="663" w:type="dxa"/>
            <w:tcBorders>
              <w:top w:val="nil"/>
              <w:left w:val="nil"/>
              <w:bottom w:val="single" w:color="auto" w:sz="4" w:space="0"/>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0.03</w:t>
            </w:r>
          </w:p>
        </w:tc>
        <w:tc>
          <w:tcPr>
            <w:tcW w:w="663" w:type="dxa"/>
            <w:tcBorders>
              <w:top w:val="nil"/>
              <w:left w:val="nil"/>
              <w:bottom w:val="single" w:color="auto" w:sz="4" w:space="0"/>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1.00</w:t>
            </w:r>
          </w:p>
        </w:tc>
        <w:tc>
          <w:tcPr>
            <w:tcW w:w="811" w:type="dxa"/>
            <w:tcBorders>
              <w:top w:val="nil"/>
              <w:left w:val="nil"/>
              <w:bottom w:val="single" w:color="auto" w:sz="4" w:space="0"/>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0.76</w:t>
            </w:r>
          </w:p>
        </w:tc>
        <w:tc>
          <w:tcPr>
            <w:tcW w:w="663" w:type="dxa"/>
            <w:tcBorders>
              <w:top w:val="nil"/>
              <w:left w:val="nil"/>
              <w:bottom w:val="single" w:color="auto" w:sz="4" w:space="0"/>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0.24</w:t>
            </w:r>
          </w:p>
        </w:tc>
        <w:tc>
          <w:tcPr>
            <w:tcW w:w="663" w:type="dxa"/>
            <w:tcBorders>
              <w:top w:val="nil"/>
              <w:left w:val="nil"/>
              <w:bottom w:val="single" w:color="auto" w:sz="4" w:space="0"/>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0.13</w:t>
            </w:r>
          </w:p>
        </w:tc>
        <w:tc>
          <w:tcPr>
            <w:tcW w:w="663" w:type="dxa"/>
            <w:tcBorders>
              <w:top w:val="nil"/>
              <w:left w:val="nil"/>
              <w:bottom w:val="single" w:color="auto" w:sz="4" w:space="0"/>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0.99</w:t>
            </w:r>
          </w:p>
        </w:tc>
      </w:tr>
    </w:tbl>
    <w:p>
      <w:pPr>
        <w:spacing w:line="480" w:lineRule="auto"/>
        <w:contextualSpacing/>
        <w:rPr>
          <w:rFonts w:cs="Times New Roman"/>
          <w:sz w:val="21"/>
          <w:szCs w:val="21"/>
        </w:rPr>
      </w:pPr>
      <w:r>
        <w:rPr>
          <w:rFonts w:cs="Times New Roman"/>
          <w:sz w:val="21"/>
          <w:szCs w:val="21"/>
        </w:rPr>
        <w:t xml:space="preserve">Note: </w:t>
      </w:r>
      <w:r>
        <w:rPr>
          <w:rFonts w:cs="Times New Roman"/>
          <w:i/>
          <w:sz w:val="21"/>
          <w:szCs w:val="21"/>
        </w:rPr>
        <w:t>C_TE</w:t>
      </w:r>
      <w:r>
        <w:rPr>
          <w:rFonts w:cs="Times New Roman"/>
          <w:sz w:val="21"/>
          <w:szCs w:val="21"/>
        </w:rPr>
        <w:t xml:space="preserve">, </w:t>
      </w:r>
      <w:r>
        <w:rPr>
          <w:rFonts w:cs="Times New Roman"/>
          <w:i/>
          <w:sz w:val="21"/>
          <w:szCs w:val="21"/>
        </w:rPr>
        <w:t>V_PTE</w:t>
      </w:r>
      <w:r>
        <w:rPr>
          <w:rFonts w:cs="Times New Roman"/>
          <w:sz w:val="21"/>
          <w:szCs w:val="21"/>
        </w:rPr>
        <w:t xml:space="preserve"> and </w:t>
      </w:r>
      <w:r>
        <w:rPr>
          <w:rFonts w:cs="Times New Roman"/>
          <w:i/>
          <w:sz w:val="21"/>
          <w:szCs w:val="21"/>
        </w:rPr>
        <w:t>ScaleE</w:t>
      </w:r>
      <w:r>
        <w:rPr>
          <w:rFonts w:cs="Times New Roman"/>
          <w:sz w:val="21"/>
          <w:szCs w:val="21"/>
        </w:rPr>
        <w:t xml:space="preserve"> represent the results calculated by </w:t>
      </w:r>
      <w:r>
        <w:rPr>
          <w:rFonts w:eastAsia="宋体" w:cs="Times New Roman"/>
          <w:sz w:val="21"/>
          <w:szCs w:val="21"/>
        </w:rPr>
        <w:t xml:space="preserve">the </w:t>
      </w:r>
      <w:r>
        <w:rPr>
          <w:rFonts w:cs="Times New Roman"/>
          <w:sz w:val="21"/>
          <w:szCs w:val="21"/>
        </w:rPr>
        <w:t xml:space="preserve">super-SBM-CRS model, </w:t>
      </w:r>
      <w:r>
        <w:rPr>
          <w:rFonts w:eastAsia="宋体" w:cs="Times New Roman"/>
          <w:sz w:val="21"/>
          <w:szCs w:val="21"/>
        </w:rPr>
        <w:t xml:space="preserve">the </w:t>
      </w:r>
      <w:r>
        <w:rPr>
          <w:rFonts w:cs="Times New Roman"/>
          <w:sz w:val="21"/>
          <w:szCs w:val="21"/>
        </w:rPr>
        <w:t>super-SBM-VRS model and equation 5</w:t>
      </w:r>
      <w:r>
        <w:rPr>
          <w:rFonts w:eastAsia="宋体" w:cs="Times New Roman"/>
          <w:sz w:val="21"/>
          <w:szCs w:val="21"/>
        </w:rPr>
        <w:t>, respectively</w:t>
      </w:r>
      <w:r>
        <w:rPr>
          <w:rFonts w:cs="Times New Roman"/>
          <w:sz w:val="21"/>
          <w:szCs w:val="21"/>
        </w:rPr>
        <w:t>.</w:t>
      </w:r>
    </w:p>
    <w:p>
      <w:pPr>
        <w:spacing w:line="480" w:lineRule="auto"/>
        <w:ind w:firstLine="525" w:firstLineChars="250"/>
        <w:contextualSpacing/>
        <w:rPr>
          <w:rFonts w:cs="Times New Roman"/>
          <w:sz w:val="21"/>
          <w:szCs w:val="21"/>
        </w:rPr>
      </w:pPr>
      <w:r>
        <w:rPr>
          <w:rFonts w:cs="Times New Roman"/>
          <w:sz w:val="21"/>
          <w:szCs w:val="21"/>
        </w:rPr>
        <w:t>Figure 2</w:t>
      </w:r>
      <w:r>
        <w:rPr>
          <w:rFonts w:eastAsia="DengXian" w:cs="Times New Roman"/>
          <w:sz w:val="21"/>
          <w:szCs w:val="21"/>
        </w:rPr>
        <w:t xml:space="preserve"> shows </w:t>
      </w:r>
      <w:r>
        <w:rPr>
          <w:rFonts w:cs="Times New Roman"/>
          <w:sz w:val="21"/>
          <w:szCs w:val="21"/>
        </w:rPr>
        <w:t>that the efficiency of comprehensive forestry investment in most provinces in China is constantly improving. However, the comprehensive forestry investment efficiency of Jilin, Zhejiang, Anhui, Fujian, Guangdong, and Hainan has fluctuated greatly, and the fluctuation range is relatively obvious. This shows that the relationship between forestry production input and output in these provinces is in an unstable state.</w:t>
      </w:r>
    </w:p>
    <w:p>
      <w:pPr>
        <w:spacing w:line="480" w:lineRule="auto"/>
        <w:ind w:firstLine="525" w:firstLineChars="250"/>
        <w:contextualSpacing/>
        <w:rPr>
          <w:rFonts w:cs="Times New Roman"/>
          <w:sz w:val="21"/>
          <w:szCs w:val="21"/>
        </w:rPr>
      </w:pPr>
      <w:r>
        <w:rPr>
          <w:rFonts w:cs="Times New Roman"/>
          <w:sz w:val="21"/>
          <w:szCs w:val="21"/>
        </w:rPr>
        <w:t xml:space="preserve">In addition, we found that the scale efficiency values of Beijing, Tianjin, Shanghai, Zhejiang, Guangdong, Hainan, Tibet, and Qinghai remain </w:t>
      </w:r>
      <w:r>
        <w:rPr>
          <w:rFonts w:eastAsia="DengXian" w:cs="Times New Roman"/>
          <w:sz w:val="21"/>
          <w:szCs w:val="21"/>
        </w:rPr>
        <w:t>at approximately</w:t>
      </w:r>
      <w:r>
        <w:rPr>
          <w:rFonts w:cs="Times New Roman"/>
          <w:sz w:val="21"/>
          <w:szCs w:val="21"/>
        </w:rPr>
        <w:t xml:space="preserve"> 1. Among these provinces, only Beijing, Guangdong and Qinghai are the provinces with low comprehensive forestry investment efficiency, which means that pure technical efficiency is a key factor directly affecting their low comprehensive forestry investment efficiency. For example, we found that after 2006, the value of pure technical efficiency in Beijing dropped sharply, the scale efficiency was basically stable, and there may be an unreasonable input-output structure. Beijing is one of the cities with the highest level of economic development and urbanization in China. As we all know, its land resources are extremely limited, which greatly restricts the development of its forestry investment activities so that no amount of forestry investment can produce good benefits. </w:t>
      </w:r>
      <w:r>
        <w:rPr>
          <w:rFonts w:eastAsia="DengXian" w:cs="Times New Roman"/>
          <w:sz w:val="21"/>
          <w:szCs w:val="21"/>
        </w:rPr>
        <w:t>In contrast</w:t>
      </w:r>
      <w:r>
        <w:rPr>
          <w:rFonts w:cs="Times New Roman"/>
          <w:sz w:val="21"/>
          <w:szCs w:val="21"/>
        </w:rPr>
        <w:t xml:space="preserve">, we found that in the provinces of Fujian, Shandong, Guangxi, Sichuan and Yunnan, pure technical efficiency </w:t>
      </w:r>
      <w:r>
        <w:rPr>
          <w:rFonts w:eastAsia="DengXian" w:cs="Times New Roman"/>
          <w:sz w:val="21"/>
          <w:szCs w:val="21"/>
        </w:rPr>
        <w:t>was</w:t>
      </w:r>
      <w:r>
        <w:rPr>
          <w:rFonts w:cs="Times New Roman"/>
          <w:sz w:val="21"/>
          <w:szCs w:val="21"/>
        </w:rPr>
        <w:t xml:space="preserve"> always maintained at </w:t>
      </w:r>
      <w:r>
        <w:rPr>
          <w:rFonts w:eastAsia="DengXian" w:cs="Times New Roman"/>
          <w:sz w:val="21"/>
          <w:szCs w:val="21"/>
        </w:rPr>
        <w:t>approximately</w:t>
      </w:r>
      <w:r>
        <w:rPr>
          <w:rFonts w:cs="Times New Roman"/>
          <w:sz w:val="21"/>
          <w:szCs w:val="21"/>
        </w:rPr>
        <w:t xml:space="preserve"> 1. Therefore, the inefficiency of scale efficiency is a key factor directly leading to the inefficiency of comprehensive forestry investment in these provinces. This shows that the input-output structure of the forestry industry in these provinces is reasonable, but the scale needs to be increased.</w:t>
      </w:r>
    </w:p>
    <w:p>
      <w:pPr>
        <w:spacing w:line="480" w:lineRule="auto"/>
        <w:ind w:firstLine="525" w:firstLineChars="250"/>
        <w:contextualSpacing/>
        <w:rPr>
          <w:rFonts w:cs="Times New Roman"/>
          <w:sz w:val="21"/>
          <w:szCs w:val="21"/>
        </w:rPr>
      </w:pPr>
      <w:r>
        <w:rPr>
          <w:rFonts w:cs="Times New Roman"/>
          <w:sz w:val="21"/>
          <w:szCs w:val="21"/>
        </w:rPr>
        <w:t xml:space="preserve">At the same time, we have also noticed that in Hebei, Shanxi, Inner Mongolia, Liaoning, Jiangsu, Jiangxi, Henan, Guizhou, and Shaanxi provinces, pure technical efficiency does not match scale efficiency. </w:t>
      </w:r>
      <w:r>
        <w:rPr>
          <w:rFonts w:eastAsia="DengXian" w:cs="Times New Roman"/>
          <w:sz w:val="21"/>
          <w:szCs w:val="21"/>
        </w:rPr>
        <w:t xml:space="preserve">Because </w:t>
      </w:r>
      <w:r>
        <w:rPr>
          <w:rFonts w:cs="Times New Roman"/>
          <w:sz w:val="21"/>
          <w:szCs w:val="21"/>
        </w:rPr>
        <w:t>pure technical efficiency and scale efficiency always show the opposite direction of change, the comprehensive forestry investment efficiency of these provinces has shown a lower level. This shows that forestry investment and production activities in these provinces are not stable, the industrial structure is not mature enough, and the economy is underdeveloped. Therefore, it cannot provide an effective environment for forestry production activities.</w:t>
      </w:r>
    </w:p>
    <w:p>
      <w:pPr>
        <w:spacing w:line="480" w:lineRule="auto"/>
        <w:contextualSpacing/>
        <w:rPr>
          <w:rFonts w:cs="Times New Roman"/>
          <w:sz w:val="21"/>
          <w:szCs w:val="21"/>
        </w:rPr>
      </w:pPr>
      <w:r>
        <w:rPr>
          <w:rFonts w:cs="Times New Roman"/>
          <w:sz w:val="21"/>
          <w:szCs w:val="21"/>
        </w:rPr>
        <w:drawing>
          <wp:inline distT="0" distB="0" distL="0" distR="0">
            <wp:extent cx="5943600" cy="73152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943600" cy="7315200"/>
                    </a:xfrm>
                    <a:prstGeom prst="rect">
                      <a:avLst/>
                    </a:prstGeom>
                  </pic:spPr>
                </pic:pic>
              </a:graphicData>
            </a:graphic>
          </wp:inline>
        </w:drawing>
      </w:r>
    </w:p>
    <w:p>
      <w:pPr>
        <w:spacing w:line="480" w:lineRule="auto"/>
        <w:contextualSpacing/>
        <w:jc w:val="center"/>
        <w:rPr>
          <w:rFonts w:cs="Times New Roman"/>
          <w:sz w:val="21"/>
          <w:szCs w:val="21"/>
        </w:rPr>
      </w:pPr>
      <w:r>
        <w:rPr>
          <w:rFonts w:cs="Times New Roman"/>
          <w:sz w:val="21"/>
          <w:szCs w:val="21"/>
        </w:rPr>
        <w:t>Fig. 2 Line chart of China's forestry investment efficiency from 2004 to 2018</w:t>
      </w:r>
    </w:p>
    <w:p>
      <w:pPr>
        <w:spacing w:line="480" w:lineRule="auto"/>
        <w:ind w:firstLine="420" w:firstLineChars="200"/>
        <w:contextualSpacing/>
        <w:rPr>
          <w:rFonts w:cs="Times New Roman"/>
          <w:sz w:val="21"/>
          <w:szCs w:val="21"/>
        </w:rPr>
      </w:pPr>
      <w:r>
        <w:rPr>
          <w:rFonts w:cs="Times New Roman"/>
          <w:sz w:val="21"/>
          <w:szCs w:val="21"/>
        </w:rPr>
        <w:t xml:space="preserve">The output variables we selected not only reflect economic benefits but also cover environmental benefits. </w:t>
      </w:r>
      <w:bookmarkStart w:id="35" w:name="_SAM_R_024"/>
      <w:r>
        <w:rPr>
          <w:rFonts w:cs="Times New Roman"/>
          <w:sz w:val="21"/>
          <w:szCs w:val="21"/>
        </w:rPr>
        <w:t>Therefore, when evaluating the effect of forestry investment, the results of the model also reflect the effect of improving the environment.</w:t>
      </w:r>
      <w:bookmarkEnd w:id="35"/>
      <w:r>
        <w:rPr>
          <w:rFonts w:cs="Times New Roman"/>
          <w:sz w:val="21"/>
          <w:szCs w:val="21"/>
        </w:rPr>
        <w:t xml:space="preserve"> Combining the analysis of forestry investment intensity in Figure 1 and the forestry investment efficiency value calculated in this section, we find that provinces with high forestry investment intensity do not necessarily have good investment effects. For example, provinces such as Guangxi and Sichuan have more reasonable resource allocation, but their economies of scale are low. Even if the investment is very sufficient but cannot match the development needs, the effect of forestry investment is still not satisfactory. </w:t>
      </w:r>
      <w:r>
        <w:rPr>
          <w:rFonts w:eastAsia="DengXian" w:cs="Times New Roman"/>
          <w:sz w:val="21"/>
          <w:szCs w:val="21"/>
        </w:rPr>
        <w:t>However,</w:t>
      </w:r>
      <w:r>
        <w:rPr>
          <w:rFonts w:cs="Times New Roman"/>
          <w:sz w:val="21"/>
          <w:szCs w:val="21"/>
        </w:rPr>
        <w:t xml:space="preserve"> the amount of forestry investment in some developed provinces is relatively low. However, their investment has reached the best results at the forefront of production, such as Shanghai and Tianjin. This result shows that although their input elements are very limited, if the input-output structure is reasonable and the state of scale effect is reached, the greatest forestry investment benefits can be obtained.</w:t>
      </w:r>
    </w:p>
    <w:p>
      <w:pPr>
        <w:spacing w:line="480" w:lineRule="auto"/>
        <w:contextualSpacing/>
        <w:rPr>
          <w:rFonts w:cs="Times New Roman"/>
          <w:sz w:val="21"/>
          <w:szCs w:val="21"/>
        </w:rPr>
      </w:pPr>
    </w:p>
    <w:p>
      <w:pPr>
        <w:spacing w:line="480" w:lineRule="auto"/>
        <w:contextualSpacing/>
        <w:rPr>
          <w:rFonts w:cs="Times New Roman"/>
          <w:sz w:val="21"/>
          <w:szCs w:val="21"/>
        </w:rPr>
      </w:pPr>
      <w:r>
        <w:rPr>
          <w:rFonts w:cs="Times New Roman"/>
          <w:b/>
          <w:i/>
          <w:sz w:val="21"/>
          <w:szCs w:val="21"/>
        </w:rPr>
        <w:t>3.2 Slack variable results of Super-SBM model</w:t>
      </w:r>
    </w:p>
    <w:p>
      <w:pPr>
        <w:spacing w:line="480" w:lineRule="auto"/>
        <w:ind w:firstLine="525" w:firstLineChars="250"/>
        <w:contextualSpacing/>
        <w:rPr>
          <w:rFonts w:cs="Times New Roman"/>
          <w:sz w:val="21"/>
          <w:szCs w:val="21"/>
        </w:rPr>
      </w:pPr>
      <w:r>
        <w:rPr>
          <w:rFonts w:cs="Times New Roman"/>
          <w:sz w:val="21"/>
          <w:szCs w:val="21"/>
        </w:rPr>
        <w:t>As the efficiency of comprehensive forestry investment in China's provinces is generally low, we will further analyze the specific reasons for the unreasonable efficiency of comprehensive forestry investment in various provinces. One of the main reasons for choosing the Super-SBM model is that it considers slack variables. The value of the slack variable reflects the irrationality of input and output and the direction of improvement to a certain extent. Fig. 3 and Fig. 4 show the analysis results of the slack variable values of input variables and output variables in the comprehensive forestry investment efficiency of various provinces in China.</w:t>
      </w:r>
    </w:p>
    <w:p>
      <w:pPr>
        <w:spacing w:line="480" w:lineRule="auto"/>
        <w:ind w:firstLine="525" w:firstLineChars="250"/>
        <w:contextualSpacing/>
        <w:rPr>
          <w:rFonts w:cs="Times New Roman"/>
          <w:sz w:val="21"/>
          <w:szCs w:val="21"/>
        </w:rPr>
      </w:pPr>
      <w:r>
        <w:rPr>
          <w:rFonts w:cs="Times New Roman"/>
          <w:sz w:val="21"/>
          <w:szCs w:val="21"/>
        </w:rPr>
        <w:t xml:space="preserve">Through the slack variables shown in Fig. 3, among them, the value of the slack variable greater than 0 represents the distance between the DMU and the optimal input or output. </w:t>
      </w:r>
      <w:bookmarkStart w:id="36" w:name="_SAM_R_023"/>
      <w:r>
        <w:rPr>
          <w:rFonts w:eastAsia="DengXian" w:cs="Times New Roman"/>
          <w:sz w:val="21"/>
          <w:szCs w:val="21"/>
        </w:rPr>
        <w:t>Therefore</w:t>
      </w:r>
      <w:r>
        <w:rPr>
          <w:rFonts w:cs="Times New Roman"/>
          <w:sz w:val="21"/>
          <w:szCs w:val="21"/>
        </w:rPr>
        <w:t>, we can analyze the redundancy of forestry investment in various provinces in China.</w:t>
      </w:r>
      <w:bookmarkEnd w:id="36"/>
      <w:r>
        <w:t xml:space="preserve"> </w:t>
      </w:r>
      <w:r>
        <w:rPr>
          <w:rFonts w:cs="Times New Roman"/>
          <w:sz w:val="21"/>
          <w:szCs w:val="21"/>
        </w:rPr>
        <w:t xml:space="preserve">We can clearly see that Hebei, Shanxi, Inner Mongolia, Liaoning, Anhui, Fujian, Jiangxi, Shandong, Hubei, Guangdong, Guangxi, Chongqing, Sichuan, Yunnan, Shaanxi, Gansu, Ningxia and Xinjiang have a certain overinvestment in forestry </w:t>
      </w:r>
      <w:r>
        <w:rPr>
          <w:rFonts w:eastAsia="DengXian" w:cs="Times New Roman"/>
          <w:sz w:val="21"/>
          <w:szCs w:val="21"/>
        </w:rPr>
        <w:t>areas</w:t>
      </w:r>
      <w:r>
        <w:rPr>
          <w:rFonts w:cs="Times New Roman"/>
          <w:sz w:val="21"/>
          <w:szCs w:val="21"/>
        </w:rPr>
        <w:t>. However, forestry practitioners in Beijing, Jilin, Heilongjiang and Jiangsu provinces have overinvestment. In addition, forestry investment in Beijing, Jiangsu, Shandong, and Guangxi has overinvestment.</w:t>
      </w:r>
    </w:p>
    <w:p>
      <w:pPr>
        <w:spacing w:line="480" w:lineRule="auto"/>
        <w:ind w:firstLine="525" w:firstLineChars="250"/>
        <w:contextualSpacing/>
        <w:rPr>
          <w:rFonts w:cs="Times New Roman"/>
          <w:sz w:val="21"/>
          <w:szCs w:val="21"/>
        </w:rPr>
      </w:pPr>
      <w:r>
        <w:rPr>
          <w:rFonts w:cs="Times New Roman"/>
          <w:sz w:val="21"/>
          <w:szCs w:val="21"/>
        </w:rPr>
        <w:t>From this, we find that the reasons for the low efficiency of forestry investment in various provinces in China are different. For most provinces, their forestry practitioners and funds are insufficient, resulting in the inability to make full use of forestry land. In contrast, Beijing's forestry investment and forestry practitioners clearly surplus, which confirms previous speculations about the "low efficiency" of Beijing's forestry investment. Beijing’s land resources are very limited, and blindly increasing forestry funds and employees cannot effectively improve economic and environmental benefits. Jiangsu is also facing a similar situation to Beijing. Shandong and Guangxi also have surpluses in forestry investment, but their forestry land resources are relatively sufficient. Their "inefficiency" is different from that of Beijing. This may be because they lack labor to make full use of these resources and limit their ability to utilize and absorb investment.</w:t>
      </w:r>
    </w:p>
    <w:p>
      <w:pPr>
        <w:spacing w:line="480" w:lineRule="auto"/>
        <w:contextualSpacing/>
        <w:rPr>
          <w:rFonts w:cs="Times New Roman"/>
          <w:sz w:val="21"/>
          <w:szCs w:val="21"/>
        </w:rPr>
      </w:pPr>
      <w:r>
        <w:rPr>
          <w:rFonts w:cs="Times New Roman"/>
          <w:sz w:val="21"/>
          <w:szCs w:val="21"/>
        </w:rPr>
        <w:drawing>
          <wp:inline distT="0" distB="0" distL="0" distR="0">
            <wp:extent cx="5943600" cy="73152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943600" cy="7315200"/>
                    </a:xfrm>
                    <a:prstGeom prst="rect">
                      <a:avLst/>
                    </a:prstGeom>
                    <a:ln>
                      <a:noFill/>
                    </a:ln>
                  </pic:spPr>
                </pic:pic>
              </a:graphicData>
            </a:graphic>
          </wp:inline>
        </w:drawing>
      </w:r>
    </w:p>
    <w:p>
      <w:pPr>
        <w:spacing w:line="480" w:lineRule="auto"/>
        <w:contextualSpacing/>
        <w:jc w:val="center"/>
        <w:rPr>
          <w:rFonts w:cs="Times New Roman"/>
          <w:sz w:val="21"/>
          <w:szCs w:val="21"/>
        </w:rPr>
      </w:pPr>
      <w:r>
        <w:rPr>
          <w:rFonts w:cs="Times New Roman"/>
          <w:sz w:val="21"/>
          <w:szCs w:val="21"/>
        </w:rPr>
        <w:t>Fig. 3 Slack values of input variables in China's provinces from 2004 to 2018</w:t>
      </w:r>
    </w:p>
    <w:p>
      <w:pPr>
        <w:spacing w:line="480" w:lineRule="auto"/>
        <w:contextualSpacing/>
        <w:rPr>
          <w:rFonts w:cs="Times New Roman"/>
          <w:sz w:val="21"/>
          <w:szCs w:val="21"/>
        </w:rPr>
      </w:pPr>
      <w:r>
        <w:rPr>
          <w:rFonts w:cs="Times New Roman"/>
          <w:sz w:val="21"/>
          <w:szCs w:val="21"/>
        </w:rPr>
        <w:t xml:space="preserve">     From Fig. 4, we can see the forestry output of each province in China. Among them, Beijing, Hebei, Shanxi, Liaoning, Jiangsu, Jiangxi, Shandong, Henan, Hubei, Hunan, Chongqing, Guizhou and Tibet have relatively insufficient forest carbon sinks. The forestry output </w:t>
      </w:r>
      <w:r>
        <w:rPr>
          <w:rFonts w:eastAsia="DengXian" w:cs="Times New Roman"/>
          <w:sz w:val="21"/>
          <w:szCs w:val="21"/>
        </w:rPr>
        <w:t>values</w:t>
      </w:r>
      <w:r>
        <w:rPr>
          <w:rFonts w:cs="Times New Roman"/>
          <w:sz w:val="21"/>
          <w:szCs w:val="21"/>
        </w:rPr>
        <w:t xml:space="preserve"> of Inner Mongolia, Jilin and Hainan </w:t>
      </w:r>
      <w:r>
        <w:rPr>
          <w:rFonts w:eastAsia="DengXian" w:cs="Times New Roman"/>
          <w:sz w:val="21"/>
          <w:szCs w:val="21"/>
        </w:rPr>
        <w:t>are</w:t>
      </w:r>
      <w:r>
        <w:rPr>
          <w:rFonts w:cs="Times New Roman"/>
          <w:sz w:val="21"/>
          <w:szCs w:val="21"/>
        </w:rPr>
        <w:t xml:space="preserve"> insufficient. The air purification capacity of forests in Tianjin, Shanghai, Jiangxi, Guangxi and Yunnan is relatively weak.</w:t>
      </w:r>
    </w:p>
    <w:p>
      <w:pPr>
        <w:spacing w:line="480" w:lineRule="auto"/>
        <w:ind w:firstLine="525" w:firstLineChars="250"/>
        <w:contextualSpacing/>
        <w:rPr>
          <w:rFonts w:cs="Times New Roman"/>
          <w:sz w:val="21"/>
          <w:szCs w:val="21"/>
        </w:rPr>
      </w:pPr>
      <w:r>
        <w:rPr>
          <w:rFonts w:cs="Times New Roman"/>
          <w:sz w:val="21"/>
          <w:szCs w:val="21"/>
        </w:rPr>
        <w:t>We found that the forest carbon sinks are insufficient in forestry investment output in most provinces, and there may be two reasons for this. One is that in forestry investment projects, cultivated tree species have weak carbon sequestration capacity. The other is that if the rotation cycle of the planted trees is too short or too long, the trees will be immature or have been aging, and they will not be able to fully exert their carbon sequestration capacity. This will not only reduce the absorption of carbon dioxide and sulfur dioxide but also occupy land resources and affect production.</w:t>
      </w:r>
    </w:p>
    <w:p>
      <w:pPr>
        <w:spacing w:line="480" w:lineRule="auto"/>
        <w:contextualSpacing/>
        <w:rPr>
          <w:rFonts w:cs="Times New Roman"/>
          <w:sz w:val="21"/>
          <w:szCs w:val="21"/>
        </w:rPr>
      </w:pPr>
      <w:r>
        <w:rPr>
          <w:rFonts w:cs="Times New Roman"/>
          <w:sz w:val="21"/>
          <w:szCs w:val="21"/>
        </w:rPr>
        <w:drawing>
          <wp:inline distT="0" distB="0" distL="0" distR="0">
            <wp:extent cx="5943600" cy="7315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43600" cy="7315200"/>
                    </a:xfrm>
                    <a:prstGeom prst="rect">
                      <a:avLst/>
                    </a:prstGeom>
                  </pic:spPr>
                </pic:pic>
              </a:graphicData>
            </a:graphic>
          </wp:inline>
        </w:drawing>
      </w:r>
    </w:p>
    <w:p>
      <w:pPr>
        <w:spacing w:line="480" w:lineRule="auto"/>
        <w:contextualSpacing/>
        <w:jc w:val="center"/>
        <w:rPr>
          <w:rFonts w:cs="Times New Roman"/>
          <w:sz w:val="21"/>
          <w:szCs w:val="21"/>
        </w:rPr>
      </w:pPr>
      <w:r>
        <w:rPr>
          <w:rFonts w:cs="Times New Roman"/>
          <w:sz w:val="21"/>
          <w:szCs w:val="21"/>
        </w:rPr>
        <w:t>Fig. 4 Slack values of output variables in China's provinces from 2004 to 2018</w:t>
      </w:r>
    </w:p>
    <w:p>
      <w:pPr>
        <w:spacing w:line="480" w:lineRule="auto"/>
        <w:contextualSpacing/>
        <w:rPr>
          <w:rFonts w:cs="Times New Roman"/>
          <w:sz w:val="21"/>
          <w:szCs w:val="21"/>
        </w:rPr>
      </w:pPr>
    </w:p>
    <w:p>
      <w:pPr>
        <w:spacing w:line="480" w:lineRule="auto"/>
        <w:contextualSpacing/>
        <w:rPr>
          <w:rFonts w:cs="Times New Roman"/>
          <w:sz w:val="21"/>
          <w:szCs w:val="21"/>
        </w:rPr>
      </w:pPr>
      <w:r>
        <w:rPr>
          <w:rFonts w:cs="Times New Roman"/>
          <w:b/>
          <w:i/>
          <w:sz w:val="21"/>
          <w:szCs w:val="21"/>
        </w:rPr>
        <w:t>3.2 Results of the DEA-Malmquist model</w:t>
      </w:r>
    </w:p>
    <w:p>
      <w:pPr>
        <w:spacing w:line="480" w:lineRule="auto"/>
        <w:contextualSpacing/>
        <w:rPr>
          <w:rFonts w:cs="Times New Roman"/>
          <w:sz w:val="21"/>
          <w:szCs w:val="21"/>
        </w:rPr>
      </w:pPr>
      <w:r>
        <w:rPr>
          <w:rFonts w:cs="Times New Roman"/>
          <w:sz w:val="21"/>
          <w:szCs w:val="21"/>
        </w:rPr>
        <w:t xml:space="preserve">     Table 3 shows the overall results of the decomposition of China's forestry investment efficiency using the DEA-Malmquist model. The DEA-Malmquist model helps us understand the changes in China's forestry investment efficiency from a dynamic perspective. In Table 3, </w:t>
      </w:r>
      <w:r>
        <w:rPr>
          <w:rFonts w:eastAsia="DengXian" w:cs="Times New Roman"/>
          <w:i/>
          <w:color w:val="000000"/>
          <w:kern w:val="0"/>
          <w:sz w:val="21"/>
          <w:szCs w:val="21"/>
        </w:rPr>
        <w:t>ML-effch</w:t>
      </w:r>
      <w:r>
        <w:rPr>
          <w:rFonts w:cs="Times New Roman"/>
          <w:sz w:val="21"/>
          <w:szCs w:val="21"/>
        </w:rPr>
        <w:t xml:space="preserve"> represents the TEC, </w:t>
      </w:r>
      <w:r>
        <w:rPr>
          <w:rFonts w:eastAsia="DengXian" w:cs="Times New Roman"/>
          <w:i/>
          <w:color w:val="000000"/>
          <w:kern w:val="0"/>
          <w:sz w:val="21"/>
          <w:szCs w:val="21"/>
        </w:rPr>
        <w:t>ML-techch</w:t>
      </w:r>
      <w:r>
        <w:rPr>
          <w:rFonts w:cs="Times New Roman"/>
          <w:sz w:val="21"/>
          <w:szCs w:val="21"/>
        </w:rPr>
        <w:t xml:space="preserve"> represents the TP, </w:t>
      </w:r>
      <w:r>
        <w:rPr>
          <w:rFonts w:eastAsia="DengXian" w:cs="Times New Roman"/>
          <w:i/>
          <w:color w:val="000000"/>
          <w:kern w:val="0"/>
          <w:sz w:val="21"/>
          <w:szCs w:val="21"/>
        </w:rPr>
        <w:t>ML-pech</w:t>
      </w:r>
      <w:r>
        <w:rPr>
          <w:rFonts w:cs="Times New Roman"/>
          <w:sz w:val="21"/>
          <w:szCs w:val="21"/>
        </w:rPr>
        <w:t xml:space="preserve"> represents the PTE, </w:t>
      </w:r>
      <w:r>
        <w:rPr>
          <w:rFonts w:eastAsia="DengXian" w:cs="Times New Roman"/>
          <w:i/>
          <w:color w:val="000000"/>
          <w:kern w:val="0"/>
          <w:sz w:val="21"/>
          <w:szCs w:val="21"/>
        </w:rPr>
        <w:t>ML-sech</w:t>
      </w:r>
      <w:r>
        <w:rPr>
          <w:rFonts w:cs="Times New Roman"/>
          <w:sz w:val="21"/>
          <w:szCs w:val="21"/>
        </w:rPr>
        <w:t xml:space="preserve"> represents the SE, and </w:t>
      </w:r>
      <w:r>
        <w:rPr>
          <w:rFonts w:eastAsia="DengXian" w:cs="Times New Roman"/>
          <w:i/>
          <w:color w:val="000000"/>
          <w:kern w:val="0"/>
          <w:sz w:val="21"/>
          <w:szCs w:val="21"/>
        </w:rPr>
        <w:t>ML-tfpch</w:t>
      </w:r>
      <w:r>
        <w:rPr>
          <w:rFonts w:cs="Times New Roman"/>
          <w:sz w:val="21"/>
          <w:szCs w:val="21"/>
        </w:rPr>
        <w:t xml:space="preserve"> represents the Malmquist index of the total factor productivity of forestry investment. Their value greater than 1 indicates a certain improvement relative to the efficiency value of the previous year, equal to 1 indicates no change in the efficiency value relative to the previous year, and less than 1 indicates a decrease in the efficiency value relative to the previous year. TEC represents whether </w:t>
      </w:r>
      <w:r>
        <w:rPr>
          <w:rFonts w:eastAsia="DengXian" w:cs="Times New Roman"/>
          <w:sz w:val="21"/>
          <w:szCs w:val="21"/>
        </w:rPr>
        <w:t xml:space="preserve">the </w:t>
      </w:r>
      <w:r>
        <w:rPr>
          <w:rFonts w:cs="Times New Roman"/>
          <w:sz w:val="21"/>
          <w:szCs w:val="21"/>
        </w:rPr>
        <w:t>DMU's forestry investment management methods and decision-making have been improved. PTE represents whether the DMU's ability to obtain maximum output under a given input situation has been improved. SE represents the change in the distance between DMU and the optimal forestry investment scale. TP represents whether</w:t>
      </w:r>
      <w:r>
        <w:rPr>
          <w:rFonts w:eastAsia="DengXian" w:cs="Times New Roman"/>
          <w:sz w:val="21"/>
          <w:szCs w:val="21"/>
        </w:rPr>
        <w:t xml:space="preserve"> the</w:t>
      </w:r>
      <w:r>
        <w:rPr>
          <w:rFonts w:cs="Times New Roman"/>
          <w:sz w:val="21"/>
          <w:szCs w:val="21"/>
        </w:rPr>
        <w:t xml:space="preserve"> DMU's forestry investment application technology has improved. The Malmquist index represents whether </w:t>
      </w:r>
      <w:r>
        <w:rPr>
          <w:rFonts w:eastAsia="DengXian" w:cs="Times New Roman"/>
          <w:sz w:val="21"/>
          <w:szCs w:val="21"/>
        </w:rPr>
        <w:t xml:space="preserve">the </w:t>
      </w:r>
      <w:r>
        <w:rPr>
          <w:rFonts w:cs="Times New Roman"/>
          <w:sz w:val="21"/>
          <w:szCs w:val="21"/>
        </w:rPr>
        <w:t>DMU's forestry investment efficiency has improved.</w:t>
      </w:r>
    </w:p>
    <w:p>
      <w:pPr>
        <w:spacing w:line="480" w:lineRule="auto"/>
        <w:contextualSpacing/>
        <w:rPr>
          <w:rFonts w:cs="Times New Roman"/>
          <w:sz w:val="21"/>
          <w:szCs w:val="21"/>
        </w:rPr>
      </w:pPr>
      <w:r>
        <w:rPr>
          <w:rFonts w:cs="Times New Roman"/>
          <w:sz w:val="21"/>
          <w:szCs w:val="21"/>
        </w:rPr>
        <w:t xml:space="preserve">     From Table 3, we find that China's forestry investment efficiency </w:t>
      </w:r>
      <w:r>
        <w:rPr>
          <w:rFonts w:eastAsia="DengXian" w:cs="Times New Roman"/>
          <w:sz w:val="21"/>
          <w:szCs w:val="21"/>
        </w:rPr>
        <w:t>did</w:t>
      </w:r>
      <w:r>
        <w:rPr>
          <w:rFonts w:cs="Times New Roman"/>
          <w:sz w:val="21"/>
          <w:szCs w:val="21"/>
        </w:rPr>
        <w:t xml:space="preserve"> not </w:t>
      </w:r>
      <w:r>
        <w:rPr>
          <w:rFonts w:eastAsia="DengXian" w:cs="Times New Roman"/>
          <w:sz w:val="21"/>
          <w:szCs w:val="21"/>
        </w:rPr>
        <w:t>fluctuate</w:t>
      </w:r>
      <w:r>
        <w:rPr>
          <w:rFonts w:cs="Times New Roman"/>
          <w:sz w:val="21"/>
          <w:szCs w:val="21"/>
        </w:rPr>
        <w:t xml:space="preserve"> much from 2004 to 2018, and the Malmquist index of China's forestry investment </w:t>
      </w:r>
      <w:r>
        <w:rPr>
          <w:rFonts w:eastAsia="DengXian" w:cs="Times New Roman"/>
          <w:sz w:val="21"/>
          <w:szCs w:val="21"/>
        </w:rPr>
        <w:t>was</w:t>
      </w:r>
      <w:r>
        <w:rPr>
          <w:rFonts w:cs="Times New Roman"/>
          <w:sz w:val="21"/>
          <w:szCs w:val="21"/>
        </w:rPr>
        <w:t xml:space="preserve"> between 0.72 and 1.18. The Malmquist index was less than 1 in 2004-2006, indicating that China's forestry investment efficiency </w:t>
      </w:r>
      <w:r>
        <w:rPr>
          <w:rFonts w:eastAsia="DengXian" w:cs="Times New Roman"/>
          <w:sz w:val="21"/>
          <w:szCs w:val="21"/>
        </w:rPr>
        <w:t>was</w:t>
      </w:r>
      <w:r>
        <w:rPr>
          <w:rFonts w:cs="Times New Roman"/>
          <w:sz w:val="21"/>
          <w:szCs w:val="21"/>
        </w:rPr>
        <w:t xml:space="preserve"> declining at this stage. Through further analysis, we find that it is mainly caused by the lower TP, which implies that China's use of technology for forestry investment at this time is relatively low. During the 2006-2009</w:t>
      </w:r>
      <w:r>
        <w:rPr>
          <w:rFonts w:eastAsia="DengXian" w:cs="Times New Roman"/>
          <w:sz w:val="21"/>
          <w:szCs w:val="21"/>
        </w:rPr>
        <w:t xml:space="preserve"> period</w:t>
      </w:r>
      <w:r>
        <w:rPr>
          <w:rFonts w:cs="Times New Roman"/>
          <w:sz w:val="21"/>
          <w:szCs w:val="21"/>
        </w:rPr>
        <w:t xml:space="preserve">, the Malmquist index </w:t>
      </w:r>
      <w:r>
        <w:rPr>
          <w:rFonts w:eastAsia="DengXian" w:cs="Times New Roman"/>
          <w:sz w:val="21"/>
          <w:szCs w:val="21"/>
        </w:rPr>
        <w:t>was</w:t>
      </w:r>
      <w:r>
        <w:rPr>
          <w:rFonts w:cs="Times New Roman"/>
          <w:sz w:val="21"/>
          <w:szCs w:val="21"/>
        </w:rPr>
        <w:t xml:space="preserve"> always greater than 1, indicating that China's forestry investment efficiency </w:t>
      </w:r>
      <w:r>
        <w:rPr>
          <w:rFonts w:eastAsia="DengXian" w:cs="Times New Roman"/>
          <w:sz w:val="21"/>
          <w:szCs w:val="21"/>
        </w:rPr>
        <w:t>was</w:t>
      </w:r>
      <w:r>
        <w:rPr>
          <w:rFonts w:cs="Times New Roman"/>
          <w:sz w:val="21"/>
          <w:szCs w:val="21"/>
        </w:rPr>
        <w:t xml:space="preserve"> gradually improving at this stage. Through further decomposition, we find that it is also mainly caused by the increase in TP, from 0.67 to 1.03, then to 1.07, and then to 1.17. Hereafter, the Malmquist index fluctuated approximately 1 from 2009 to 2018, and TP is still the main reason why the Malmquist index is lower than 1. In addition, when we decomposed TEC, we also noticed that SE was lower than 1 for most of the period, indicating that China's forestry investment was not carried out on an appropriate scale, and there was a waste of capital.</w:t>
      </w:r>
    </w:p>
    <w:p>
      <w:pPr>
        <w:spacing w:line="480" w:lineRule="auto"/>
        <w:contextualSpacing/>
        <w:jc w:val="center"/>
        <w:rPr>
          <w:rFonts w:cs="Times New Roman"/>
          <w:sz w:val="21"/>
          <w:szCs w:val="21"/>
        </w:rPr>
      </w:pPr>
      <w:r>
        <w:rPr>
          <w:rFonts w:cs="Times New Roman"/>
          <w:b/>
          <w:sz w:val="21"/>
          <w:szCs w:val="21"/>
        </w:rPr>
        <w:t xml:space="preserve">Table 3 </w:t>
      </w:r>
      <w:r>
        <w:rPr>
          <w:rFonts w:cs="Times New Roman"/>
          <w:sz w:val="21"/>
          <w:szCs w:val="21"/>
        </w:rPr>
        <w:t>Changes in China's overall forestry investment efficiency</w:t>
      </w:r>
    </w:p>
    <w:tbl>
      <w:tblPr>
        <w:tblStyle w:val="11"/>
        <w:tblW w:w="9639" w:type="dxa"/>
        <w:jc w:val="center"/>
        <w:tblLayout w:type="autofit"/>
        <w:tblCellMar>
          <w:top w:w="0" w:type="dxa"/>
          <w:left w:w="108" w:type="dxa"/>
          <w:bottom w:w="0" w:type="dxa"/>
          <w:right w:w="108" w:type="dxa"/>
        </w:tblCellMar>
      </w:tblPr>
      <w:tblGrid>
        <w:gridCol w:w="2517"/>
        <w:gridCol w:w="1394"/>
        <w:gridCol w:w="1592"/>
        <w:gridCol w:w="1379"/>
        <w:gridCol w:w="1345"/>
        <w:gridCol w:w="1412"/>
      </w:tblGrid>
      <w:tr>
        <w:tblPrEx>
          <w:tblCellMar>
            <w:top w:w="0" w:type="dxa"/>
            <w:left w:w="108" w:type="dxa"/>
            <w:bottom w:w="0" w:type="dxa"/>
            <w:right w:w="108" w:type="dxa"/>
          </w:tblCellMar>
        </w:tblPrEx>
        <w:trPr>
          <w:trHeight w:val="320" w:hRule="atLeast"/>
          <w:jc w:val="center"/>
        </w:trPr>
        <w:tc>
          <w:tcPr>
            <w:tcW w:w="1780" w:type="dxa"/>
            <w:tcBorders>
              <w:top w:val="single" w:color="auto" w:sz="4" w:space="0"/>
              <w:left w:val="nil"/>
              <w:bottom w:val="single" w:color="auto" w:sz="4" w:space="0"/>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year</w:t>
            </w:r>
          </w:p>
        </w:tc>
        <w:tc>
          <w:tcPr>
            <w:tcW w:w="940" w:type="dxa"/>
            <w:tcBorders>
              <w:top w:val="single" w:color="auto" w:sz="4" w:space="0"/>
              <w:left w:val="nil"/>
              <w:bottom w:val="single" w:color="auto" w:sz="4" w:space="0"/>
              <w:right w:val="nil"/>
            </w:tcBorders>
            <w:shd w:val="clear" w:color="auto" w:fill="auto"/>
            <w:noWrap/>
            <w:vAlign w:val="center"/>
          </w:tcPr>
          <w:p>
            <w:pPr>
              <w:widowControl/>
              <w:jc w:val="center"/>
              <w:rPr>
                <w:rFonts w:eastAsia="DengXian" w:cs="Times New Roman"/>
                <w:i/>
                <w:color w:val="000000"/>
                <w:kern w:val="0"/>
                <w:sz w:val="21"/>
                <w:szCs w:val="21"/>
              </w:rPr>
            </w:pPr>
            <w:bookmarkStart w:id="37" w:name="OLE_LINK18"/>
            <w:bookmarkStart w:id="38" w:name="OLE_LINK19"/>
            <w:r>
              <w:rPr>
                <w:rFonts w:eastAsia="DengXian" w:cs="Times New Roman"/>
                <w:i/>
                <w:color w:val="000000"/>
                <w:kern w:val="0"/>
                <w:sz w:val="21"/>
                <w:szCs w:val="21"/>
              </w:rPr>
              <w:t>ML-</w:t>
            </w:r>
            <w:bookmarkEnd w:id="37"/>
            <w:bookmarkEnd w:id="38"/>
            <w:r>
              <w:rPr>
                <w:rFonts w:eastAsia="DengXian" w:cs="Times New Roman"/>
                <w:i/>
                <w:color w:val="000000"/>
                <w:kern w:val="0"/>
                <w:sz w:val="21"/>
                <w:szCs w:val="21"/>
              </w:rPr>
              <w:t>effch</w:t>
            </w:r>
          </w:p>
        </w:tc>
        <w:tc>
          <w:tcPr>
            <w:tcW w:w="940" w:type="dxa"/>
            <w:tcBorders>
              <w:top w:val="single" w:color="auto" w:sz="4" w:space="0"/>
              <w:left w:val="nil"/>
              <w:bottom w:val="single" w:color="auto" w:sz="4" w:space="0"/>
              <w:right w:val="nil"/>
            </w:tcBorders>
            <w:shd w:val="clear" w:color="auto" w:fill="auto"/>
            <w:noWrap/>
            <w:vAlign w:val="center"/>
          </w:tcPr>
          <w:p>
            <w:pPr>
              <w:widowControl/>
              <w:jc w:val="center"/>
              <w:rPr>
                <w:rFonts w:eastAsia="DengXian" w:cs="Times New Roman"/>
                <w:i/>
                <w:color w:val="000000"/>
                <w:kern w:val="0"/>
                <w:sz w:val="21"/>
                <w:szCs w:val="21"/>
              </w:rPr>
            </w:pPr>
            <w:r>
              <w:rPr>
                <w:rFonts w:eastAsia="DengXian" w:cs="Times New Roman"/>
                <w:i/>
                <w:color w:val="000000"/>
                <w:kern w:val="0"/>
                <w:sz w:val="21"/>
                <w:szCs w:val="21"/>
              </w:rPr>
              <w:t>ML-techch</w:t>
            </w:r>
          </w:p>
        </w:tc>
        <w:tc>
          <w:tcPr>
            <w:tcW w:w="940" w:type="dxa"/>
            <w:tcBorders>
              <w:top w:val="single" w:color="auto" w:sz="4" w:space="0"/>
              <w:left w:val="nil"/>
              <w:bottom w:val="single" w:color="auto" w:sz="4" w:space="0"/>
              <w:right w:val="nil"/>
            </w:tcBorders>
            <w:shd w:val="clear" w:color="auto" w:fill="auto"/>
            <w:noWrap/>
            <w:vAlign w:val="center"/>
          </w:tcPr>
          <w:p>
            <w:pPr>
              <w:widowControl/>
              <w:jc w:val="center"/>
              <w:rPr>
                <w:rFonts w:eastAsia="DengXian" w:cs="Times New Roman"/>
                <w:i/>
                <w:color w:val="000000"/>
                <w:kern w:val="0"/>
                <w:sz w:val="21"/>
                <w:szCs w:val="21"/>
              </w:rPr>
            </w:pPr>
            <w:r>
              <w:rPr>
                <w:rFonts w:eastAsia="DengXian" w:cs="Times New Roman"/>
                <w:i/>
                <w:color w:val="000000"/>
                <w:kern w:val="0"/>
                <w:sz w:val="21"/>
                <w:szCs w:val="21"/>
              </w:rPr>
              <w:t>ML-pech</w:t>
            </w:r>
          </w:p>
        </w:tc>
        <w:tc>
          <w:tcPr>
            <w:tcW w:w="940" w:type="dxa"/>
            <w:tcBorders>
              <w:top w:val="single" w:color="auto" w:sz="4" w:space="0"/>
              <w:left w:val="nil"/>
              <w:bottom w:val="single" w:color="auto" w:sz="4" w:space="0"/>
              <w:right w:val="nil"/>
            </w:tcBorders>
            <w:shd w:val="clear" w:color="auto" w:fill="auto"/>
            <w:noWrap/>
            <w:vAlign w:val="center"/>
          </w:tcPr>
          <w:p>
            <w:pPr>
              <w:widowControl/>
              <w:jc w:val="center"/>
              <w:rPr>
                <w:rFonts w:eastAsia="DengXian" w:cs="Times New Roman"/>
                <w:i/>
                <w:color w:val="000000"/>
                <w:kern w:val="0"/>
                <w:sz w:val="21"/>
                <w:szCs w:val="21"/>
              </w:rPr>
            </w:pPr>
            <w:r>
              <w:rPr>
                <w:rFonts w:eastAsia="DengXian" w:cs="Times New Roman"/>
                <w:i/>
                <w:color w:val="000000"/>
                <w:kern w:val="0"/>
                <w:sz w:val="21"/>
                <w:szCs w:val="21"/>
              </w:rPr>
              <w:t>ML-sech</w:t>
            </w:r>
          </w:p>
        </w:tc>
        <w:tc>
          <w:tcPr>
            <w:tcW w:w="940" w:type="dxa"/>
            <w:tcBorders>
              <w:top w:val="single" w:color="auto" w:sz="4" w:space="0"/>
              <w:left w:val="nil"/>
              <w:bottom w:val="single" w:color="auto" w:sz="4" w:space="0"/>
              <w:right w:val="nil"/>
            </w:tcBorders>
            <w:shd w:val="clear" w:color="auto" w:fill="auto"/>
            <w:noWrap/>
            <w:vAlign w:val="center"/>
          </w:tcPr>
          <w:p>
            <w:pPr>
              <w:widowControl/>
              <w:jc w:val="center"/>
              <w:rPr>
                <w:rFonts w:eastAsia="DengXian" w:cs="Times New Roman"/>
                <w:i/>
                <w:color w:val="000000"/>
                <w:kern w:val="0"/>
                <w:sz w:val="21"/>
                <w:szCs w:val="21"/>
              </w:rPr>
            </w:pPr>
            <w:r>
              <w:rPr>
                <w:rFonts w:eastAsia="DengXian" w:cs="Times New Roman"/>
                <w:i/>
                <w:color w:val="000000"/>
                <w:kern w:val="0"/>
                <w:sz w:val="21"/>
                <w:szCs w:val="21"/>
              </w:rPr>
              <w:t>ML-tfpch</w:t>
            </w:r>
          </w:p>
        </w:tc>
      </w:tr>
      <w:tr>
        <w:tblPrEx>
          <w:tblCellMar>
            <w:top w:w="0" w:type="dxa"/>
            <w:left w:w="108" w:type="dxa"/>
            <w:bottom w:w="0" w:type="dxa"/>
            <w:right w:w="108" w:type="dxa"/>
          </w:tblCellMar>
        </w:tblPrEx>
        <w:trPr>
          <w:trHeight w:val="320" w:hRule="atLeast"/>
          <w:jc w:val="center"/>
        </w:trPr>
        <w:tc>
          <w:tcPr>
            <w:tcW w:w="178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2004-2005</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0.95</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0.95</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0.98</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0.97</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0.90</w:t>
            </w:r>
          </w:p>
        </w:tc>
      </w:tr>
      <w:tr>
        <w:tblPrEx>
          <w:tblCellMar>
            <w:top w:w="0" w:type="dxa"/>
            <w:left w:w="108" w:type="dxa"/>
            <w:bottom w:w="0" w:type="dxa"/>
            <w:right w:w="108" w:type="dxa"/>
          </w:tblCellMar>
        </w:tblPrEx>
        <w:trPr>
          <w:trHeight w:val="320" w:hRule="atLeast"/>
          <w:jc w:val="center"/>
        </w:trPr>
        <w:tc>
          <w:tcPr>
            <w:tcW w:w="178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2005-2006</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1.06</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0.67</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1.16</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0.92</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0.72</w:t>
            </w:r>
          </w:p>
        </w:tc>
      </w:tr>
      <w:tr>
        <w:tblPrEx>
          <w:tblCellMar>
            <w:top w:w="0" w:type="dxa"/>
            <w:left w:w="108" w:type="dxa"/>
            <w:bottom w:w="0" w:type="dxa"/>
            <w:right w:w="108" w:type="dxa"/>
          </w:tblCellMar>
        </w:tblPrEx>
        <w:trPr>
          <w:trHeight w:val="320" w:hRule="atLeast"/>
          <w:jc w:val="center"/>
        </w:trPr>
        <w:tc>
          <w:tcPr>
            <w:tcW w:w="178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2006-2007</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1.02</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1.03</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1.03</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0.99</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1.04</w:t>
            </w:r>
          </w:p>
        </w:tc>
      </w:tr>
      <w:tr>
        <w:tblPrEx>
          <w:tblCellMar>
            <w:top w:w="0" w:type="dxa"/>
            <w:left w:w="108" w:type="dxa"/>
            <w:bottom w:w="0" w:type="dxa"/>
            <w:right w:w="108" w:type="dxa"/>
          </w:tblCellMar>
        </w:tblPrEx>
        <w:trPr>
          <w:trHeight w:val="320" w:hRule="atLeast"/>
          <w:jc w:val="center"/>
        </w:trPr>
        <w:tc>
          <w:tcPr>
            <w:tcW w:w="178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2007-2008</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1.04</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1.07</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1.01</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1.03</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1.12</w:t>
            </w:r>
          </w:p>
        </w:tc>
      </w:tr>
      <w:tr>
        <w:tblPrEx>
          <w:tblCellMar>
            <w:top w:w="0" w:type="dxa"/>
            <w:left w:w="108" w:type="dxa"/>
            <w:bottom w:w="0" w:type="dxa"/>
            <w:right w:w="108" w:type="dxa"/>
          </w:tblCellMar>
        </w:tblPrEx>
        <w:trPr>
          <w:trHeight w:val="320" w:hRule="atLeast"/>
          <w:jc w:val="center"/>
        </w:trPr>
        <w:tc>
          <w:tcPr>
            <w:tcW w:w="178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2008-2009</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1.01</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1.17</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1.01</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0.99</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1.18</w:t>
            </w:r>
          </w:p>
        </w:tc>
      </w:tr>
      <w:tr>
        <w:tblPrEx>
          <w:tblCellMar>
            <w:top w:w="0" w:type="dxa"/>
            <w:left w:w="108" w:type="dxa"/>
            <w:bottom w:w="0" w:type="dxa"/>
            <w:right w:w="108" w:type="dxa"/>
          </w:tblCellMar>
        </w:tblPrEx>
        <w:trPr>
          <w:trHeight w:val="320" w:hRule="atLeast"/>
          <w:jc w:val="center"/>
        </w:trPr>
        <w:tc>
          <w:tcPr>
            <w:tcW w:w="178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2009-2010</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1.01</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0.98</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0.97</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1.04</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0.99</w:t>
            </w:r>
          </w:p>
        </w:tc>
      </w:tr>
      <w:tr>
        <w:tblPrEx>
          <w:tblCellMar>
            <w:top w:w="0" w:type="dxa"/>
            <w:left w:w="108" w:type="dxa"/>
            <w:bottom w:w="0" w:type="dxa"/>
            <w:right w:w="108" w:type="dxa"/>
          </w:tblCellMar>
        </w:tblPrEx>
        <w:trPr>
          <w:trHeight w:val="320" w:hRule="atLeast"/>
          <w:jc w:val="center"/>
        </w:trPr>
        <w:tc>
          <w:tcPr>
            <w:tcW w:w="178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2010-2011</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0.97</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1.21</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0.84</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1.16</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1.18</w:t>
            </w:r>
          </w:p>
        </w:tc>
      </w:tr>
      <w:tr>
        <w:tblPrEx>
          <w:tblCellMar>
            <w:top w:w="0" w:type="dxa"/>
            <w:left w:w="108" w:type="dxa"/>
            <w:bottom w:w="0" w:type="dxa"/>
            <w:right w:w="108" w:type="dxa"/>
          </w:tblCellMar>
        </w:tblPrEx>
        <w:trPr>
          <w:trHeight w:val="320" w:hRule="atLeast"/>
          <w:jc w:val="center"/>
        </w:trPr>
        <w:tc>
          <w:tcPr>
            <w:tcW w:w="178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2011-2012</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1.04</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0.86</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1.21</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0.85</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0.89</w:t>
            </w:r>
          </w:p>
        </w:tc>
      </w:tr>
      <w:tr>
        <w:tblPrEx>
          <w:tblCellMar>
            <w:top w:w="0" w:type="dxa"/>
            <w:left w:w="108" w:type="dxa"/>
            <w:bottom w:w="0" w:type="dxa"/>
            <w:right w:w="108" w:type="dxa"/>
          </w:tblCellMar>
        </w:tblPrEx>
        <w:trPr>
          <w:trHeight w:val="320" w:hRule="atLeast"/>
          <w:jc w:val="center"/>
        </w:trPr>
        <w:tc>
          <w:tcPr>
            <w:tcW w:w="178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2012-2013</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1.05</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0.99</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1.02</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1.03</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1.04</w:t>
            </w:r>
          </w:p>
        </w:tc>
      </w:tr>
      <w:tr>
        <w:tblPrEx>
          <w:tblCellMar>
            <w:top w:w="0" w:type="dxa"/>
            <w:left w:w="108" w:type="dxa"/>
            <w:bottom w:w="0" w:type="dxa"/>
            <w:right w:w="108" w:type="dxa"/>
          </w:tblCellMar>
        </w:tblPrEx>
        <w:trPr>
          <w:trHeight w:val="320" w:hRule="atLeast"/>
          <w:jc w:val="center"/>
        </w:trPr>
        <w:tc>
          <w:tcPr>
            <w:tcW w:w="178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2013-2014</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0.99</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0.97</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1.00</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0.99</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0.96</w:t>
            </w:r>
          </w:p>
        </w:tc>
      </w:tr>
      <w:tr>
        <w:tblPrEx>
          <w:tblCellMar>
            <w:top w:w="0" w:type="dxa"/>
            <w:left w:w="108" w:type="dxa"/>
            <w:bottom w:w="0" w:type="dxa"/>
            <w:right w:w="108" w:type="dxa"/>
          </w:tblCellMar>
        </w:tblPrEx>
        <w:trPr>
          <w:trHeight w:val="320" w:hRule="atLeast"/>
          <w:jc w:val="center"/>
        </w:trPr>
        <w:tc>
          <w:tcPr>
            <w:tcW w:w="178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2014-2015</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1.06</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1.03</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1.00</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1.05</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1.09</w:t>
            </w:r>
          </w:p>
        </w:tc>
      </w:tr>
      <w:tr>
        <w:tblPrEx>
          <w:tblCellMar>
            <w:top w:w="0" w:type="dxa"/>
            <w:left w:w="108" w:type="dxa"/>
            <w:bottom w:w="0" w:type="dxa"/>
            <w:right w:w="108" w:type="dxa"/>
          </w:tblCellMar>
        </w:tblPrEx>
        <w:trPr>
          <w:trHeight w:val="320" w:hRule="atLeast"/>
          <w:jc w:val="center"/>
        </w:trPr>
        <w:tc>
          <w:tcPr>
            <w:tcW w:w="178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2015-2016</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0.92</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0.89</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0.89</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1.04</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0.82</w:t>
            </w:r>
          </w:p>
        </w:tc>
      </w:tr>
      <w:tr>
        <w:tblPrEx>
          <w:tblCellMar>
            <w:top w:w="0" w:type="dxa"/>
            <w:left w:w="108" w:type="dxa"/>
            <w:bottom w:w="0" w:type="dxa"/>
            <w:right w:w="108" w:type="dxa"/>
          </w:tblCellMar>
        </w:tblPrEx>
        <w:trPr>
          <w:trHeight w:val="320" w:hRule="atLeast"/>
          <w:jc w:val="center"/>
        </w:trPr>
        <w:tc>
          <w:tcPr>
            <w:tcW w:w="178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2016-2017</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1.03</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1.11</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1.06</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0.97</w:t>
            </w:r>
          </w:p>
        </w:tc>
        <w:tc>
          <w:tcPr>
            <w:tcW w:w="940" w:type="dxa"/>
            <w:tcBorders>
              <w:top w:val="nil"/>
              <w:left w:val="nil"/>
              <w:bottom w:val="nil"/>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1.14</w:t>
            </w:r>
          </w:p>
        </w:tc>
      </w:tr>
      <w:tr>
        <w:tblPrEx>
          <w:tblCellMar>
            <w:top w:w="0" w:type="dxa"/>
            <w:left w:w="108" w:type="dxa"/>
            <w:bottom w:w="0" w:type="dxa"/>
            <w:right w:w="108" w:type="dxa"/>
          </w:tblCellMar>
        </w:tblPrEx>
        <w:trPr>
          <w:trHeight w:val="320" w:hRule="atLeast"/>
          <w:jc w:val="center"/>
        </w:trPr>
        <w:tc>
          <w:tcPr>
            <w:tcW w:w="1780" w:type="dxa"/>
            <w:tcBorders>
              <w:top w:val="nil"/>
              <w:left w:val="nil"/>
              <w:bottom w:val="single" w:color="auto" w:sz="4" w:space="0"/>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2017-2018</w:t>
            </w:r>
          </w:p>
        </w:tc>
        <w:tc>
          <w:tcPr>
            <w:tcW w:w="940" w:type="dxa"/>
            <w:tcBorders>
              <w:top w:val="nil"/>
              <w:left w:val="nil"/>
              <w:bottom w:val="single" w:color="auto" w:sz="4" w:space="0"/>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0.91</w:t>
            </w:r>
          </w:p>
        </w:tc>
        <w:tc>
          <w:tcPr>
            <w:tcW w:w="940" w:type="dxa"/>
            <w:tcBorders>
              <w:top w:val="nil"/>
              <w:left w:val="nil"/>
              <w:bottom w:val="single" w:color="auto" w:sz="4" w:space="0"/>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1.01</w:t>
            </w:r>
          </w:p>
        </w:tc>
        <w:tc>
          <w:tcPr>
            <w:tcW w:w="940" w:type="dxa"/>
            <w:tcBorders>
              <w:top w:val="nil"/>
              <w:left w:val="nil"/>
              <w:bottom w:val="single" w:color="auto" w:sz="4" w:space="0"/>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0.97</w:t>
            </w:r>
          </w:p>
        </w:tc>
        <w:tc>
          <w:tcPr>
            <w:tcW w:w="940" w:type="dxa"/>
            <w:tcBorders>
              <w:top w:val="nil"/>
              <w:left w:val="nil"/>
              <w:bottom w:val="single" w:color="auto" w:sz="4" w:space="0"/>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0.93</w:t>
            </w:r>
          </w:p>
        </w:tc>
        <w:tc>
          <w:tcPr>
            <w:tcW w:w="940" w:type="dxa"/>
            <w:tcBorders>
              <w:top w:val="nil"/>
              <w:left w:val="nil"/>
              <w:bottom w:val="single" w:color="auto" w:sz="4" w:space="0"/>
              <w:right w:val="nil"/>
            </w:tcBorders>
            <w:shd w:val="clear" w:color="auto" w:fill="auto"/>
            <w:noWrap/>
            <w:vAlign w:val="center"/>
          </w:tcPr>
          <w:p>
            <w:pPr>
              <w:widowControl/>
              <w:jc w:val="center"/>
              <w:rPr>
                <w:rFonts w:eastAsia="DengXian" w:cs="Times New Roman"/>
                <w:color w:val="000000"/>
                <w:kern w:val="0"/>
                <w:sz w:val="21"/>
                <w:szCs w:val="21"/>
              </w:rPr>
            </w:pPr>
            <w:r>
              <w:rPr>
                <w:rFonts w:eastAsia="DengXian" w:cs="Times New Roman"/>
                <w:color w:val="000000"/>
                <w:kern w:val="0"/>
                <w:sz w:val="21"/>
                <w:szCs w:val="21"/>
              </w:rPr>
              <w:t>0.92</w:t>
            </w:r>
          </w:p>
        </w:tc>
      </w:tr>
    </w:tbl>
    <w:p>
      <w:pPr>
        <w:spacing w:line="480" w:lineRule="auto"/>
        <w:contextualSpacing/>
        <w:rPr>
          <w:rFonts w:cs="Times New Roman"/>
          <w:sz w:val="21"/>
          <w:szCs w:val="21"/>
        </w:rPr>
      </w:pPr>
    </w:p>
    <w:p>
      <w:pPr>
        <w:spacing w:line="480" w:lineRule="auto"/>
        <w:ind w:firstLine="525" w:firstLineChars="250"/>
        <w:contextualSpacing/>
        <w:rPr>
          <w:rFonts w:cs="Times New Roman"/>
          <w:sz w:val="21"/>
          <w:szCs w:val="21"/>
        </w:rPr>
      </w:pPr>
      <w:r>
        <w:rPr>
          <w:rFonts w:cs="Times New Roman"/>
          <w:sz w:val="21"/>
          <w:szCs w:val="21"/>
        </w:rPr>
        <w:t xml:space="preserve">Fig. 5 shows the specific situation of the Malmquist index of forestry investment efficiency in various provinces in China. From Fig. 5, we find that the Malmquist index of </w:t>
      </w:r>
      <w:r>
        <w:rPr>
          <w:rFonts w:eastAsia="DengXian" w:cs="Times New Roman"/>
          <w:sz w:val="21"/>
          <w:szCs w:val="21"/>
        </w:rPr>
        <w:t>approximately</w:t>
      </w:r>
      <w:r>
        <w:rPr>
          <w:rFonts w:cs="Times New Roman"/>
          <w:sz w:val="21"/>
          <w:szCs w:val="21"/>
        </w:rPr>
        <w:t xml:space="preserve"> half of China's provinces is greater than 1 in most periods. This shows that the efficiency of forestry investment in most provinces in China is gradually improving, which is consistent with the static analysis results of super-SBM. In addition, we noticed that the Malmquist index of Inner Mongolia, Liaoning, Heilongjiang, Shanghai, Shandong, Henan, and Shaanxi was less than 1 in many periods. This shows that the efficiency of forestry investment in these provinces has declined, and these provinces deserve more attention from the Chinese government. In addition, we found that TP is the main factor affecting the Malmquist index through the decomposition of the Malmquist index of various provinces in China, which is consistent with the previous analysis results. </w:t>
      </w:r>
      <w:bookmarkStart w:id="39" w:name="_SAM_R_021"/>
      <w:r>
        <w:rPr>
          <w:rFonts w:cs="Times New Roman"/>
          <w:sz w:val="21"/>
          <w:szCs w:val="21"/>
        </w:rPr>
        <w:t>In the process of decomposing TEC in various provinces in China, we also found that most provinces did not invest in forestry at the appropriate scale of investment.</w:t>
      </w:r>
      <w:bookmarkEnd w:id="39"/>
    </w:p>
    <w:p>
      <w:pPr>
        <w:spacing w:line="480" w:lineRule="auto"/>
        <w:contextualSpacing/>
        <w:rPr>
          <w:rFonts w:cs="Times New Roman"/>
          <w:sz w:val="21"/>
          <w:szCs w:val="21"/>
        </w:rPr>
      </w:pPr>
    </w:p>
    <w:p>
      <w:pPr>
        <w:spacing w:line="480" w:lineRule="auto"/>
        <w:contextualSpacing/>
        <w:rPr>
          <w:rFonts w:cs="Times New Roman"/>
          <w:sz w:val="21"/>
          <w:szCs w:val="21"/>
        </w:rPr>
      </w:pPr>
      <w:r>
        <w:rPr>
          <w:rFonts w:cs="Times New Roman"/>
          <w:sz w:val="21"/>
          <w:szCs w:val="21"/>
        </w:rPr>
        <w:drawing>
          <wp:inline distT="0" distB="0" distL="0" distR="0">
            <wp:extent cx="5943600" cy="73152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43600" cy="7315200"/>
                    </a:xfrm>
                    <a:prstGeom prst="rect">
                      <a:avLst/>
                    </a:prstGeom>
                  </pic:spPr>
                </pic:pic>
              </a:graphicData>
            </a:graphic>
          </wp:inline>
        </w:drawing>
      </w:r>
    </w:p>
    <w:p>
      <w:pPr>
        <w:spacing w:line="480" w:lineRule="auto"/>
        <w:contextualSpacing/>
        <w:jc w:val="center"/>
        <w:rPr>
          <w:rFonts w:cs="Times New Roman"/>
          <w:sz w:val="21"/>
          <w:szCs w:val="21"/>
        </w:rPr>
      </w:pPr>
      <w:r>
        <w:rPr>
          <w:rFonts w:cs="Times New Roman"/>
          <w:sz w:val="21"/>
          <w:szCs w:val="21"/>
        </w:rPr>
        <w:t>Fig. 5 Changes in China's forestry investment efficiency from 2005 to 2018</w:t>
      </w:r>
    </w:p>
    <w:p>
      <w:pPr>
        <w:spacing w:line="480" w:lineRule="auto"/>
        <w:ind w:firstLine="525" w:firstLineChars="250"/>
        <w:contextualSpacing/>
        <w:rPr>
          <w:rFonts w:cs="Times New Roman"/>
          <w:sz w:val="21"/>
          <w:szCs w:val="21"/>
        </w:rPr>
      </w:pPr>
    </w:p>
    <w:p>
      <w:pPr>
        <w:spacing w:line="480" w:lineRule="auto"/>
        <w:contextualSpacing/>
        <w:outlineLvl w:val="0"/>
        <w:rPr>
          <w:rFonts w:cs="Times New Roman"/>
          <w:b/>
          <w:sz w:val="21"/>
          <w:szCs w:val="21"/>
        </w:rPr>
      </w:pPr>
      <w:r>
        <w:rPr>
          <w:rFonts w:cs="Times New Roman"/>
          <w:b/>
          <w:sz w:val="21"/>
          <w:szCs w:val="21"/>
        </w:rPr>
        <w:t>5. Conclusions</w:t>
      </w:r>
    </w:p>
    <w:p>
      <w:pPr>
        <w:spacing w:line="480" w:lineRule="auto"/>
        <w:ind w:firstLine="720"/>
        <w:contextualSpacing/>
        <w:rPr>
          <w:rFonts w:cs="Times New Roman"/>
          <w:sz w:val="21"/>
          <w:szCs w:val="21"/>
        </w:rPr>
      </w:pPr>
      <w:bookmarkStart w:id="40" w:name="_SAM__026"/>
      <w:r>
        <w:rPr>
          <w:rFonts w:cs="Times New Roman"/>
          <w:sz w:val="21"/>
          <w:szCs w:val="21"/>
        </w:rPr>
        <w:t>The sustainable and effective development of</w:t>
      </w:r>
      <w:r>
        <w:rPr>
          <w:rFonts w:eastAsia="宋体" w:cs="Times New Roman"/>
          <w:sz w:val="21"/>
          <w:szCs w:val="21"/>
        </w:rPr>
        <w:t xml:space="preserve"> the</w:t>
      </w:r>
      <w:r>
        <w:rPr>
          <w:rFonts w:cs="Times New Roman"/>
          <w:sz w:val="21"/>
          <w:szCs w:val="21"/>
        </w:rPr>
        <w:t xml:space="preserve"> forestry industry requires the rational allocation of resources when into production; on the other hand, it requires that both the economy and the atmospheric environment can benefit from it to maximize the efficiency of forestry investment.</w:t>
      </w:r>
      <w:bookmarkEnd w:id="40"/>
      <w:r>
        <w:rPr>
          <w:rFonts w:cs="Times New Roman"/>
          <w:sz w:val="21"/>
          <w:szCs w:val="21"/>
        </w:rPr>
        <w:t xml:space="preserve"> This paper uses the Super-SBM model and the DEA-Malmquist model to study the forestry investment efficiency of 31 provinces and cities in China from 2004 to 2017 from both static and dynamic aspects. Our conclusions are as follows:</w:t>
      </w:r>
    </w:p>
    <w:p>
      <w:pPr>
        <w:spacing w:line="480" w:lineRule="auto"/>
        <w:ind w:left="1080" w:hanging="360"/>
        <w:contextualSpacing/>
        <w:rPr>
          <w:rFonts w:cs="Times New Roman"/>
          <w:sz w:val="21"/>
          <w:szCs w:val="21"/>
        </w:rPr>
      </w:pPr>
      <w:bookmarkStart w:id="41" w:name="_SAM__028"/>
      <w:r>
        <w:rPr>
          <w:rFonts w:cs="Times New Roman"/>
          <w:sz w:val="21"/>
          <w:szCs w:val="21"/>
        </w:rPr>
        <w:t>(1) The comprehensive efficiency of forestry investment in most cities in China is low, including in some economically developed cities.</w:t>
      </w:r>
      <w:bookmarkEnd w:id="41"/>
      <w:r>
        <w:rPr>
          <w:rFonts w:cs="Times New Roman"/>
          <w:sz w:val="21"/>
          <w:szCs w:val="21"/>
        </w:rPr>
        <w:t xml:space="preserve"> After decomposing the comprehensive efficiency into pure technical efficiency and scale efficiency, it is found that the pure technical efficiency of forestry investment in most provinces is effective, while the scale efficiency is low, which reflects that the input-output structure of most provinces is reasonable, but the output rate of investment is low. There are also a few provinces</w:t>
      </w:r>
      <w:r>
        <w:rPr>
          <w:rFonts w:eastAsia="宋体" w:cs="Times New Roman"/>
          <w:sz w:val="21"/>
          <w:szCs w:val="21"/>
        </w:rPr>
        <w:t>, such as</w:t>
      </w:r>
      <w:r>
        <w:rPr>
          <w:rFonts w:cs="Times New Roman"/>
          <w:sz w:val="21"/>
          <w:szCs w:val="21"/>
        </w:rPr>
        <w:t xml:space="preserve"> Beijing, which are economically developed</w:t>
      </w:r>
      <w:r>
        <w:rPr>
          <w:rFonts w:eastAsia="宋体" w:cs="Times New Roman"/>
          <w:sz w:val="21"/>
          <w:szCs w:val="21"/>
        </w:rPr>
        <w:t>,</w:t>
      </w:r>
      <w:r>
        <w:rPr>
          <w:rFonts w:cs="Times New Roman"/>
          <w:sz w:val="21"/>
          <w:szCs w:val="21"/>
        </w:rPr>
        <w:t xml:space="preserve"> but the comprehensive efficiency of forestry investment is not high. These provinces are mainly limited by the resources invested, which affects the effect of forestry investment.</w:t>
      </w:r>
    </w:p>
    <w:p>
      <w:pPr>
        <w:tabs>
          <w:tab w:val="left" w:pos="720"/>
        </w:tabs>
        <w:spacing w:line="480" w:lineRule="auto"/>
        <w:ind w:left="1080" w:hanging="360"/>
        <w:contextualSpacing/>
        <w:rPr>
          <w:rFonts w:cs="Times New Roman"/>
          <w:sz w:val="21"/>
          <w:szCs w:val="21"/>
        </w:rPr>
      </w:pPr>
      <w:r>
        <w:rPr>
          <w:rFonts w:cs="Times New Roman"/>
          <w:sz w:val="21"/>
          <w:szCs w:val="21"/>
        </w:rPr>
        <w:t xml:space="preserve">(2) In view of the inefficient provinces of forestry investment, we analyzed the slack of their inputs and outputs and found that the forestry investment in the economically developed provinces was obviously redundant, while almost all the inefficient provinces were deficient in forest carbon sink output. </w:t>
      </w:r>
      <w:r>
        <w:rPr>
          <w:rFonts w:eastAsia="宋体" w:cs="Times New Roman"/>
          <w:sz w:val="21"/>
          <w:szCs w:val="21"/>
        </w:rPr>
        <w:t>This</w:t>
      </w:r>
      <w:r>
        <w:rPr>
          <w:rFonts w:cs="Times New Roman"/>
          <w:sz w:val="21"/>
          <w:szCs w:val="21"/>
        </w:rPr>
        <w:t xml:space="preserve"> result indicates that the economic benefits of China's overall forestry investment were basically qualified, but there were still obvious deficiencies in the environmental benefits. The ability of planted trees to improve the atmospheric environment is limited.</w:t>
      </w:r>
    </w:p>
    <w:p>
      <w:pPr>
        <w:tabs>
          <w:tab w:val="left" w:pos="720"/>
        </w:tabs>
        <w:spacing w:line="480" w:lineRule="auto"/>
        <w:ind w:left="1080" w:hanging="360"/>
        <w:contextualSpacing/>
        <w:rPr>
          <w:rFonts w:cs="Times New Roman"/>
          <w:sz w:val="21"/>
          <w:szCs w:val="21"/>
        </w:rPr>
      </w:pPr>
      <w:bookmarkStart w:id="42" w:name="_SAM_R_025"/>
      <w:r>
        <w:rPr>
          <w:rFonts w:cs="Times New Roman"/>
          <w:sz w:val="21"/>
          <w:szCs w:val="21"/>
        </w:rPr>
        <w:t xml:space="preserve">(3) The Malmquist index of China's forestry investment efficiency shows that forestry investment efficiency in most provinces </w:t>
      </w:r>
      <w:r>
        <w:rPr>
          <w:rFonts w:eastAsia="DengXian" w:cs="Times New Roman"/>
          <w:sz w:val="21"/>
          <w:szCs w:val="21"/>
        </w:rPr>
        <w:t>has improved</w:t>
      </w:r>
      <w:r>
        <w:rPr>
          <w:rFonts w:cs="Times New Roman"/>
          <w:sz w:val="21"/>
          <w:szCs w:val="21"/>
        </w:rPr>
        <w:t xml:space="preserve"> in recent years.</w:t>
      </w:r>
      <w:bookmarkEnd w:id="42"/>
      <w:r>
        <w:rPr>
          <w:rFonts w:cs="Times New Roman"/>
          <w:sz w:val="21"/>
          <w:szCs w:val="21"/>
        </w:rPr>
        <w:t xml:space="preserve"> Through the decomposition of the Malmquist index, we find that the key to the growth of China's forestry investment efficiency is the rate of technological progress. This shows that China's application technology for forestry investment has not improved in recent years. In addition, the results also show a certain degree of decline in scale efficiency, which means that the low rate of forestry investment and output is deepening.</w:t>
      </w:r>
    </w:p>
    <w:p>
      <w:pPr>
        <w:spacing w:line="480" w:lineRule="auto"/>
        <w:ind w:firstLine="720"/>
        <w:contextualSpacing/>
        <w:rPr>
          <w:rFonts w:cs="Times New Roman"/>
          <w:sz w:val="21"/>
          <w:szCs w:val="21"/>
        </w:rPr>
      </w:pPr>
      <w:bookmarkStart w:id="43" w:name="_SAM__027"/>
      <w:r>
        <w:rPr>
          <w:rFonts w:cs="Times New Roman"/>
          <w:sz w:val="21"/>
          <w:szCs w:val="21"/>
        </w:rPr>
        <w:t>According to the empirical results of this paper, we have some suggestions for investors.</w:t>
      </w:r>
      <w:bookmarkEnd w:id="43"/>
      <w:r>
        <w:rPr>
          <w:rFonts w:cs="Times New Roman"/>
          <w:sz w:val="21"/>
          <w:szCs w:val="21"/>
        </w:rPr>
        <w:t xml:space="preserve"> </w:t>
      </w:r>
      <w:r>
        <w:rPr>
          <w:rFonts w:eastAsia="宋体" w:cs="Times New Roman"/>
          <w:sz w:val="21"/>
          <w:szCs w:val="21"/>
        </w:rPr>
        <w:t>First</w:t>
      </w:r>
      <w:r>
        <w:rPr>
          <w:rFonts w:cs="Times New Roman"/>
          <w:sz w:val="21"/>
          <w:szCs w:val="21"/>
        </w:rPr>
        <w:t xml:space="preserve">, the efficiency of forestry investment has certain requirements for resource allocation, and investors must rationally determine the amount of forestry investment according to the current situation of the resource endowment supply in different regions. </w:t>
      </w:r>
      <w:r>
        <w:rPr>
          <w:rFonts w:eastAsia="宋体" w:cs="Times New Roman"/>
          <w:sz w:val="21"/>
          <w:szCs w:val="21"/>
        </w:rPr>
        <w:t xml:space="preserve">Second, </w:t>
      </w:r>
      <w:r>
        <w:rPr>
          <w:rFonts w:cs="Times New Roman"/>
          <w:sz w:val="21"/>
          <w:szCs w:val="21"/>
        </w:rPr>
        <w:t xml:space="preserve">the experimental results show that the </w:t>
      </w:r>
      <w:r>
        <w:rPr>
          <w:rFonts w:eastAsia="DengXian" w:cs="Times New Roman"/>
          <w:sz w:val="21"/>
          <w:szCs w:val="21"/>
        </w:rPr>
        <w:t>greatest</w:t>
      </w:r>
      <w:r>
        <w:rPr>
          <w:rFonts w:cs="Times New Roman"/>
          <w:sz w:val="21"/>
          <w:szCs w:val="21"/>
        </w:rPr>
        <w:t xml:space="preserve"> problem in forestry investment is the low environmental benefits because the carbon sequestration capacity of the forest is weak. Therefore, before investment, investors should consult with relevant forest planting experts to select trees with a strong carbon sequestration capacity for cultivation. </w:t>
      </w:r>
      <w:r>
        <w:rPr>
          <w:rFonts w:eastAsia="DengXian" w:cs="Times New Roman"/>
          <w:sz w:val="21"/>
          <w:szCs w:val="21"/>
        </w:rPr>
        <w:t xml:space="preserve">They </w:t>
      </w:r>
      <w:r>
        <w:rPr>
          <w:rFonts w:cs="Times New Roman"/>
          <w:sz w:val="21"/>
          <w:szCs w:val="21"/>
        </w:rPr>
        <w:t xml:space="preserve">should scientifically manage the rotation period of the forest to achieve the optimal sum of economic and environmental output of the forest. </w:t>
      </w:r>
      <w:bookmarkStart w:id="44" w:name="_SAM_R_022"/>
      <w:r>
        <w:rPr>
          <w:rFonts w:cs="Times New Roman"/>
          <w:sz w:val="21"/>
          <w:szCs w:val="21"/>
        </w:rPr>
        <w:t>Third, to improve the application technology of forestry investment, computer technology can be introduced to build a forestry investment system and real-time adjustment of inputs in different regions to obtain maximum output.</w:t>
      </w:r>
      <w:bookmarkEnd w:id="44"/>
    </w:p>
    <w:p>
      <w:pPr>
        <w:spacing w:line="480" w:lineRule="auto"/>
        <w:contextualSpacing/>
        <w:rPr>
          <w:rFonts w:cs="Times New Roman"/>
          <w:b/>
          <w:sz w:val="21"/>
          <w:szCs w:val="21"/>
        </w:rPr>
      </w:pPr>
    </w:p>
    <w:p>
      <w:pPr>
        <w:spacing w:line="480" w:lineRule="auto"/>
        <w:contextualSpacing/>
        <w:rPr>
          <w:rFonts w:cs="Times New Roman"/>
          <w:sz w:val="21"/>
          <w:szCs w:val="21"/>
        </w:rPr>
      </w:pPr>
      <w:r>
        <w:rPr>
          <w:rFonts w:cs="Times New Roman"/>
          <w:b/>
          <w:sz w:val="21"/>
          <w:szCs w:val="21"/>
        </w:rPr>
        <w:t xml:space="preserve">Funding: </w:t>
      </w:r>
      <w:r>
        <w:rPr>
          <w:rFonts w:cs="Times New Roman"/>
          <w:sz w:val="21"/>
          <w:szCs w:val="21"/>
        </w:rPr>
        <w:t>Highly cited funds, College of Economics and Management, Beijing University of Technology; the fund of Beijing City Sub-center Institute, Beijing University of Technology, Beijing 100124, China; Capacity Building of Science and Technology Innovation Services (Research Category) in 2019—Beijing Basic Research Business Expenses (11000546319514) and (11000546319539); The National Natural Science Foundation of China (71473010).</w:t>
      </w:r>
    </w:p>
    <w:p>
      <w:pPr>
        <w:spacing w:line="480" w:lineRule="auto"/>
        <w:contextualSpacing/>
        <w:rPr>
          <w:rFonts w:cs="Times New Roman"/>
          <w:sz w:val="21"/>
          <w:szCs w:val="21"/>
        </w:rPr>
      </w:pPr>
    </w:p>
    <w:p>
      <w:pPr>
        <w:spacing w:line="480" w:lineRule="auto"/>
        <w:contextualSpacing/>
        <w:rPr>
          <w:rFonts w:cs="Times New Roman"/>
          <w:sz w:val="21"/>
          <w:szCs w:val="21"/>
        </w:rPr>
      </w:pPr>
      <w:r>
        <w:rPr>
          <w:rFonts w:cs="Times New Roman"/>
          <w:b/>
          <w:sz w:val="21"/>
          <w:szCs w:val="21"/>
        </w:rPr>
        <w:t>Acknowledgments:</w:t>
      </w:r>
      <w:r>
        <w:rPr>
          <w:rFonts w:cs="Times New Roman"/>
          <w:sz w:val="21"/>
          <w:szCs w:val="21"/>
        </w:rPr>
        <w:t xml:space="preserve"> The authors are grateful to those who improved this article. We would also like to thank the editors and reviewers for their insightful comments on this research.</w:t>
      </w:r>
    </w:p>
    <w:p>
      <w:pPr>
        <w:spacing w:line="480" w:lineRule="auto"/>
        <w:contextualSpacing/>
        <w:rPr>
          <w:rFonts w:cs="Times New Roman"/>
          <w:sz w:val="21"/>
          <w:szCs w:val="21"/>
        </w:rPr>
      </w:pPr>
    </w:p>
    <w:p>
      <w:pPr>
        <w:spacing w:line="480" w:lineRule="auto"/>
        <w:contextualSpacing/>
        <w:rPr>
          <w:rFonts w:cs="Times New Roman"/>
          <w:sz w:val="21"/>
          <w:szCs w:val="21"/>
        </w:rPr>
      </w:pPr>
      <w:bookmarkStart w:id="45" w:name="_SAM_R_020"/>
      <w:r>
        <w:rPr>
          <w:rFonts w:cs="Times New Roman"/>
          <w:b/>
          <w:sz w:val="21"/>
          <w:szCs w:val="21"/>
        </w:rPr>
        <w:t>Conflicts of Interest:</w:t>
      </w:r>
      <w:r>
        <w:rPr>
          <w:rFonts w:cs="Times New Roman"/>
          <w:sz w:val="21"/>
          <w:szCs w:val="21"/>
        </w:rPr>
        <w:t xml:space="preserve"> The authors declare no </w:t>
      </w:r>
      <w:r>
        <w:rPr>
          <w:rFonts w:eastAsia="DengXian" w:cs="Times New Roman"/>
          <w:sz w:val="21"/>
          <w:szCs w:val="21"/>
        </w:rPr>
        <w:t>conflicts</w:t>
      </w:r>
      <w:r>
        <w:rPr>
          <w:rFonts w:cs="Times New Roman"/>
          <w:sz w:val="21"/>
          <w:szCs w:val="21"/>
        </w:rPr>
        <w:t xml:space="preserve"> of interest.</w:t>
      </w:r>
      <w:bookmarkEnd w:id="45"/>
    </w:p>
    <w:p>
      <w:pPr>
        <w:widowControl/>
        <w:rPr>
          <w:rFonts w:cs="Times New Roman"/>
          <w:sz w:val="21"/>
          <w:szCs w:val="21"/>
        </w:rPr>
      </w:pPr>
    </w:p>
    <w:p>
      <w:pPr>
        <w:spacing w:line="480" w:lineRule="auto"/>
        <w:contextualSpacing/>
        <w:outlineLvl w:val="0"/>
        <w:rPr>
          <w:rFonts w:cs="Times New Roman"/>
          <w:b/>
          <w:sz w:val="21"/>
          <w:szCs w:val="21"/>
        </w:rPr>
      </w:pPr>
      <w:r>
        <w:rPr>
          <w:rFonts w:cs="Times New Roman"/>
          <w:b/>
          <w:sz w:val="21"/>
          <w:szCs w:val="21"/>
        </w:rPr>
        <w:t>References</w:t>
      </w:r>
    </w:p>
    <w:p>
      <w:pPr>
        <w:pStyle w:val="34"/>
        <w:spacing w:line="480" w:lineRule="auto"/>
        <w:ind w:left="720" w:hanging="720"/>
        <w:contextualSpacing/>
        <w:jc w:val="both"/>
        <w:rPr>
          <w:sz w:val="21"/>
          <w:szCs w:val="21"/>
        </w:rPr>
      </w:pPr>
      <w:bookmarkStart w:id="46" w:name="_Hlk23436601"/>
      <w:r>
        <w:rPr>
          <w:sz w:val="21"/>
          <w:szCs w:val="21"/>
        </w:rPr>
        <w:t xml:space="preserve">Alix-Garcia J. M., Sims K. R. E., &amp; Yañez-Pagans P. (2015). Only one tree from each seed? Environmental effectiveness and poverty alleviation in Mexico’s payments for ecosystem services program. </w:t>
      </w:r>
      <w:r>
        <w:rPr>
          <w:i/>
          <w:sz w:val="21"/>
          <w:szCs w:val="21"/>
        </w:rPr>
        <w:t>American Economic Journal: Economic Policy, 7</w:t>
      </w:r>
      <w:r>
        <w:rPr>
          <w:sz w:val="21"/>
          <w:szCs w:val="21"/>
        </w:rPr>
        <w:t xml:space="preserve">(4), 1–40. </w:t>
      </w:r>
      <w:r>
        <w:fldChar w:fldCharType="begin"/>
      </w:r>
      <w:r>
        <w:instrText xml:space="preserve"> HYPERLINK "https://doi.org/10.1257/pol.20130139" </w:instrText>
      </w:r>
      <w:r>
        <w:fldChar w:fldCharType="separate"/>
      </w:r>
      <w:r>
        <w:rPr>
          <w:rStyle w:val="15"/>
          <w:sz w:val="21"/>
          <w:szCs w:val="21"/>
        </w:rPr>
        <w:t>https://doi.org/10.1257/pol.20130139</w:t>
      </w:r>
      <w:r>
        <w:rPr>
          <w:rStyle w:val="15"/>
          <w:sz w:val="21"/>
          <w:szCs w:val="21"/>
        </w:rPr>
        <w:fldChar w:fldCharType="end"/>
      </w:r>
      <w:r>
        <w:rPr>
          <w:sz w:val="21"/>
          <w:szCs w:val="21"/>
        </w:rPr>
        <w:t>.</w:t>
      </w:r>
    </w:p>
    <w:p>
      <w:pPr>
        <w:pStyle w:val="34"/>
        <w:spacing w:line="480" w:lineRule="auto"/>
        <w:ind w:left="720" w:hanging="720"/>
        <w:contextualSpacing/>
        <w:jc w:val="both"/>
        <w:rPr>
          <w:sz w:val="21"/>
          <w:szCs w:val="21"/>
        </w:rPr>
      </w:pPr>
      <w:r>
        <w:rPr>
          <w:sz w:val="21"/>
          <w:szCs w:val="21"/>
        </w:rPr>
        <w:t xml:space="preserve">Allevi E., Basso A., Bonenti F., Oggioni G., &amp; Riccardi R. (2019). Measuring the environmental performance of green SRI funds: A DEA approach. </w:t>
      </w:r>
      <w:r>
        <w:rPr>
          <w:i/>
          <w:sz w:val="21"/>
          <w:szCs w:val="21"/>
        </w:rPr>
        <w:t>Energy Economics, 79</w:t>
      </w:r>
      <w:r>
        <w:rPr>
          <w:sz w:val="21"/>
          <w:szCs w:val="21"/>
        </w:rPr>
        <w:t xml:space="preserve">(C), 32–44. </w:t>
      </w:r>
      <w:r>
        <w:fldChar w:fldCharType="begin"/>
      </w:r>
      <w:r>
        <w:instrText xml:space="preserve"> HYPERLINK "https://doi.org/10.1016/j.eneco.2018.07.023" </w:instrText>
      </w:r>
      <w:r>
        <w:fldChar w:fldCharType="separate"/>
      </w:r>
      <w:r>
        <w:rPr>
          <w:rStyle w:val="15"/>
          <w:sz w:val="21"/>
          <w:szCs w:val="21"/>
        </w:rPr>
        <w:t>https://doi.org/10.1016/j.eneco.2018.07.023</w:t>
      </w:r>
      <w:r>
        <w:rPr>
          <w:rStyle w:val="15"/>
          <w:sz w:val="21"/>
          <w:szCs w:val="21"/>
        </w:rPr>
        <w:fldChar w:fldCharType="end"/>
      </w:r>
    </w:p>
    <w:p>
      <w:pPr>
        <w:pStyle w:val="34"/>
        <w:spacing w:line="480" w:lineRule="auto"/>
        <w:ind w:left="720" w:hanging="720"/>
        <w:contextualSpacing/>
        <w:jc w:val="both"/>
        <w:rPr>
          <w:sz w:val="21"/>
          <w:szCs w:val="21"/>
        </w:rPr>
      </w:pPr>
      <w:r>
        <w:rPr>
          <w:sz w:val="21"/>
          <w:szCs w:val="21"/>
        </w:rPr>
        <w:t xml:space="preserve">Bostian M., Färe R., Grosskopf S., &amp; Lundgren T. (2016). Environmental investment and firm performance: A network approach. </w:t>
      </w:r>
      <w:r>
        <w:rPr>
          <w:i/>
          <w:sz w:val="21"/>
          <w:szCs w:val="21"/>
        </w:rPr>
        <w:t>Energy Economics, 57</w:t>
      </w:r>
      <w:r>
        <w:rPr>
          <w:sz w:val="21"/>
          <w:szCs w:val="21"/>
        </w:rPr>
        <w:t xml:space="preserve">, 243–255. </w:t>
      </w:r>
      <w:r>
        <w:fldChar w:fldCharType="begin"/>
      </w:r>
      <w:r>
        <w:instrText xml:space="preserve"> HYPERLINK "https://doi.org/10.1016/j.eneco.2016.05.013" </w:instrText>
      </w:r>
      <w:r>
        <w:fldChar w:fldCharType="separate"/>
      </w:r>
      <w:r>
        <w:rPr>
          <w:rStyle w:val="15"/>
          <w:sz w:val="21"/>
          <w:szCs w:val="21"/>
        </w:rPr>
        <w:t>https://doi.org/10.1016/j.eneco.2016.05.013</w:t>
      </w:r>
      <w:r>
        <w:rPr>
          <w:rStyle w:val="15"/>
          <w:sz w:val="21"/>
          <w:szCs w:val="21"/>
        </w:rPr>
        <w:fldChar w:fldCharType="end"/>
      </w:r>
      <w:r>
        <w:rPr>
          <w:sz w:val="21"/>
          <w:szCs w:val="21"/>
        </w:rPr>
        <w:t>.</w:t>
      </w:r>
    </w:p>
    <w:p>
      <w:pPr>
        <w:pStyle w:val="34"/>
        <w:spacing w:line="480" w:lineRule="auto"/>
        <w:ind w:left="720" w:hanging="720"/>
        <w:contextualSpacing/>
        <w:rPr>
          <w:rStyle w:val="15"/>
          <w:sz w:val="21"/>
          <w:szCs w:val="21"/>
        </w:rPr>
      </w:pPr>
      <w:r>
        <w:rPr>
          <w:sz w:val="21"/>
          <w:szCs w:val="21"/>
        </w:rPr>
        <w:t xml:space="preserve">Baniya B., Giurco D., &amp; Kelly S. (2021). Green growth in Nepal and Bangladesh: Empirical analysis and future prospects. </w:t>
      </w:r>
      <w:r>
        <w:rPr>
          <w:i/>
          <w:sz w:val="21"/>
          <w:szCs w:val="21"/>
        </w:rPr>
        <w:t>Energy Policy, 149</w:t>
      </w:r>
      <w:r>
        <w:rPr>
          <w:sz w:val="21"/>
          <w:szCs w:val="21"/>
        </w:rPr>
        <w:t xml:space="preserve">, 112049. </w:t>
      </w:r>
      <w:r>
        <w:fldChar w:fldCharType="begin"/>
      </w:r>
      <w:r>
        <w:instrText xml:space="preserve"> HYPERLINK "https://doi.org/10.1016/j.enpol.2020.112049" </w:instrText>
      </w:r>
      <w:r>
        <w:fldChar w:fldCharType="separate"/>
      </w:r>
      <w:r>
        <w:rPr>
          <w:rStyle w:val="15"/>
          <w:sz w:val="21"/>
          <w:szCs w:val="21"/>
        </w:rPr>
        <w:t>https://doi.org/10.1016/j.enpol.2020.112049</w:t>
      </w:r>
      <w:r>
        <w:rPr>
          <w:rStyle w:val="15"/>
          <w:sz w:val="21"/>
          <w:szCs w:val="21"/>
        </w:rPr>
        <w:fldChar w:fldCharType="end"/>
      </w:r>
    </w:p>
    <w:p>
      <w:pPr>
        <w:pStyle w:val="34"/>
        <w:spacing w:line="480" w:lineRule="auto"/>
        <w:ind w:left="720" w:hanging="720"/>
        <w:contextualSpacing/>
        <w:rPr>
          <w:rStyle w:val="15"/>
          <w:sz w:val="21"/>
          <w:szCs w:val="21"/>
        </w:rPr>
      </w:pPr>
      <w:r>
        <w:rPr>
          <w:sz w:val="21"/>
          <w:szCs w:val="21"/>
        </w:rPr>
        <w:t xml:space="preserve">Banacloche S., Cadarso M A., Monsalve F., &amp; Lechon Y. (2020). Assessment of the sustainability of Mexico green investments in the road to Paris. </w:t>
      </w:r>
      <w:r>
        <w:rPr>
          <w:i/>
          <w:sz w:val="21"/>
          <w:szCs w:val="21"/>
        </w:rPr>
        <w:t>Energy Policy, 141</w:t>
      </w:r>
      <w:r>
        <w:rPr>
          <w:sz w:val="21"/>
          <w:szCs w:val="21"/>
        </w:rPr>
        <w:t xml:space="preserve">, 111458. </w:t>
      </w:r>
      <w:r>
        <w:fldChar w:fldCharType="begin"/>
      </w:r>
      <w:r>
        <w:instrText xml:space="preserve"> HYPERLINK "https://doi.org/10.1016/j.enpol.2020.111458" </w:instrText>
      </w:r>
      <w:r>
        <w:fldChar w:fldCharType="separate"/>
      </w:r>
      <w:r>
        <w:rPr>
          <w:rStyle w:val="15"/>
          <w:sz w:val="21"/>
          <w:szCs w:val="21"/>
        </w:rPr>
        <w:t>https://doi.org/10.1016/j.enpol.2020.111458</w:t>
      </w:r>
      <w:r>
        <w:rPr>
          <w:rStyle w:val="15"/>
          <w:sz w:val="21"/>
          <w:szCs w:val="21"/>
        </w:rPr>
        <w:fldChar w:fldCharType="end"/>
      </w:r>
    </w:p>
    <w:p>
      <w:pPr>
        <w:pStyle w:val="34"/>
        <w:spacing w:line="480" w:lineRule="auto"/>
        <w:ind w:left="720" w:hanging="720"/>
        <w:contextualSpacing/>
        <w:jc w:val="both"/>
        <w:rPr>
          <w:sz w:val="21"/>
          <w:szCs w:val="21"/>
        </w:rPr>
      </w:pPr>
      <w:r>
        <w:rPr>
          <w:sz w:val="21"/>
          <w:szCs w:val="21"/>
        </w:rPr>
        <w:t>Chhabra A. (2002). Growing stock-based forest biomass estimate for India. B</w:t>
      </w:r>
      <w:r>
        <w:rPr>
          <w:i/>
          <w:sz w:val="21"/>
          <w:szCs w:val="21"/>
        </w:rPr>
        <w:t>iomass and Bioenergy, 22</w:t>
      </w:r>
      <w:r>
        <w:rPr>
          <w:sz w:val="21"/>
          <w:szCs w:val="21"/>
        </w:rPr>
        <w:t xml:space="preserve">(3), 187–194. </w:t>
      </w:r>
      <w:r>
        <w:fldChar w:fldCharType="begin"/>
      </w:r>
      <w:r>
        <w:instrText xml:space="preserve"> HYPERLINK "https://doi.org/10.1016/s0961-9534(01)00068-x" </w:instrText>
      </w:r>
      <w:r>
        <w:fldChar w:fldCharType="separate"/>
      </w:r>
      <w:r>
        <w:rPr>
          <w:rStyle w:val="15"/>
          <w:sz w:val="21"/>
          <w:szCs w:val="21"/>
        </w:rPr>
        <w:t>https://doi.org/10.1016/s0961-9534(01)00068-x</w:t>
      </w:r>
      <w:r>
        <w:rPr>
          <w:rStyle w:val="15"/>
          <w:sz w:val="21"/>
          <w:szCs w:val="21"/>
        </w:rPr>
        <w:fldChar w:fldCharType="end"/>
      </w:r>
      <w:r>
        <w:rPr>
          <w:sz w:val="21"/>
          <w:szCs w:val="21"/>
        </w:rPr>
        <w:t>.</w:t>
      </w:r>
    </w:p>
    <w:p>
      <w:pPr>
        <w:pStyle w:val="34"/>
        <w:spacing w:line="480" w:lineRule="auto"/>
        <w:ind w:left="720" w:hanging="720"/>
        <w:contextualSpacing/>
        <w:rPr>
          <w:rStyle w:val="15"/>
          <w:sz w:val="21"/>
          <w:szCs w:val="21"/>
        </w:rPr>
      </w:pPr>
      <w:r>
        <w:rPr>
          <w:sz w:val="21"/>
          <w:szCs w:val="21"/>
        </w:rPr>
        <w:t xml:space="preserve">Cai X., Lu Y., Wu M., &amp; Yu L. (2018). Does environmental regulation drive away inbound foreign direct investment? Evidence from a quasi-natural experiment in China. </w:t>
      </w:r>
      <w:r>
        <w:rPr>
          <w:i/>
          <w:sz w:val="21"/>
          <w:szCs w:val="21"/>
        </w:rPr>
        <w:t>Journal of Development Economics, 123</w:t>
      </w:r>
      <w:r>
        <w:rPr>
          <w:sz w:val="21"/>
          <w:szCs w:val="21"/>
        </w:rPr>
        <w:t xml:space="preserve">, 73-85. </w:t>
      </w:r>
      <w:r>
        <w:fldChar w:fldCharType="begin"/>
      </w:r>
      <w:r>
        <w:instrText xml:space="preserve"> HYPERLINK "https://doi.org/10.1016/j.jdeveco.2016.08.003" </w:instrText>
      </w:r>
      <w:r>
        <w:fldChar w:fldCharType="separate"/>
      </w:r>
      <w:r>
        <w:rPr>
          <w:rStyle w:val="15"/>
          <w:sz w:val="21"/>
          <w:szCs w:val="21"/>
        </w:rPr>
        <w:t>https://doi.org/10.1016/j.jdeveco.2016.08.003</w:t>
      </w:r>
      <w:r>
        <w:rPr>
          <w:rStyle w:val="15"/>
          <w:sz w:val="21"/>
          <w:szCs w:val="21"/>
        </w:rPr>
        <w:fldChar w:fldCharType="end"/>
      </w:r>
    </w:p>
    <w:p>
      <w:pPr>
        <w:pStyle w:val="34"/>
        <w:spacing w:line="480" w:lineRule="auto"/>
        <w:ind w:left="720" w:hanging="720"/>
        <w:contextualSpacing/>
        <w:rPr>
          <w:rStyle w:val="15"/>
          <w:sz w:val="21"/>
          <w:szCs w:val="21"/>
        </w:rPr>
      </w:pPr>
      <w:r>
        <w:rPr>
          <w:sz w:val="21"/>
          <w:szCs w:val="21"/>
        </w:rPr>
        <w:t xml:space="preserve">Caves D. W., Christensen L. R., &amp; Diewert W. E. (1982). The Economic Theory of Index Numbers and the Measurement of Input, Output, and Productivity. </w:t>
      </w:r>
      <w:r>
        <w:rPr>
          <w:i/>
          <w:sz w:val="21"/>
          <w:szCs w:val="21"/>
        </w:rPr>
        <w:t>The Econometric Society, 50</w:t>
      </w:r>
      <w:r>
        <w:rPr>
          <w:sz w:val="21"/>
          <w:szCs w:val="21"/>
        </w:rPr>
        <w:t xml:space="preserve">(6), 1391-1414. </w:t>
      </w:r>
      <w:r>
        <w:fldChar w:fldCharType="begin"/>
      </w:r>
      <w:r>
        <w:instrText xml:space="preserve"> HYPERLINK "https://doi.org/10.2307/1913388" </w:instrText>
      </w:r>
      <w:r>
        <w:fldChar w:fldCharType="separate"/>
      </w:r>
      <w:r>
        <w:rPr>
          <w:rStyle w:val="15"/>
          <w:sz w:val="21"/>
          <w:szCs w:val="21"/>
        </w:rPr>
        <w:t>https://doi.org/10.2307/1913388</w:t>
      </w:r>
      <w:r>
        <w:rPr>
          <w:rStyle w:val="15"/>
          <w:sz w:val="21"/>
          <w:szCs w:val="21"/>
        </w:rPr>
        <w:fldChar w:fldCharType="end"/>
      </w:r>
    </w:p>
    <w:p>
      <w:pPr>
        <w:pStyle w:val="34"/>
        <w:spacing w:line="480" w:lineRule="auto"/>
        <w:ind w:left="720" w:hanging="720"/>
        <w:contextualSpacing/>
        <w:rPr>
          <w:sz w:val="21"/>
          <w:szCs w:val="21"/>
        </w:rPr>
      </w:pPr>
      <w:r>
        <w:rPr>
          <w:sz w:val="21"/>
          <w:szCs w:val="21"/>
        </w:rPr>
        <w:t xml:space="preserve">Chen C., Park T., Wang X., Piao S., Xu B., Chaturvedi R. K., Fuchs R., Brovkin V., Ciais P., Fensholt R., Tømmervik H., Bala G., Zhu Z., Nemani R. R., &amp; Myneni R. B. (2019). China and India lead in greening of the world through land-use management. </w:t>
      </w:r>
      <w:r>
        <w:rPr>
          <w:i/>
          <w:sz w:val="21"/>
          <w:szCs w:val="21"/>
        </w:rPr>
        <w:t>Nature Sustainability, 2</w:t>
      </w:r>
      <w:r>
        <w:rPr>
          <w:sz w:val="21"/>
          <w:szCs w:val="21"/>
        </w:rPr>
        <w:t xml:space="preserve">, 122-129. </w:t>
      </w:r>
      <w:r>
        <w:fldChar w:fldCharType="begin"/>
      </w:r>
      <w:r>
        <w:instrText xml:space="preserve"> HYPERLINK "https://doi.org/10.1038/s41893-019-0220-7" </w:instrText>
      </w:r>
      <w:r>
        <w:fldChar w:fldCharType="separate"/>
      </w:r>
      <w:r>
        <w:rPr>
          <w:rStyle w:val="15"/>
          <w:sz w:val="21"/>
          <w:szCs w:val="21"/>
        </w:rPr>
        <w:t>https://doi.org/10.1038/s41893-019-0220-7</w:t>
      </w:r>
      <w:r>
        <w:rPr>
          <w:rStyle w:val="15"/>
          <w:sz w:val="21"/>
          <w:szCs w:val="21"/>
        </w:rPr>
        <w:fldChar w:fldCharType="end"/>
      </w:r>
    </w:p>
    <w:p>
      <w:pPr>
        <w:pStyle w:val="34"/>
        <w:spacing w:line="480" w:lineRule="auto"/>
        <w:ind w:left="720" w:hanging="720"/>
        <w:contextualSpacing/>
        <w:jc w:val="both"/>
        <w:rPr>
          <w:sz w:val="21"/>
          <w:szCs w:val="21"/>
        </w:rPr>
      </w:pPr>
      <w:r>
        <w:rPr>
          <w:sz w:val="21"/>
          <w:szCs w:val="21"/>
        </w:rPr>
        <w:t xml:space="preserve">Deng L., Liu G.-B., &amp; Shangguan Z.-P. (2014). Land-use conversion and changing soil carbon stocks in China's ‘grain-for-green’ program: A synthesis. </w:t>
      </w:r>
      <w:r>
        <w:rPr>
          <w:i/>
          <w:sz w:val="21"/>
          <w:szCs w:val="21"/>
        </w:rPr>
        <w:t>Global Change Biology, 20</w:t>
      </w:r>
      <w:r>
        <w:rPr>
          <w:sz w:val="21"/>
          <w:szCs w:val="21"/>
        </w:rPr>
        <w:t xml:space="preserve">(11), 3544–3556. </w:t>
      </w:r>
      <w:r>
        <w:fldChar w:fldCharType="begin"/>
      </w:r>
      <w:r>
        <w:instrText xml:space="preserve"> HYPERLINK "https://doi.org/10.1111/gcb.12508" </w:instrText>
      </w:r>
      <w:r>
        <w:fldChar w:fldCharType="separate"/>
      </w:r>
      <w:r>
        <w:rPr>
          <w:rStyle w:val="15"/>
          <w:sz w:val="21"/>
          <w:szCs w:val="21"/>
        </w:rPr>
        <w:t>https://doi.org/10.1111/gcb.12508</w:t>
      </w:r>
      <w:r>
        <w:rPr>
          <w:rStyle w:val="15"/>
          <w:sz w:val="21"/>
          <w:szCs w:val="21"/>
        </w:rPr>
        <w:fldChar w:fldCharType="end"/>
      </w:r>
      <w:r>
        <w:rPr>
          <w:sz w:val="21"/>
          <w:szCs w:val="21"/>
        </w:rPr>
        <w:t>.</w:t>
      </w:r>
    </w:p>
    <w:p>
      <w:pPr>
        <w:pStyle w:val="34"/>
        <w:spacing w:line="480" w:lineRule="auto"/>
        <w:ind w:left="720" w:hanging="720"/>
        <w:contextualSpacing/>
        <w:rPr>
          <w:sz w:val="21"/>
          <w:szCs w:val="21"/>
        </w:rPr>
      </w:pPr>
      <w:r>
        <w:rPr>
          <w:sz w:val="21"/>
          <w:szCs w:val="21"/>
        </w:rPr>
        <w:t xml:space="preserve">Dmuchowski P., Dmuchowski W., Baczewska-Dmuchowski A. H., &amp; Gworek B. (2021). Green economy – growth and maintenance of the conditions of green growth at the level of polish local authorities. </w:t>
      </w:r>
      <w:r>
        <w:rPr>
          <w:i/>
          <w:sz w:val="21"/>
          <w:szCs w:val="21"/>
        </w:rPr>
        <w:t>Journal of Cleaner Production, 301</w:t>
      </w:r>
      <w:r>
        <w:rPr>
          <w:sz w:val="21"/>
          <w:szCs w:val="21"/>
        </w:rPr>
        <w:t xml:space="preserve">(10), 126975. </w:t>
      </w:r>
      <w:r>
        <w:fldChar w:fldCharType="begin"/>
      </w:r>
      <w:r>
        <w:instrText xml:space="preserve"> HYPERLINK "https://doi.org/10.1016/j.jclepro.2021.126975" </w:instrText>
      </w:r>
      <w:r>
        <w:fldChar w:fldCharType="separate"/>
      </w:r>
      <w:r>
        <w:rPr>
          <w:rStyle w:val="15"/>
          <w:sz w:val="21"/>
          <w:szCs w:val="21"/>
        </w:rPr>
        <w:t>https://doi.org/10.1016/j.jclepro.2021.126975</w:t>
      </w:r>
      <w:r>
        <w:rPr>
          <w:rStyle w:val="15"/>
          <w:sz w:val="21"/>
          <w:szCs w:val="21"/>
        </w:rPr>
        <w:fldChar w:fldCharType="end"/>
      </w:r>
    </w:p>
    <w:p>
      <w:pPr>
        <w:pStyle w:val="34"/>
        <w:spacing w:line="480" w:lineRule="auto"/>
        <w:ind w:left="720" w:hanging="720"/>
        <w:contextualSpacing/>
        <w:jc w:val="both"/>
        <w:rPr>
          <w:sz w:val="21"/>
          <w:szCs w:val="21"/>
        </w:rPr>
      </w:pPr>
      <w:r>
        <w:rPr>
          <w:sz w:val="21"/>
          <w:szCs w:val="21"/>
        </w:rPr>
        <w:t xml:space="preserve">Fang J., Guo Z., Piao S., &amp; Chen A. (2007). Terrestrial vegetation carbon sinks in China, 1981–2000. </w:t>
      </w:r>
      <w:r>
        <w:rPr>
          <w:i/>
          <w:sz w:val="21"/>
          <w:szCs w:val="21"/>
        </w:rPr>
        <w:t>Science in China Series D: Earth Sciences, 50</w:t>
      </w:r>
      <w:r>
        <w:rPr>
          <w:sz w:val="21"/>
          <w:szCs w:val="21"/>
        </w:rPr>
        <w:t xml:space="preserve">(9), 1341–1350. </w:t>
      </w:r>
      <w:r>
        <w:fldChar w:fldCharType="begin"/>
      </w:r>
      <w:r>
        <w:instrText xml:space="preserve"> HYPERLINK "https://doi.org/10.1007/s11430-007-0049-1" </w:instrText>
      </w:r>
      <w:r>
        <w:fldChar w:fldCharType="separate"/>
      </w:r>
      <w:r>
        <w:rPr>
          <w:rStyle w:val="15"/>
          <w:sz w:val="21"/>
          <w:szCs w:val="21"/>
        </w:rPr>
        <w:t>https://doi.org/10.1007/s11430-007-0049-1</w:t>
      </w:r>
      <w:r>
        <w:rPr>
          <w:rStyle w:val="15"/>
          <w:sz w:val="21"/>
          <w:szCs w:val="21"/>
        </w:rPr>
        <w:fldChar w:fldCharType="end"/>
      </w:r>
      <w:r>
        <w:rPr>
          <w:sz w:val="21"/>
          <w:szCs w:val="21"/>
        </w:rPr>
        <w:t>.</w:t>
      </w:r>
    </w:p>
    <w:p>
      <w:pPr>
        <w:pStyle w:val="34"/>
        <w:spacing w:line="480" w:lineRule="auto"/>
        <w:ind w:left="720" w:hanging="720"/>
        <w:contextualSpacing/>
        <w:rPr>
          <w:rStyle w:val="15"/>
          <w:sz w:val="21"/>
          <w:szCs w:val="21"/>
        </w:rPr>
      </w:pPr>
      <w:r>
        <w:rPr>
          <w:sz w:val="21"/>
          <w:szCs w:val="21"/>
        </w:rPr>
        <w:t xml:space="preserve">Fang J., Guo Z., Hu H., Kato T., Muraoka H., &amp; Son Y. (2014). Forest biomass carbon sinks in East Asia, with special reference to the relative contributions of forest expansion and forest growth. </w:t>
      </w:r>
      <w:r>
        <w:rPr>
          <w:i/>
          <w:sz w:val="21"/>
          <w:szCs w:val="21"/>
        </w:rPr>
        <w:t>Global Chang Biology, 20</w:t>
      </w:r>
      <w:r>
        <w:rPr>
          <w:sz w:val="21"/>
          <w:szCs w:val="21"/>
        </w:rPr>
        <w:t xml:space="preserve">, 2019-2030. </w:t>
      </w:r>
      <w:r>
        <w:fldChar w:fldCharType="begin"/>
      </w:r>
      <w:r>
        <w:instrText xml:space="preserve"> HYPERLINK "https://doi.org/10.1111/gcb.12512" </w:instrText>
      </w:r>
      <w:r>
        <w:fldChar w:fldCharType="separate"/>
      </w:r>
      <w:r>
        <w:rPr>
          <w:rStyle w:val="15"/>
          <w:sz w:val="21"/>
          <w:szCs w:val="21"/>
        </w:rPr>
        <w:t>https://doi.org/10.1111/gcb.12512</w:t>
      </w:r>
      <w:r>
        <w:rPr>
          <w:rStyle w:val="15"/>
          <w:sz w:val="21"/>
          <w:szCs w:val="21"/>
        </w:rPr>
        <w:fldChar w:fldCharType="end"/>
      </w:r>
    </w:p>
    <w:p>
      <w:pPr>
        <w:pStyle w:val="34"/>
        <w:spacing w:line="480" w:lineRule="auto"/>
        <w:ind w:left="720" w:hanging="720"/>
        <w:contextualSpacing/>
        <w:rPr>
          <w:rStyle w:val="15"/>
          <w:sz w:val="21"/>
          <w:szCs w:val="21"/>
        </w:rPr>
      </w:pPr>
      <w:r>
        <w:rPr>
          <w:sz w:val="21"/>
          <w:szCs w:val="21"/>
        </w:rPr>
        <w:t xml:space="preserve">Färe R., Grosskopf S., Norris M., &amp; Zhang Z. (1994). Productivity Growth, Technical Progress and Efficiency Change in Industrialized Countries. </w:t>
      </w:r>
      <w:r>
        <w:rPr>
          <w:i/>
          <w:sz w:val="21"/>
          <w:szCs w:val="21"/>
        </w:rPr>
        <w:t>American Economic Association, 84</w:t>
      </w:r>
      <w:r>
        <w:rPr>
          <w:sz w:val="21"/>
          <w:szCs w:val="21"/>
        </w:rPr>
        <w:t xml:space="preserve">(1), 66-83. </w:t>
      </w:r>
      <w:r>
        <w:fldChar w:fldCharType="begin"/>
      </w:r>
      <w:r>
        <w:instrText xml:space="preserve"> HYPERLINK "https://www.jstor.org/stable/2117971" </w:instrText>
      </w:r>
      <w:r>
        <w:fldChar w:fldCharType="separate"/>
      </w:r>
      <w:r>
        <w:rPr>
          <w:rStyle w:val="15"/>
          <w:sz w:val="21"/>
          <w:szCs w:val="21"/>
        </w:rPr>
        <w:t>https://www.jstor.org/stable/2117971</w:t>
      </w:r>
      <w:r>
        <w:rPr>
          <w:rStyle w:val="15"/>
          <w:sz w:val="21"/>
          <w:szCs w:val="21"/>
        </w:rPr>
        <w:fldChar w:fldCharType="end"/>
      </w:r>
    </w:p>
    <w:p>
      <w:pPr>
        <w:pStyle w:val="34"/>
        <w:spacing w:line="480" w:lineRule="auto"/>
        <w:ind w:left="720" w:hanging="720"/>
        <w:contextualSpacing/>
        <w:jc w:val="both"/>
        <w:rPr>
          <w:sz w:val="21"/>
          <w:szCs w:val="21"/>
        </w:rPr>
      </w:pPr>
      <w:r>
        <w:rPr>
          <w:sz w:val="21"/>
          <w:szCs w:val="21"/>
        </w:rPr>
        <w:t xml:space="preserve">Griscom B. W., Adams J., Ellis P. W., Houghton R. A., Lomax G., Miteva D. A., Schlesinger W. H., Shoch D., Siikam ̈aki J. V., Smith P., Woodbury P., Zganjar C., Blackman A., Campari J., Conant R. T., Delgado C., Elias P., Gopalakrishna T., Hamsik M. R., Herrero M., Kiesecker J., Landis E., Laestadius L., Leavitt S. M., Minnemeyer S., Polasky S., Potapov P., Putz F. E., Sanderman J., Silvius M., Wollenberg E., &amp; Fargione J. (2017). Natural climate solutions. </w:t>
      </w:r>
      <w:r>
        <w:rPr>
          <w:i/>
          <w:sz w:val="21"/>
          <w:szCs w:val="21"/>
        </w:rPr>
        <w:t>Proceedings of the National Academy of Sciences of the United States of America</w:t>
      </w:r>
      <w:r>
        <w:rPr>
          <w:sz w:val="21"/>
          <w:szCs w:val="21"/>
        </w:rPr>
        <w:t xml:space="preserve">, </w:t>
      </w:r>
      <w:r>
        <w:rPr>
          <w:i/>
          <w:sz w:val="21"/>
          <w:szCs w:val="21"/>
        </w:rPr>
        <w:t>114</w:t>
      </w:r>
      <w:r>
        <w:rPr>
          <w:sz w:val="21"/>
          <w:szCs w:val="21"/>
        </w:rPr>
        <w:t xml:space="preserve">, 11645–11650. </w:t>
      </w:r>
      <w:r>
        <w:fldChar w:fldCharType="begin"/>
      </w:r>
      <w:r>
        <w:instrText xml:space="preserve"> HYPERLINK "https://doi.org/10.1073/pnas.1710465114" </w:instrText>
      </w:r>
      <w:r>
        <w:fldChar w:fldCharType="separate"/>
      </w:r>
      <w:r>
        <w:rPr>
          <w:rStyle w:val="15"/>
          <w:sz w:val="21"/>
          <w:szCs w:val="21"/>
        </w:rPr>
        <w:t>https://doi.org/10.1073/pnas.1710465114</w:t>
      </w:r>
      <w:r>
        <w:rPr>
          <w:rStyle w:val="15"/>
          <w:sz w:val="21"/>
          <w:szCs w:val="21"/>
        </w:rPr>
        <w:fldChar w:fldCharType="end"/>
      </w:r>
      <w:r>
        <w:rPr>
          <w:sz w:val="21"/>
          <w:szCs w:val="21"/>
        </w:rPr>
        <w:t>.</w:t>
      </w:r>
    </w:p>
    <w:p>
      <w:pPr>
        <w:pStyle w:val="34"/>
        <w:spacing w:line="480" w:lineRule="auto"/>
        <w:ind w:left="720" w:hanging="720"/>
        <w:contextualSpacing/>
        <w:jc w:val="both"/>
        <w:rPr>
          <w:sz w:val="21"/>
          <w:szCs w:val="21"/>
        </w:rPr>
      </w:pPr>
      <w:r>
        <w:rPr>
          <w:sz w:val="21"/>
          <w:szCs w:val="21"/>
        </w:rPr>
        <w:t xml:space="preserve">Jalkanen A., Mäkipää R., Ståhl G., Lehtonen A., &amp; Petersson H. (2005). Estimation of the biomass stock of trees in Sweden: Comparison of biomass equations and age-dependent biomass expansion factors. </w:t>
      </w:r>
      <w:r>
        <w:rPr>
          <w:i/>
          <w:sz w:val="21"/>
          <w:szCs w:val="21"/>
        </w:rPr>
        <w:t>Annals of Forest Science, 62</w:t>
      </w:r>
      <w:r>
        <w:rPr>
          <w:sz w:val="21"/>
          <w:szCs w:val="21"/>
        </w:rPr>
        <w:t xml:space="preserve">(8), 845–851. </w:t>
      </w:r>
      <w:r>
        <w:fldChar w:fldCharType="begin"/>
      </w:r>
      <w:r>
        <w:instrText xml:space="preserve"> HYPERLINK "https://doi.org/10.1051/forest:2005075" </w:instrText>
      </w:r>
      <w:r>
        <w:fldChar w:fldCharType="separate"/>
      </w:r>
      <w:r>
        <w:rPr>
          <w:rStyle w:val="15"/>
          <w:sz w:val="21"/>
          <w:szCs w:val="21"/>
        </w:rPr>
        <w:t>https://doi.org/10.1051/forest:2005075</w:t>
      </w:r>
      <w:r>
        <w:rPr>
          <w:rStyle w:val="15"/>
          <w:sz w:val="21"/>
          <w:szCs w:val="21"/>
        </w:rPr>
        <w:fldChar w:fldCharType="end"/>
      </w:r>
      <w:r>
        <w:rPr>
          <w:sz w:val="21"/>
          <w:szCs w:val="21"/>
        </w:rPr>
        <w:t>.</w:t>
      </w:r>
    </w:p>
    <w:p>
      <w:pPr>
        <w:pStyle w:val="34"/>
        <w:spacing w:line="480" w:lineRule="auto"/>
        <w:ind w:left="720" w:hanging="720"/>
        <w:contextualSpacing/>
        <w:jc w:val="both"/>
        <w:rPr>
          <w:sz w:val="21"/>
          <w:szCs w:val="21"/>
        </w:rPr>
      </w:pPr>
      <w:r>
        <w:rPr>
          <w:sz w:val="21"/>
          <w:szCs w:val="21"/>
        </w:rPr>
        <w:t xml:space="preserve">Kangas H.-L., Lintunen J., Pohjola J., Hetemäki L., &amp; Uusivuori J. (2011). Investments into forest biorefineries under different price and policy structures. </w:t>
      </w:r>
      <w:r>
        <w:rPr>
          <w:i/>
          <w:sz w:val="21"/>
          <w:szCs w:val="21"/>
        </w:rPr>
        <w:t>Energy Economics, 33</w:t>
      </w:r>
      <w:r>
        <w:rPr>
          <w:sz w:val="21"/>
          <w:szCs w:val="21"/>
        </w:rPr>
        <w:t xml:space="preserve">(6), 1165–1176. </w:t>
      </w:r>
      <w:r>
        <w:fldChar w:fldCharType="begin"/>
      </w:r>
      <w:r>
        <w:instrText xml:space="preserve"> HYPERLINK "https://doi.org/10.1016/j.eneco.2011.04.008" </w:instrText>
      </w:r>
      <w:r>
        <w:fldChar w:fldCharType="separate"/>
      </w:r>
      <w:r>
        <w:rPr>
          <w:rStyle w:val="15"/>
          <w:sz w:val="21"/>
          <w:szCs w:val="21"/>
        </w:rPr>
        <w:t>https://doi.org/10.1016/j.eneco.2011.04.008</w:t>
      </w:r>
      <w:r>
        <w:rPr>
          <w:rStyle w:val="15"/>
          <w:sz w:val="21"/>
          <w:szCs w:val="21"/>
        </w:rPr>
        <w:fldChar w:fldCharType="end"/>
      </w:r>
      <w:r>
        <w:rPr>
          <w:sz w:val="21"/>
          <w:szCs w:val="21"/>
        </w:rPr>
        <w:t>.</w:t>
      </w:r>
    </w:p>
    <w:p>
      <w:pPr>
        <w:pStyle w:val="34"/>
        <w:spacing w:line="480" w:lineRule="auto"/>
        <w:ind w:left="720" w:hanging="720"/>
        <w:contextualSpacing/>
        <w:jc w:val="both"/>
        <w:rPr>
          <w:sz w:val="21"/>
          <w:szCs w:val="21"/>
        </w:rPr>
      </w:pPr>
      <w:r>
        <w:rPr>
          <w:sz w:val="21"/>
          <w:szCs w:val="21"/>
        </w:rPr>
        <w:t xml:space="preserve">Khovanskaia M., &amp; Ivanyi Z. (2007). Possibilities and options for the clean development mechanism and the green investment scheme in central and eastern Europe: Macedonian and Romanian perspectives. </w:t>
      </w:r>
      <w:r>
        <w:rPr>
          <w:i/>
          <w:sz w:val="21"/>
          <w:szCs w:val="21"/>
        </w:rPr>
        <w:t>Natural Resources Forum, 31</w:t>
      </w:r>
      <w:r>
        <w:rPr>
          <w:sz w:val="21"/>
          <w:szCs w:val="21"/>
        </w:rPr>
        <w:t xml:space="preserve">(1), 1–10. </w:t>
      </w:r>
      <w:r>
        <w:fldChar w:fldCharType="begin"/>
      </w:r>
      <w:r>
        <w:instrText xml:space="preserve"> HYPERLINK "https://doi.org/10.1111/j.1477-8947.2007.00132.x" </w:instrText>
      </w:r>
      <w:r>
        <w:fldChar w:fldCharType="separate"/>
      </w:r>
      <w:r>
        <w:rPr>
          <w:rStyle w:val="15"/>
          <w:sz w:val="21"/>
          <w:szCs w:val="21"/>
        </w:rPr>
        <w:t>https://doi.org/10.1111/j.1477-8947.2007.00132.x</w:t>
      </w:r>
      <w:r>
        <w:rPr>
          <w:rStyle w:val="15"/>
          <w:sz w:val="21"/>
          <w:szCs w:val="21"/>
        </w:rPr>
        <w:fldChar w:fldCharType="end"/>
      </w:r>
      <w:r>
        <w:rPr>
          <w:sz w:val="21"/>
          <w:szCs w:val="21"/>
        </w:rPr>
        <w:t>.</w:t>
      </w:r>
    </w:p>
    <w:p>
      <w:pPr>
        <w:pStyle w:val="34"/>
        <w:spacing w:line="480" w:lineRule="auto"/>
        <w:ind w:left="720" w:hanging="720"/>
        <w:contextualSpacing/>
        <w:jc w:val="both"/>
        <w:rPr>
          <w:sz w:val="21"/>
          <w:szCs w:val="21"/>
        </w:rPr>
      </w:pPr>
      <w:r>
        <w:rPr>
          <w:sz w:val="21"/>
          <w:szCs w:val="21"/>
        </w:rPr>
        <w:t xml:space="preserve">Li L., Hao T., &amp; Chi T. (2017). </w:t>
      </w:r>
      <w:bookmarkStart w:id="47" w:name="OLE_LINK11"/>
      <w:bookmarkStart w:id="48" w:name="OLE_LINK12"/>
      <w:r>
        <w:rPr>
          <w:sz w:val="21"/>
          <w:szCs w:val="21"/>
        </w:rPr>
        <w:t>Evaluation on China's forestry resources efficiency based on big data</w:t>
      </w:r>
      <w:bookmarkEnd w:id="47"/>
      <w:bookmarkEnd w:id="48"/>
      <w:r>
        <w:rPr>
          <w:sz w:val="21"/>
          <w:szCs w:val="21"/>
        </w:rPr>
        <w:t xml:space="preserve">. </w:t>
      </w:r>
      <w:r>
        <w:rPr>
          <w:i/>
          <w:sz w:val="21"/>
          <w:szCs w:val="21"/>
        </w:rPr>
        <w:t>Journal of Cleaner Production, 142</w:t>
      </w:r>
      <w:r>
        <w:rPr>
          <w:sz w:val="21"/>
          <w:szCs w:val="21"/>
        </w:rPr>
        <w:t xml:space="preserve">, 513–523. </w:t>
      </w:r>
      <w:r>
        <w:fldChar w:fldCharType="begin"/>
      </w:r>
      <w:r>
        <w:instrText xml:space="preserve"> HYPERLINK "https://doi.org/10.1016/j.jclepro.2016.02.078" </w:instrText>
      </w:r>
      <w:r>
        <w:fldChar w:fldCharType="separate"/>
      </w:r>
      <w:r>
        <w:rPr>
          <w:rStyle w:val="15"/>
          <w:sz w:val="21"/>
          <w:szCs w:val="21"/>
        </w:rPr>
        <w:t>https://doi.org/10.1016/j.jclepro.2016.02.078</w:t>
      </w:r>
      <w:r>
        <w:rPr>
          <w:rStyle w:val="15"/>
          <w:sz w:val="21"/>
          <w:szCs w:val="21"/>
        </w:rPr>
        <w:fldChar w:fldCharType="end"/>
      </w:r>
      <w:r>
        <w:rPr>
          <w:sz w:val="21"/>
          <w:szCs w:val="21"/>
        </w:rPr>
        <w:t>.</w:t>
      </w:r>
    </w:p>
    <w:p>
      <w:pPr>
        <w:pStyle w:val="34"/>
        <w:spacing w:line="480" w:lineRule="auto"/>
        <w:ind w:left="720" w:hanging="720"/>
        <w:contextualSpacing/>
        <w:jc w:val="both"/>
        <w:rPr>
          <w:sz w:val="21"/>
          <w:szCs w:val="21"/>
        </w:rPr>
      </w:pPr>
      <w:r>
        <w:rPr>
          <w:sz w:val="21"/>
          <w:szCs w:val="21"/>
        </w:rPr>
        <w:t xml:space="preserve">Lin B., &amp; Ge J. (2019). Carbon sinks and output of China's forestry sector: An ecological economic development perspective. </w:t>
      </w:r>
      <w:r>
        <w:rPr>
          <w:i/>
          <w:sz w:val="21"/>
          <w:szCs w:val="21"/>
        </w:rPr>
        <w:t>Science of The Total Environment, 655</w:t>
      </w:r>
      <w:r>
        <w:rPr>
          <w:sz w:val="21"/>
          <w:szCs w:val="21"/>
        </w:rPr>
        <w:t xml:space="preserve">, 1169–1180. </w:t>
      </w:r>
      <w:r>
        <w:fldChar w:fldCharType="begin"/>
      </w:r>
      <w:r>
        <w:instrText xml:space="preserve"> HYPERLINK "https://doi.org/10.1016/j.scitotenv.2018.11.219" </w:instrText>
      </w:r>
      <w:r>
        <w:fldChar w:fldCharType="separate"/>
      </w:r>
      <w:r>
        <w:rPr>
          <w:rStyle w:val="15"/>
          <w:sz w:val="21"/>
          <w:szCs w:val="21"/>
        </w:rPr>
        <w:t>https://doi.org/10.1016/j.scitotenv.2018.11.219</w:t>
      </w:r>
      <w:r>
        <w:rPr>
          <w:rStyle w:val="15"/>
          <w:sz w:val="21"/>
          <w:szCs w:val="21"/>
        </w:rPr>
        <w:fldChar w:fldCharType="end"/>
      </w:r>
      <w:r>
        <w:rPr>
          <w:sz w:val="21"/>
          <w:szCs w:val="21"/>
        </w:rPr>
        <w:t>.</w:t>
      </w:r>
    </w:p>
    <w:p>
      <w:pPr>
        <w:pStyle w:val="34"/>
        <w:spacing w:line="480" w:lineRule="auto"/>
        <w:ind w:left="720" w:hanging="720"/>
        <w:contextualSpacing/>
        <w:jc w:val="both"/>
        <w:rPr>
          <w:sz w:val="21"/>
          <w:szCs w:val="21"/>
        </w:rPr>
      </w:pPr>
      <w:r>
        <w:rPr>
          <w:sz w:val="21"/>
          <w:szCs w:val="21"/>
        </w:rPr>
        <w:t xml:space="preserve">Lundgren A. I., Milicevic A., Uddin G. S., &amp; Kang S. H. (2018). Connectedness network and dependence structure mechanism in green investments. </w:t>
      </w:r>
      <w:r>
        <w:rPr>
          <w:i/>
          <w:sz w:val="21"/>
          <w:szCs w:val="21"/>
        </w:rPr>
        <w:t>Energy Economics, 72</w:t>
      </w:r>
      <w:r>
        <w:rPr>
          <w:sz w:val="21"/>
          <w:szCs w:val="21"/>
        </w:rPr>
        <w:t xml:space="preserve">, 145–153. </w:t>
      </w:r>
      <w:r>
        <w:fldChar w:fldCharType="begin"/>
      </w:r>
      <w:r>
        <w:instrText xml:space="preserve"> HYPERLINK "https://doi.org/10.1016/j.eneco.2018.04.015" </w:instrText>
      </w:r>
      <w:r>
        <w:fldChar w:fldCharType="separate"/>
      </w:r>
      <w:r>
        <w:rPr>
          <w:rStyle w:val="15"/>
          <w:sz w:val="21"/>
          <w:szCs w:val="21"/>
        </w:rPr>
        <w:t>https://doi.org/10.1016/j.eneco.2018.04.015</w:t>
      </w:r>
      <w:r>
        <w:rPr>
          <w:rStyle w:val="15"/>
          <w:sz w:val="21"/>
          <w:szCs w:val="21"/>
        </w:rPr>
        <w:fldChar w:fldCharType="end"/>
      </w:r>
      <w:r>
        <w:rPr>
          <w:sz w:val="21"/>
          <w:szCs w:val="21"/>
        </w:rPr>
        <w:t>.</w:t>
      </w:r>
    </w:p>
    <w:p>
      <w:pPr>
        <w:pStyle w:val="34"/>
        <w:spacing w:line="480" w:lineRule="auto"/>
        <w:ind w:left="720" w:hanging="720"/>
        <w:contextualSpacing/>
        <w:rPr>
          <w:sz w:val="21"/>
          <w:szCs w:val="21"/>
        </w:rPr>
      </w:pPr>
      <w:r>
        <w:rPr>
          <w:sz w:val="21"/>
          <w:szCs w:val="21"/>
        </w:rPr>
        <w:t xml:space="preserve">Lin B., &amp; Ge J. (2019). Valued forest carbon sinks: How much emissions abatement costs could be reduced in China. </w:t>
      </w:r>
      <w:r>
        <w:rPr>
          <w:i/>
          <w:sz w:val="21"/>
          <w:szCs w:val="21"/>
        </w:rPr>
        <w:t>Journal of Cleaner Production, 224</w:t>
      </w:r>
      <w:r>
        <w:rPr>
          <w:sz w:val="21"/>
          <w:szCs w:val="21"/>
        </w:rPr>
        <w:t xml:space="preserve">(1), 455-464. </w:t>
      </w:r>
      <w:r>
        <w:fldChar w:fldCharType="begin"/>
      </w:r>
      <w:r>
        <w:instrText xml:space="preserve"> HYPERLINK "https://doi.org/10.1016/j.jclepro.2019.03.221" </w:instrText>
      </w:r>
      <w:r>
        <w:fldChar w:fldCharType="separate"/>
      </w:r>
      <w:r>
        <w:rPr>
          <w:rStyle w:val="15"/>
          <w:sz w:val="21"/>
          <w:szCs w:val="21"/>
        </w:rPr>
        <w:t>https://doi.org/10.1016/j.jclepro.2019.03.221</w:t>
      </w:r>
      <w:r>
        <w:rPr>
          <w:rStyle w:val="15"/>
          <w:sz w:val="21"/>
          <w:szCs w:val="21"/>
        </w:rPr>
        <w:fldChar w:fldCharType="end"/>
      </w:r>
    </w:p>
    <w:p>
      <w:pPr>
        <w:pStyle w:val="34"/>
        <w:spacing w:line="480" w:lineRule="auto"/>
        <w:ind w:left="720" w:hanging="720"/>
        <w:contextualSpacing/>
        <w:jc w:val="both"/>
        <w:rPr>
          <w:sz w:val="21"/>
          <w:szCs w:val="21"/>
        </w:rPr>
      </w:pPr>
      <w:r>
        <w:rPr>
          <w:sz w:val="21"/>
          <w:szCs w:val="21"/>
        </w:rPr>
        <w:t xml:space="preserve">Mell I. C., Henneberry J., Hehl-Lange S., &amp; Keskin B. (2016). To green or not to green: Establishing the economic value of green infrastructure investments in the Wicker, Sheffield. </w:t>
      </w:r>
      <w:r>
        <w:rPr>
          <w:i/>
          <w:sz w:val="21"/>
          <w:szCs w:val="21"/>
        </w:rPr>
        <w:t>Urban Forestry &amp; Urban Greening, 18</w:t>
      </w:r>
      <w:r>
        <w:rPr>
          <w:sz w:val="21"/>
          <w:szCs w:val="21"/>
        </w:rPr>
        <w:t xml:space="preserve">, 257–267. </w:t>
      </w:r>
      <w:r>
        <w:fldChar w:fldCharType="begin"/>
      </w:r>
      <w:r>
        <w:instrText xml:space="preserve"> HYPERLINK "https://doi.org/10.1016/j.ufug.2016.06.015" </w:instrText>
      </w:r>
      <w:r>
        <w:fldChar w:fldCharType="separate"/>
      </w:r>
      <w:r>
        <w:rPr>
          <w:rStyle w:val="15"/>
          <w:sz w:val="21"/>
          <w:szCs w:val="21"/>
        </w:rPr>
        <w:t>https://doi.org/10.1016/j.ufug.2016.06.015</w:t>
      </w:r>
      <w:r>
        <w:rPr>
          <w:rStyle w:val="15"/>
          <w:sz w:val="21"/>
          <w:szCs w:val="21"/>
        </w:rPr>
        <w:fldChar w:fldCharType="end"/>
      </w:r>
      <w:r>
        <w:rPr>
          <w:sz w:val="21"/>
          <w:szCs w:val="21"/>
        </w:rPr>
        <w:t>.</w:t>
      </w:r>
    </w:p>
    <w:p>
      <w:pPr>
        <w:pStyle w:val="34"/>
        <w:spacing w:line="480" w:lineRule="auto"/>
        <w:ind w:left="720" w:hanging="720"/>
        <w:contextualSpacing/>
        <w:jc w:val="both"/>
        <w:rPr>
          <w:sz w:val="21"/>
          <w:szCs w:val="21"/>
        </w:rPr>
      </w:pPr>
      <w:r>
        <w:rPr>
          <w:sz w:val="21"/>
          <w:szCs w:val="21"/>
        </w:rPr>
        <w:t xml:space="preserve">Moriarty P., &amp; Honnery, D. (2019). Ecosystem maintenance energy and the need for a green EROI. </w:t>
      </w:r>
      <w:r>
        <w:rPr>
          <w:i/>
          <w:sz w:val="21"/>
          <w:szCs w:val="21"/>
        </w:rPr>
        <w:t>Energy Policy, 131</w:t>
      </w:r>
      <w:r>
        <w:rPr>
          <w:sz w:val="21"/>
          <w:szCs w:val="21"/>
        </w:rPr>
        <w:t xml:space="preserve">, 229–234. </w:t>
      </w:r>
      <w:r>
        <w:fldChar w:fldCharType="begin"/>
      </w:r>
      <w:r>
        <w:instrText xml:space="preserve"> HYPERLINK "https://doi.org/10.1016/j.enpol.2019.05.006" </w:instrText>
      </w:r>
      <w:r>
        <w:fldChar w:fldCharType="separate"/>
      </w:r>
      <w:r>
        <w:rPr>
          <w:rStyle w:val="15"/>
          <w:sz w:val="21"/>
          <w:szCs w:val="21"/>
        </w:rPr>
        <w:t>https://doi.org/10.1016/j.enpol.2019.05.006</w:t>
      </w:r>
      <w:r>
        <w:rPr>
          <w:rStyle w:val="15"/>
          <w:sz w:val="21"/>
          <w:szCs w:val="21"/>
        </w:rPr>
        <w:fldChar w:fldCharType="end"/>
      </w:r>
      <w:r>
        <w:rPr>
          <w:sz w:val="21"/>
          <w:szCs w:val="21"/>
        </w:rPr>
        <w:t>.</w:t>
      </w:r>
    </w:p>
    <w:p>
      <w:pPr>
        <w:pStyle w:val="34"/>
        <w:spacing w:line="480" w:lineRule="auto"/>
        <w:ind w:left="720" w:hanging="720"/>
        <w:contextualSpacing/>
        <w:rPr>
          <w:sz w:val="21"/>
          <w:szCs w:val="21"/>
        </w:rPr>
      </w:pPr>
      <w:r>
        <w:rPr>
          <w:sz w:val="21"/>
          <w:szCs w:val="21"/>
        </w:rPr>
        <w:t xml:space="preserve">Malmquist S. (1953). Index numbers and indifference surfaces. </w:t>
      </w:r>
      <w:r>
        <w:rPr>
          <w:i/>
          <w:sz w:val="21"/>
          <w:szCs w:val="21"/>
        </w:rPr>
        <w:t>Trabajos de Estadistica, 4</w:t>
      </w:r>
      <w:r>
        <w:rPr>
          <w:sz w:val="21"/>
          <w:szCs w:val="21"/>
        </w:rPr>
        <w:t xml:space="preserve">, 209-242. </w:t>
      </w:r>
      <w:r>
        <w:fldChar w:fldCharType="begin"/>
      </w:r>
      <w:r>
        <w:instrText xml:space="preserve"> HYPERLINK "https://doi.org/10.1007/BF03006863" </w:instrText>
      </w:r>
      <w:r>
        <w:fldChar w:fldCharType="separate"/>
      </w:r>
      <w:r>
        <w:rPr>
          <w:rStyle w:val="15"/>
          <w:sz w:val="21"/>
          <w:szCs w:val="21"/>
        </w:rPr>
        <w:t>https://doi.org/10.1007/BF03006863</w:t>
      </w:r>
      <w:r>
        <w:rPr>
          <w:rStyle w:val="15"/>
          <w:sz w:val="21"/>
          <w:szCs w:val="21"/>
        </w:rPr>
        <w:fldChar w:fldCharType="end"/>
      </w:r>
    </w:p>
    <w:p>
      <w:pPr>
        <w:pStyle w:val="34"/>
        <w:spacing w:line="480" w:lineRule="auto"/>
        <w:ind w:left="720" w:hanging="720"/>
        <w:contextualSpacing/>
        <w:jc w:val="both"/>
        <w:rPr>
          <w:sz w:val="21"/>
          <w:szCs w:val="21"/>
        </w:rPr>
      </w:pPr>
      <w:r>
        <w:rPr>
          <w:sz w:val="21"/>
          <w:szCs w:val="21"/>
        </w:rPr>
        <w:t xml:space="preserve">Nery T., Polyakov M., Sadler R., &amp; White B. (2019). Spatial patterns of boom and bust forestry investment development: A case study from Western Australia. </w:t>
      </w:r>
      <w:r>
        <w:rPr>
          <w:i/>
          <w:sz w:val="21"/>
          <w:szCs w:val="21"/>
        </w:rPr>
        <w:t>Land Use Policy, 86</w:t>
      </w:r>
      <w:r>
        <w:rPr>
          <w:sz w:val="21"/>
          <w:szCs w:val="21"/>
        </w:rPr>
        <w:t xml:space="preserve">, 67–77. </w:t>
      </w:r>
      <w:r>
        <w:fldChar w:fldCharType="begin"/>
      </w:r>
      <w:r>
        <w:instrText xml:space="preserve"> HYPERLINK "https://doi.org/10.1016/j.landusepol.2019.04.015" </w:instrText>
      </w:r>
      <w:r>
        <w:fldChar w:fldCharType="separate"/>
      </w:r>
      <w:r>
        <w:rPr>
          <w:rStyle w:val="15"/>
          <w:sz w:val="21"/>
          <w:szCs w:val="21"/>
        </w:rPr>
        <w:t>https://doi.org/10.1016/j.landusepol.2019.04.015</w:t>
      </w:r>
      <w:r>
        <w:rPr>
          <w:rStyle w:val="15"/>
          <w:sz w:val="21"/>
          <w:szCs w:val="21"/>
        </w:rPr>
        <w:fldChar w:fldCharType="end"/>
      </w:r>
      <w:r>
        <w:rPr>
          <w:sz w:val="21"/>
          <w:szCs w:val="21"/>
        </w:rPr>
        <w:t>.</w:t>
      </w:r>
    </w:p>
    <w:p>
      <w:pPr>
        <w:pStyle w:val="34"/>
        <w:spacing w:line="480" w:lineRule="auto"/>
        <w:ind w:left="720" w:hanging="720"/>
        <w:contextualSpacing/>
        <w:jc w:val="both"/>
        <w:rPr>
          <w:sz w:val="21"/>
          <w:szCs w:val="21"/>
        </w:rPr>
      </w:pPr>
      <w:r>
        <w:rPr>
          <w:sz w:val="21"/>
          <w:szCs w:val="21"/>
        </w:rPr>
        <w:t xml:space="preserve">Ng A., &amp; Zheng D. (2018). Let's agree to disagree! On payoffs and green tastes in green energy investments. </w:t>
      </w:r>
      <w:r>
        <w:rPr>
          <w:i/>
          <w:sz w:val="21"/>
          <w:szCs w:val="21"/>
        </w:rPr>
        <w:t>Energy Economics, 69</w:t>
      </w:r>
      <w:r>
        <w:rPr>
          <w:sz w:val="21"/>
          <w:szCs w:val="21"/>
        </w:rPr>
        <w:t xml:space="preserve">, 155–169. </w:t>
      </w:r>
      <w:r>
        <w:fldChar w:fldCharType="begin"/>
      </w:r>
      <w:r>
        <w:instrText xml:space="preserve"> HYPERLINK "https://doi.org/10.1016/j.eneco.2017.10.023" </w:instrText>
      </w:r>
      <w:r>
        <w:fldChar w:fldCharType="separate"/>
      </w:r>
      <w:r>
        <w:rPr>
          <w:rStyle w:val="15"/>
          <w:sz w:val="21"/>
          <w:szCs w:val="21"/>
        </w:rPr>
        <w:t>https://doi.org/10.1016/j.eneco.2017.10.023</w:t>
      </w:r>
      <w:r>
        <w:rPr>
          <w:rStyle w:val="15"/>
          <w:sz w:val="21"/>
          <w:szCs w:val="21"/>
        </w:rPr>
        <w:fldChar w:fldCharType="end"/>
      </w:r>
      <w:r>
        <w:rPr>
          <w:sz w:val="21"/>
          <w:szCs w:val="21"/>
        </w:rPr>
        <w:t>.</w:t>
      </w:r>
    </w:p>
    <w:p>
      <w:pPr>
        <w:pStyle w:val="34"/>
        <w:spacing w:line="480" w:lineRule="auto"/>
        <w:ind w:left="720" w:hanging="720"/>
        <w:contextualSpacing/>
        <w:rPr>
          <w:sz w:val="21"/>
          <w:szCs w:val="21"/>
        </w:rPr>
      </w:pPr>
      <w:r>
        <w:rPr>
          <w:sz w:val="21"/>
          <w:szCs w:val="21"/>
        </w:rPr>
        <w:t xml:space="preserve">Ottelin J., Heinonen J., &amp; Junnila S. (2018). Carbon and material footprints of a welfare state: Why and how governments should enhance green investments. </w:t>
      </w:r>
      <w:r>
        <w:rPr>
          <w:i/>
          <w:sz w:val="21"/>
          <w:szCs w:val="21"/>
        </w:rPr>
        <w:t>Environmental Science and Policy, 86</w:t>
      </w:r>
      <w:r>
        <w:rPr>
          <w:sz w:val="21"/>
          <w:szCs w:val="21"/>
        </w:rPr>
        <w:t xml:space="preserve">, 1-10. </w:t>
      </w:r>
      <w:r>
        <w:fldChar w:fldCharType="begin"/>
      </w:r>
      <w:r>
        <w:instrText xml:space="preserve"> HYPERLINK "https://doi.org/10.1016/j.envsci.2018.04.011" </w:instrText>
      </w:r>
      <w:r>
        <w:fldChar w:fldCharType="separate"/>
      </w:r>
      <w:r>
        <w:rPr>
          <w:rStyle w:val="15"/>
          <w:sz w:val="21"/>
          <w:szCs w:val="21"/>
        </w:rPr>
        <w:t>https://doi.org/10.1016/j.envsci.2018.04.011</w:t>
      </w:r>
      <w:r>
        <w:rPr>
          <w:rStyle w:val="15"/>
          <w:sz w:val="21"/>
          <w:szCs w:val="21"/>
        </w:rPr>
        <w:fldChar w:fldCharType="end"/>
      </w:r>
    </w:p>
    <w:p>
      <w:pPr>
        <w:pStyle w:val="34"/>
        <w:spacing w:line="480" w:lineRule="auto"/>
        <w:ind w:left="720" w:hanging="720"/>
        <w:contextualSpacing/>
        <w:rPr>
          <w:sz w:val="21"/>
          <w:szCs w:val="21"/>
        </w:rPr>
      </w:pPr>
      <w:r>
        <w:rPr>
          <w:sz w:val="21"/>
          <w:szCs w:val="21"/>
        </w:rPr>
        <w:t xml:space="preserve">Parsa V. A., Salehi E., Yavari A. R., &amp; Bodegom P. M. (2019). Analyzing temporal changes in urban forest structure and the effect on air quality improvement. </w:t>
      </w:r>
      <w:r>
        <w:rPr>
          <w:i/>
          <w:sz w:val="21"/>
          <w:szCs w:val="21"/>
        </w:rPr>
        <w:t>Sustainable Cities and Society, 48</w:t>
      </w:r>
      <w:r>
        <w:rPr>
          <w:sz w:val="21"/>
          <w:szCs w:val="21"/>
        </w:rPr>
        <w:t>, 101548. https://doi.org/10.1016/j.scs.2019.101548</w:t>
      </w:r>
    </w:p>
    <w:p>
      <w:pPr>
        <w:pStyle w:val="34"/>
        <w:spacing w:line="480" w:lineRule="auto"/>
        <w:ind w:left="720" w:hanging="720"/>
        <w:contextualSpacing/>
        <w:rPr>
          <w:sz w:val="21"/>
          <w:szCs w:val="21"/>
        </w:rPr>
      </w:pPr>
      <w:r>
        <w:rPr>
          <w:sz w:val="21"/>
          <w:szCs w:val="21"/>
        </w:rPr>
        <w:t xml:space="preserve">Qiu Z., Feng Z., Song Y., Li M., &amp; Zhang P. (2020). Carbon sequestration potential of forest vegetation in China from 2003 to 2050: Predicting forest vegetation growth based on climate and the environment. </w:t>
      </w:r>
      <w:r>
        <w:rPr>
          <w:i/>
          <w:sz w:val="21"/>
          <w:szCs w:val="21"/>
        </w:rPr>
        <w:t>Journal of Cleaner Production, 252</w:t>
      </w:r>
      <w:r>
        <w:rPr>
          <w:sz w:val="21"/>
          <w:szCs w:val="21"/>
        </w:rPr>
        <w:t xml:space="preserve">(10), 119715. </w:t>
      </w:r>
      <w:r>
        <w:fldChar w:fldCharType="begin"/>
      </w:r>
      <w:r>
        <w:instrText xml:space="preserve"> HYPERLINK "https://doi.org/10.1016/j.jclepro.2019.119715" </w:instrText>
      </w:r>
      <w:r>
        <w:fldChar w:fldCharType="separate"/>
      </w:r>
      <w:r>
        <w:rPr>
          <w:rStyle w:val="15"/>
          <w:sz w:val="21"/>
          <w:szCs w:val="21"/>
        </w:rPr>
        <w:t>https://doi.org/10.1016/j.jclepro.2019.119715</w:t>
      </w:r>
      <w:r>
        <w:rPr>
          <w:rStyle w:val="15"/>
          <w:sz w:val="21"/>
          <w:szCs w:val="21"/>
        </w:rPr>
        <w:fldChar w:fldCharType="end"/>
      </w:r>
    </w:p>
    <w:p>
      <w:pPr>
        <w:pStyle w:val="34"/>
        <w:spacing w:line="480" w:lineRule="auto"/>
        <w:ind w:left="720" w:hanging="720"/>
        <w:contextualSpacing/>
        <w:jc w:val="both"/>
        <w:rPr>
          <w:sz w:val="21"/>
          <w:szCs w:val="21"/>
        </w:rPr>
      </w:pPr>
      <w:r>
        <w:rPr>
          <w:sz w:val="21"/>
          <w:szCs w:val="21"/>
        </w:rPr>
        <w:t xml:space="preserve">Rode J., Pinzon A., Stabile M. C. C., Pirker J., Bauch S., Iribarrem, A., Sammon P., Llerena C. A., Alves L. M., Orihuela C. E., Wittmer, H. (2019). Why ‘blended finance’ could help transitions to sustainable landscapes: Lessons from the unlocking forest finance project. </w:t>
      </w:r>
      <w:r>
        <w:rPr>
          <w:i/>
          <w:sz w:val="21"/>
          <w:szCs w:val="21"/>
        </w:rPr>
        <w:t>Ecosystem Services, 37</w:t>
      </w:r>
      <w:r>
        <w:rPr>
          <w:sz w:val="21"/>
          <w:szCs w:val="21"/>
        </w:rPr>
        <w:t xml:space="preserve">, 100917. </w:t>
      </w:r>
      <w:r>
        <w:fldChar w:fldCharType="begin"/>
      </w:r>
      <w:r>
        <w:instrText xml:space="preserve"> HYPERLINK "https://doi.org/10.1016/j.ecoser.2019.100917" </w:instrText>
      </w:r>
      <w:r>
        <w:fldChar w:fldCharType="separate"/>
      </w:r>
      <w:r>
        <w:rPr>
          <w:rStyle w:val="15"/>
          <w:sz w:val="21"/>
          <w:szCs w:val="21"/>
        </w:rPr>
        <w:t>https://doi.org/10.1016/j.ecoser.2019.100917</w:t>
      </w:r>
      <w:r>
        <w:rPr>
          <w:rStyle w:val="15"/>
          <w:sz w:val="21"/>
          <w:szCs w:val="21"/>
        </w:rPr>
        <w:fldChar w:fldCharType="end"/>
      </w:r>
      <w:r>
        <w:rPr>
          <w:sz w:val="21"/>
          <w:szCs w:val="21"/>
        </w:rPr>
        <w:t>.</w:t>
      </w:r>
    </w:p>
    <w:p>
      <w:pPr>
        <w:pStyle w:val="34"/>
        <w:spacing w:line="480" w:lineRule="auto"/>
        <w:ind w:left="720" w:hanging="720"/>
        <w:contextualSpacing/>
        <w:rPr>
          <w:sz w:val="21"/>
          <w:szCs w:val="21"/>
        </w:rPr>
      </w:pPr>
      <w:bookmarkStart w:id="49" w:name="OLE_LINK9"/>
      <w:bookmarkStart w:id="50" w:name="OLE_LINK10"/>
      <w:r>
        <w:rPr>
          <w:sz w:val="21"/>
          <w:szCs w:val="21"/>
        </w:rPr>
        <w:t>Ray S. C., Desli</w:t>
      </w:r>
      <w:bookmarkEnd w:id="49"/>
      <w:bookmarkEnd w:id="50"/>
      <w:r>
        <w:rPr>
          <w:sz w:val="21"/>
          <w:szCs w:val="21"/>
        </w:rPr>
        <w:t xml:space="preserve"> E. (1997). Productivity growth, technical progress, and efficiency change in industrialized countries: Comment. </w:t>
      </w:r>
      <w:r>
        <w:rPr>
          <w:i/>
          <w:sz w:val="21"/>
          <w:szCs w:val="21"/>
        </w:rPr>
        <w:t>American Economic Association, 87</w:t>
      </w:r>
      <w:r>
        <w:rPr>
          <w:sz w:val="21"/>
          <w:szCs w:val="21"/>
        </w:rPr>
        <w:t xml:space="preserve">(5), 1033-1039. </w:t>
      </w:r>
      <w:r>
        <w:fldChar w:fldCharType="begin"/>
      </w:r>
      <w:r>
        <w:instrText xml:space="preserve"> HYPERLINK "https://www.jstor.org/stable/2951340" </w:instrText>
      </w:r>
      <w:r>
        <w:fldChar w:fldCharType="separate"/>
      </w:r>
      <w:r>
        <w:rPr>
          <w:rStyle w:val="15"/>
          <w:sz w:val="21"/>
          <w:szCs w:val="21"/>
        </w:rPr>
        <w:t>https://www.jstor.org/stable/2951340</w:t>
      </w:r>
      <w:r>
        <w:rPr>
          <w:rStyle w:val="15"/>
          <w:sz w:val="21"/>
          <w:szCs w:val="21"/>
        </w:rPr>
        <w:fldChar w:fldCharType="end"/>
      </w:r>
    </w:p>
    <w:p>
      <w:pPr>
        <w:pStyle w:val="34"/>
        <w:spacing w:line="480" w:lineRule="auto"/>
        <w:ind w:left="720" w:hanging="720"/>
        <w:contextualSpacing/>
        <w:jc w:val="both"/>
        <w:rPr>
          <w:sz w:val="21"/>
          <w:szCs w:val="21"/>
        </w:rPr>
      </w:pPr>
      <w:r>
        <w:rPr>
          <w:sz w:val="21"/>
          <w:szCs w:val="21"/>
        </w:rPr>
        <w:t xml:space="preserve">Somogyi Z., Cienciala E., Mäkipää R., Muukkonen P., Lehtonen A., &amp; Weiss P. (2007). Indirect methods of large-scale forest biomass estimation. </w:t>
      </w:r>
      <w:r>
        <w:rPr>
          <w:i/>
          <w:sz w:val="21"/>
          <w:szCs w:val="21"/>
        </w:rPr>
        <w:t>European Journal of Forest Research, 126</w:t>
      </w:r>
      <w:r>
        <w:rPr>
          <w:sz w:val="21"/>
          <w:szCs w:val="21"/>
        </w:rPr>
        <w:t xml:space="preserve">(2), 197–207. </w:t>
      </w:r>
      <w:r>
        <w:fldChar w:fldCharType="begin"/>
      </w:r>
      <w:r>
        <w:instrText xml:space="preserve"> HYPERLINK "https://doi.org/10.1007/s10342-006-0125-7" </w:instrText>
      </w:r>
      <w:r>
        <w:fldChar w:fldCharType="separate"/>
      </w:r>
      <w:r>
        <w:rPr>
          <w:rStyle w:val="15"/>
          <w:sz w:val="21"/>
          <w:szCs w:val="21"/>
        </w:rPr>
        <w:t>https://doi.org/10.1007/s10342-006-0125-7</w:t>
      </w:r>
      <w:r>
        <w:rPr>
          <w:rStyle w:val="15"/>
          <w:sz w:val="21"/>
          <w:szCs w:val="21"/>
        </w:rPr>
        <w:fldChar w:fldCharType="end"/>
      </w:r>
      <w:r>
        <w:rPr>
          <w:sz w:val="21"/>
          <w:szCs w:val="21"/>
        </w:rPr>
        <w:t>.</w:t>
      </w:r>
    </w:p>
    <w:p>
      <w:pPr>
        <w:pStyle w:val="34"/>
        <w:spacing w:line="480" w:lineRule="auto"/>
        <w:ind w:left="720" w:hanging="720"/>
        <w:contextualSpacing/>
        <w:rPr>
          <w:rStyle w:val="15"/>
          <w:sz w:val="21"/>
          <w:szCs w:val="21"/>
        </w:rPr>
      </w:pPr>
      <w:r>
        <w:rPr>
          <w:sz w:val="21"/>
          <w:szCs w:val="21"/>
        </w:rPr>
        <w:t xml:space="preserve">Sobrinho V. G., Lagutov V., &amp; Baran S. (2020). Green with savvy? Brazil's climate pledge to the Paris Agreement and its transition to the green economy. </w:t>
      </w:r>
      <w:r>
        <w:rPr>
          <w:i/>
          <w:sz w:val="21"/>
          <w:szCs w:val="21"/>
        </w:rPr>
        <w:t>Energy and Climate Change, 1</w:t>
      </w:r>
      <w:r>
        <w:rPr>
          <w:sz w:val="21"/>
          <w:szCs w:val="21"/>
        </w:rPr>
        <w:t xml:space="preserve">, 100015. </w:t>
      </w:r>
      <w:r>
        <w:fldChar w:fldCharType="begin"/>
      </w:r>
      <w:r>
        <w:instrText xml:space="preserve"> HYPERLINK "https://doi.org/10.1016/j.egycc.2020.100015" </w:instrText>
      </w:r>
      <w:r>
        <w:fldChar w:fldCharType="separate"/>
      </w:r>
      <w:r>
        <w:rPr>
          <w:rStyle w:val="15"/>
          <w:sz w:val="21"/>
          <w:szCs w:val="21"/>
        </w:rPr>
        <w:t>https://doi.org/10.1016/j.egycc.2020.100015</w:t>
      </w:r>
      <w:r>
        <w:rPr>
          <w:rStyle w:val="15"/>
          <w:sz w:val="21"/>
          <w:szCs w:val="21"/>
        </w:rPr>
        <w:fldChar w:fldCharType="end"/>
      </w:r>
    </w:p>
    <w:p>
      <w:pPr>
        <w:pStyle w:val="34"/>
        <w:spacing w:line="480" w:lineRule="auto"/>
        <w:ind w:left="720" w:hanging="720"/>
        <w:contextualSpacing/>
        <w:rPr>
          <w:sz w:val="21"/>
          <w:szCs w:val="21"/>
        </w:rPr>
      </w:pPr>
      <w:r>
        <w:rPr>
          <w:sz w:val="21"/>
          <w:szCs w:val="21"/>
        </w:rPr>
        <w:t xml:space="preserve">Schulze E. D., Wirth C., &amp; Heimann M. (2000). Managing Forests after Kyoto. American </w:t>
      </w:r>
      <w:r>
        <w:rPr>
          <w:i/>
          <w:sz w:val="21"/>
          <w:szCs w:val="21"/>
        </w:rPr>
        <w:t>Association for the Advancement of Science, 289</w:t>
      </w:r>
      <w:r>
        <w:rPr>
          <w:sz w:val="21"/>
          <w:szCs w:val="21"/>
        </w:rPr>
        <w:t xml:space="preserve">(5), 5487. </w:t>
      </w:r>
      <w:r>
        <w:fldChar w:fldCharType="begin"/>
      </w:r>
      <w:r>
        <w:instrText xml:space="preserve"> HYPERLINK "https://www.jstor.org/stable/3078068" </w:instrText>
      </w:r>
      <w:r>
        <w:fldChar w:fldCharType="separate"/>
      </w:r>
      <w:r>
        <w:rPr>
          <w:rStyle w:val="15"/>
          <w:sz w:val="21"/>
          <w:szCs w:val="21"/>
        </w:rPr>
        <w:t>https://www.jstor.org/stable/3078068</w:t>
      </w:r>
      <w:r>
        <w:rPr>
          <w:rStyle w:val="15"/>
          <w:sz w:val="21"/>
          <w:szCs w:val="21"/>
        </w:rPr>
        <w:fldChar w:fldCharType="end"/>
      </w:r>
    </w:p>
    <w:p>
      <w:pPr>
        <w:pStyle w:val="34"/>
        <w:spacing w:line="480" w:lineRule="auto"/>
        <w:ind w:left="720" w:hanging="720"/>
        <w:contextualSpacing/>
        <w:rPr>
          <w:sz w:val="21"/>
          <w:szCs w:val="21"/>
        </w:rPr>
      </w:pPr>
      <w:r>
        <w:rPr>
          <w:sz w:val="21"/>
          <w:szCs w:val="21"/>
        </w:rPr>
        <w:t xml:space="preserve">Sohag K., Chukavina K., &amp; Samargandi N. (2021). Renewable energy and total factor productivity in OECD member countries. </w:t>
      </w:r>
      <w:r>
        <w:rPr>
          <w:i/>
          <w:sz w:val="21"/>
          <w:szCs w:val="21"/>
        </w:rPr>
        <w:t>Journal of Clean Production, 296</w:t>
      </w:r>
      <w:r>
        <w:rPr>
          <w:sz w:val="21"/>
          <w:szCs w:val="21"/>
        </w:rPr>
        <w:t xml:space="preserve">, 126499. </w:t>
      </w:r>
      <w:r>
        <w:fldChar w:fldCharType="begin"/>
      </w:r>
      <w:r>
        <w:instrText xml:space="preserve"> HYPERLINK "https://doi.org/10.1016/j.jclepro.2021.126499" </w:instrText>
      </w:r>
      <w:r>
        <w:fldChar w:fldCharType="separate"/>
      </w:r>
      <w:r>
        <w:rPr>
          <w:rStyle w:val="15"/>
          <w:sz w:val="21"/>
          <w:szCs w:val="21"/>
        </w:rPr>
        <w:t>https://doi.org/10.1016/j.jclepro.2021.126499</w:t>
      </w:r>
      <w:r>
        <w:rPr>
          <w:rStyle w:val="15"/>
          <w:sz w:val="21"/>
          <w:szCs w:val="21"/>
        </w:rPr>
        <w:fldChar w:fldCharType="end"/>
      </w:r>
    </w:p>
    <w:p>
      <w:pPr>
        <w:pStyle w:val="34"/>
        <w:spacing w:line="480" w:lineRule="auto"/>
        <w:ind w:left="720" w:hanging="720"/>
        <w:contextualSpacing/>
        <w:jc w:val="both"/>
        <w:rPr>
          <w:sz w:val="21"/>
          <w:szCs w:val="21"/>
        </w:rPr>
      </w:pPr>
      <w:r>
        <w:rPr>
          <w:sz w:val="21"/>
          <w:szCs w:val="21"/>
        </w:rPr>
        <w:t xml:space="preserve">Tone K. (2001). A slacks-based measure of efficiency in data envelopment analysis. </w:t>
      </w:r>
      <w:r>
        <w:rPr>
          <w:i/>
          <w:sz w:val="21"/>
          <w:szCs w:val="21"/>
        </w:rPr>
        <w:t>European Journal of Operational Research, 130</w:t>
      </w:r>
      <w:r>
        <w:rPr>
          <w:sz w:val="21"/>
          <w:szCs w:val="21"/>
        </w:rPr>
        <w:t xml:space="preserve">(3), 498–509. </w:t>
      </w:r>
      <w:r>
        <w:fldChar w:fldCharType="begin"/>
      </w:r>
      <w:r>
        <w:instrText xml:space="preserve"> HYPERLINK "https://doi.org/10.1016/s0377-2217(99)00407-5" </w:instrText>
      </w:r>
      <w:r>
        <w:fldChar w:fldCharType="separate"/>
      </w:r>
      <w:r>
        <w:rPr>
          <w:rStyle w:val="15"/>
          <w:sz w:val="21"/>
          <w:szCs w:val="21"/>
        </w:rPr>
        <w:t>https://doi.org/10.1016/s0377-2217(99)00407-5</w:t>
      </w:r>
      <w:r>
        <w:rPr>
          <w:rStyle w:val="15"/>
          <w:sz w:val="21"/>
          <w:szCs w:val="21"/>
        </w:rPr>
        <w:fldChar w:fldCharType="end"/>
      </w:r>
      <w:r>
        <w:rPr>
          <w:sz w:val="21"/>
          <w:szCs w:val="21"/>
        </w:rPr>
        <w:t>.</w:t>
      </w:r>
    </w:p>
    <w:p>
      <w:pPr>
        <w:pStyle w:val="34"/>
        <w:spacing w:line="480" w:lineRule="auto"/>
        <w:ind w:left="720" w:hanging="720"/>
        <w:contextualSpacing/>
        <w:jc w:val="both"/>
        <w:rPr>
          <w:sz w:val="21"/>
          <w:szCs w:val="21"/>
        </w:rPr>
      </w:pPr>
      <w:r>
        <w:rPr>
          <w:sz w:val="21"/>
          <w:szCs w:val="21"/>
        </w:rPr>
        <w:t xml:space="preserve">Tone K. (2002). A slacks-based measure of super-efficiency in data envelopment analysis. </w:t>
      </w:r>
      <w:r>
        <w:rPr>
          <w:i/>
          <w:sz w:val="21"/>
          <w:szCs w:val="21"/>
        </w:rPr>
        <w:t>European Journal of Operational Research, 143</w:t>
      </w:r>
      <w:r>
        <w:rPr>
          <w:sz w:val="21"/>
          <w:szCs w:val="21"/>
        </w:rPr>
        <w:t xml:space="preserve">(1), 32–41. </w:t>
      </w:r>
      <w:r>
        <w:fldChar w:fldCharType="begin"/>
      </w:r>
      <w:r>
        <w:instrText xml:space="preserve"> HYPERLINK "https://doi.org/10.1016/s0377-2217(01)00324-1" </w:instrText>
      </w:r>
      <w:r>
        <w:fldChar w:fldCharType="separate"/>
      </w:r>
      <w:r>
        <w:rPr>
          <w:rStyle w:val="15"/>
          <w:sz w:val="21"/>
          <w:szCs w:val="21"/>
        </w:rPr>
        <w:t>https://doi.org/10.1016/s0377-2217(01)00324-1</w:t>
      </w:r>
      <w:r>
        <w:rPr>
          <w:rStyle w:val="15"/>
          <w:sz w:val="21"/>
          <w:szCs w:val="21"/>
        </w:rPr>
        <w:fldChar w:fldCharType="end"/>
      </w:r>
      <w:r>
        <w:rPr>
          <w:sz w:val="21"/>
          <w:szCs w:val="21"/>
        </w:rPr>
        <w:t>.</w:t>
      </w:r>
    </w:p>
    <w:p>
      <w:pPr>
        <w:pStyle w:val="34"/>
        <w:spacing w:line="480" w:lineRule="auto"/>
        <w:ind w:left="720" w:hanging="720"/>
        <w:contextualSpacing/>
        <w:jc w:val="both"/>
        <w:rPr>
          <w:sz w:val="21"/>
          <w:szCs w:val="21"/>
        </w:rPr>
      </w:pPr>
      <w:r>
        <w:rPr>
          <w:sz w:val="21"/>
          <w:szCs w:val="21"/>
        </w:rPr>
        <w:t xml:space="preserve">Wang X., Feng Z., &amp; Ouyang Z. (2001). The impact of human disturbance on vegetative carbon storage in forest ecosystems in China. </w:t>
      </w:r>
      <w:r>
        <w:rPr>
          <w:i/>
          <w:sz w:val="21"/>
          <w:szCs w:val="21"/>
        </w:rPr>
        <w:t>Forest Ecology and Management, 148</w:t>
      </w:r>
      <w:r>
        <w:rPr>
          <w:sz w:val="21"/>
          <w:szCs w:val="21"/>
        </w:rPr>
        <w:t xml:space="preserve">(1-3), 117–123. </w:t>
      </w:r>
      <w:r>
        <w:fldChar w:fldCharType="begin"/>
      </w:r>
      <w:r>
        <w:instrText xml:space="preserve"> HYPERLINK "https://doi.org/10.1016/s0378-1127(00)00482-5" </w:instrText>
      </w:r>
      <w:r>
        <w:fldChar w:fldCharType="separate"/>
      </w:r>
      <w:r>
        <w:rPr>
          <w:rStyle w:val="15"/>
          <w:sz w:val="21"/>
          <w:szCs w:val="21"/>
        </w:rPr>
        <w:t>https://doi.org/10.1016/s0378-1127(00)00482-5</w:t>
      </w:r>
      <w:r>
        <w:rPr>
          <w:rStyle w:val="15"/>
          <w:sz w:val="21"/>
          <w:szCs w:val="21"/>
        </w:rPr>
        <w:fldChar w:fldCharType="end"/>
      </w:r>
      <w:r>
        <w:rPr>
          <w:sz w:val="21"/>
          <w:szCs w:val="21"/>
        </w:rPr>
        <w:t>.</w:t>
      </w:r>
    </w:p>
    <w:p>
      <w:pPr>
        <w:pStyle w:val="34"/>
        <w:spacing w:line="480" w:lineRule="auto"/>
        <w:ind w:left="720" w:hanging="720"/>
        <w:contextualSpacing/>
        <w:jc w:val="both"/>
        <w:rPr>
          <w:sz w:val="21"/>
          <w:szCs w:val="21"/>
        </w:rPr>
      </w:pPr>
      <w:r>
        <w:rPr>
          <w:sz w:val="21"/>
          <w:szCs w:val="21"/>
        </w:rPr>
        <w:t xml:space="preserve">Winjum J. K., Brown S., &amp; Schlamadinger B. (1998). Forest harvests and wood products: Sources and sinks of atmospheric carbon dioxide. </w:t>
      </w:r>
      <w:r>
        <w:rPr>
          <w:i/>
          <w:sz w:val="21"/>
          <w:szCs w:val="21"/>
        </w:rPr>
        <w:t>Forest Science, 44</w:t>
      </w:r>
      <w:r>
        <w:rPr>
          <w:sz w:val="21"/>
          <w:szCs w:val="21"/>
        </w:rPr>
        <w:t xml:space="preserve">(2), 272–284. </w:t>
      </w:r>
      <w:r>
        <w:fldChar w:fldCharType="begin"/>
      </w:r>
      <w:r>
        <w:instrText xml:space="preserve"> HYPERLINK "https://doi.org/10.1093/forestscience/44.2.272" </w:instrText>
      </w:r>
      <w:r>
        <w:fldChar w:fldCharType="separate"/>
      </w:r>
      <w:r>
        <w:rPr>
          <w:rStyle w:val="15"/>
          <w:sz w:val="21"/>
          <w:szCs w:val="21"/>
        </w:rPr>
        <w:t>https://doi.org/10.1093/forestscience/44.2.272</w:t>
      </w:r>
      <w:r>
        <w:rPr>
          <w:rStyle w:val="15"/>
          <w:sz w:val="21"/>
          <w:szCs w:val="21"/>
        </w:rPr>
        <w:fldChar w:fldCharType="end"/>
      </w:r>
      <w:r>
        <w:rPr>
          <w:sz w:val="21"/>
          <w:szCs w:val="21"/>
        </w:rPr>
        <w:t>.</w:t>
      </w:r>
    </w:p>
    <w:p>
      <w:pPr>
        <w:pStyle w:val="34"/>
        <w:spacing w:line="480" w:lineRule="auto"/>
        <w:ind w:left="720" w:hanging="720"/>
        <w:contextualSpacing/>
        <w:rPr>
          <w:sz w:val="21"/>
          <w:szCs w:val="21"/>
        </w:rPr>
      </w:pPr>
      <w:r>
        <w:rPr>
          <w:sz w:val="21"/>
          <w:szCs w:val="21"/>
        </w:rPr>
        <w:t xml:space="preserve">Wen J., Wang H., Chen F., &amp; Yu R. (2018). Research on environmental efficiency and TFP of Beijing areas under the constraint of energy-saving and emission reduction. </w:t>
      </w:r>
      <w:r>
        <w:rPr>
          <w:i/>
          <w:sz w:val="21"/>
          <w:szCs w:val="21"/>
        </w:rPr>
        <w:t>Ecological Indicators, 84</w:t>
      </w:r>
      <w:r>
        <w:rPr>
          <w:sz w:val="21"/>
          <w:szCs w:val="21"/>
        </w:rPr>
        <w:t xml:space="preserve">, 235-243. </w:t>
      </w:r>
      <w:r>
        <w:fldChar w:fldCharType="begin"/>
      </w:r>
      <w:r>
        <w:instrText xml:space="preserve"> HYPERLINK "https://doi.org/10.1016/j.ecolind.2017.08.069" </w:instrText>
      </w:r>
      <w:r>
        <w:fldChar w:fldCharType="separate"/>
      </w:r>
      <w:r>
        <w:rPr>
          <w:rStyle w:val="15"/>
          <w:sz w:val="21"/>
          <w:szCs w:val="21"/>
        </w:rPr>
        <w:t>https://doi.org/10.1016/j.ecolind.2017.08.069</w:t>
      </w:r>
      <w:r>
        <w:rPr>
          <w:rStyle w:val="15"/>
          <w:sz w:val="21"/>
          <w:szCs w:val="21"/>
        </w:rPr>
        <w:fldChar w:fldCharType="end"/>
      </w:r>
    </w:p>
    <w:p>
      <w:pPr>
        <w:pStyle w:val="34"/>
        <w:spacing w:line="480" w:lineRule="auto"/>
        <w:ind w:left="720" w:hanging="720"/>
        <w:contextualSpacing/>
        <w:rPr>
          <w:rStyle w:val="15"/>
          <w:sz w:val="21"/>
          <w:szCs w:val="21"/>
        </w:rPr>
      </w:pPr>
      <w:r>
        <w:rPr>
          <w:sz w:val="21"/>
          <w:szCs w:val="21"/>
        </w:rPr>
        <w:t>Wu L., Zhang Z. (2020).</w:t>
      </w:r>
      <w:bookmarkStart w:id="51" w:name="OLE_LINK4"/>
      <w:bookmarkStart w:id="52" w:name="OLE_LINK5"/>
      <w:r>
        <w:rPr>
          <w:sz w:val="21"/>
          <w:szCs w:val="21"/>
        </w:rPr>
        <w:t xml:space="preserve"> Impact and threshold effect of Internet technology upgrade on forestry green total factor productivity: Evidence from China</w:t>
      </w:r>
      <w:bookmarkEnd w:id="51"/>
      <w:bookmarkEnd w:id="52"/>
      <w:r>
        <w:rPr>
          <w:sz w:val="21"/>
          <w:szCs w:val="21"/>
        </w:rPr>
        <w:t xml:space="preserve">. </w:t>
      </w:r>
      <w:r>
        <w:rPr>
          <w:i/>
          <w:sz w:val="21"/>
          <w:szCs w:val="21"/>
        </w:rPr>
        <w:t>Journal of Cleaner Production, 271</w:t>
      </w:r>
      <w:r>
        <w:rPr>
          <w:sz w:val="21"/>
          <w:szCs w:val="21"/>
        </w:rPr>
        <w:t xml:space="preserve">, 122657. </w:t>
      </w:r>
      <w:r>
        <w:fldChar w:fldCharType="begin"/>
      </w:r>
      <w:r>
        <w:instrText xml:space="preserve"> HYPERLINK "https://doi.org/10.1016/j.jclepro.2020.122657" </w:instrText>
      </w:r>
      <w:r>
        <w:fldChar w:fldCharType="separate"/>
      </w:r>
      <w:r>
        <w:rPr>
          <w:rStyle w:val="15"/>
          <w:sz w:val="21"/>
          <w:szCs w:val="21"/>
        </w:rPr>
        <w:t>https://doi.org/10.1016/j.jclepro.2020.122657</w:t>
      </w:r>
      <w:r>
        <w:rPr>
          <w:rStyle w:val="15"/>
          <w:sz w:val="21"/>
          <w:szCs w:val="21"/>
        </w:rPr>
        <w:fldChar w:fldCharType="end"/>
      </w:r>
    </w:p>
    <w:p>
      <w:pPr>
        <w:pStyle w:val="34"/>
        <w:spacing w:line="480" w:lineRule="auto"/>
        <w:ind w:left="720" w:hanging="720"/>
        <w:contextualSpacing/>
        <w:rPr>
          <w:sz w:val="21"/>
          <w:szCs w:val="21"/>
        </w:rPr>
      </w:pPr>
      <w:r>
        <w:rPr>
          <w:sz w:val="21"/>
          <w:szCs w:val="21"/>
        </w:rPr>
        <w:t xml:space="preserve">Xiao J., Li G., Zhu B., Xie L., Hu Y., &amp; Huang J. (2021). Evaluating the impact of carbon emissions trading scheme on Chinese firms' total factor productivity. </w:t>
      </w:r>
      <w:r>
        <w:rPr>
          <w:i/>
          <w:sz w:val="21"/>
          <w:szCs w:val="21"/>
        </w:rPr>
        <w:t>Journal of Cleaner Production, 306</w:t>
      </w:r>
      <w:r>
        <w:rPr>
          <w:sz w:val="21"/>
          <w:szCs w:val="21"/>
        </w:rPr>
        <w:t xml:space="preserve">, 127104. </w:t>
      </w:r>
      <w:r>
        <w:fldChar w:fldCharType="begin"/>
      </w:r>
      <w:r>
        <w:instrText xml:space="preserve"> HYPERLINK "https://doi.org/10.1016/j.jclepro.2021.127104" </w:instrText>
      </w:r>
      <w:r>
        <w:fldChar w:fldCharType="separate"/>
      </w:r>
      <w:r>
        <w:rPr>
          <w:rStyle w:val="15"/>
          <w:sz w:val="21"/>
          <w:szCs w:val="21"/>
        </w:rPr>
        <w:t>https://doi.org/10.1016/j.jclepro.2021.127104</w:t>
      </w:r>
      <w:r>
        <w:rPr>
          <w:rStyle w:val="15"/>
          <w:sz w:val="21"/>
          <w:szCs w:val="21"/>
        </w:rPr>
        <w:fldChar w:fldCharType="end"/>
      </w:r>
    </w:p>
    <w:p>
      <w:pPr>
        <w:pStyle w:val="34"/>
        <w:spacing w:line="480" w:lineRule="auto"/>
        <w:ind w:left="720" w:hanging="720"/>
        <w:contextualSpacing/>
        <w:jc w:val="both"/>
        <w:rPr>
          <w:sz w:val="21"/>
          <w:szCs w:val="21"/>
        </w:rPr>
      </w:pPr>
      <w:r>
        <w:rPr>
          <w:sz w:val="21"/>
          <w:szCs w:val="21"/>
        </w:rPr>
        <w:t xml:space="preserve">Zeng S., Jiang X., Su B., &amp; Nan X. (2018). China's SO2 shadow prices and environmental technical efficiency at the province level. </w:t>
      </w:r>
      <w:r>
        <w:rPr>
          <w:i/>
          <w:sz w:val="21"/>
          <w:szCs w:val="21"/>
        </w:rPr>
        <w:t>International Review of Economics &amp; Finance, 57</w:t>
      </w:r>
      <w:r>
        <w:rPr>
          <w:sz w:val="21"/>
          <w:szCs w:val="21"/>
        </w:rPr>
        <w:t xml:space="preserve">, 86–102. </w:t>
      </w:r>
      <w:r>
        <w:fldChar w:fldCharType="begin"/>
      </w:r>
      <w:r>
        <w:instrText xml:space="preserve"> HYPERLINK "https://doi.org/10.1016/j.iref.2018.02.014" </w:instrText>
      </w:r>
      <w:r>
        <w:fldChar w:fldCharType="separate"/>
      </w:r>
      <w:r>
        <w:rPr>
          <w:rStyle w:val="15"/>
          <w:sz w:val="21"/>
          <w:szCs w:val="21"/>
        </w:rPr>
        <w:t>https://doi.org/10.1016/j.iref.2018.02.014</w:t>
      </w:r>
      <w:r>
        <w:rPr>
          <w:rStyle w:val="15"/>
          <w:sz w:val="21"/>
          <w:szCs w:val="21"/>
        </w:rPr>
        <w:fldChar w:fldCharType="end"/>
      </w:r>
      <w:r>
        <w:rPr>
          <w:sz w:val="21"/>
          <w:szCs w:val="21"/>
        </w:rPr>
        <w:t>.</w:t>
      </w:r>
    </w:p>
    <w:p>
      <w:pPr>
        <w:pStyle w:val="34"/>
        <w:spacing w:line="480" w:lineRule="auto"/>
        <w:ind w:left="720" w:hanging="720"/>
        <w:contextualSpacing/>
        <w:jc w:val="both"/>
        <w:rPr>
          <w:sz w:val="21"/>
          <w:szCs w:val="21"/>
        </w:rPr>
      </w:pPr>
      <w:r>
        <w:rPr>
          <w:sz w:val="21"/>
          <w:szCs w:val="21"/>
        </w:rPr>
        <w:t xml:space="preserve">Zhang P., He Y., Feng Y., Torre R. D. L., Jia H., Tang J., &amp; Cubbage F. (2019). An analysis of potential investment returns of planted forests in South China. </w:t>
      </w:r>
      <w:r>
        <w:rPr>
          <w:i/>
          <w:sz w:val="21"/>
          <w:szCs w:val="21"/>
        </w:rPr>
        <w:t>New Forests, 50</w:t>
      </w:r>
      <w:r>
        <w:rPr>
          <w:sz w:val="21"/>
          <w:szCs w:val="21"/>
        </w:rPr>
        <w:t xml:space="preserve">(6), 943–968. </w:t>
      </w:r>
      <w:r>
        <w:fldChar w:fldCharType="begin"/>
      </w:r>
      <w:r>
        <w:instrText xml:space="preserve"> HYPERLINK "https://doi.org/10.1007/s11056-019-09708-x" </w:instrText>
      </w:r>
      <w:r>
        <w:fldChar w:fldCharType="separate"/>
      </w:r>
      <w:r>
        <w:rPr>
          <w:rStyle w:val="15"/>
          <w:sz w:val="21"/>
          <w:szCs w:val="21"/>
        </w:rPr>
        <w:t>https://doi.org/10.1007/s11056-019-09708-x</w:t>
      </w:r>
      <w:r>
        <w:rPr>
          <w:rStyle w:val="15"/>
          <w:sz w:val="21"/>
          <w:szCs w:val="21"/>
        </w:rPr>
        <w:fldChar w:fldCharType="end"/>
      </w:r>
      <w:r>
        <w:rPr>
          <w:sz w:val="21"/>
          <w:szCs w:val="21"/>
        </w:rPr>
        <w:t>.</w:t>
      </w:r>
      <w:bookmarkEnd w:id="46"/>
    </w:p>
    <w:p>
      <w:pPr>
        <w:pStyle w:val="34"/>
        <w:spacing w:line="480" w:lineRule="auto"/>
        <w:ind w:left="720" w:hanging="720"/>
        <w:contextualSpacing/>
        <w:rPr>
          <w:sz w:val="21"/>
          <w:szCs w:val="21"/>
        </w:rPr>
      </w:pPr>
      <w:r>
        <w:rPr>
          <w:sz w:val="21"/>
          <w:szCs w:val="21"/>
        </w:rPr>
        <w:t xml:space="preserve">Zhang Y., Yuan J., You C., Cao R., Tan B., Li H., &amp; Yang W. (2020). Contributions of National Key Forestry Ecology Projects to the forest vegetation carbon storage in China. Forest </w:t>
      </w:r>
      <w:r>
        <w:rPr>
          <w:i/>
          <w:sz w:val="21"/>
          <w:szCs w:val="21"/>
        </w:rPr>
        <w:t>Ecology and Management, 462</w:t>
      </w:r>
      <w:r>
        <w:rPr>
          <w:sz w:val="21"/>
          <w:szCs w:val="21"/>
        </w:rPr>
        <w:t xml:space="preserve">(15), 117981. </w:t>
      </w:r>
      <w:r>
        <w:fldChar w:fldCharType="begin"/>
      </w:r>
      <w:r>
        <w:instrText xml:space="preserve"> HYPERLINK "https://doi.org/10.1016/j.foreco.2020.117981" </w:instrText>
      </w:r>
      <w:r>
        <w:fldChar w:fldCharType="separate"/>
      </w:r>
      <w:r>
        <w:rPr>
          <w:rStyle w:val="15"/>
          <w:sz w:val="21"/>
          <w:szCs w:val="21"/>
        </w:rPr>
        <w:t>https://doi.org/10.1016/j.foreco.2020.117981</w:t>
      </w:r>
      <w:r>
        <w:rPr>
          <w:rStyle w:val="15"/>
          <w:sz w:val="21"/>
          <w:szCs w:val="21"/>
        </w:rPr>
        <w:fldChar w:fldCharType="end"/>
      </w:r>
    </w:p>
    <w:p>
      <w:pPr>
        <w:rPr>
          <w:rFonts w:cs="Times New Roman"/>
          <w:sz w:val="21"/>
          <w:szCs w:val="21"/>
        </w:rPr>
      </w:pPr>
    </w:p>
    <w:sectPr>
      <w:footerReference r:id="rId3" w:type="default"/>
      <w:pgSz w:w="12240" w:h="15840"/>
      <w:pgMar w:top="1440" w:right="1440" w:bottom="1440" w:left="144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DengXian">
    <w:altName w:val="宋体"/>
    <w:panose1 w:val="02010600030101010101"/>
    <w:charset w:val="86"/>
    <w:family w:val="auto"/>
    <w:pitch w:val="default"/>
    <w:sig w:usb0="00000000" w:usb1="00000000" w:usb2="00000016" w:usb3="00000000" w:csb0="0004000F" w:csb1="00000000"/>
  </w:font>
  <w:font w:name="DengXian">
    <w:altName w:val="宋体"/>
    <w:panose1 w:val="00000000000000000000"/>
    <w:charset w:val="86"/>
    <w:family w:val="auto"/>
    <w:pitch w:val="default"/>
    <w:sig w:usb0="00000000" w:usb1="00000000" w:usb2="00000000" w:usb3="00000000" w:csb0="00000000" w:csb1="00000000"/>
  </w:font>
  <w:font w:name="DengXian">
    <w:altName w:val="Segoe Print"/>
    <w:panose1 w:val="00000000000000000000"/>
    <w:charset w:val="00"/>
    <w:family w:val="auto"/>
    <w:pitch w:val="default"/>
    <w:sig w:usb0="00000000" w:usb1="00000000" w:usb2="00000000" w:usb3="00000000" w:csb0="00000000" w:csb1="00000000"/>
  </w:font>
  <w:font w:name="DengXian Light">
    <w:altName w:val="宋体"/>
    <w:panose1 w:val="00000000000000000000"/>
    <w:charset w:val="86"/>
    <w:family w:val="auto"/>
    <w:pitch w:val="default"/>
    <w:sig w:usb0="00000000" w:usb1="00000000" w:usb2="00000016" w:usb3="00000000" w:csb0="0004000F" w:csb1="00000000"/>
  </w:font>
  <w:font w:name="Tahoma">
    <w:panose1 w:val="020B0604030504040204"/>
    <w:charset w:val="00"/>
    <w:family w:val="swiss"/>
    <w:pitch w:val="default"/>
    <w:sig w:usb0="E1002EFF" w:usb1="C000605B" w:usb2="00000029" w:usb3="00000000" w:csb0="200101FF" w:csb1="20280000"/>
  </w:font>
  <w:font w:name="Palatino Linotype">
    <w:panose1 w:val="02040502050505030304"/>
    <w:charset w:val="00"/>
    <w:family w:val="roman"/>
    <w:pitch w:val="default"/>
    <w:sig w:usb0="E0000287" w:usb1="40000013" w:usb2="00000000" w:usb3="00000000" w:csb0="2000019F" w:csb1="00000000"/>
  </w:font>
  <w:font w:name="Cambria Math">
    <w:panose1 w:val="02040503050406030204"/>
    <w:charset w:val="00"/>
    <w:family w:val="roman"/>
    <w:pitch w:val="default"/>
    <w:sig w:usb0="E00002FF" w:usb1="420024FF" w:usb2="00000000" w:usb3="00000000" w:csb0="2000019F"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 w:name="DengXian Light">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4319019"/>
    </w:sdtPr>
    <w:sdtContent>
      <w:p>
        <w:pPr>
          <w:pStyle w:val="8"/>
          <w:jc w:val="center"/>
        </w:pPr>
        <w:r>
          <w:fldChar w:fldCharType="begin"/>
        </w:r>
        <w:r>
          <w:instrText xml:space="preserve"> PAGE   \* MERGEFORMAT </w:instrText>
        </w:r>
        <w:r>
          <w:fldChar w:fldCharType="separate"/>
        </w:r>
        <w:r>
          <w:t>1</w:t>
        </w:r>
        <w:r>
          <w:fldChar w:fldCharType="end"/>
        </w:r>
      </w:p>
    </w:sdtContent>
  </w:sdt>
  <w:p>
    <w:pPr>
      <w:pStyle w:val="8"/>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7"/>
  <w:bordersDoNotSurroundHeader w:val="1"/>
  <w:bordersDoNotSurroundFooter w:val="1"/>
  <w:trackRevisions w:val="1"/>
  <w:documentProtection w:enforcement="0"/>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08F"/>
    <w:rsid w:val="00003868"/>
    <w:rsid w:val="00013F5F"/>
    <w:rsid w:val="00031799"/>
    <w:rsid w:val="000540A2"/>
    <w:rsid w:val="0006246E"/>
    <w:rsid w:val="000815F9"/>
    <w:rsid w:val="0009611A"/>
    <w:rsid w:val="000A10C4"/>
    <w:rsid w:val="000A1F96"/>
    <w:rsid w:val="000D6C43"/>
    <w:rsid w:val="000E0956"/>
    <w:rsid w:val="000E4CE9"/>
    <w:rsid w:val="000F0A6F"/>
    <w:rsid w:val="000F3DB9"/>
    <w:rsid w:val="00105059"/>
    <w:rsid w:val="00110181"/>
    <w:rsid w:val="00111789"/>
    <w:rsid w:val="00127454"/>
    <w:rsid w:val="00144C2B"/>
    <w:rsid w:val="00167B36"/>
    <w:rsid w:val="00170E22"/>
    <w:rsid w:val="001A6C8B"/>
    <w:rsid w:val="001B328E"/>
    <w:rsid w:val="001B3F42"/>
    <w:rsid w:val="00200891"/>
    <w:rsid w:val="002202AC"/>
    <w:rsid w:val="00223EF5"/>
    <w:rsid w:val="00225699"/>
    <w:rsid w:val="00232A97"/>
    <w:rsid w:val="00257B42"/>
    <w:rsid w:val="00262AA6"/>
    <w:rsid w:val="00274D9A"/>
    <w:rsid w:val="00277F42"/>
    <w:rsid w:val="00293A47"/>
    <w:rsid w:val="002B7AD5"/>
    <w:rsid w:val="002C121C"/>
    <w:rsid w:val="002D0C26"/>
    <w:rsid w:val="002E0B6B"/>
    <w:rsid w:val="002E2597"/>
    <w:rsid w:val="002F645D"/>
    <w:rsid w:val="00315619"/>
    <w:rsid w:val="003231B9"/>
    <w:rsid w:val="00333DFC"/>
    <w:rsid w:val="00342C2F"/>
    <w:rsid w:val="00347955"/>
    <w:rsid w:val="00355547"/>
    <w:rsid w:val="00355808"/>
    <w:rsid w:val="00357716"/>
    <w:rsid w:val="003751F4"/>
    <w:rsid w:val="00377E3A"/>
    <w:rsid w:val="003B7845"/>
    <w:rsid w:val="003B7C77"/>
    <w:rsid w:val="003C51BC"/>
    <w:rsid w:val="003D307B"/>
    <w:rsid w:val="003D49BF"/>
    <w:rsid w:val="00414752"/>
    <w:rsid w:val="00437986"/>
    <w:rsid w:val="00463213"/>
    <w:rsid w:val="00485858"/>
    <w:rsid w:val="004A4E8C"/>
    <w:rsid w:val="004A5943"/>
    <w:rsid w:val="004A608F"/>
    <w:rsid w:val="004B2CBE"/>
    <w:rsid w:val="004D26E8"/>
    <w:rsid w:val="004E1FD6"/>
    <w:rsid w:val="004E4EDB"/>
    <w:rsid w:val="004F2846"/>
    <w:rsid w:val="00502FCF"/>
    <w:rsid w:val="00547AE3"/>
    <w:rsid w:val="005632B2"/>
    <w:rsid w:val="00574346"/>
    <w:rsid w:val="00594099"/>
    <w:rsid w:val="005A316D"/>
    <w:rsid w:val="005D2DE4"/>
    <w:rsid w:val="005D5CBB"/>
    <w:rsid w:val="005F34DD"/>
    <w:rsid w:val="00603C91"/>
    <w:rsid w:val="00605618"/>
    <w:rsid w:val="0062215B"/>
    <w:rsid w:val="00623E71"/>
    <w:rsid w:val="00626EE4"/>
    <w:rsid w:val="00645E75"/>
    <w:rsid w:val="00647311"/>
    <w:rsid w:val="00661229"/>
    <w:rsid w:val="006A4100"/>
    <w:rsid w:val="006A777F"/>
    <w:rsid w:val="006B2954"/>
    <w:rsid w:val="006D41CD"/>
    <w:rsid w:val="006E2249"/>
    <w:rsid w:val="006E4F28"/>
    <w:rsid w:val="006F085F"/>
    <w:rsid w:val="00733077"/>
    <w:rsid w:val="007656D2"/>
    <w:rsid w:val="0077270A"/>
    <w:rsid w:val="00782657"/>
    <w:rsid w:val="007A1440"/>
    <w:rsid w:val="007A171B"/>
    <w:rsid w:val="007A62E1"/>
    <w:rsid w:val="007B63D0"/>
    <w:rsid w:val="007C3FC2"/>
    <w:rsid w:val="007C50C4"/>
    <w:rsid w:val="007C53C5"/>
    <w:rsid w:val="007E7FCC"/>
    <w:rsid w:val="008020DC"/>
    <w:rsid w:val="00833BBD"/>
    <w:rsid w:val="00874AF4"/>
    <w:rsid w:val="0087772B"/>
    <w:rsid w:val="00892B5B"/>
    <w:rsid w:val="008A5C36"/>
    <w:rsid w:val="008B6287"/>
    <w:rsid w:val="008C0D73"/>
    <w:rsid w:val="008C3527"/>
    <w:rsid w:val="008D2615"/>
    <w:rsid w:val="008F45C7"/>
    <w:rsid w:val="0090616C"/>
    <w:rsid w:val="00950EF8"/>
    <w:rsid w:val="00961428"/>
    <w:rsid w:val="009701C7"/>
    <w:rsid w:val="009713C7"/>
    <w:rsid w:val="00985040"/>
    <w:rsid w:val="009863D3"/>
    <w:rsid w:val="00986B79"/>
    <w:rsid w:val="00986D04"/>
    <w:rsid w:val="009A4233"/>
    <w:rsid w:val="009D36B4"/>
    <w:rsid w:val="00A06FB6"/>
    <w:rsid w:val="00A078E8"/>
    <w:rsid w:val="00A14E6A"/>
    <w:rsid w:val="00A576C2"/>
    <w:rsid w:val="00A75273"/>
    <w:rsid w:val="00A75A20"/>
    <w:rsid w:val="00A92011"/>
    <w:rsid w:val="00A941EB"/>
    <w:rsid w:val="00AA2ED5"/>
    <w:rsid w:val="00AE08C5"/>
    <w:rsid w:val="00AF23CF"/>
    <w:rsid w:val="00B03150"/>
    <w:rsid w:val="00B11C6B"/>
    <w:rsid w:val="00B14F5E"/>
    <w:rsid w:val="00B5456A"/>
    <w:rsid w:val="00B54613"/>
    <w:rsid w:val="00B71390"/>
    <w:rsid w:val="00B805B0"/>
    <w:rsid w:val="00B82950"/>
    <w:rsid w:val="00B87907"/>
    <w:rsid w:val="00B91A1D"/>
    <w:rsid w:val="00BA14F3"/>
    <w:rsid w:val="00BA65A5"/>
    <w:rsid w:val="00BA739D"/>
    <w:rsid w:val="00BB261B"/>
    <w:rsid w:val="00BB6E00"/>
    <w:rsid w:val="00BC5082"/>
    <w:rsid w:val="00BC509F"/>
    <w:rsid w:val="00BF486F"/>
    <w:rsid w:val="00C040C2"/>
    <w:rsid w:val="00C14675"/>
    <w:rsid w:val="00C17554"/>
    <w:rsid w:val="00C27F38"/>
    <w:rsid w:val="00C35362"/>
    <w:rsid w:val="00C36775"/>
    <w:rsid w:val="00C423F6"/>
    <w:rsid w:val="00C763F4"/>
    <w:rsid w:val="00CC226A"/>
    <w:rsid w:val="00CC3A12"/>
    <w:rsid w:val="00CC4243"/>
    <w:rsid w:val="00CD7172"/>
    <w:rsid w:val="00CE0CDE"/>
    <w:rsid w:val="00CE3628"/>
    <w:rsid w:val="00CF1131"/>
    <w:rsid w:val="00CF1386"/>
    <w:rsid w:val="00CF7F8F"/>
    <w:rsid w:val="00D13875"/>
    <w:rsid w:val="00D45F3B"/>
    <w:rsid w:val="00D512A4"/>
    <w:rsid w:val="00D52EF6"/>
    <w:rsid w:val="00D56552"/>
    <w:rsid w:val="00D602F3"/>
    <w:rsid w:val="00D74B13"/>
    <w:rsid w:val="00DA2B07"/>
    <w:rsid w:val="00DB00BC"/>
    <w:rsid w:val="00DD5B96"/>
    <w:rsid w:val="00DE7E89"/>
    <w:rsid w:val="00E37890"/>
    <w:rsid w:val="00E408CC"/>
    <w:rsid w:val="00E43D02"/>
    <w:rsid w:val="00E50984"/>
    <w:rsid w:val="00E60905"/>
    <w:rsid w:val="00E72880"/>
    <w:rsid w:val="00E7599D"/>
    <w:rsid w:val="00E80A1C"/>
    <w:rsid w:val="00EB7C42"/>
    <w:rsid w:val="00EC33B5"/>
    <w:rsid w:val="00ED1EDB"/>
    <w:rsid w:val="00EE4213"/>
    <w:rsid w:val="00F027CE"/>
    <w:rsid w:val="00F0539B"/>
    <w:rsid w:val="00F35EF7"/>
    <w:rsid w:val="00F44380"/>
    <w:rsid w:val="00F5488E"/>
    <w:rsid w:val="00F62C05"/>
    <w:rsid w:val="00F710E3"/>
    <w:rsid w:val="00F8364B"/>
    <w:rsid w:val="00F94F06"/>
    <w:rsid w:val="00FA668C"/>
    <w:rsid w:val="00FC3E1E"/>
    <w:rsid w:val="00FE26A3"/>
    <w:rsid w:val="00FE40E9"/>
    <w:rsid w:val="00FF0D97"/>
    <w:rsid w:val="00FF5473"/>
    <w:rsid w:val="20500D0F"/>
    <w:rsid w:val="23161DD1"/>
    <w:rsid w:val="2FA36539"/>
    <w:rsid w:val="37E00808"/>
    <w:rsid w:val="45D06B8F"/>
    <w:rsid w:val="47CC66D0"/>
    <w:rsid w:val="6CA619EF"/>
    <w:rsid w:val="7F1413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Theme="minorEastAsia" w:cstheme="minorBidi"/>
      <w:kern w:val="2"/>
      <w:sz w:val="24"/>
      <w:szCs w:val="22"/>
      <w:lang w:val="en-US" w:eastAsia="zh-CN" w:bidi="ar-SA"/>
    </w:rPr>
  </w:style>
  <w:style w:type="paragraph" w:styleId="2">
    <w:name w:val="heading 1"/>
    <w:basedOn w:val="1"/>
    <w:next w:val="1"/>
    <w:link w:val="17"/>
    <w:qFormat/>
    <w:uiPriority w:val="9"/>
    <w:pPr>
      <w:keepNext/>
      <w:keepLines/>
      <w:spacing w:before="120" w:line="480" w:lineRule="auto"/>
      <w:outlineLvl w:val="0"/>
    </w:pPr>
    <w:rPr>
      <w:rFonts w:eastAsia="Times New Roman"/>
      <w:b/>
      <w:bCs/>
      <w:kern w:val="44"/>
      <w:sz w:val="30"/>
      <w:szCs w:val="44"/>
    </w:rPr>
  </w:style>
  <w:style w:type="paragraph" w:styleId="3">
    <w:name w:val="heading 2"/>
    <w:basedOn w:val="1"/>
    <w:next w:val="1"/>
    <w:link w:val="18"/>
    <w:unhideWhenUsed/>
    <w:qFormat/>
    <w:uiPriority w:val="9"/>
    <w:pPr>
      <w:keepNext/>
      <w:keepLines/>
      <w:outlineLvl w:val="1"/>
    </w:pPr>
    <w:rPr>
      <w:rFonts w:eastAsiaTheme="majorEastAsia" w:cstheme="majorBidi"/>
      <w:bCs/>
      <w:sz w:val="28"/>
      <w:szCs w:val="32"/>
    </w:rPr>
  </w:style>
  <w:style w:type="paragraph" w:styleId="4">
    <w:name w:val="heading 3"/>
    <w:basedOn w:val="1"/>
    <w:next w:val="1"/>
    <w:link w:val="19"/>
    <w:unhideWhenUsed/>
    <w:qFormat/>
    <w:uiPriority w:val="9"/>
    <w:pPr>
      <w:keepNext/>
      <w:keepLines/>
      <w:outlineLvl w:val="2"/>
    </w:pPr>
    <w:rPr>
      <w:rFonts w:eastAsia="Times New Roman"/>
      <w:bCs/>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36"/>
    <w:semiHidden/>
    <w:unhideWhenUsed/>
    <w:qFormat/>
    <w:uiPriority w:val="99"/>
    <w:rPr>
      <w:rFonts w:ascii="宋体" w:eastAsia="宋体"/>
      <w:sz w:val="18"/>
      <w:szCs w:val="18"/>
    </w:rPr>
  </w:style>
  <w:style w:type="paragraph" w:styleId="6">
    <w:name w:val="annotation text"/>
    <w:basedOn w:val="1"/>
    <w:link w:val="28"/>
    <w:semiHidden/>
    <w:unhideWhenUsed/>
    <w:qFormat/>
    <w:uiPriority w:val="99"/>
    <w:rPr>
      <w:rFonts w:ascii="Tahoma" w:hAnsi="Tahoma" w:cs="Tahoma"/>
      <w:sz w:val="16"/>
      <w:szCs w:val="20"/>
    </w:rPr>
  </w:style>
  <w:style w:type="paragraph" w:styleId="7">
    <w:name w:val="Balloon Text"/>
    <w:basedOn w:val="1"/>
    <w:link w:val="23"/>
    <w:semiHidden/>
    <w:unhideWhenUsed/>
    <w:qFormat/>
    <w:uiPriority w:val="99"/>
    <w:rPr>
      <w:sz w:val="18"/>
      <w:szCs w:val="18"/>
    </w:rPr>
  </w:style>
  <w:style w:type="paragraph" w:styleId="8">
    <w:name w:val="footer"/>
    <w:basedOn w:val="1"/>
    <w:link w:val="21"/>
    <w:unhideWhenUsed/>
    <w:qFormat/>
    <w:uiPriority w:val="99"/>
    <w:pPr>
      <w:tabs>
        <w:tab w:val="center" w:pos="4153"/>
        <w:tab w:val="right" w:pos="8306"/>
      </w:tabs>
      <w:snapToGrid w:val="0"/>
      <w:jc w:val="left"/>
    </w:pPr>
    <w:rPr>
      <w:sz w:val="18"/>
      <w:szCs w:val="18"/>
    </w:rPr>
  </w:style>
  <w:style w:type="paragraph" w:styleId="9">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annotation subject"/>
    <w:basedOn w:val="6"/>
    <w:next w:val="6"/>
    <w:link w:val="29"/>
    <w:semiHidden/>
    <w:unhideWhenUsed/>
    <w:qFormat/>
    <w:uiPriority w:val="99"/>
    <w:rPr>
      <w:b/>
      <w:bCs/>
    </w:rPr>
  </w:style>
  <w:style w:type="table" w:styleId="12">
    <w:name w:val="Table Grid"/>
    <w:basedOn w:val="11"/>
    <w:qFormat/>
    <w:uiPriority w:val="59"/>
    <w:rPr>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FollowedHyperlink"/>
    <w:basedOn w:val="13"/>
    <w:semiHidden/>
    <w:unhideWhenUsed/>
    <w:qFormat/>
    <w:uiPriority w:val="99"/>
    <w:rPr>
      <w:color w:val="954F72" w:themeColor="followedHyperlink"/>
      <w:u w:val="single"/>
      <w14:textFill>
        <w14:solidFill>
          <w14:schemeClr w14:val="folHlink"/>
        </w14:solidFill>
      </w14:textFill>
    </w:rPr>
  </w:style>
  <w:style w:type="character" w:styleId="15">
    <w:name w:val="Hyperlink"/>
    <w:basedOn w:val="13"/>
    <w:unhideWhenUsed/>
    <w:qFormat/>
    <w:uiPriority w:val="99"/>
    <w:rPr>
      <w:color w:val="0563C1" w:themeColor="hyperlink"/>
      <w:u w:val="single"/>
      <w14:textFill>
        <w14:solidFill>
          <w14:schemeClr w14:val="hlink"/>
        </w14:solidFill>
      </w14:textFill>
    </w:rPr>
  </w:style>
  <w:style w:type="character" w:styleId="16">
    <w:name w:val="annotation reference"/>
    <w:basedOn w:val="13"/>
    <w:semiHidden/>
    <w:unhideWhenUsed/>
    <w:qFormat/>
    <w:uiPriority w:val="99"/>
    <w:rPr>
      <w:rFonts w:ascii="Tahoma" w:hAnsi="Tahoma" w:cs="Tahoma"/>
      <w:sz w:val="16"/>
      <w:szCs w:val="16"/>
      <w:u w:val="none"/>
    </w:rPr>
  </w:style>
  <w:style w:type="character" w:customStyle="1" w:styleId="17">
    <w:name w:val="Heading 1 Char"/>
    <w:basedOn w:val="13"/>
    <w:link w:val="2"/>
    <w:qFormat/>
    <w:uiPriority w:val="9"/>
    <w:rPr>
      <w:rFonts w:ascii="Times New Roman" w:hAnsi="Times New Roman" w:eastAsia="Times New Roman"/>
      <w:b/>
      <w:bCs/>
      <w:kern w:val="44"/>
      <w:sz w:val="30"/>
      <w:szCs w:val="44"/>
    </w:rPr>
  </w:style>
  <w:style w:type="character" w:customStyle="1" w:styleId="18">
    <w:name w:val="Heading 2 Char"/>
    <w:basedOn w:val="13"/>
    <w:link w:val="3"/>
    <w:qFormat/>
    <w:uiPriority w:val="9"/>
    <w:rPr>
      <w:rFonts w:ascii="Times New Roman" w:hAnsi="Times New Roman" w:eastAsiaTheme="majorEastAsia" w:cstheme="majorBidi"/>
      <w:bCs/>
      <w:sz w:val="28"/>
      <w:szCs w:val="32"/>
    </w:rPr>
  </w:style>
  <w:style w:type="character" w:customStyle="1" w:styleId="19">
    <w:name w:val="Heading 3 Char"/>
    <w:basedOn w:val="13"/>
    <w:link w:val="4"/>
    <w:qFormat/>
    <w:uiPriority w:val="9"/>
    <w:rPr>
      <w:rFonts w:ascii="Times New Roman" w:hAnsi="Times New Roman" w:eastAsia="Times New Roman"/>
      <w:bCs/>
      <w:szCs w:val="32"/>
    </w:rPr>
  </w:style>
  <w:style w:type="character" w:customStyle="1" w:styleId="20">
    <w:name w:val="Header Char"/>
    <w:basedOn w:val="13"/>
    <w:link w:val="9"/>
    <w:qFormat/>
    <w:uiPriority w:val="99"/>
    <w:rPr>
      <w:rFonts w:ascii="Times New Roman" w:hAnsi="Times New Roman"/>
      <w:sz w:val="18"/>
      <w:szCs w:val="18"/>
    </w:rPr>
  </w:style>
  <w:style w:type="character" w:customStyle="1" w:styleId="21">
    <w:name w:val="Footer Char"/>
    <w:basedOn w:val="13"/>
    <w:link w:val="8"/>
    <w:qFormat/>
    <w:uiPriority w:val="99"/>
    <w:rPr>
      <w:rFonts w:ascii="Times New Roman" w:hAnsi="Times New Roman"/>
      <w:sz w:val="18"/>
      <w:szCs w:val="18"/>
    </w:rPr>
  </w:style>
  <w:style w:type="character" w:styleId="22">
    <w:name w:val="Placeholder Text"/>
    <w:basedOn w:val="13"/>
    <w:semiHidden/>
    <w:qFormat/>
    <w:uiPriority w:val="99"/>
    <w:rPr>
      <w:color w:val="808080"/>
    </w:rPr>
  </w:style>
  <w:style w:type="character" w:customStyle="1" w:styleId="23">
    <w:name w:val="Balloon Text Char"/>
    <w:basedOn w:val="13"/>
    <w:link w:val="7"/>
    <w:semiHidden/>
    <w:qFormat/>
    <w:uiPriority w:val="99"/>
    <w:rPr>
      <w:rFonts w:ascii="Times New Roman" w:hAnsi="Times New Roman"/>
      <w:kern w:val="2"/>
      <w:sz w:val="18"/>
      <w:szCs w:val="18"/>
      <w:lang w:eastAsia="zh-CN"/>
    </w:rPr>
  </w:style>
  <w:style w:type="paragraph" w:customStyle="1" w:styleId="24">
    <w:name w:val="MDPI_1.3_authornames"/>
    <w:basedOn w:val="1"/>
    <w:next w:val="25"/>
    <w:qFormat/>
    <w:uiPriority w:val="0"/>
    <w:pPr>
      <w:widowControl/>
      <w:adjustRightInd w:val="0"/>
      <w:snapToGrid w:val="0"/>
      <w:spacing w:after="120" w:line="260" w:lineRule="atLeast"/>
      <w:jc w:val="left"/>
    </w:pPr>
    <w:rPr>
      <w:rFonts w:ascii="Palatino Linotype" w:hAnsi="Palatino Linotype" w:eastAsia="Times New Roman" w:cs="Times New Roman"/>
      <w:b/>
      <w:color w:val="000000"/>
      <w:kern w:val="0"/>
      <w:sz w:val="20"/>
      <w:lang w:eastAsia="de-DE" w:bidi="en-US"/>
    </w:rPr>
  </w:style>
  <w:style w:type="paragraph" w:customStyle="1" w:styleId="25">
    <w:name w:val="MDPI_1.4_history"/>
    <w:basedOn w:val="1"/>
    <w:next w:val="1"/>
    <w:qFormat/>
    <w:uiPriority w:val="0"/>
    <w:pPr>
      <w:widowControl/>
      <w:adjustRightInd w:val="0"/>
      <w:snapToGrid w:val="0"/>
      <w:spacing w:before="120" w:line="200" w:lineRule="atLeast"/>
      <w:ind w:left="113"/>
      <w:jc w:val="left"/>
    </w:pPr>
    <w:rPr>
      <w:rFonts w:ascii="Palatino Linotype" w:hAnsi="Palatino Linotype" w:eastAsia="Times New Roman" w:cs="Times New Roman"/>
      <w:color w:val="000000"/>
      <w:kern w:val="0"/>
      <w:sz w:val="18"/>
      <w:szCs w:val="20"/>
      <w:lang w:eastAsia="de-DE" w:bidi="en-US"/>
    </w:rPr>
  </w:style>
  <w:style w:type="paragraph" w:customStyle="1" w:styleId="26">
    <w:name w:val="MDPI_1.6_affiliation"/>
    <w:basedOn w:val="1"/>
    <w:qFormat/>
    <w:uiPriority w:val="0"/>
    <w:pPr>
      <w:widowControl/>
      <w:adjustRightInd w:val="0"/>
      <w:snapToGrid w:val="0"/>
      <w:spacing w:line="200" w:lineRule="atLeast"/>
      <w:ind w:left="311" w:hanging="198"/>
      <w:jc w:val="left"/>
    </w:pPr>
    <w:rPr>
      <w:rFonts w:ascii="Palatino Linotype" w:hAnsi="Palatino Linotype" w:eastAsia="Times New Roman" w:cs="Times New Roman"/>
      <w:color w:val="000000"/>
      <w:kern w:val="0"/>
      <w:sz w:val="18"/>
      <w:szCs w:val="18"/>
      <w:lang w:eastAsia="de-DE" w:bidi="en-US"/>
    </w:rPr>
  </w:style>
  <w:style w:type="paragraph" w:customStyle="1" w:styleId="27">
    <w:name w:val="M_deck_2_author_correspondence"/>
    <w:qFormat/>
    <w:uiPriority w:val="0"/>
    <w:pPr>
      <w:kinsoku w:val="0"/>
      <w:overflowPunct w:val="0"/>
      <w:autoSpaceDE w:val="0"/>
      <w:autoSpaceDN w:val="0"/>
      <w:adjustRightInd w:val="0"/>
      <w:snapToGrid w:val="0"/>
      <w:spacing w:line="200" w:lineRule="atLeast"/>
      <w:ind w:left="311" w:hanging="198"/>
    </w:pPr>
    <w:rPr>
      <w:rFonts w:ascii="Palatino Linotype" w:hAnsi="Palatino Linotype" w:eastAsia="Times New Roman" w:cs="Times New Roman"/>
      <w:snapToGrid w:val="0"/>
      <w:color w:val="000000"/>
      <w:sz w:val="18"/>
      <w:lang w:val="en-US" w:eastAsia="de-DE" w:bidi="en-US"/>
    </w:rPr>
  </w:style>
  <w:style w:type="character" w:customStyle="1" w:styleId="28">
    <w:name w:val="Comment Text Char"/>
    <w:basedOn w:val="13"/>
    <w:link w:val="6"/>
    <w:semiHidden/>
    <w:qFormat/>
    <w:uiPriority w:val="99"/>
    <w:rPr>
      <w:rFonts w:ascii="Tahoma" w:hAnsi="Tahoma" w:cs="Tahoma"/>
      <w:kern w:val="2"/>
      <w:sz w:val="16"/>
      <w:lang w:eastAsia="zh-CN"/>
    </w:rPr>
  </w:style>
  <w:style w:type="character" w:customStyle="1" w:styleId="29">
    <w:name w:val="Comment Subject Char"/>
    <w:basedOn w:val="28"/>
    <w:link w:val="10"/>
    <w:semiHidden/>
    <w:qFormat/>
    <w:uiPriority w:val="99"/>
    <w:rPr>
      <w:rFonts w:ascii="Tahoma" w:hAnsi="Tahoma" w:cs="Tahoma"/>
      <w:b/>
      <w:bCs/>
      <w:kern w:val="2"/>
      <w:sz w:val="16"/>
      <w:lang w:eastAsia="zh-CN"/>
    </w:rPr>
  </w:style>
  <w:style w:type="paragraph" w:customStyle="1" w:styleId="30">
    <w:name w:val="Default"/>
    <w:qFormat/>
    <w:uiPriority w:val="0"/>
    <w:pPr>
      <w:autoSpaceDE w:val="0"/>
      <w:autoSpaceDN w:val="0"/>
      <w:adjustRightInd w:val="0"/>
    </w:pPr>
    <w:rPr>
      <w:rFonts w:ascii="Times New Roman" w:hAnsi="Times New Roman" w:cs="Times New Roman" w:eastAsiaTheme="minorEastAsia"/>
      <w:color w:val="000000"/>
      <w:sz w:val="24"/>
      <w:szCs w:val="24"/>
      <w:lang w:val="en-US" w:eastAsia="zh-CN" w:bidi="ar-SA"/>
    </w:rPr>
  </w:style>
  <w:style w:type="paragraph" w:customStyle="1" w:styleId="31">
    <w:name w:val="Revision1"/>
    <w:hidden/>
    <w:semiHidden/>
    <w:qFormat/>
    <w:uiPriority w:val="99"/>
    <w:rPr>
      <w:rFonts w:ascii="Times New Roman" w:hAnsi="Times New Roman" w:eastAsiaTheme="minorEastAsia" w:cstheme="minorBidi"/>
      <w:kern w:val="2"/>
      <w:sz w:val="24"/>
      <w:szCs w:val="22"/>
      <w:lang w:val="en-US" w:eastAsia="zh-CN" w:bidi="ar-SA"/>
    </w:rPr>
  </w:style>
  <w:style w:type="paragraph" w:customStyle="1" w:styleId="32">
    <w:name w:val="EndNote Bibliography Title"/>
    <w:basedOn w:val="1"/>
    <w:link w:val="33"/>
    <w:qFormat/>
    <w:uiPriority w:val="0"/>
    <w:pPr>
      <w:jc w:val="center"/>
    </w:pPr>
    <w:rPr>
      <w:rFonts w:cs="Times New Roman"/>
    </w:rPr>
  </w:style>
  <w:style w:type="character" w:customStyle="1" w:styleId="33">
    <w:name w:val="EndNote Bibliography Title Char"/>
    <w:basedOn w:val="13"/>
    <w:link w:val="32"/>
    <w:qFormat/>
    <w:uiPriority w:val="0"/>
    <w:rPr>
      <w:rFonts w:ascii="Times New Roman" w:hAnsi="Times New Roman" w:cs="Times New Roman"/>
      <w:szCs w:val="22"/>
    </w:rPr>
  </w:style>
  <w:style w:type="paragraph" w:customStyle="1" w:styleId="34">
    <w:name w:val="EndNote Bibliography"/>
    <w:basedOn w:val="1"/>
    <w:link w:val="35"/>
    <w:qFormat/>
    <w:uiPriority w:val="0"/>
    <w:pPr>
      <w:jc w:val="left"/>
    </w:pPr>
    <w:rPr>
      <w:rFonts w:cs="Times New Roman"/>
    </w:rPr>
  </w:style>
  <w:style w:type="character" w:customStyle="1" w:styleId="35">
    <w:name w:val="EndNote Bibliography Char"/>
    <w:basedOn w:val="13"/>
    <w:link w:val="34"/>
    <w:qFormat/>
    <w:uiPriority w:val="0"/>
    <w:rPr>
      <w:rFonts w:ascii="Times New Roman" w:hAnsi="Times New Roman" w:cs="Times New Roman"/>
      <w:szCs w:val="22"/>
    </w:rPr>
  </w:style>
  <w:style w:type="character" w:customStyle="1" w:styleId="36">
    <w:name w:val="Document Map Char"/>
    <w:basedOn w:val="13"/>
    <w:link w:val="5"/>
    <w:semiHidden/>
    <w:qFormat/>
    <w:uiPriority w:val="99"/>
    <w:rPr>
      <w:rFonts w:ascii="宋体" w:hAnsi="Times New Roman" w:eastAsia="宋体"/>
      <w:sz w:val="18"/>
      <w:szCs w:val="18"/>
    </w:rPr>
  </w:style>
  <w:style w:type="character" w:customStyle="1" w:styleId="37">
    <w:name w:val="Unresolved Mention1"/>
    <w:basedOn w:val="13"/>
    <w:unhideWhenUsed/>
    <w:qFormat/>
    <w:uiPriority w:val="99"/>
    <w:rPr>
      <w:color w:val="605E5C"/>
      <w:shd w:val="clear" w:color="auto" w:fill="E1DFDD"/>
    </w:rPr>
  </w:style>
  <w:style w:type="character" w:customStyle="1" w:styleId="38">
    <w:name w:val="translated-span"/>
    <w:basedOn w:val="13"/>
    <w:qFormat/>
    <w:uiPriority w:val="0"/>
  </w:style>
  <w:style w:type="paragraph" w:customStyle="1" w:styleId="39">
    <w:name w:val="Revision"/>
    <w:hidden/>
    <w:semiHidden/>
    <w:qFormat/>
    <w:uiPriority w:val="99"/>
    <w:rPr>
      <w:rFonts w:ascii="Times New Roman" w:hAnsi="Times New Roman" w:eastAsiaTheme="minorEastAsia" w:cstheme="minorBidi"/>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8966</Words>
  <Characters>51112</Characters>
  <Lines>425</Lines>
  <Paragraphs>119</Paragraphs>
  <TotalTime>2</TotalTime>
  <ScaleCrop>false</ScaleCrop>
  <LinksUpToDate>false</LinksUpToDate>
  <CharactersWithSpaces>59959</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2021-05-18T07:36:00Z</dcterms:created>
  <dc:creator>刘 润桐</dc:creator>
  <cp:lastModifiedBy>A  Shihong  Zeng</cp:lastModifiedBy>
  <dcterms:modified xsi:type="dcterms:W3CDTF">2021-06-02T12:54:03Z</dcterms:modified>
  <cp:revision>156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02D0D4255B08439FB112BAB430C7E9E7</vt:lpwstr>
  </property>
  <property fmtid="{D5CDD505-2E9C-101B-9397-08002B2CF9AE}" pid="3" name="KSOProductBuildVer">
    <vt:lpwstr>2052-11.1.0.10495</vt:lpwstr>
  </property>
  <property fmtid="{D5CDD505-2E9C-101B-9397-08002B2CF9AE}" pid="4" name="SAMController">
    <vt:lpwstr>RI</vt:lpwstr>
  </property>
</Properties>
</file>